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DAEE694" w14:textId="775AFCA3" w:rsidR="00C26EE4" w:rsidRDefault="0026586B" w:rsidP="00C26EE4">
      <w:pPr>
        <w:widowControl w:val="0"/>
      </w:pPr>
      <w:r w:rsidRPr="00636DDB">
        <w:rPr>
          <w:noProof/>
        </w:rPr>
        <mc:AlternateContent>
          <mc:Choice Requires="wps">
            <w:drawing>
              <wp:anchor distT="0" distB="0" distL="114300" distR="114300" simplePos="0" relativeHeight="251658240" behindDoc="0" locked="0" layoutInCell="1" allowOverlap="1" wp14:anchorId="410E13FB" wp14:editId="79A8D462">
                <wp:simplePos x="0" y="0"/>
                <wp:positionH relativeFrom="column">
                  <wp:posOffset>-696036</wp:posOffset>
                </wp:positionH>
                <wp:positionV relativeFrom="paragraph">
                  <wp:posOffset>6141493</wp:posOffset>
                </wp:positionV>
                <wp:extent cx="6784740" cy="1351128"/>
                <wp:effectExtent l="0" t="0" r="0" b="1905"/>
                <wp:wrapNone/>
                <wp:docPr id="5" name="Text Box 5"/>
                <wp:cNvGraphicFramePr/>
                <a:graphic xmlns:a="http://schemas.openxmlformats.org/drawingml/2006/main">
                  <a:graphicData uri="http://schemas.microsoft.com/office/word/2010/wordprocessingShape">
                    <wps:wsp>
                      <wps:cNvSpPr txBox="1"/>
                      <wps:spPr>
                        <a:xfrm>
                          <a:off x="0" y="0"/>
                          <a:ext cx="6784740" cy="1351128"/>
                        </a:xfrm>
                        <a:prstGeom prst="rect">
                          <a:avLst/>
                        </a:prstGeom>
                        <a:noFill/>
                        <a:ln w="6350">
                          <a:noFill/>
                        </a:ln>
                      </wps:spPr>
                      <wps:txbx>
                        <w:txbxContent>
                          <w:p w14:paraId="1E3DA487" w14:textId="77777777" w:rsidR="005B67CB" w:rsidRPr="00A10D0A" w:rsidRDefault="008F5A23" w:rsidP="00A10D0A">
                            <w:pPr>
                              <w:pStyle w:val="Title"/>
                              <w:spacing w:after="120"/>
                              <w:rPr>
                                <w:color w:val="FFFFFF" w:themeColor="background1"/>
                                <w:sz w:val="36"/>
                                <w:szCs w:val="36"/>
                              </w:rPr>
                            </w:pPr>
                            <w:r w:rsidRPr="00A10D0A">
                              <w:rPr>
                                <w:color w:val="FFFFFF" w:themeColor="background1"/>
                                <w:sz w:val="36"/>
                                <w:szCs w:val="36"/>
                              </w:rPr>
                              <w:t>this is a sun cake, and if we eat it we can shine like the sun</w:t>
                            </w:r>
                          </w:p>
                          <w:p w14:paraId="3DDDA117" w14:textId="77777777" w:rsidR="00C26EE4" w:rsidRPr="008E59E2" w:rsidRDefault="00C26EE4" w:rsidP="00A10D0A">
                            <w:pPr>
                              <w:pStyle w:val="Subtitle"/>
                              <w:spacing w:before="80" w:after="80"/>
                              <w:rPr>
                                <w:color w:val="FFFFFF" w:themeColor="background1"/>
                              </w:rPr>
                            </w:pPr>
                            <w:r w:rsidRPr="008E59E2">
                              <w:rPr>
                                <w:color w:val="FFFFFF" w:themeColor="background1"/>
                              </w:rPr>
                              <w:t xml:space="preserve">Children’s Perspectives of </w:t>
                            </w:r>
                            <w:r w:rsidR="00DD6215" w:rsidRPr="008E59E2">
                              <w:rPr>
                                <w:color w:val="FFFFFF" w:themeColor="background1"/>
                              </w:rPr>
                              <w:t>Early Childhood Education and Care</w:t>
                            </w:r>
                          </w:p>
                          <w:p w14:paraId="7A79C538" w14:textId="77777777" w:rsidR="00C26EE4" w:rsidRPr="003B04C5" w:rsidRDefault="004D228B" w:rsidP="00A10D0A">
                            <w:pPr>
                              <w:spacing w:before="80" w:after="80"/>
                              <w:rPr>
                                <w:color w:val="FFFFFF" w:themeColor="background1"/>
                              </w:rPr>
                            </w:pPr>
                            <w:r w:rsidRPr="003B04C5">
                              <w:rPr>
                                <w:color w:val="FFFFFF" w:themeColor="background1"/>
                              </w:rPr>
                              <w:t xml:space="preserve">Final </w:t>
                            </w:r>
                            <w:r w:rsidR="00C26EE4" w:rsidRPr="003B04C5">
                              <w:rPr>
                                <w:color w:val="FFFFFF" w:themeColor="background1"/>
                              </w:rPr>
                              <w:t xml:space="preserve">Report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0E13FB" id="_x0000_t202" coordsize="21600,21600" o:spt="202" path="m,l,21600r21600,l21600,xe">
                <v:stroke joinstyle="miter"/>
                <v:path gradientshapeok="t" o:connecttype="rect"/>
              </v:shapetype>
              <v:shape id="Text Box 5" o:spid="_x0000_s1026" type="#_x0000_t202" style="position:absolute;margin-left:-54.8pt;margin-top:483.6pt;width:534.25pt;height:106.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peeFwIAAC0EAAAOAAAAZHJzL2Uyb0RvYy54bWysU8tu2zAQvBfoPxC817IcO3YEy4GbwEUB&#10;IwngFDnTFGkJoLgsSVtyv75LSn4g7SnIhdrlrPYxs5zft7UiB2FdBTqn6WBIidAcikrvcvrrdfVt&#10;RonzTBdMgRY5PQpH7xdfv8wbk4kRlKAKYQkm0S5rTE5L702WJI6XomZuAEZoBCXYmnl07S4pLGsw&#10;e62S0XB4mzRgC2OBC+fw9rED6SLml1Jw/yylE56onGJvPp42nttwJos5y3aWmbLifRvsA13UrNJY&#10;9JzqkXlG9rb6J1VdcQsOpB9wqBOQsuIizoDTpMN302xKZkScBclx5kyT+7y0/OmwMS+W+PY7tChg&#10;IKQxLnN4GeZppa3DFzsliCOFxzNtovWE4+XtdDaejhHiiKU3kzQdzUKe5PK7sc7/EFCTYOTUoi6R&#10;LnZYO9+FnkJCNQ2rSqmojdKkwRI3k2H84YxgcqWxxqXZYPl22/YTbKE44mAWOs2d4asKi6+Z8y/M&#10;osjYMC6uf8ZDKsAi0FuUlGD//O8+xCP3iFLS4NLk1P3eMysoUT81qnKXjgMPPjrjyXSEjr1GtteI&#10;3tcPgHuZ4hMxPJoh3quTKS3Ub7jfy1AVIaY51s6pP5kPvltlfB9cLJcxCPfKML/WG8ND6kBnoPa1&#10;fWPW9Px7lO4JTuvFsncydLGdEMu9B1lFjQLBHas977iTUeX+/YSlv/Zj1OWVL/4CAAD//wMAUEsD&#10;BBQABgAIAAAAIQASIW/v5AAAAA0BAAAPAAAAZHJzL2Rvd25yZXYueG1sTI9NS8NAFEX3gv9heAV3&#10;7UwCjUnMpJRAEUQXrd24mySvSeh8xMy0jf56nytdPu7h3vOKzWw0u+LkB2clRCsBDG3j2sF2Eo7v&#10;u2UKzAdlW6WdRQlf6GFT3t8VKm/dze7xeggdoxLrcyWhD2HMOfdNj0b5lRvRUnZyk1GBzqnj7aRu&#10;VG40j4VIuFGDpYVejVj12JwPFyPhpdq9qX0dm/RbV8+vp+34efxYS/mwmLdPwALO4Q+GX31Sh5Kc&#10;anexrWdawjISWUKshCx5jIERkq3TDFhNbJQKAbws+P8vyh8AAAD//wMAUEsBAi0AFAAGAAgAAAAh&#10;ALaDOJL+AAAA4QEAABMAAAAAAAAAAAAAAAAAAAAAAFtDb250ZW50X1R5cGVzXS54bWxQSwECLQAU&#10;AAYACAAAACEAOP0h/9YAAACUAQAACwAAAAAAAAAAAAAAAAAvAQAAX3JlbHMvLnJlbHNQSwECLQAU&#10;AAYACAAAACEAzFKXnhcCAAAtBAAADgAAAAAAAAAAAAAAAAAuAgAAZHJzL2Uyb0RvYy54bWxQSwEC&#10;LQAUAAYACAAAACEAEiFv7+QAAAANAQAADwAAAAAAAAAAAAAAAABxBAAAZHJzL2Rvd25yZXYueG1s&#10;UEsFBgAAAAAEAAQA8wAAAIIFAAAAAA==&#10;" filled="f" stroked="f" strokeweight=".5pt">
                <v:textbox>
                  <w:txbxContent>
                    <w:p w14:paraId="1E3DA487" w14:textId="77777777" w:rsidR="005B67CB" w:rsidRPr="00A10D0A" w:rsidRDefault="008F5A23" w:rsidP="00A10D0A">
                      <w:pPr>
                        <w:pStyle w:val="Title"/>
                        <w:spacing w:after="120"/>
                        <w:rPr>
                          <w:color w:val="FFFFFF" w:themeColor="background1"/>
                          <w:sz w:val="36"/>
                          <w:szCs w:val="36"/>
                        </w:rPr>
                      </w:pPr>
                      <w:r w:rsidRPr="00A10D0A">
                        <w:rPr>
                          <w:color w:val="FFFFFF" w:themeColor="background1"/>
                          <w:sz w:val="36"/>
                          <w:szCs w:val="36"/>
                        </w:rPr>
                        <w:t>this is a sun cake, and if we eat it we can shine like the sun</w:t>
                      </w:r>
                    </w:p>
                    <w:p w14:paraId="3DDDA117" w14:textId="77777777" w:rsidR="00C26EE4" w:rsidRPr="008E59E2" w:rsidRDefault="00C26EE4" w:rsidP="00A10D0A">
                      <w:pPr>
                        <w:pStyle w:val="Subtitle"/>
                        <w:spacing w:before="80" w:after="80"/>
                        <w:rPr>
                          <w:color w:val="FFFFFF" w:themeColor="background1"/>
                        </w:rPr>
                      </w:pPr>
                      <w:r w:rsidRPr="008E59E2">
                        <w:rPr>
                          <w:color w:val="FFFFFF" w:themeColor="background1"/>
                        </w:rPr>
                        <w:t xml:space="preserve">Children’s Perspectives of </w:t>
                      </w:r>
                      <w:r w:rsidR="00DD6215" w:rsidRPr="008E59E2">
                        <w:rPr>
                          <w:color w:val="FFFFFF" w:themeColor="background1"/>
                        </w:rPr>
                        <w:t>Early Childhood Education and Care</w:t>
                      </w:r>
                    </w:p>
                    <w:p w14:paraId="7A79C538" w14:textId="77777777" w:rsidR="00C26EE4" w:rsidRPr="003B04C5" w:rsidRDefault="004D228B" w:rsidP="00A10D0A">
                      <w:pPr>
                        <w:spacing w:before="80" w:after="80"/>
                        <w:rPr>
                          <w:color w:val="FFFFFF" w:themeColor="background1"/>
                        </w:rPr>
                      </w:pPr>
                      <w:r w:rsidRPr="003B04C5">
                        <w:rPr>
                          <w:color w:val="FFFFFF" w:themeColor="background1"/>
                        </w:rPr>
                        <w:t xml:space="preserve">Final </w:t>
                      </w:r>
                      <w:r w:rsidR="00C26EE4" w:rsidRPr="003B04C5">
                        <w:rPr>
                          <w:color w:val="FFFFFF" w:themeColor="background1"/>
                        </w:rPr>
                        <w:t xml:space="preserve">Report </w:t>
                      </w:r>
                    </w:p>
                  </w:txbxContent>
                </v:textbox>
              </v:shape>
            </w:pict>
          </mc:Fallback>
        </mc:AlternateContent>
      </w:r>
      <w:r w:rsidR="00C31925" w:rsidRPr="00636DDB">
        <w:rPr>
          <w:noProof/>
        </w:rPr>
        <mc:AlternateContent>
          <mc:Choice Requires="wps">
            <w:drawing>
              <wp:anchor distT="0" distB="0" distL="114300" distR="114300" simplePos="0" relativeHeight="251658241" behindDoc="0" locked="0" layoutInCell="1" allowOverlap="1" wp14:anchorId="3CB44508" wp14:editId="3F85BFF1">
                <wp:simplePos x="0" y="0"/>
                <wp:positionH relativeFrom="column">
                  <wp:posOffset>1497724</wp:posOffset>
                </wp:positionH>
                <wp:positionV relativeFrom="paragraph">
                  <wp:posOffset>7882759</wp:posOffset>
                </wp:positionV>
                <wp:extent cx="5012909" cy="898481"/>
                <wp:effectExtent l="0" t="0" r="0" b="0"/>
                <wp:wrapNone/>
                <wp:docPr id="1" name="Text Box 1"/>
                <wp:cNvGraphicFramePr/>
                <a:graphic xmlns:a="http://schemas.openxmlformats.org/drawingml/2006/main">
                  <a:graphicData uri="http://schemas.microsoft.com/office/word/2010/wordprocessingShape">
                    <wps:wsp>
                      <wps:cNvSpPr txBox="1"/>
                      <wps:spPr>
                        <a:xfrm>
                          <a:off x="0" y="0"/>
                          <a:ext cx="5012909" cy="898481"/>
                        </a:xfrm>
                        <a:prstGeom prst="rect">
                          <a:avLst/>
                        </a:prstGeom>
                        <a:noFill/>
                        <a:ln w="6350">
                          <a:noFill/>
                        </a:ln>
                      </wps:spPr>
                      <wps:txbx>
                        <w:txbxContent>
                          <w:p w14:paraId="723C4AC4" w14:textId="7833B770" w:rsidR="00081144" w:rsidRPr="003B04C5" w:rsidRDefault="00C26EE4" w:rsidP="003B04C5">
                            <w:pPr>
                              <w:jc w:val="right"/>
                              <w:rPr>
                                <w:b/>
                                <w:color w:val="FFFFFF" w:themeColor="background1"/>
                                <w:sz w:val="24"/>
                                <w:szCs w:val="24"/>
                              </w:rPr>
                            </w:pPr>
                            <w:r w:rsidRPr="003B04C5">
                              <w:rPr>
                                <w:b/>
                                <w:color w:val="FFFFFF" w:themeColor="background1"/>
                                <w:sz w:val="24"/>
                                <w:szCs w:val="24"/>
                              </w:rPr>
                              <w:t>The Front Project and C</w:t>
                            </w:r>
                            <w:r w:rsidR="00701BED">
                              <w:rPr>
                                <w:b/>
                                <w:color w:val="FFFFFF" w:themeColor="background1"/>
                                <w:sz w:val="24"/>
                                <w:szCs w:val="24"/>
                              </w:rPr>
                              <w:t>reche and Kindergarten Association</w:t>
                            </w:r>
                            <w:r w:rsidRPr="003B04C5">
                              <w:rPr>
                                <w:b/>
                                <w:color w:val="FFFFFF" w:themeColor="background1"/>
                                <w:sz w:val="24"/>
                                <w:szCs w:val="24"/>
                              </w:rPr>
                              <w:t xml:space="preserve"> </w:t>
                            </w:r>
                          </w:p>
                          <w:p w14:paraId="66D43114" w14:textId="77777777" w:rsidR="00C26EE4" w:rsidRDefault="00081144" w:rsidP="003B04C5">
                            <w:pPr>
                              <w:jc w:val="right"/>
                              <w:rPr>
                                <w:b/>
                                <w:color w:val="FFFFFF" w:themeColor="background1"/>
                                <w:sz w:val="24"/>
                                <w:szCs w:val="24"/>
                              </w:rPr>
                            </w:pPr>
                            <w:r w:rsidRPr="003B04C5">
                              <w:rPr>
                                <w:b/>
                                <w:color w:val="FFFFFF" w:themeColor="background1"/>
                                <w:sz w:val="24"/>
                                <w:szCs w:val="24"/>
                              </w:rPr>
                              <w:t xml:space="preserve">Prepared </w:t>
                            </w:r>
                            <w:r w:rsidR="00C26EE4" w:rsidRPr="003B04C5">
                              <w:rPr>
                                <w:b/>
                                <w:color w:val="FFFFFF" w:themeColor="background1"/>
                                <w:sz w:val="24"/>
                                <w:szCs w:val="24"/>
                              </w:rPr>
                              <w:t>for the Productivity Commission</w:t>
                            </w:r>
                          </w:p>
                          <w:p w14:paraId="655DE811" w14:textId="2DCC5C0C" w:rsidR="00C31925" w:rsidRPr="003B04C5" w:rsidRDefault="00C31925" w:rsidP="003B04C5">
                            <w:pPr>
                              <w:jc w:val="right"/>
                              <w:rPr>
                                <w:b/>
                                <w:color w:val="FFFFFF" w:themeColor="background1"/>
                                <w:sz w:val="24"/>
                                <w:szCs w:val="24"/>
                              </w:rPr>
                            </w:pPr>
                            <w:r>
                              <w:rPr>
                                <w:b/>
                                <w:color w:val="FFFFFF" w:themeColor="background1"/>
                                <w:sz w:val="24"/>
                                <w:szCs w:val="24"/>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44508" id="Text Box 1" o:spid="_x0000_s1027" type="#_x0000_t202" style="position:absolute;margin-left:117.95pt;margin-top:620.7pt;width:394.7pt;height:70.7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gumGgIAADMEAAAOAAAAZHJzL2Uyb0RvYy54bWysU02P2yAQvVfqf0DcGztpsk2sOKt0V6kq&#10;RbsrZas9EwyxJWAokNjpr++A86VtT1UvMDDDfLz3mN93WpGDcL4BU9LhIKdEGA5VY3Yl/fG6+jSl&#10;xAdmKqbAiJIehaf3i48f5q0txAhqUJVwBJMYX7S2pHUItsgyz2uhmR+AFQadEpxmAY9ul1WOtZhd&#10;q2yU53dZC66yDrjwHm8feyddpPxSCh6epfQiEFVS7C2k1aV1G9dsMWfFzjFbN/zUBvuHLjRrDBa9&#10;pHpkgZG9a/5IpRvuwIMMAw46AykbLtIMOM0wfzfNpmZWpFkQHG8vMPn/l5Y/HTb2xZHQfYUOCYyA&#10;tNYXHi/jPJ10Ou7YKUE/Qni8wCa6QDheTvLhaJbPKOHom86m42lKk11fW+fDNwGaRKOkDmlJaLHD&#10;2gesiKHnkFjMwKpRKlGjDGlLevd5kqcHFw++UAYfXnuNVui2HWmqmzm2UB1xPAc9897yVYM9rJkP&#10;L8wh1TgRyjc84yIVYC04WZTU4H797T7GIwPopaRF6ZTU/9wzJyhR3w1yMxuOx1Fr6TCefBnhwd16&#10;trces9cPgOoc4kexPJkxPqizKR3oN1T5MlZFFzMca5c0nM2H0AsafwkXy2UKQnVZFtZmY3lMHVGN&#10;CL92b8zZEw0BCXyCs8hY8Y6NPrbnY7kPIJtEVcS5R/UEPyozMXj6RVH6t+cUdf3ri98AAAD//wMA&#10;UEsDBBQABgAIAAAAIQC9GEo/5AAAAA4BAAAPAAAAZHJzL2Rvd25yZXYueG1sTI/BTsMwDIbvSLxD&#10;5EncWLp0RV1pOk2VJiQEh41duLmN11ZrktJkW+HpyU5ws/V/+v05X0+6ZxcaXWeNhMU8Akamtqoz&#10;jYTDx/YxBeY8GoW9NSThmxysi/u7HDNlr2ZHl71vWCgxLkMJrfdDxrmrW9Lo5nYgE7KjHTX6sI4N&#10;VyNeQ7nuuYiiJ66xM+FCiwOVLdWn/VlLeC2377irhE5/+vLl7bgZvg6fiZQPs2nzDMzT5P9guOkH&#10;dSiCU2XPRjnWSxBxsgpoCMRysQR2QyKRxMCqMMWpWAEvcv7/jeIXAAD//wMAUEsBAi0AFAAGAAgA&#10;AAAhALaDOJL+AAAA4QEAABMAAAAAAAAAAAAAAAAAAAAAAFtDb250ZW50X1R5cGVzXS54bWxQSwEC&#10;LQAUAAYACAAAACEAOP0h/9YAAACUAQAACwAAAAAAAAAAAAAAAAAvAQAAX3JlbHMvLnJlbHNQSwEC&#10;LQAUAAYACAAAACEAB5ILphoCAAAzBAAADgAAAAAAAAAAAAAAAAAuAgAAZHJzL2Uyb0RvYy54bWxQ&#10;SwECLQAUAAYACAAAACEAvRhKP+QAAAAOAQAADwAAAAAAAAAAAAAAAAB0BAAAZHJzL2Rvd25yZXYu&#10;eG1sUEsFBgAAAAAEAAQA8wAAAIUFAAAAAA==&#10;" filled="f" stroked="f" strokeweight=".5pt">
                <v:textbox>
                  <w:txbxContent>
                    <w:p w14:paraId="723C4AC4" w14:textId="7833B770" w:rsidR="00081144" w:rsidRPr="003B04C5" w:rsidRDefault="00C26EE4" w:rsidP="003B04C5">
                      <w:pPr>
                        <w:jc w:val="right"/>
                        <w:rPr>
                          <w:b/>
                          <w:color w:val="FFFFFF" w:themeColor="background1"/>
                          <w:sz w:val="24"/>
                          <w:szCs w:val="24"/>
                        </w:rPr>
                      </w:pPr>
                      <w:r w:rsidRPr="003B04C5">
                        <w:rPr>
                          <w:b/>
                          <w:color w:val="FFFFFF" w:themeColor="background1"/>
                          <w:sz w:val="24"/>
                          <w:szCs w:val="24"/>
                        </w:rPr>
                        <w:t>The Front Project and C</w:t>
                      </w:r>
                      <w:r w:rsidR="00701BED">
                        <w:rPr>
                          <w:b/>
                          <w:color w:val="FFFFFF" w:themeColor="background1"/>
                          <w:sz w:val="24"/>
                          <w:szCs w:val="24"/>
                        </w:rPr>
                        <w:t>reche and Kindergarten Association</w:t>
                      </w:r>
                      <w:r w:rsidRPr="003B04C5">
                        <w:rPr>
                          <w:b/>
                          <w:color w:val="FFFFFF" w:themeColor="background1"/>
                          <w:sz w:val="24"/>
                          <w:szCs w:val="24"/>
                        </w:rPr>
                        <w:t xml:space="preserve"> </w:t>
                      </w:r>
                    </w:p>
                    <w:p w14:paraId="66D43114" w14:textId="77777777" w:rsidR="00C26EE4" w:rsidRDefault="00081144" w:rsidP="003B04C5">
                      <w:pPr>
                        <w:jc w:val="right"/>
                        <w:rPr>
                          <w:b/>
                          <w:color w:val="FFFFFF" w:themeColor="background1"/>
                          <w:sz w:val="24"/>
                          <w:szCs w:val="24"/>
                        </w:rPr>
                      </w:pPr>
                      <w:r w:rsidRPr="003B04C5">
                        <w:rPr>
                          <w:b/>
                          <w:color w:val="FFFFFF" w:themeColor="background1"/>
                          <w:sz w:val="24"/>
                          <w:szCs w:val="24"/>
                        </w:rPr>
                        <w:t xml:space="preserve">Prepared </w:t>
                      </w:r>
                      <w:r w:rsidR="00C26EE4" w:rsidRPr="003B04C5">
                        <w:rPr>
                          <w:b/>
                          <w:color w:val="FFFFFF" w:themeColor="background1"/>
                          <w:sz w:val="24"/>
                          <w:szCs w:val="24"/>
                        </w:rPr>
                        <w:t>for the Productivity Commission</w:t>
                      </w:r>
                    </w:p>
                    <w:p w14:paraId="655DE811" w14:textId="2DCC5C0C" w:rsidR="00C31925" w:rsidRPr="003B04C5" w:rsidRDefault="00C31925" w:rsidP="003B04C5">
                      <w:pPr>
                        <w:jc w:val="right"/>
                        <w:rPr>
                          <w:b/>
                          <w:color w:val="FFFFFF" w:themeColor="background1"/>
                          <w:sz w:val="24"/>
                          <w:szCs w:val="24"/>
                        </w:rPr>
                      </w:pPr>
                      <w:r>
                        <w:rPr>
                          <w:b/>
                          <w:color w:val="FFFFFF" w:themeColor="background1"/>
                          <w:sz w:val="24"/>
                          <w:szCs w:val="24"/>
                        </w:rPr>
                        <w:t>2024</w:t>
                      </w:r>
                    </w:p>
                  </w:txbxContent>
                </v:textbox>
              </v:shape>
            </w:pict>
          </mc:Fallback>
        </mc:AlternateContent>
      </w:r>
      <w:r w:rsidR="00081144">
        <w:rPr>
          <w:noProof/>
          <w14:ligatures w14:val="standardContextual"/>
        </w:rPr>
        <w:drawing>
          <wp:anchor distT="0" distB="0" distL="114300" distR="114300" simplePos="0" relativeHeight="251658243" behindDoc="1" locked="0" layoutInCell="1" allowOverlap="1" wp14:anchorId="1D1179AB" wp14:editId="1E266F6F">
            <wp:simplePos x="0" y="0"/>
            <wp:positionH relativeFrom="column">
              <wp:posOffset>-1365017</wp:posOffset>
            </wp:positionH>
            <wp:positionV relativeFrom="paragraph">
              <wp:posOffset>-948690</wp:posOffset>
            </wp:positionV>
            <wp:extent cx="8038396" cy="10718157"/>
            <wp:effectExtent l="0" t="0" r="1270" b="7620"/>
            <wp:wrapNone/>
            <wp:docPr id="76617520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175200" name="Picture 1">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8038396" cy="10718157"/>
                    </a:xfrm>
                    <a:prstGeom prst="rect">
                      <a:avLst/>
                    </a:prstGeom>
                  </pic:spPr>
                </pic:pic>
              </a:graphicData>
            </a:graphic>
            <wp14:sizeRelH relativeFrom="page">
              <wp14:pctWidth>0</wp14:pctWidth>
            </wp14:sizeRelH>
            <wp14:sizeRelV relativeFrom="page">
              <wp14:pctHeight>0</wp14:pctHeight>
            </wp14:sizeRelV>
          </wp:anchor>
        </w:drawing>
      </w:r>
    </w:p>
    <w:p w14:paraId="1BD2F3C4" w14:textId="77777777" w:rsidR="005B67CB" w:rsidRDefault="005B67CB" w:rsidP="00C26EE4">
      <w:pPr>
        <w:widowControl w:val="0"/>
        <w:sectPr w:rsidR="005B67CB" w:rsidSect="00695060">
          <w:footerReference w:type="even" r:id="rId13"/>
          <w:footerReference w:type="default" r:id="rId14"/>
          <w:pgSz w:w="11906" w:h="16838"/>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16"/>
      </w:tblGrid>
      <w:tr w:rsidR="005B67CB" w14:paraId="67F28C33" w14:textId="77777777" w:rsidTr="005B67CB">
        <w:trPr>
          <w:trHeight w:val="13599"/>
        </w:trPr>
        <w:tc>
          <w:tcPr>
            <w:tcW w:w="9016" w:type="dxa"/>
            <w:vAlign w:val="bottom"/>
          </w:tcPr>
          <w:p w14:paraId="2A21B286" w14:textId="77777777" w:rsidR="005B67CB" w:rsidRDefault="005B67CB" w:rsidP="005B67CB">
            <w:pPr>
              <w:widowControl w:val="0"/>
            </w:pPr>
            <w:r>
              <w:lastRenderedPageBreak/>
              <w:t>Prepared for the Productivity Commission</w:t>
            </w:r>
          </w:p>
          <w:p w14:paraId="0B91D39F" w14:textId="2B3B5F2C" w:rsidR="006C6CA2" w:rsidRDefault="005B67CB" w:rsidP="005B67CB">
            <w:pPr>
              <w:widowControl w:val="0"/>
            </w:pPr>
            <w:r>
              <w:t xml:space="preserve">The Front Project (TFP) and Creche and Kindergarten Association (C&amp;K) </w:t>
            </w:r>
          </w:p>
          <w:p w14:paraId="1919530A" w14:textId="13F40636" w:rsidR="005B67CB" w:rsidRDefault="00E922DF" w:rsidP="005B67CB">
            <w:pPr>
              <w:widowControl w:val="0"/>
            </w:pPr>
            <w:r>
              <w:t>2024</w:t>
            </w:r>
          </w:p>
          <w:p w14:paraId="2EC22E4D" w14:textId="77777777" w:rsidR="005B67CB" w:rsidRDefault="005B67CB" w:rsidP="005B67CB">
            <w:pPr>
              <w:widowControl w:val="0"/>
            </w:pPr>
          </w:p>
          <w:p w14:paraId="620C7A1B" w14:textId="77777777" w:rsidR="005B67CB" w:rsidRDefault="005B67CB" w:rsidP="005B67CB">
            <w:pPr>
              <w:widowControl w:val="0"/>
            </w:pPr>
          </w:p>
          <w:p w14:paraId="289C1738" w14:textId="6362014C" w:rsidR="005B67CB" w:rsidRDefault="005B67CB" w:rsidP="005B67CB">
            <w:pPr>
              <w:widowControl w:val="0"/>
            </w:pPr>
            <w:r w:rsidRPr="00E922DF">
              <w:t xml:space="preserve">TFP and C&amp;K </w:t>
            </w:r>
            <w:r w:rsidR="00E922DF" w:rsidRPr="00E922DF">
              <w:t xml:space="preserve">respectfully acknowledge the Traditional Owners of the land on which we work and </w:t>
            </w:r>
            <w:proofErr w:type="gramStart"/>
            <w:r w:rsidR="00E922DF" w:rsidRPr="00E922DF">
              <w:t>learn, and</w:t>
            </w:r>
            <w:proofErr w:type="gramEnd"/>
            <w:r w:rsidR="00E922DF" w:rsidRPr="00E922DF">
              <w:t xml:space="preserve"> pay our respect to Elders past and present. Sovereignty has never been ceded. It always was and always will be, Aboriginal land.</w:t>
            </w:r>
          </w:p>
          <w:p w14:paraId="5DDB0474" w14:textId="77777777" w:rsidR="005B67CB" w:rsidRDefault="005B67CB" w:rsidP="005B67CB">
            <w:pPr>
              <w:widowControl w:val="0"/>
            </w:pPr>
          </w:p>
          <w:p w14:paraId="738ED819" w14:textId="18CADC31" w:rsidR="005B67CB" w:rsidRDefault="005B67CB" w:rsidP="005B67CB">
            <w:pPr>
              <w:widowControl w:val="0"/>
            </w:pPr>
            <w:r>
              <w:t>TFP and C&amp;K would like to acknowledge and thank the children who generously shared their perspectives through this consultation</w:t>
            </w:r>
            <w:r w:rsidR="005341A3">
              <w:t>. We would also like to thank</w:t>
            </w:r>
            <w:r>
              <w:t xml:space="preserve"> the services, teachers and educators with whom we partnered to undertake this work. </w:t>
            </w:r>
          </w:p>
          <w:p w14:paraId="0FC65989" w14:textId="77777777" w:rsidR="005B67CB" w:rsidRDefault="005B67CB" w:rsidP="005B67CB">
            <w:pPr>
              <w:widowControl w:val="0"/>
            </w:pPr>
          </w:p>
          <w:p w14:paraId="12DA31FB" w14:textId="75E99217" w:rsidR="005B67CB" w:rsidRDefault="005B67CB" w:rsidP="005B67CB">
            <w:pPr>
              <w:widowControl w:val="0"/>
            </w:pPr>
            <w:r>
              <w:t xml:space="preserve">TFP and C&amp;K would like to thank and commend the Productivity Commission and its Commissioners for their commitment to seeking the voices of children to inform this inquiry. </w:t>
            </w:r>
          </w:p>
          <w:p w14:paraId="0469BFDF" w14:textId="5C089DE0" w:rsidR="005B67CB" w:rsidRDefault="005B67CB" w:rsidP="005B67CB">
            <w:pPr>
              <w:widowControl w:val="0"/>
            </w:pPr>
          </w:p>
        </w:tc>
      </w:tr>
    </w:tbl>
    <w:p w14:paraId="09D07C82" w14:textId="77777777" w:rsidR="00C26EE4" w:rsidRDefault="00C26EE4" w:rsidP="00C26EE4">
      <w:pPr>
        <w:widowControl w:val="0"/>
        <w:sectPr w:rsidR="00C26EE4" w:rsidSect="00695060">
          <w:pgSz w:w="11906" w:h="16838"/>
          <w:pgMar w:top="1440" w:right="1440" w:bottom="1440" w:left="1440" w:header="708" w:footer="708" w:gutter="0"/>
          <w:cols w:space="708"/>
          <w:docGrid w:linePitch="360"/>
        </w:sectPr>
      </w:pPr>
    </w:p>
    <w:sdt>
      <w:sdtPr>
        <w:rPr>
          <w:rFonts w:ascii="Helvetica" w:hAnsi="Helvetica" w:cstheme="minorBidi"/>
          <w:caps/>
          <w:color w:val="0079A7"/>
          <w:sz w:val="21"/>
          <w:szCs w:val="21"/>
        </w:rPr>
        <w:id w:val="-1279024584"/>
        <w:docPartObj>
          <w:docPartGallery w:val="Table of Contents"/>
          <w:docPartUnique/>
        </w:docPartObj>
      </w:sdtPr>
      <w:sdtEndPr>
        <w:rPr>
          <w:rFonts w:asciiTheme="minorHAnsi" w:hAnsiTheme="minorHAnsi" w:cstheme="minorHAnsi"/>
          <w:caps w:val="0"/>
          <w:noProof/>
          <w:color w:val="auto"/>
          <w:sz w:val="22"/>
          <w:szCs w:val="22"/>
        </w:rPr>
      </w:sdtEndPr>
      <w:sdtContent>
        <w:p w14:paraId="526FB605" w14:textId="77777777" w:rsidR="00DD6215" w:rsidRDefault="00C26EE4" w:rsidP="00DD6215">
          <w:pPr>
            <w:pStyle w:val="TOC2"/>
            <w:rPr>
              <w:sz w:val="28"/>
              <w:szCs w:val="28"/>
            </w:rPr>
          </w:pPr>
          <w:r w:rsidRPr="005B67CB">
            <w:rPr>
              <w:sz w:val="28"/>
              <w:szCs w:val="28"/>
            </w:rPr>
            <w:t>Table of Contents</w:t>
          </w:r>
        </w:p>
        <w:p w14:paraId="13DD80FD" w14:textId="04B1A495" w:rsidR="001B07CE" w:rsidRDefault="0013353B">
          <w:pPr>
            <w:pStyle w:val="TOC1"/>
            <w:rPr>
              <w:rFonts w:eastAsiaTheme="minorEastAsia" w:cstheme="minorBidi"/>
              <w:b w:val="0"/>
              <w:bCs w:val="0"/>
              <w:i w:val="0"/>
              <w:iCs w:val="0"/>
              <w:noProof/>
              <w:kern w:val="2"/>
              <w:lang w:eastAsia="en-AU"/>
              <w14:ligatures w14:val="standardContextual"/>
            </w:rPr>
          </w:pPr>
          <w:r>
            <w:rPr>
              <w:rStyle w:val="Hyperlink"/>
              <w:i w:val="0"/>
              <w:iCs w:val="0"/>
            </w:rPr>
            <w:fldChar w:fldCharType="begin"/>
          </w:r>
          <w:r>
            <w:rPr>
              <w:rStyle w:val="Hyperlink"/>
              <w:i w:val="0"/>
              <w:iCs w:val="0"/>
            </w:rPr>
            <w:instrText xml:space="preserve"> TOC \o "1-2" \h \z \u </w:instrText>
          </w:r>
          <w:r>
            <w:rPr>
              <w:rStyle w:val="Hyperlink"/>
              <w:i w:val="0"/>
              <w:iCs w:val="0"/>
            </w:rPr>
            <w:fldChar w:fldCharType="separate"/>
          </w:r>
          <w:hyperlink w:anchor="_Toc177135979" w:history="1">
            <w:r w:rsidR="001B07CE" w:rsidRPr="00C0316D">
              <w:rPr>
                <w:rStyle w:val="Hyperlink"/>
                <w:noProof/>
              </w:rPr>
              <w:t>Executive Summary</w:t>
            </w:r>
            <w:r w:rsidR="001B07CE">
              <w:rPr>
                <w:noProof/>
                <w:webHidden/>
              </w:rPr>
              <w:tab/>
            </w:r>
            <w:r w:rsidR="001B07CE">
              <w:rPr>
                <w:noProof/>
                <w:webHidden/>
              </w:rPr>
              <w:fldChar w:fldCharType="begin"/>
            </w:r>
            <w:r w:rsidR="001B07CE">
              <w:rPr>
                <w:noProof/>
                <w:webHidden/>
              </w:rPr>
              <w:instrText xml:space="preserve"> PAGEREF _Toc177135979 \h </w:instrText>
            </w:r>
            <w:r w:rsidR="001B07CE">
              <w:rPr>
                <w:noProof/>
                <w:webHidden/>
              </w:rPr>
            </w:r>
            <w:r w:rsidR="001B07CE">
              <w:rPr>
                <w:noProof/>
                <w:webHidden/>
              </w:rPr>
              <w:fldChar w:fldCharType="separate"/>
            </w:r>
            <w:r w:rsidR="00192FAF">
              <w:rPr>
                <w:noProof/>
                <w:webHidden/>
              </w:rPr>
              <w:t>2</w:t>
            </w:r>
            <w:r w:rsidR="001B07CE">
              <w:rPr>
                <w:noProof/>
                <w:webHidden/>
              </w:rPr>
              <w:fldChar w:fldCharType="end"/>
            </w:r>
          </w:hyperlink>
        </w:p>
        <w:p w14:paraId="33AA355D" w14:textId="69A1AD43" w:rsidR="001B07CE" w:rsidRDefault="00000000">
          <w:pPr>
            <w:pStyle w:val="TOC2"/>
            <w:rPr>
              <w:rFonts w:eastAsiaTheme="minorEastAsia" w:cstheme="minorBidi"/>
              <w:b w:val="0"/>
              <w:bCs w:val="0"/>
              <w:noProof/>
              <w:kern w:val="2"/>
              <w:sz w:val="24"/>
              <w:szCs w:val="24"/>
              <w:lang w:eastAsia="en-AU"/>
              <w14:ligatures w14:val="standardContextual"/>
            </w:rPr>
          </w:pPr>
          <w:hyperlink w:anchor="_Toc177135980" w:history="1">
            <w:r w:rsidR="001B07CE" w:rsidRPr="00C0316D">
              <w:rPr>
                <w:rStyle w:val="Hyperlink"/>
                <w:noProof/>
              </w:rPr>
              <w:t>Background and overview</w:t>
            </w:r>
            <w:r w:rsidR="001B07CE">
              <w:rPr>
                <w:noProof/>
                <w:webHidden/>
              </w:rPr>
              <w:tab/>
            </w:r>
            <w:r w:rsidR="001B07CE">
              <w:rPr>
                <w:noProof/>
                <w:webHidden/>
              </w:rPr>
              <w:fldChar w:fldCharType="begin"/>
            </w:r>
            <w:r w:rsidR="001B07CE">
              <w:rPr>
                <w:noProof/>
                <w:webHidden/>
              </w:rPr>
              <w:instrText xml:space="preserve"> PAGEREF _Toc177135980 \h </w:instrText>
            </w:r>
            <w:r w:rsidR="001B07CE">
              <w:rPr>
                <w:noProof/>
                <w:webHidden/>
              </w:rPr>
            </w:r>
            <w:r w:rsidR="001B07CE">
              <w:rPr>
                <w:noProof/>
                <w:webHidden/>
              </w:rPr>
              <w:fldChar w:fldCharType="separate"/>
            </w:r>
            <w:r w:rsidR="00192FAF">
              <w:rPr>
                <w:noProof/>
                <w:webHidden/>
              </w:rPr>
              <w:t>2</w:t>
            </w:r>
            <w:r w:rsidR="001B07CE">
              <w:rPr>
                <w:noProof/>
                <w:webHidden/>
              </w:rPr>
              <w:fldChar w:fldCharType="end"/>
            </w:r>
          </w:hyperlink>
        </w:p>
        <w:p w14:paraId="23CE0741" w14:textId="3936B041" w:rsidR="001B07CE" w:rsidRDefault="00000000">
          <w:pPr>
            <w:pStyle w:val="TOC2"/>
            <w:rPr>
              <w:rFonts w:eastAsiaTheme="minorEastAsia" w:cstheme="minorBidi"/>
              <w:b w:val="0"/>
              <w:bCs w:val="0"/>
              <w:noProof/>
              <w:kern w:val="2"/>
              <w:sz w:val="24"/>
              <w:szCs w:val="24"/>
              <w:lang w:eastAsia="en-AU"/>
              <w14:ligatures w14:val="standardContextual"/>
            </w:rPr>
          </w:pPr>
          <w:hyperlink w:anchor="_Toc177135981" w:history="1">
            <w:r w:rsidR="001B07CE" w:rsidRPr="00C0316D">
              <w:rPr>
                <w:rStyle w:val="Hyperlink"/>
                <w:noProof/>
              </w:rPr>
              <w:t>Methodology and sample</w:t>
            </w:r>
            <w:r w:rsidR="001B07CE">
              <w:rPr>
                <w:noProof/>
                <w:webHidden/>
              </w:rPr>
              <w:tab/>
            </w:r>
            <w:r w:rsidR="001B07CE">
              <w:rPr>
                <w:noProof/>
                <w:webHidden/>
              </w:rPr>
              <w:fldChar w:fldCharType="begin"/>
            </w:r>
            <w:r w:rsidR="001B07CE">
              <w:rPr>
                <w:noProof/>
                <w:webHidden/>
              </w:rPr>
              <w:instrText xml:space="preserve"> PAGEREF _Toc177135981 \h </w:instrText>
            </w:r>
            <w:r w:rsidR="001B07CE">
              <w:rPr>
                <w:noProof/>
                <w:webHidden/>
              </w:rPr>
            </w:r>
            <w:r w:rsidR="001B07CE">
              <w:rPr>
                <w:noProof/>
                <w:webHidden/>
              </w:rPr>
              <w:fldChar w:fldCharType="separate"/>
            </w:r>
            <w:r w:rsidR="00192FAF">
              <w:rPr>
                <w:noProof/>
                <w:webHidden/>
              </w:rPr>
              <w:t>2</w:t>
            </w:r>
            <w:r w:rsidR="001B07CE">
              <w:rPr>
                <w:noProof/>
                <w:webHidden/>
              </w:rPr>
              <w:fldChar w:fldCharType="end"/>
            </w:r>
          </w:hyperlink>
        </w:p>
        <w:p w14:paraId="31F9139E" w14:textId="654A6517" w:rsidR="001B07CE" w:rsidRDefault="00000000">
          <w:pPr>
            <w:pStyle w:val="TOC2"/>
            <w:rPr>
              <w:rFonts w:eastAsiaTheme="minorEastAsia" w:cstheme="minorBidi"/>
              <w:b w:val="0"/>
              <w:bCs w:val="0"/>
              <w:noProof/>
              <w:kern w:val="2"/>
              <w:sz w:val="24"/>
              <w:szCs w:val="24"/>
              <w:lang w:eastAsia="en-AU"/>
              <w14:ligatures w14:val="standardContextual"/>
            </w:rPr>
          </w:pPr>
          <w:hyperlink w:anchor="_Toc177135982" w:history="1">
            <w:r w:rsidR="001B07CE" w:rsidRPr="00C0316D">
              <w:rPr>
                <w:rStyle w:val="Hyperlink"/>
                <w:noProof/>
              </w:rPr>
              <w:t>Themes</w:t>
            </w:r>
            <w:r w:rsidR="001B07CE">
              <w:rPr>
                <w:noProof/>
                <w:webHidden/>
              </w:rPr>
              <w:tab/>
            </w:r>
            <w:r w:rsidR="001B07CE">
              <w:rPr>
                <w:noProof/>
                <w:webHidden/>
              </w:rPr>
              <w:fldChar w:fldCharType="begin"/>
            </w:r>
            <w:r w:rsidR="001B07CE">
              <w:rPr>
                <w:noProof/>
                <w:webHidden/>
              </w:rPr>
              <w:instrText xml:space="preserve"> PAGEREF _Toc177135982 \h </w:instrText>
            </w:r>
            <w:r w:rsidR="001B07CE">
              <w:rPr>
                <w:noProof/>
                <w:webHidden/>
              </w:rPr>
            </w:r>
            <w:r w:rsidR="001B07CE">
              <w:rPr>
                <w:noProof/>
                <w:webHidden/>
              </w:rPr>
              <w:fldChar w:fldCharType="separate"/>
            </w:r>
            <w:r w:rsidR="00192FAF">
              <w:rPr>
                <w:noProof/>
                <w:webHidden/>
              </w:rPr>
              <w:t>2</w:t>
            </w:r>
            <w:r w:rsidR="001B07CE">
              <w:rPr>
                <w:noProof/>
                <w:webHidden/>
              </w:rPr>
              <w:fldChar w:fldCharType="end"/>
            </w:r>
          </w:hyperlink>
        </w:p>
        <w:p w14:paraId="3B72676B" w14:textId="2EC5DBDA" w:rsidR="001B07CE" w:rsidRDefault="00000000">
          <w:pPr>
            <w:pStyle w:val="TOC2"/>
            <w:rPr>
              <w:rFonts w:eastAsiaTheme="minorEastAsia" w:cstheme="minorBidi"/>
              <w:b w:val="0"/>
              <w:bCs w:val="0"/>
              <w:noProof/>
              <w:kern w:val="2"/>
              <w:sz w:val="24"/>
              <w:szCs w:val="24"/>
              <w:lang w:eastAsia="en-AU"/>
              <w14:ligatures w14:val="standardContextual"/>
            </w:rPr>
          </w:pPr>
          <w:hyperlink w:anchor="_Toc177135983" w:history="1">
            <w:r w:rsidR="001B07CE" w:rsidRPr="00C0316D">
              <w:rPr>
                <w:rStyle w:val="Hyperlink"/>
                <w:noProof/>
              </w:rPr>
              <w:t>Findings and implications</w:t>
            </w:r>
            <w:r w:rsidR="001B07CE">
              <w:rPr>
                <w:noProof/>
                <w:webHidden/>
              </w:rPr>
              <w:tab/>
            </w:r>
            <w:r w:rsidR="001B07CE">
              <w:rPr>
                <w:noProof/>
                <w:webHidden/>
              </w:rPr>
              <w:fldChar w:fldCharType="begin"/>
            </w:r>
            <w:r w:rsidR="001B07CE">
              <w:rPr>
                <w:noProof/>
                <w:webHidden/>
              </w:rPr>
              <w:instrText xml:space="preserve"> PAGEREF _Toc177135983 \h </w:instrText>
            </w:r>
            <w:r w:rsidR="001B07CE">
              <w:rPr>
                <w:noProof/>
                <w:webHidden/>
              </w:rPr>
            </w:r>
            <w:r w:rsidR="001B07CE">
              <w:rPr>
                <w:noProof/>
                <w:webHidden/>
              </w:rPr>
              <w:fldChar w:fldCharType="separate"/>
            </w:r>
            <w:r w:rsidR="00192FAF">
              <w:rPr>
                <w:noProof/>
                <w:webHidden/>
              </w:rPr>
              <w:t>3</w:t>
            </w:r>
            <w:r w:rsidR="001B07CE">
              <w:rPr>
                <w:noProof/>
                <w:webHidden/>
              </w:rPr>
              <w:fldChar w:fldCharType="end"/>
            </w:r>
          </w:hyperlink>
        </w:p>
        <w:p w14:paraId="2EF6579A" w14:textId="6AE50B64" w:rsidR="001B07CE" w:rsidRDefault="00000000">
          <w:pPr>
            <w:pStyle w:val="TOC1"/>
            <w:rPr>
              <w:rFonts w:eastAsiaTheme="minorEastAsia" w:cstheme="minorBidi"/>
              <w:b w:val="0"/>
              <w:bCs w:val="0"/>
              <w:i w:val="0"/>
              <w:iCs w:val="0"/>
              <w:noProof/>
              <w:kern w:val="2"/>
              <w:lang w:eastAsia="en-AU"/>
              <w14:ligatures w14:val="standardContextual"/>
            </w:rPr>
          </w:pPr>
          <w:hyperlink w:anchor="_Toc177135984" w:history="1">
            <w:r w:rsidR="001B07CE" w:rsidRPr="00C0316D">
              <w:rPr>
                <w:rStyle w:val="Hyperlink"/>
                <w:noProof/>
              </w:rPr>
              <w:t>Introduction</w:t>
            </w:r>
            <w:r w:rsidR="001B07CE">
              <w:rPr>
                <w:noProof/>
                <w:webHidden/>
              </w:rPr>
              <w:tab/>
            </w:r>
            <w:r w:rsidR="001B07CE">
              <w:rPr>
                <w:noProof/>
                <w:webHidden/>
              </w:rPr>
              <w:fldChar w:fldCharType="begin"/>
            </w:r>
            <w:r w:rsidR="001B07CE">
              <w:rPr>
                <w:noProof/>
                <w:webHidden/>
              </w:rPr>
              <w:instrText xml:space="preserve"> PAGEREF _Toc177135984 \h </w:instrText>
            </w:r>
            <w:r w:rsidR="001B07CE">
              <w:rPr>
                <w:noProof/>
                <w:webHidden/>
              </w:rPr>
            </w:r>
            <w:r w:rsidR="001B07CE">
              <w:rPr>
                <w:noProof/>
                <w:webHidden/>
              </w:rPr>
              <w:fldChar w:fldCharType="separate"/>
            </w:r>
            <w:r w:rsidR="00192FAF">
              <w:rPr>
                <w:noProof/>
                <w:webHidden/>
              </w:rPr>
              <w:t>4</w:t>
            </w:r>
            <w:r w:rsidR="001B07CE">
              <w:rPr>
                <w:noProof/>
                <w:webHidden/>
              </w:rPr>
              <w:fldChar w:fldCharType="end"/>
            </w:r>
          </w:hyperlink>
        </w:p>
        <w:p w14:paraId="3B8B7FB8" w14:textId="55807AFC" w:rsidR="001B07CE" w:rsidRDefault="00000000">
          <w:pPr>
            <w:pStyle w:val="TOC1"/>
            <w:rPr>
              <w:rFonts w:eastAsiaTheme="minorEastAsia" w:cstheme="minorBidi"/>
              <w:b w:val="0"/>
              <w:bCs w:val="0"/>
              <w:i w:val="0"/>
              <w:iCs w:val="0"/>
              <w:noProof/>
              <w:kern w:val="2"/>
              <w:lang w:eastAsia="en-AU"/>
              <w14:ligatures w14:val="standardContextual"/>
            </w:rPr>
          </w:pPr>
          <w:hyperlink w:anchor="_Toc177135985" w:history="1">
            <w:r w:rsidR="001B07CE" w:rsidRPr="00C0316D">
              <w:rPr>
                <w:rStyle w:val="Hyperlink"/>
                <w:noProof/>
              </w:rPr>
              <w:t>Methodology</w:t>
            </w:r>
            <w:r w:rsidR="001B07CE">
              <w:rPr>
                <w:noProof/>
                <w:webHidden/>
              </w:rPr>
              <w:tab/>
            </w:r>
            <w:r w:rsidR="001B07CE">
              <w:rPr>
                <w:noProof/>
                <w:webHidden/>
              </w:rPr>
              <w:fldChar w:fldCharType="begin"/>
            </w:r>
            <w:r w:rsidR="001B07CE">
              <w:rPr>
                <w:noProof/>
                <w:webHidden/>
              </w:rPr>
              <w:instrText xml:space="preserve"> PAGEREF _Toc177135985 \h </w:instrText>
            </w:r>
            <w:r w:rsidR="001B07CE">
              <w:rPr>
                <w:noProof/>
                <w:webHidden/>
              </w:rPr>
            </w:r>
            <w:r w:rsidR="001B07CE">
              <w:rPr>
                <w:noProof/>
                <w:webHidden/>
              </w:rPr>
              <w:fldChar w:fldCharType="separate"/>
            </w:r>
            <w:r w:rsidR="00192FAF">
              <w:rPr>
                <w:noProof/>
                <w:webHidden/>
              </w:rPr>
              <w:t>4</w:t>
            </w:r>
            <w:r w:rsidR="001B07CE">
              <w:rPr>
                <w:noProof/>
                <w:webHidden/>
              </w:rPr>
              <w:fldChar w:fldCharType="end"/>
            </w:r>
          </w:hyperlink>
        </w:p>
        <w:p w14:paraId="71AF8856" w14:textId="00938817" w:rsidR="001B07CE" w:rsidRDefault="00000000">
          <w:pPr>
            <w:pStyle w:val="TOC2"/>
            <w:rPr>
              <w:rFonts w:eastAsiaTheme="minorEastAsia" w:cstheme="minorBidi"/>
              <w:b w:val="0"/>
              <w:bCs w:val="0"/>
              <w:noProof/>
              <w:kern w:val="2"/>
              <w:sz w:val="24"/>
              <w:szCs w:val="24"/>
              <w:lang w:eastAsia="en-AU"/>
              <w14:ligatures w14:val="standardContextual"/>
            </w:rPr>
          </w:pPr>
          <w:hyperlink w:anchor="_Toc177135986" w:history="1">
            <w:r w:rsidR="001B07CE" w:rsidRPr="00C0316D">
              <w:rPr>
                <w:rStyle w:val="Hyperlink"/>
                <w:noProof/>
              </w:rPr>
              <w:t>Activities</w:t>
            </w:r>
            <w:r w:rsidR="001B07CE">
              <w:rPr>
                <w:noProof/>
                <w:webHidden/>
              </w:rPr>
              <w:tab/>
            </w:r>
            <w:r w:rsidR="001B07CE">
              <w:rPr>
                <w:noProof/>
                <w:webHidden/>
              </w:rPr>
              <w:fldChar w:fldCharType="begin"/>
            </w:r>
            <w:r w:rsidR="001B07CE">
              <w:rPr>
                <w:noProof/>
                <w:webHidden/>
              </w:rPr>
              <w:instrText xml:space="preserve"> PAGEREF _Toc177135986 \h </w:instrText>
            </w:r>
            <w:r w:rsidR="001B07CE">
              <w:rPr>
                <w:noProof/>
                <w:webHidden/>
              </w:rPr>
            </w:r>
            <w:r w:rsidR="001B07CE">
              <w:rPr>
                <w:noProof/>
                <w:webHidden/>
              </w:rPr>
              <w:fldChar w:fldCharType="separate"/>
            </w:r>
            <w:r w:rsidR="00192FAF">
              <w:rPr>
                <w:noProof/>
                <w:webHidden/>
              </w:rPr>
              <w:t>4</w:t>
            </w:r>
            <w:r w:rsidR="001B07CE">
              <w:rPr>
                <w:noProof/>
                <w:webHidden/>
              </w:rPr>
              <w:fldChar w:fldCharType="end"/>
            </w:r>
          </w:hyperlink>
        </w:p>
        <w:p w14:paraId="760E4AEB" w14:textId="2DB1AB73" w:rsidR="001B07CE" w:rsidRDefault="00000000">
          <w:pPr>
            <w:pStyle w:val="TOC2"/>
            <w:rPr>
              <w:rFonts w:eastAsiaTheme="minorEastAsia" w:cstheme="minorBidi"/>
              <w:b w:val="0"/>
              <w:bCs w:val="0"/>
              <w:noProof/>
              <w:kern w:val="2"/>
              <w:sz w:val="24"/>
              <w:szCs w:val="24"/>
              <w:lang w:eastAsia="en-AU"/>
              <w14:ligatures w14:val="standardContextual"/>
            </w:rPr>
          </w:pPr>
          <w:hyperlink w:anchor="_Toc177135987" w:history="1">
            <w:r w:rsidR="001B07CE" w:rsidRPr="00C0316D">
              <w:rPr>
                <w:rStyle w:val="Hyperlink"/>
                <w:noProof/>
              </w:rPr>
              <w:t>Data collection</w:t>
            </w:r>
            <w:r w:rsidR="001B07CE">
              <w:rPr>
                <w:noProof/>
                <w:webHidden/>
              </w:rPr>
              <w:tab/>
            </w:r>
            <w:r w:rsidR="001B07CE">
              <w:rPr>
                <w:noProof/>
                <w:webHidden/>
              </w:rPr>
              <w:fldChar w:fldCharType="begin"/>
            </w:r>
            <w:r w:rsidR="001B07CE">
              <w:rPr>
                <w:noProof/>
                <w:webHidden/>
              </w:rPr>
              <w:instrText xml:space="preserve"> PAGEREF _Toc177135987 \h </w:instrText>
            </w:r>
            <w:r w:rsidR="001B07CE">
              <w:rPr>
                <w:noProof/>
                <w:webHidden/>
              </w:rPr>
            </w:r>
            <w:r w:rsidR="001B07CE">
              <w:rPr>
                <w:noProof/>
                <w:webHidden/>
              </w:rPr>
              <w:fldChar w:fldCharType="separate"/>
            </w:r>
            <w:r w:rsidR="00192FAF">
              <w:rPr>
                <w:noProof/>
                <w:webHidden/>
              </w:rPr>
              <w:t>5</w:t>
            </w:r>
            <w:r w:rsidR="001B07CE">
              <w:rPr>
                <w:noProof/>
                <w:webHidden/>
              </w:rPr>
              <w:fldChar w:fldCharType="end"/>
            </w:r>
          </w:hyperlink>
        </w:p>
        <w:p w14:paraId="1D5D06FE" w14:textId="09EEE59B" w:rsidR="001B07CE" w:rsidRDefault="00000000">
          <w:pPr>
            <w:pStyle w:val="TOC2"/>
            <w:rPr>
              <w:rFonts w:eastAsiaTheme="minorEastAsia" w:cstheme="minorBidi"/>
              <w:b w:val="0"/>
              <w:bCs w:val="0"/>
              <w:noProof/>
              <w:kern w:val="2"/>
              <w:sz w:val="24"/>
              <w:szCs w:val="24"/>
              <w:lang w:eastAsia="en-AU"/>
              <w14:ligatures w14:val="standardContextual"/>
            </w:rPr>
          </w:pPr>
          <w:hyperlink w:anchor="_Toc177135988" w:history="1">
            <w:r w:rsidR="001B07CE" w:rsidRPr="00C0316D">
              <w:rPr>
                <w:rStyle w:val="Hyperlink"/>
                <w:noProof/>
              </w:rPr>
              <w:t>Sample</w:t>
            </w:r>
            <w:r w:rsidR="001B07CE">
              <w:rPr>
                <w:noProof/>
                <w:webHidden/>
              </w:rPr>
              <w:tab/>
            </w:r>
            <w:r w:rsidR="001B07CE">
              <w:rPr>
                <w:noProof/>
                <w:webHidden/>
              </w:rPr>
              <w:fldChar w:fldCharType="begin"/>
            </w:r>
            <w:r w:rsidR="001B07CE">
              <w:rPr>
                <w:noProof/>
                <w:webHidden/>
              </w:rPr>
              <w:instrText xml:space="preserve"> PAGEREF _Toc177135988 \h </w:instrText>
            </w:r>
            <w:r w:rsidR="001B07CE">
              <w:rPr>
                <w:noProof/>
                <w:webHidden/>
              </w:rPr>
            </w:r>
            <w:r w:rsidR="001B07CE">
              <w:rPr>
                <w:noProof/>
                <w:webHidden/>
              </w:rPr>
              <w:fldChar w:fldCharType="separate"/>
            </w:r>
            <w:r w:rsidR="00192FAF">
              <w:rPr>
                <w:noProof/>
                <w:webHidden/>
              </w:rPr>
              <w:t>5</w:t>
            </w:r>
            <w:r w:rsidR="001B07CE">
              <w:rPr>
                <w:noProof/>
                <w:webHidden/>
              </w:rPr>
              <w:fldChar w:fldCharType="end"/>
            </w:r>
          </w:hyperlink>
        </w:p>
        <w:p w14:paraId="14E20E3A" w14:textId="51230C8C" w:rsidR="001B07CE" w:rsidRDefault="00000000">
          <w:pPr>
            <w:pStyle w:val="TOC2"/>
            <w:rPr>
              <w:rFonts w:eastAsiaTheme="minorEastAsia" w:cstheme="minorBidi"/>
              <w:b w:val="0"/>
              <w:bCs w:val="0"/>
              <w:noProof/>
              <w:kern w:val="2"/>
              <w:sz w:val="24"/>
              <w:szCs w:val="24"/>
              <w:lang w:eastAsia="en-AU"/>
              <w14:ligatures w14:val="standardContextual"/>
            </w:rPr>
          </w:pPr>
          <w:hyperlink w:anchor="_Toc177135989" w:history="1">
            <w:r w:rsidR="001B07CE" w:rsidRPr="00C0316D">
              <w:rPr>
                <w:rStyle w:val="Hyperlink"/>
                <w:noProof/>
              </w:rPr>
              <w:t>Ethics process</w:t>
            </w:r>
            <w:r w:rsidR="001B07CE">
              <w:rPr>
                <w:noProof/>
                <w:webHidden/>
              </w:rPr>
              <w:tab/>
            </w:r>
            <w:r w:rsidR="001B07CE">
              <w:rPr>
                <w:noProof/>
                <w:webHidden/>
              </w:rPr>
              <w:fldChar w:fldCharType="begin"/>
            </w:r>
            <w:r w:rsidR="001B07CE">
              <w:rPr>
                <w:noProof/>
                <w:webHidden/>
              </w:rPr>
              <w:instrText xml:space="preserve"> PAGEREF _Toc177135989 \h </w:instrText>
            </w:r>
            <w:r w:rsidR="001B07CE">
              <w:rPr>
                <w:noProof/>
                <w:webHidden/>
              </w:rPr>
            </w:r>
            <w:r w:rsidR="001B07CE">
              <w:rPr>
                <w:noProof/>
                <w:webHidden/>
              </w:rPr>
              <w:fldChar w:fldCharType="separate"/>
            </w:r>
            <w:r w:rsidR="00192FAF">
              <w:rPr>
                <w:noProof/>
                <w:webHidden/>
              </w:rPr>
              <w:t>8</w:t>
            </w:r>
            <w:r w:rsidR="001B07CE">
              <w:rPr>
                <w:noProof/>
                <w:webHidden/>
              </w:rPr>
              <w:fldChar w:fldCharType="end"/>
            </w:r>
          </w:hyperlink>
        </w:p>
        <w:p w14:paraId="3F487347" w14:textId="051BEB43" w:rsidR="001B07CE" w:rsidRDefault="00000000">
          <w:pPr>
            <w:pStyle w:val="TOC2"/>
            <w:rPr>
              <w:rFonts w:eastAsiaTheme="minorEastAsia" w:cstheme="minorBidi"/>
              <w:b w:val="0"/>
              <w:bCs w:val="0"/>
              <w:noProof/>
              <w:kern w:val="2"/>
              <w:sz w:val="24"/>
              <w:szCs w:val="24"/>
              <w:lang w:eastAsia="en-AU"/>
              <w14:ligatures w14:val="standardContextual"/>
            </w:rPr>
          </w:pPr>
          <w:hyperlink w:anchor="_Toc177135990" w:history="1">
            <w:r w:rsidR="001B07CE" w:rsidRPr="00C0316D">
              <w:rPr>
                <w:rStyle w:val="Hyperlink"/>
                <w:noProof/>
              </w:rPr>
              <w:t>Analysis</w:t>
            </w:r>
            <w:r w:rsidR="001B07CE">
              <w:rPr>
                <w:noProof/>
                <w:webHidden/>
              </w:rPr>
              <w:tab/>
            </w:r>
            <w:r w:rsidR="001B07CE">
              <w:rPr>
                <w:noProof/>
                <w:webHidden/>
              </w:rPr>
              <w:fldChar w:fldCharType="begin"/>
            </w:r>
            <w:r w:rsidR="001B07CE">
              <w:rPr>
                <w:noProof/>
                <w:webHidden/>
              </w:rPr>
              <w:instrText xml:space="preserve"> PAGEREF _Toc177135990 \h </w:instrText>
            </w:r>
            <w:r w:rsidR="001B07CE">
              <w:rPr>
                <w:noProof/>
                <w:webHidden/>
              </w:rPr>
            </w:r>
            <w:r w:rsidR="001B07CE">
              <w:rPr>
                <w:noProof/>
                <w:webHidden/>
              </w:rPr>
              <w:fldChar w:fldCharType="separate"/>
            </w:r>
            <w:r w:rsidR="00192FAF">
              <w:rPr>
                <w:noProof/>
                <w:webHidden/>
              </w:rPr>
              <w:t>8</w:t>
            </w:r>
            <w:r w:rsidR="001B07CE">
              <w:rPr>
                <w:noProof/>
                <w:webHidden/>
              </w:rPr>
              <w:fldChar w:fldCharType="end"/>
            </w:r>
          </w:hyperlink>
        </w:p>
        <w:p w14:paraId="597B4B13" w14:textId="47BEE5E6" w:rsidR="001B07CE" w:rsidRDefault="00000000">
          <w:pPr>
            <w:pStyle w:val="TOC2"/>
            <w:rPr>
              <w:rFonts w:eastAsiaTheme="minorEastAsia" w:cstheme="minorBidi"/>
              <w:b w:val="0"/>
              <w:bCs w:val="0"/>
              <w:noProof/>
              <w:kern w:val="2"/>
              <w:sz w:val="24"/>
              <w:szCs w:val="24"/>
              <w:lang w:eastAsia="en-AU"/>
              <w14:ligatures w14:val="standardContextual"/>
            </w:rPr>
          </w:pPr>
          <w:hyperlink w:anchor="_Toc177135991" w:history="1">
            <w:r w:rsidR="001B07CE" w:rsidRPr="00C0316D">
              <w:rPr>
                <w:rStyle w:val="Hyperlink"/>
                <w:noProof/>
              </w:rPr>
              <w:t>Child-centred methodologies</w:t>
            </w:r>
            <w:r w:rsidR="001B07CE">
              <w:rPr>
                <w:noProof/>
                <w:webHidden/>
              </w:rPr>
              <w:tab/>
            </w:r>
            <w:r w:rsidR="001B07CE">
              <w:rPr>
                <w:noProof/>
                <w:webHidden/>
              </w:rPr>
              <w:fldChar w:fldCharType="begin"/>
            </w:r>
            <w:r w:rsidR="001B07CE">
              <w:rPr>
                <w:noProof/>
                <w:webHidden/>
              </w:rPr>
              <w:instrText xml:space="preserve"> PAGEREF _Toc177135991 \h </w:instrText>
            </w:r>
            <w:r w:rsidR="001B07CE">
              <w:rPr>
                <w:noProof/>
                <w:webHidden/>
              </w:rPr>
            </w:r>
            <w:r w:rsidR="001B07CE">
              <w:rPr>
                <w:noProof/>
                <w:webHidden/>
              </w:rPr>
              <w:fldChar w:fldCharType="separate"/>
            </w:r>
            <w:r w:rsidR="00192FAF">
              <w:rPr>
                <w:noProof/>
                <w:webHidden/>
              </w:rPr>
              <w:t>9</w:t>
            </w:r>
            <w:r w:rsidR="001B07CE">
              <w:rPr>
                <w:noProof/>
                <w:webHidden/>
              </w:rPr>
              <w:fldChar w:fldCharType="end"/>
            </w:r>
          </w:hyperlink>
        </w:p>
        <w:p w14:paraId="69FC0166" w14:textId="1FE092E4" w:rsidR="001B07CE" w:rsidRDefault="00000000">
          <w:pPr>
            <w:pStyle w:val="TOC2"/>
            <w:rPr>
              <w:rFonts w:eastAsiaTheme="minorEastAsia" w:cstheme="minorBidi"/>
              <w:b w:val="0"/>
              <w:bCs w:val="0"/>
              <w:noProof/>
              <w:kern w:val="2"/>
              <w:sz w:val="24"/>
              <w:szCs w:val="24"/>
              <w:lang w:eastAsia="en-AU"/>
              <w14:ligatures w14:val="standardContextual"/>
            </w:rPr>
          </w:pPr>
          <w:hyperlink w:anchor="_Toc177135992" w:history="1">
            <w:r w:rsidR="001B07CE" w:rsidRPr="00C0316D">
              <w:rPr>
                <w:rStyle w:val="Hyperlink"/>
                <w:noProof/>
              </w:rPr>
              <w:t>Limitations</w:t>
            </w:r>
            <w:r w:rsidR="001B07CE">
              <w:rPr>
                <w:noProof/>
                <w:webHidden/>
              </w:rPr>
              <w:tab/>
            </w:r>
            <w:r w:rsidR="001B07CE">
              <w:rPr>
                <w:noProof/>
                <w:webHidden/>
              </w:rPr>
              <w:fldChar w:fldCharType="begin"/>
            </w:r>
            <w:r w:rsidR="001B07CE">
              <w:rPr>
                <w:noProof/>
                <w:webHidden/>
              </w:rPr>
              <w:instrText xml:space="preserve"> PAGEREF _Toc177135992 \h </w:instrText>
            </w:r>
            <w:r w:rsidR="001B07CE">
              <w:rPr>
                <w:noProof/>
                <w:webHidden/>
              </w:rPr>
            </w:r>
            <w:r w:rsidR="001B07CE">
              <w:rPr>
                <w:noProof/>
                <w:webHidden/>
              </w:rPr>
              <w:fldChar w:fldCharType="separate"/>
            </w:r>
            <w:r w:rsidR="00192FAF">
              <w:rPr>
                <w:noProof/>
                <w:webHidden/>
              </w:rPr>
              <w:t>12</w:t>
            </w:r>
            <w:r w:rsidR="001B07CE">
              <w:rPr>
                <w:noProof/>
                <w:webHidden/>
              </w:rPr>
              <w:fldChar w:fldCharType="end"/>
            </w:r>
          </w:hyperlink>
        </w:p>
        <w:p w14:paraId="03CE9CAC" w14:textId="357CC3FA" w:rsidR="001B07CE" w:rsidRDefault="00000000">
          <w:pPr>
            <w:pStyle w:val="TOC1"/>
            <w:rPr>
              <w:rFonts w:eastAsiaTheme="minorEastAsia" w:cstheme="minorBidi"/>
              <w:b w:val="0"/>
              <w:bCs w:val="0"/>
              <w:i w:val="0"/>
              <w:iCs w:val="0"/>
              <w:noProof/>
              <w:kern w:val="2"/>
              <w:lang w:eastAsia="en-AU"/>
              <w14:ligatures w14:val="standardContextual"/>
            </w:rPr>
          </w:pPr>
          <w:hyperlink w:anchor="_Toc177135993" w:history="1">
            <w:r w:rsidR="001B07CE" w:rsidRPr="00C0316D">
              <w:rPr>
                <w:rStyle w:val="Hyperlink"/>
                <w:noProof/>
              </w:rPr>
              <w:t>Key themes</w:t>
            </w:r>
            <w:r w:rsidR="001B07CE">
              <w:rPr>
                <w:noProof/>
                <w:webHidden/>
              </w:rPr>
              <w:tab/>
            </w:r>
            <w:r w:rsidR="001B07CE">
              <w:rPr>
                <w:noProof/>
                <w:webHidden/>
              </w:rPr>
              <w:fldChar w:fldCharType="begin"/>
            </w:r>
            <w:r w:rsidR="001B07CE">
              <w:rPr>
                <w:noProof/>
                <w:webHidden/>
              </w:rPr>
              <w:instrText xml:space="preserve"> PAGEREF _Toc177135993 \h </w:instrText>
            </w:r>
            <w:r w:rsidR="001B07CE">
              <w:rPr>
                <w:noProof/>
                <w:webHidden/>
              </w:rPr>
            </w:r>
            <w:r w:rsidR="001B07CE">
              <w:rPr>
                <w:noProof/>
                <w:webHidden/>
              </w:rPr>
              <w:fldChar w:fldCharType="separate"/>
            </w:r>
            <w:r w:rsidR="00192FAF">
              <w:rPr>
                <w:noProof/>
                <w:webHidden/>
              </w:rPr>
              <w:t>13</w:t>
            </w:r>
            <w:r w:rsidR="001B07CE">
              <w:rPr>
                <w:noProof/>
                <w:webHidden/>
              </w:rPr>
              <w:fldChar w:fldCharType="end"/>
            </w:r>
          </w:hyperlink>
        </w:p>
        <w:p w14:paraId="285D1434" w14:textId="0D8830F7" w:rsidR="001B07CE" w:rsidRDefault="00000000">
          <w:pPr>
            <w:pStyle w:val="TOC2"/>
            <w:rPr>
              <w:rFonts w:eastAsiaTheme="minorEastAsia" w:cstheme="minorBidi"/>
              <w:b w:val="0"/>
              <w:bCs w:val="0"/>
              <w:noProof/>
              <w:kern w:val="2"/>
              <w:sz w:val="24"/>
              <w:szCs w:val="24"/>
              <w:lang w:eastAsia="en-AU"/>
              <w14:ligatures w14:val="standardContextual"/>
            </w:rPr>
          </w:pPr>
          <w:hyperlink w:anchor="_Toc177135994" w:history="1">
            <w:r w:rsidR="001B07CE" w:rsidRPr="00C0316D">
              <w:rPr>
                <w:rStyle w:val="Hyperlink"/>
                <w:noProof/>
              </w:rPr>
              <w:t>ECEC settings play a critical role in children’s lives</w:t>
            </w:r>
            <w:r w:rsidR="001B07CE">
              <w:rPr>
                <w:noProof/>
                <w:webHidden/>
              </w:rPr>
              <w:tab/>
            </w:r>
            <w:r w:rsidR="001B07CE">
              <w:rPr>
                <w:noProof/>
                <w:webHidden/>
              </w:rPr>
              <w:fldChar w:fldCharType="begin"/>
            </w:r>
            <w:r w:rsidR="001B07CE">
              <w:rPr>
                <w:noProof/>
                <w:webHidden/>
              </w:rPr>
              <w:instrText xml:space="preserve"> PAGEREF _Toc177135994 \h </w:instrText>
            </w:r>
            <w:r w:rsidR="001B07CE">
              <w:rPr>
                <w:noProof/>
                <w:webHidden/>
              </w:rPr>
            </w:r>
            <w:r w:rsidR="001B07CE">
              <w:rPr>
                <w:noProof/>
                <w:webHidden/>
              </w:rPr>
              <w:fldChar w:fldCharType="separate"/>
            </w:r>
            <w:r w:rsidR="00192FAF">
              <w:rPr>
                <w:noProof/>
                <w:webHidden/>
              </w:rPr>
              <w:t>13</w:t>
            </w:r>
            <w:r w:rsidR="001B07CE">
              <w:rPr>
                <w:noProof/>
                <w:webHidden/>
              </w:rPr>
              <w:fldChar w:fldCharType="end"/>
            </w:r>
          </w:hyperlink>
        </w:p>
        <w:p w14:paraId="15DCDEB1" w14:textId="5ADF5494" w:rsidR="001B07CE" w:rsidRDefault="00000000">
          <w:pPr>
            <w:pStyle w:val="TOC2"/>
            <w:rPr>
              <w:rFonts w:eastAsiaTheme="minorEastAsia" w:cstheme="minorBidi"/>
              <w:b w:val="0"/>
              <w:bCs w:val="0"/>
              <w:noProof/>
              <w:kern w:val="2"/>
              <w:sz w:val="24"/>
              <w:szCs w:val="24"/>
              <w:lang w:eastAsia="en-AU"/>
              <w14:ligatures w14:val="standardContextual"/>
            </w:rPr>
          </w:pPr>
          <w:hyperlink w:anchor="_Toc177135995" w:history="1">
            <w:r w:rsidR="001B07CE" w:rsidRPr="00C0316D">
              <w:rPr>
                <w:rStyle w:val="Hyperlink"/>
                <w:noProof/>
              </w:rPr>
              <w:t>Place: Location, the environment, and nature</w:t>
            </w:r>
            <w:r w:rsidR="001B07CE">
              <w:rPr>
                <w:noProof/>
                <w:webHidden/>
              </w:rPr>
              <w:tab/>
            </w:r>
            <w:r w:rsidR="001B07CE">
              <w:rPr>
                <w:noProof/>
                <w:webHidden/>
              </w:rPr>
              <w:fldChar w:fldCharType="begin"/>
            </w:r>
            <w:r w:rsidR="001B07CE">
              <w:rPr>
                <w:noProof/>
                <w:webHidden/>
              </w:rPr>
              <w:instrText xml:space="preserve"> PAGEREF _Toc177135995 \h </w:instrText>
            </w:r>
            <w:r w:rsidR="001B07CE">
              <w:rPr>
                <w:noProof/>
                <w:webHidden/>
              </w:rPr>
            </w:r>
            <w:r w:rsidR="001B07CE">
              <w:rPr>
                <w:noProof/>
                <w:webHidden/>
              </w:rPr>
              <w:fldChar w:fldCharType="separate"/>
            </w:r>
            <w:r w:rsidR="00192FAF">
              <w:rPr>
                <w:noProof/>
                <w:webHidden/>
              </w:rPr>
              <w:t>22</w:t>
            </w:r>
            <w:r w:rsidR="001B07CE">
              <w:rPr>
                <w:noProof/>
                <w:webHidden/>
              </w:rPr>
              <w:fldChar w:fldCharType="end"/>
            </w:r>
          </w:hyperlink>
        </w:p>
        <w:p w14:paraId="5557F0EF" w14:textId="0FE2CF61" w:rsidR="001B07CE" w:rsidRDefault="00000000">
          <w:pPr>
            <w:pStyle w:val="TOC2"/>
            <w:rPr>
              <w:rFonts w:eastAsiaTheme="minorEastAsia" w:cstheme="minorBidi"/>
              <w:b w:val="0"/>
              <w:bCs w:val="0"/>
              <w:noProof/>
              <w:kern w:val="2"/>
              <w:sz w:val="24"/>
              <w:szCs w:val="24"/>
              <w:lang w:eastAsia="en-AU"/>
              <w14:ligatures w14:val="standardContextual"/>
            </w:rPr>
          </w:pPr>
          <w:hyperlink w:anchor="_Toc177135996" w:history="1">
            <w:r w:rsidR="001B07CE" w:rsidRPr="00C0316D">
              <w:rPr>
                <w:rStyle w:val="Hyperlink"/>
                <w:noProof/>
              </w:rPr>
              <w:t>Agency, boundaries, emotional wellbeing, and self-awareness</w:t>
            </w:r>
            <w:r w:rsidR="001B07CE">
              <w:rPr>
                <w:noProof/>
                <w:webHidden/>
              </w:rPr>
              <w:tab/>
            </w:r>
            <w:r w:rsidR="001B07CE">
              <w:rPr>
                <w:noProof/>
                <w:webHidden/>
              </w:rPr>
              <w:fldChar w:fldCharType="begin"/>
            </w:r>
            <w:r w:rsidR="001B07CE">
              <w:rPr>
                <w:noProof/>
                <w:webHidden/>
              </w:rPr>
              <w:instrText xml:space="preserve"> PAGEREF _Toc177135996 \h </w:instrText>
            </w:r>
            <w:r w:rsidR="001B07CE">
              <w:rPr>
                <w:noProof/>
                <w:webHidden/>
              </w:rPr>
            </w:r>
            <w:r w:rsidR="001B07CE">
              <w:rPr>
                <w:noProof/>
                <w:webHidden/>
              </w:rPr>
              <w:fldChar w:fldCharType="separate"/>
            </w:r>
            <w:r w:rsidR="00192FAF">
              <w:rPr>
                <w:noProof/>
                <w:webHidden/>
              </w:rPr>
              <w:t>31</w:t>
            </w:r>
            <w:r w:rsidR="001B07CE">
              <w:rPr>
                <w:noProof/>
                <w:webHidden/>
              </w:rPr>
              <w:fldChar w:fldCharType="end"/>
            </w:r>
          </w:hyperlink>
        </w:p>
        <w:p w14:paraId="29C2E95A" w14:textId="5F8B66BB" w:rsidR="001B07CE" w:rsidRDefault="00000000">
          <w:pPr>
            <w:pStyle w:val="TOC2"/>
            <w:rPr>
              <w:rFonts w:eastAsiaTheme="minorEastAsia" w:cstheme="minorBidi"/>
              <w:b w:val="0"/>
              <w:bCs w:val="0"/>
              <w:noProof/>
              <w:kern w:val="2"/>
              <w:sz w:val="24"/>
              <w:szCs w:val="24"/>
              <w:lang w:eastAsia="en-AU"/>
              <w14:ligatures w14:val="standardContextual"/>
            </w:rPr>
          </w:pPr>
          <w:hyperlink w:anchor="_Toc177135997" w:history="1">
            <w:r w:rsidR="001B07CE" w:rsidRPr="00C0316D">
              <w:rPr>
                <w:rStyle w:val="Hyperlink"/>
                <w:noProof/>
              </w:rPr>
              <w:t>Access to new/different learning opportunities and skills development</w:t>
            </w:r>
            <w:r w:rsidR="001B07CE">
              <w:rPr>
                <w:noProof/>
                <w:webHidden/>
              </w:rPr>
              <w:tab/>
            </w:r>
            <w:r w:rsidR="001B07CE">
              <w:rPr>
                <w:noProof/>
                <w:webHidden/>
              </w:rPr>
              <w:fldChar w:fldCharType="begin"/>
            </w:r>
            <w:r w:rsidR="001B07CE">
              <w:rPr>
                <w:noProof/>
                <w:webHidden/>
              </w:rPr>
              <w:instrText xml:space="preserve"> PAGEREF _Toc177135997 \h </w:instrText>
            </w:r>
            <w:r w:rsidR="001B07CE">
              <w:rPr>
                <w:noProof/>
                <w:webHidden/>
              </w:rPr>
            </w:r>
            <w:r w:rsidR="001B07CE">
              <w:rPr>
                <w:noProof/>
                <w:webHidden/>
              </w:rPr>
              <w:fldChar w:fldCharType="separate"/>
            </w:r>
            <w:r w:rsidR="00192FAF">
              <w:rPr>
                <w:noProof/>
                <w:webHidden/>
              </w:rPr>
              <w:t>34</w:t>
            </w:r>
            <w:r w:rsidR="001B07CE">
              <w:rPr>
                <w:noProof/>
                <w:webHidden/>
              </w:rPr>
              <w:fldChar w:fldCharType="end"/>
            </w:r>
          </w:hyperlink>
        </w:p>
        <w:p w14:paraId="357EE415" w14:textId="173424AF" w:rsidR="001B07CE" w:rsidRDefault="00000000">
          <w:pPr>
            <w:pStyle w:val="TOC2"/>
            <w:rPr>
              <w:rFonts w:eastAsiaTheme="minorEastAsia" w:cstheme="minorBidi"/>
              <w:b w:val="0"/>
              <w:bCs w:val="0"/>
              <w:noProof/>
              <w:kern w:val="2"/>
              <w:sz w:val="24"/>
              <w:szCs w:val="24"/>
              <w:lang w:eastAsia="en-AU"/>
              <w14:ligatures w14:val="standardContextual"/>
            </w:rPr>
          </w:pPr>
          <w:hyperlink w:anchor="_Toc177135998" w:history="1">
            <w:r w:rsidR="001B07CE" w:rsidRPr="00C0316D">
              <w:rPr>
                <w:rStyle w:val="Hyperlink"/>
                <w:noProof/>
              </w:rPr>
              <w:t>Inclusion practices</w:t>
            </w:r>
            <w:r w:rsidR="001B07CE">
              <w:rPr>
                <w:noProof/>
                <w:webHidden/>
              </w:rPr>
              <w:tab/>
            </w:r>
            <w:r w:rsidR="001B07CE">
              <w:rPr>
                <w:noProof/>
                <w:webHidden/>
              </w:rPr>
              <w:fldChar w:fldCharType="begin"/>
            </w:r>
            <w:r w:rsidR="001B07CE">
              <w:rPr>
                <w:noProof/>
                <w:webHidden/>
              </w:rPr>
              <w:instrText xml:space="preserve"> PAGEREF _Toc177135998 \h </w:instrText>
            </w:r>
            <w:r w:rsidR="001B07CE">
              <w:rPr>
                <w:noProof/>
                <w:webHidden/>
              </w:rPr>
            </w:r>
            <w:r w:rsidR="001B07CE">
              <w:rPr>
                <w:noProof/>
                <w:webHidden/>
              </w:rPr>
              <w:fldChar w:fldCharType="separate"/>
            </w:r>
            <w:r w:rsidR="00192FAF">
              <w:rPr>
                <w:noProof/>
                <w:webHidden/>
              </w:rPr>
              <w:t>39</w:t>
            </w:r>
            <w:r w:rsidR="001B07CE">
              <w:rPr>
                <w:noProof/>
                <w:webHidden/>
              </w:rPr>
              <w:fldChar w:fldCharType="end"/>
            </w:r>
          </w:hyperlink>
        </w:p>
        <w:p w14:paraId="6000D0EB" w14:textId="54E795BD" w:rsidR="001B07CE" w:rsidRDefault="00000000">
          <w:pPr>
            <w:pStyle w:val="TOC1"/>
            <w:rPr>
              <w:rFonts w:eastAsiaTheme="minorEastAsia" w:cstheme="minorBidi"/>
              <w:b w:val="0"/>
              <w:bCs w:val="0"/>
              <w:i w:val="0"/>
              <w:iCs w:val="0"/>
              <w:noProof/>
              <w:kern w:val="2"/>
              <w:lang w:eastAsia="en-AU"/>
              <w14:ligatures w14:val="standardContextual"/>
            </w:rPr>
          </w:pPr>
          <w:hyperlink w:anchor="_Toc177135999" w:history="1">
            <w:r w:rsidR="001B07CE" w:rsidRPr="00C0316D">
              <w:rPr>
                <w:rStyle w:val="Hyperlink"/>
                <w:noProof/>
              </w:rPr>
              <w:t>Findings and implications</w:t>
            </w:r>
            <w:r w:rsidR="001B07CE">
              <w:rPr>
                <w:noProof/>
                <w:webHidden/>
              </w:rPr>
              <w:tab/>
            </w:r>
            <w:r w:rsidR="001B07CE">
              <w:rPr>
                <w:noProof/>
                <w:webHidden/>
              </w:rPr>
              <w:fldChar w:fldCharType="begin"/>
            </w:r>
            <w:r w:rsidR="001B07CE">
              <w:rPr>
                <w:noProof/>
                <w:webHidden/>
              </w:rPr>
              <w:instrText xml:space="preserve"> PAGEREF _Toc177135999 \h </w:instrText>
            </w:r>
            <w:r w:rsidR="001B07CE">
              <w:rPr>
                <w:noProof/>
                <w:webHidden/>
              </w:rPr>
            </w:r>
            <w:r w:rsidR="001B07CE">
              <w:rPr>
                <w:noProof/>
                <w:webHidden/>
              </w:rPr>
              <w:fldChar w:fldCharType="separate"/>
            </w:r>
            <w:r w:rsidR="00192FAF">
              <w:rPr>
                <w:noProof/>
                <w:webHidden/>
              </w:rPr>
              <w:t>40</w:t>
            </w:r>
            <w:r w:rsidR="001B07CE">
              <w:rPr>
                <w:noProof/>
                <w:webHidden/>
              </w:rPr>
              <w:fldChar w:fldCharType="end"/>
            </w:r>
          </w:hyperlink>
        </w:p>
        <w:p w14:paraId="1A5BB8AA" w14:textId="633B5BA1" w:rsidR="001B07CE" w:rsidRDefault="00000000">
          <w:pPr>
            <w:pStyle w:val="TOC2"/>
            <w:rPr>
              <w:rFonts w:eastAsiaTheme="minorEastAsia" w:cstheme="minorBidi"/>
              <w:b w:val="0"/>
              <w:bCs w:val="0"/>
              <w:noProof/>
              <w:kern w:val="2"/>
              <w:sz w:val="24"/>
              <w:szCs w:val="24"/>
              <w:lang w:eastAsia="en-AU"/>
              <w14:ligatures w14:val="standardContextual"/>
            </w:rPr>
          </w:pPr>
          <w:hyperlink w:anchor="_Toc177136000" w:history="1">
            <w:r w:rsidR="001B07CE" w:rsidRPr="00C0316D">
              <w:rPr>
                <w:rStyle w:val="Hyperlink"/>
                <w:noProof/>
              </w:rPr>
              <w:t>Relationships and connections are central to children’s experiences of ECEC</w:t>
            </w:r>
            <w:r w:rsidR="001B07CE">
              <w:rPr>
                <w:noProof/>
                <w:webHidden/>
              </w:rPr>
              <w:tab/>
            </w:r>
            <w:r w:rsidR="001B07CE">
              <w:rPr>
                <w:noProof/>
                <w:webHidden/>
              </w:rPr>
              <w:fldChar w:fldCharType="begin"/>
            </w:r>
            <w:r w:rsidR="001B07CE">
              <w:rPr>
                <w:noProof/>
                <w:webHidden/>
              </w:rPr>
              <w:instrText xml:space="preserve"> PAGEREF _Toc177136000 \h </w:instrText>
            </w:r>
            <w:r w:rsidR="001B07CE">
              <w:rPr>
                <w:noProof/>
                <w:webHidden/>
              </w:rPr>
            </w:r>
            <w:r w:rsidR="001B07CE">
              <w:rPr>
                <w:noProof/>
                <w:webHidden/>
              </w:rPr>
              <w:fldChar w:fldCharType="separate"/>
            </w:r>
            <w:r w:rsidR="00192FAF">
              <w:rPr>
                <w:noProof/>
                <w:webHidden/>
              </w:rPr>
              <w:t>40</w:t>
            </w:r>
            <w:r w:rsidR="001B07CE">
              <w:rPr>
                <w:noProof/>
                <w:webHidden/>
              </w:rPr>
              <w:fldChar w:fldCharType="end"/>
            </w:r>
          </w:hyperlink>
        </w:p>
        <w:p w14:paraId="4BC81DCF" w14:textId="1598CB40" w:rsidR="001B07CE" w:rsidRDefault="00000000">
          <w:pPr>
            <w:pStyle w:val="TOC2"/>
            <w:rPr>
              <w:rFonts w:eastAsiaTheme="minorEastAsia" w:cstheme="minorBidi"/>
              <w:b w:val="0"/>
              <w:bCs w:val="0"/>
              <w:noProof/>
              <w:kern w:val="2"/>
              <w:sz w:val="24"/>
              <w:szCs w:val="24"/>
              <w:lang w:eastAsia="en-AU"/>
              <w14:ligatures w14:val="standardContextual"/>
            </w:rPr>
          </w:pPr>
          <w:hyperlink w:anchor="_Toc177136001" w:history="1">
            <w:r w:rsidR="001B07CE" w:rsidRPr="00C0316D">
              <w:rPr>
                <w:rStyle w:val="Hyperlink"/>
                <w:noProof/>
              </w:rPr>
              <w:t>Access to ECEC is experienced by children</w:t>
            </w:r>
            <w:r w:rsidR="001B07CE">
              <w:rPr>
                <w:noProof/>
                <w:webHidden/>
              </w:rPr>
              <w:tab/>
            </w:r>
            <w:r w:rsidR="001B07CE">
              <w:rPr>
                <w:noProof/>
                <w:webHidden/>
              </w:rPr>
              <w:fldChar w:fldCharType="begin"/>
            </w:r>
            <w:r w:rsidR="001B07CE">
              <w:rPr>
                <w:noProof/>
                <w:webHidden/>
              </w:rPr>
              <w:instrText xml:space="preserve"> PAGEREF _Toc177136001 \h </w:instrText>
            </w:r>
            <w:r w:rsidR="001B07CE">
              <w:rPr>
                <w:noProof/>
                <w:webHidden/>
              </w:rPr>
            </w:r>
            <w:r w:rsidR="001B07CE">
              <w:rPr>
                <w:noProof/>
                <w:webHidden/>
              </w:rPr>
              <w:fldChar w:fldCharType="separate"/>
            </w:r>
            <w:r w:rsidR="00192FAF">
              <w:rPr>
                <w:noProof/>
                <w:webHidden/>
              </w:rPr>
              <w:t>41</w:t>
            </w:r>
            <w:r w:rsidR="001B07CE">
              <w:rPr>
                <w:noProof/>
                <w:webHidden/>
              </w:rPr>
              <w:fldChar w:fldCharType="end"/>
            </w:r>
          </w:hyperlink>
        </w:p>
        <w:p w14:paraId="572C760C" w14:textId="7B419D26" w:rsidR="001B07CE" w:rsidRDefault="00000000">
          <w:pPr>
            <w:pStyle w:val="TOC2"/>
            <w:rPr>
              <w:rFonts w:eastAsiaTheme="minorEastAsia" w:cstheme="minorBidi"/>
              <w:b w:val="0"/>
              <w:bCs w:val="0"/>
              <w:noProof/>
              <w:kern w:val="2"/>
              <w:sz w:val="24"/>
              <w:szCs w:val="24"/>
              <w:lang w:eastAsia="en-AU"/>
              <w14:ligatures w14:val="standardContextual"/>
            </w:rPr>
          </w:pPr>
          <w:hyperlink w:anchor="_Toc177136002" w:history="1">
            <w:r w:rsidR="001B07CE" w:rsidRPr="00C0316D">
              <w:rPr>
                <w:rStyle w:val="Hyperlink"/>
                <w:noProof/>
              </w:rPr>
              <w:t>Children’s voices provide unique insights</w:t>
            </w:r>
            <w:r w:rsidR="001B07CE">
              <w:rPr>
                <w:noProof/>
                <w:webHidden/>
              </w:rPr>
              <w:tab/>
            </w:r>
            <w:r w:rsidR="001B07CE">
              <w:rPr>
                <w:noProof/>
                <w:webHidden/>
              </w:rPr>
              <w:fldChar w:fldCharType="begin"/>
            </w:r>
            <w:r w:rsidR="001B07CE">
              <w:rPr>
                <w:noProof/>
                <w:webHidden/>
              </w:rPr>
              <w:instrText xml:space="preserve"> PAGEREF _Toc177136002 \h </w:instrText>
            </w:r>
            <w:r w:rsidR="001B07CE">
              <w:rPr>
                <w:noProof/>
                <w:webHidden/>
              </w:rPr>
            </w:r>
            <w:r w:rsidR="001B07CE">
              <w:rPr>
                <w:noProof/>
                <w:webHidden/>
              </w:rPr>
              <w:fldChar w:fldCharType="separate"/>
            </w:r>
            <w:r w:rsidR="00192FAF">
              <w:rPr>
                <w:noProof/>
                <w:webHidden/>
              </w:rPr>
              <w:t>42</w:t>
            </w:r>
            <w:r w:rsidR="001B07CE">
              <w:rPr>
                <w:noProof/>
                <w:webHidden/>
              </w:rPr>
              <w:fldChar w:fldCharType="end"/>
            </w:r>
          </w:hyperlink>
        </w:p>
        <w:p w14:paraId="5FB9A11E" w14:textId="128B83A6" w:rsidR="001B07CE" w:rsidRDefault="00000000">
          <w:pPr>
            <w:pStyle w:val="TOC1"/>
            <w:rPr>
              <w:rFonts w:eastAsiaTheme="minorEastAsia" w:cstheme="minorBidi"/>
              <w:b w:val="0"/>
              <w:bCs w:val="0"/>
              <w:i w:val="0"/>
              <w:iCs w:val="0"/>
              <w:noProof/>
              <w:kern w:val="2"/>
              <w:lang w:eastAsia="en-AU"/>
              <w14:ligatures w14:val="standardContextual"/>
            </w:rPr>
          </w:pPr>
          <w:hyperlink w:anchor="_Toc177136003" w:history="1">
            <w:r w:rsidR="001B07CE" w:rsidRPr="00C0316D">
              <w:rPr>
                <w:rStyle w:val="Hyperlink"/>
                <w:noProof/>
              </w:rPr>
              <w:t>Conclusion</w:t>
            </w:r>
            <w:r w:rsidR="001B07CE">
              <w:rPr>
                <w:noProof/>
                <w:webHidden/>
              </w:rPr>
              <w:tab/>
            </w:r>
            <w:r w:rsidR="001B07CE">
              <w:rPr>
                <w:noProof/>
                <w:webHidden/>
              </w:rPr>
              <w:fldChar w:fldCharType="begin"/>
            </w:r>
            <w:r w:rsidR="001B07CE">
              <w:rPr>
                <w:noProof/>
                <w:webHidden/>
              </w:rPr>
              <w:instrText xml:space="preserve"> PAGEREF _Toc177136003 \h </w:instrText>
            </w:r>
            <w:r w:rsidR="001B07CE">
              <w:rPr>
                <w:noProof/>
                <w:webHidden/>
              </w:rPr>
            </w:r>
            <w:r w:rsidR="001B07CE">
              <w:rPr>
                <w:noProof/>
                <w:webHidden/>
              </w:rPr>
              <w:fldChar w:fldCharType="separate"/>
            </w:r>
            <w:r w:rsidR="00192FAF">
              <w:rPr>
                <w:noProof/>
                <w:webHidden/>
              </w:rPr>
              <w:t>46</w:t>
            </w:r>
            <w:r w:rsidR="001B07CE">
              <w:rPr>
                <w:noProof/>
                <w:webHidden/>
              </w:rPr>
              <w:fldChar w:fldCharType="end"/>
            </w:r>
          </w:hyperlink>
        </w:p>
        <w:p w14:paraId="6F66F847" w14:textId="57ECABF0" w:rsidR="001B07CE" w:rsidRDefault="00000000">
          <w:pPr>
            <w:pStyle w:val="TOC1"/>
            <w:rPr>
              <w:rFonts w:eastAsiaTheme="minorEastAsia" w:cstheme="minorBidi"/>
              <w:b w:val="0"/>
              <w:bCs w:val="0"/>
              <w:i w:val="0"/>
              <w:iCs w:val="0"/>
              <w:noProof/>
              <w:kern w:val="2"/>
              <w:lang w:eastAsia="en-AU"/>
              <w14:ligatures w14:val="standardContextual"/>
            </w:rPr>
          </w:pPr>
          <w:hyperlink w:anchor="_Toc177136004" w:history="1">
            <w:r w:rsidR="001B07CE" w:rsidRPr="00C0316D">
              <w:rPr>
                <w:rStyle w:val="Hyperlink"/>
                <w:noProof/>
              </w:rPr>
              <w:t>References</w:t>
            </w:r>
            <w:r w:rsidR="001B07CE">
              <w:rPr>
                <w:noProof/>
                <w:webHidden/>
              </w:rPr>
              <w:tab/>
            </w:r>
            <w:r w:rsidR="001B07CE">
              <w:rPr>
                <w:noProof/>
                <w:webHidden/>
              </w:rPr>
              <w:fldChar w:fldCharType="begin"/>
            </w:r>
            <w:r w:rsidR="001B07CE">
              <w:rPr>
                <w:noProof/>
                <w:webHidden/>
              </w:rPr>
              <w:instrText xml:space="preserve"> PAGEREF _Toc177136004 \h </w:instrText>
            </w:r>
            <w:r w:rsidR="001B07CE">
              <w:rPr>
                <w:noProof/>
                <w:webHidden/>
              </w:rPr>
            </w:r>
            <w:r w:rsidR="001B07CE">
              <w:rPr>
                <w:noProof/>
                <w:webHidden/>
              </w:rPr>
              <w:fldChar w:fldCharType="separate"/>
            </w:r>
            <w:r w:rsidR="00192FAF">
              <w:rPr>
                <w:noProof/>
                <w:webHidden/>
              </w:rPr>
              <w:t>47</w:t>
            </w:r>
            <w:r w:rsidR="001B07CE">
              <w:rPr>
                <w:noProof/>
                <w:webHidden/>
              </w:rPr>
              <w:fldChar w:fldCharType="end"/>
            </w:r>
          </w:hyperlink>
        </w:p>
        <w:p w14:paraId="0A0B6D5B" w14:textId="5C4FA9B6" w:rsidR="00E92CDF" w:rsidRPr="00867556" w:rsidRDefault="0013353B" w:rsidP="00867556">
          <w:pPr>
            <w:pStyle w:val="TOC2"/>
            <w:rPr>
              <w:b w:val="0"/>
              <w:bCs w:val="0"/>
              <w:noProof/>
            </w:rPr>
          </w:pPr>
          <w:r>
            <w:rPr>
              <w:rStyle w:val="Hyperlink"/>
              <w:i/>
              <w:iCs/>
              <w:sz w:val="24"/>
              <w:szCs w:val="24"/>
            </w:rPr>
            <w:fldChar w:fldCharType="end"/>
          </w:r>
        </w:p>
      </w:sdtContent>
    </w:sdt>
    <w:p w14:paraId="7D6A4AF7" w14:textId="77777777" w:rsidR="00E92CDF" w:rsidRDefault="00E92CDF" w:rsidP="00E92CDF"/>
    <w:p w14:paraId="36AC647D" w14:textId="77777777" w:rsidR="005B67CB" w:rsidRDefault="005B67CB" w:rsidP="005B67CB">
      <w:pPr>
        <w:sectPr w:rsidR="005B67CB" w:rsidSect="00695060">
          <w:headerReference w:type="default" r:id="rId15"/>
          <w:footerReference w:type="default" r:id="rId16"/>
          <w:pgSz w:w="11906" w:h="16838"/>
          <w:pgMar w:top="1286" w:right="1440" w:bottom="1440" w:left="1440" w:header="1417" w:footer="708" w:gutter="0"/>
          <w:pgNumType w:start="1"/>
          <w:cols w:space="708"/>
          <w:docGrid w:linePitch="360"/>
        </w:sectPr>
      </w:pPr>
    </w:p>
    <w:p w14:paraId="26E592E1" w14:textId="13099257" w:rsidR="005B67CB" w:rsidRDefault="00AD7D9E" w:rsidP="00C26EE4">
      <w:pPr>
        <w:pStyle w:val="Title"/>
        <w:widowControl w:val="0"/>
      </w:pPr>
      <w:r>
        <w:lastRenderedPageBreak/>
        <w:t xml:space="preserve">this is a sun cake, and if we eat </w:t>
      </w:r>
      <w:proofErr w:type="gramStart"/>
      <w:r>
        <w:t>it</w:t>
      </w:r>
      <w:proofErr w:type="gramEnd"/>
      <w:r>
        <w:t xml:space="preserve"> we can shine like the sun</w:t>
      </w:r>
    </w:p>
    <w:p w14:paraId="41F53A02" w14:textId="7C53DC52" w:rsidR="00C26EE4" w:rsidRPr="00CB1EC6" w:rsidRDefault="00C26EE4" w:rsidP="005B67CB">
      <w:pPr>
        <w:pStyle w:val="Subtitle"/>
      </w:pPr>
      <w:r>
        <w:t xml:space="preserve">Children’s </w:t>
      </w:r>
      <w:r w:rsidR="008F5A23">
        <w:t>P</w:t>
      </w:r>
      <w:r>
        <w:t xml:space="preserve">erspectives of </w:t>
      </w:r>
      <w:r w:rsidR="008F5A23">
        <w:t>E</w:t>
      </w:r>
      <w:r w:rsidR="0004523B">
        <w:t xml:space="preserve">arly </w:t>
      </w:r>
      <w:r w:rsidR="008F5A23">
        <w:t>C</w:t>
      </w:r>
      <w:r w:rsidR="0004523B">
        <w:t xml:space="preserve">hildhood </w:t>
      </w:r>
      <w:r w:rsidR="008F5A23">
        <w:t>Education and Care</w:t>
      </w:r>
    </w:p>
    <w:p w14:paraId="77BF38CA" w14:textId="77777777" w:rsidR="00C26EE4" w:rsidRPr="00CB1EC6" w:rsidRDefault="00C26EE4" w:rsidP="00C26EE4">
      <w:pPr>
        <w:pStyle w:val="Heading1"/>
        <w:widowControl w:val="0"/>
        <w:spacing w:after="240"/>
      </w:pPr>
      <w:bookmarkStart w:id="0" w:name="_Toc177135979"/>
      <w:r>
        <w:t>Executive Summary</w:t>
      </w:r>
      <w:bookmarkEnd w:id="0"/>
    </w:p>
    <w:p w14:paraId="7DF283F5" w14:textId="77777777" w:rsidR="00C26EE4" w:rsidRPr="00CB1EC6" w:rsidRDefault="00C26EE4" w:rsidP="00C26EE4">
      <w:pPr>
        <w:pStyle w:val="Heading2"/>
        <w:widowControl w:val="0"/>
      </w:pPr>
      <w:bookmarkStart w:id="1" w:name="_Toc153378369"/>
      <w:bookmarkStart w:id="2" w:name="_Toc158731033"/>
      <w:bookmarkStart w:id="3" w:name="_Toc158731673"/>
      <w:bookmarkStart w:id="4" w:name="_Toc159497965"/>
      <w:bookmarkStart w:id="5" w:name="_Toc160542720"/>
      <w:bookmarkStart w:id="6" w:name="_Toc160545030"/>
      <w:bookmarkStart w:id="7" w:name="_Toc177135980"/>
      <w:r>
        <w:t>Background and overview</w:t>
      </w:r>
      <w:bookmarkEnd w:id="1"/>
      <w:bookmarkEnd w:id="2"/>
      <w:bookmarkEnd w:id="3"/>
      <w:bookmarkEnd w:id="4"/>
      <w:bookmarkEnd w:id="5"/>
      <w:bookmarkEnd w:id="6"/>
      <w:bookmarkEnd w:id="7"/>
    </w:p>
    <w:p w14:paraId="5BBD4178" w14:textId="2707586D" w:rsidR="00C26EE4" w:rsidRDefault="00C26EE4" w:rsidP="00C26EE4">
      <w:r>
        <w:t xml:space="preserve">This report details </w:t>
      </w:r>
      <w:r w:rsidR="004B1409">
        <w:t xml:space="preserve">the </w:t>
      </w:r>
      <w:r>
        <w:t>key findings from consultations undertaken with children, delivered by the Front Project and Creche and Kindergarten Association (C&amp;K). This work was commissioned by the Productivity Commission to inform its inquiry into Australia’s early childhood education and care (ECEC) system.</w:t>
      </w:r>
    </w:p>
    <w:p w14:paraId="06856EFD" w14:textId="77777777" w:rsidR="00C26EE4" w:rsidRPr="00CB1EC6" w:rsidRDefault="00C26EE4" w:rsidP="00C26EE4">
      <w:pPr>
        <w:pStyle w:val="Heading2"/>
        <w:widowControl w:val="0"/>
      </w:pPr>
      <w:bookmarkStart w:id="8" w:name="_Toc153378370"/>
      <w:bookmarkStart w:id="9" w:name="_Toc158731034"/>
      <w:bookmarkStart w:id="10" w:name="_Toc158731674"/>
      <w:bookmarkStart w:id="11" w:name="_Toc159497966"/>
      <w:bookmarkStart w:id="12" w:name="_Toc160542721"/>
      <w:bookmarkStart w:id="13" w:name="_Toc160545031"/>
      <w:bookmarkStart w:id="14" w:name="_Toc177135981"/>
      <w:r>
        <w:t>Methodology and sample</w:t>
      </w:r>
      <w:bookmarkEnd w:id="8"/>
      <w:bookmarkEnd w:id="9"/>
      <w:bookmarkEnd w:id="10"/>
      <w:bookmarkEnd w:id="11"/>
      <w:bookmarkEnd w:id="12"/>
      <w:bookmarkEnd w:id="13"/>
      <w:bookmarkEnd w:id="14"/>
    </w:p>
    <w:p w14:paraId="47FFA3F2" w14:textId="7806BA8E" w:rsidR="00C26EE4" w:rsidRDefault="00F65E7D" w:rsidP="00C26EE4">
      <w:r>
        <w:t xml:space="preserve">A total of </w:t>
      </w:r>
      <w:r w:rsidR="00C26EE4" w:rsidRPr="00E14119">
        <w:t>2</w:t>
      </w:r>
      <w:r w:rsidR="00D448E3">
        <w:t xml:space="preserve">13 </w:t>
      </w:r>
      <w:r w:rsidR="00C26EE4" w:rsidRPr="00E14119">
        <w:t xml:space="preserve">children </w:t>
      </w:r>
      <w:r w:rsidR="007A2860">
        <w:t>aged between 3 and 5 years, attending</w:t>
      </w:r>
      <w:r w:rsidR="00C26EE4" w:rsidRPr="00E14119">
        <w:t xml:space="preserve"> 1</w:t>
      </w:r>
      <w:r w:rsidR="00002650">
        <w:t>7</w:t>
      </w:r>
      <w:r w:rsidR="00C26EE4" w:rsidRPr="00E14119">
        <w:t xml:space="preserve"> ECEC services</w:t>
      </w:r>
      <w:r w:rsidR="007A2860">
        <w:t xml:space="preserve"> across Australia,</w:t>
      </w:r>
      <w:r w:rsidR="00C26EE4" w:rsidRPr="00E14119">
        <w:t xml:space="preserve"> participated in three activities</w:t>
      </w:r>
      <w:r>
        <w:t>.</w:t>
      </w:r>
      <w:r w:rsidR="00C26EE4" w:rsidRPr="00E14119">
        <w:t xml:space="preserve"> The </w:t>
      </w:r>
      <w:r>
        <w:t>activities</w:t>
      </w:r>
      <w:r w:rsidR="00C26EE4" w:rsidRPr="00E14119">
        <w:t xml:space="preserve"> </w:t>
      </w:r>
      <w:r w:rsidR="403887DC">
        <w:t>were designed</w:t>
      </w:r>
      <w:r w:rsidR="00C26EE4" w:rsidRPr="00E14119">
        <w:t xml:space="preserve"> to identify how children experience their time within ECEC, including the context of their wider lives, as well as what matters most to children in the early years.</w:t>
      </w:r>
    </w:p>
    <w:p w14:paraId="3541520F" w14:textId="73A6B42C" w:rsidR="00C26EE4" w:rsidRPr="002978C0" w:rsidRDefault="7F4A7EC8" w:rsidP="00C26EE4">
      <w:r>
        <w:t>The activities were d</w:t>
      </w:r>
      <w:r w:rsidR="7A0E92EB">
        <w:t>esigned</w:t>
      </w:r>
      <w:r w:rsidR="00C26EE4">
        <w:t xml:space="preserve"> to replicate practices children regularly engage in during their ECEC experiences</w:t>
      </w:r>
      <w:r w:rsidR="73E4BF6B">
        <w:t>. As such, they comprised</w:t>
      </w:r>
      <w:r w:rsidR="00C26EE4">
        <w:t xml:space="preserve"> the creation of an artwork piece, a landscape creation, and a semi-structured discussion with a researcher.</w:t>
      </w:r>
    </w:p>
    <w:p w14:paraId="25F5C671" w14:textId="66A43B0F" w:rsidR="00C26EE4" w:rsidRPr="000C2133" w:rsidRDefault="00C26EE4" w:rsidP="00C26EE4">
      <w:r w:rsidRPr="000C2133">
        <w:t xml:space="preserve">The </w:t>
      </w:r>
      <w:r w:rsidRPr="00271192">
        <w:t>ECEC services visited were located across a broad range of communities, using filters such as socioeconomic status and cultural diversity to ensure a wide cross-section of Australian society. Other sampling filters, such as provider ownership type (ensuring a strong mix of for-profit and not-for-profit services), were applied.</w:t>
      </w:r>
    </w:p>
    <w:p w14:paraId="60CAB158" w14:textId="5C65F34B" w:rsidR="00C26EE4" w:rsidRPr="00CB1EC6" w:rsidRDefault="005B67CB" w:rsidP="00C26EE4">
      <w:pPr>
        <w:pStyle w:val="Heading2"/>
        <w:widowControl w:val="0"/>
      </w:pPr>
      <w:bookmarkStart w:id="15" w:name="_Toc160542722"/>
      <w:bookmarkStart w:id="16" w:name="_Toc160545032"/>
      <w:bookmarkStart w:id="17" w:name="_Toc177135982"/>
      <w:r>
        <w:t>Themes</w:t>
      </w:r>
      <w:bookmarkEnd w:id="15"/>
      <w:bookmarkEnd w:id="16"/>
      <w:bookmarkEnd w:id="17"/>
      <w:r>
        <w:t xml:space="preserve"> </w:t>
      </w:r>
    </w:p>
    <w:p w14:paraId="5B026412" w14:textId="77777777" w:rsidR="00C26EE4" w:rsidRPr="00CD509D" w:rsidRDefault="00C26EE4" w:rsidP="00C26EE4">
      <w:r w:rsidRPr="00CD509D">
        <w:t>Children’s complex and multi-layered responses and creations speak to the central importance played by ECEC settings in their lives during key formative years of their development. Some of the key themes that have emerged from the consultations include:</w:t>
      </w:r>
    </w:p>
    <w:p w14:paraId="05C5DDFC" w14:textId="352FD1D9" w:rsidR="00C26EE4" w:rsidRPr="0068331C" w:rsidRDefault="00C26EE4" w:rsidP="00C26EE4">
      <w:pPr>
        <w:pStyle w:val="Bullets"/>
      </w:pPr>
      <w:r w:rsidRPr="0068331C">
        <w:t>Children’s deep love for their families, alongside other relationships and connections including those developed within their ECEC settings</w:t>
      </w:r>
      <w:r w:rsidR="00283316" w:rsidRPr="0068331C">
        <w:t>.</w:t>
      </w:r>
    </w:p>
    <w:p w14:paraId="12E1BF0D" w14:textId="069239D8" w:rsidR="00C26EE4" w:rsidRPr="0068331C" w:rsidRDefault="00C26EE4" w:rsidP="00C26EE4">
      <w:pPr>
        <w:pStyle w:val="Bullets"/>
      </w:pPr>
      <w:r w:rsidRPr="0068331C">
        <w:t>Children’s affinity fo</w:t>
      </w:r>
      <w:r w:rsidR="000C13B4">
        <w:t>r physical activity and</w:t>
      </w:r>
      <w:r w:rsidRPr="0068331C">
        <w:t xml:space="preserve"> natural spaces and settings, and their broader appreciation for how environment and a sense of place </w:t>
      </w:r>
      <w:r>
        <w:t xml:space="preserve">in their local community </w:t>
      </w:r>
      <w:r w:rsidRPr="0068331C">
        <w:t>impacts on their wellbeing and development</w:t>
      </w:r>
      <w:r w:rsidR="00283316" w:rsidRPr="0068331C">
        <w:t>.</w:t>
      </w:r>
    </w:p>
    <w:p w14:paraId="796B1988" w14:textId="77777777" w:rsidR="00C26EE4" w:rsidRPr="0068331C" w:rsidRDefault="00C26EE4" w:rsidP="00C26EE4">
      <w:pPr>
        <w:pStyle w:val="Bullets"/>
      </w:pPr>
      <w:r w:rsidRPr="0068331C">
        <w:t>The catalytic role played by ECEC services in developing vital emotional and intrapersonal skills among children, including agency, self-regulation, and the setting of boundaries; and</w:t>
      </w:r>
    </w:p>
    <w:p w14:paraId="0FF41FEE" w14:textId="4975C72E" w:rsidR="00697C6D" w:rsidRDefault="00C26EE4" w:rsidP="00DF335B">
      <w:pPr>
        <w:pStyle w:val="Bullets"/>
      </w:pPr>
      <w:r>
        <w:t>The wide range of new learning opportunities, including those directly linked to</w:t>
      </w:r>
      <w:r w:rsidR="004B1409">
        <w:t xml:space="preserve"> cognitive, physical, and fine motor</w:t>
      </w:r>
      <w:r>
        <w:t xml:space="preserve"> skill development, that arise out of children’s engagement with the ECEC system.</w:t>
      </w:r>
      <w:bookmarkStart w:id="18" w:name="_Toc158731036"/>
      <w:bookmarkStart w:id="19" w:name="_Toc158731676"/>
    </w:p>
    <w:p w14:paraId="74AC9914" w14:textId="22555441" w:rsidR="00C26EE4" w:rsidRDefault="004A14C5" w:rsidP="001B07CE">
      <w:pPr>
        <w:pStyle w:val="Heading2"/>
        <w:keepNext/>
      </w:pPr>
      <w:bookmarkStart w:id="20" w:name="_Toc159497968"/>
      <w:bookmarkStart w:id="21" w:name="_Toc160542723"/>
      <w:bookmarkStart w:id="22" w:name="_Toc160545033"/>
      <w:bookmarkStart w:id="23" w:name="_Toc177135983"/>
      <w:bookmarkEnd w:id="18"/>
      <w:bookmarkEnd w:id="19"/>
      <w:r>
        <w:lastRenderedPageBreak/>
        <w:t>Findings and i</w:t>
      </w:r>
      <w:r w:rsidR="00C26EE4">
        <w:t>mplications</w:t>
      </w:r>
      <w:bookmarkEnd w:id="20"/>
      <w:bookmarkEnd w:id="21"/>
      <w:bookmarkEnd w:id="22"/>
      <w:bookmarkEnd w:id="23"/>
    </w:p>
    <w:p w14:paraId="643FC749" w14:textId="14F2E6E5" w:rsidR="004A14C5" w:rsidRDefault="00171CE6" w:rsidP="00C26EE4">
      <w:r>
        <w:t>A</w:t>
      </w:r>
      <w:r w:rsidR="00C26EE4">
        <w:t xml:space="preserve">nalysis of the connection between insights drawn from children’s perspectives and implications for policy highlights a need to consider the structures and enablers that support children’s detailed descriptions of their experiences of quality ECEC and the access that it enables for them. </w:t>
      </w:r>
    </w:p>
    <w:p w14:paraId="55E760D6" w14:textId="395DEDAA" w:rsidR="00C119BE" w:rsidRDefault="000237D0" w:rsidP="00C26EE4">
      <w:r>
        <w:t>There are three critical areas drawn from the themes of the consultation that are significant</w:t>
      </w:r>
      <w:r w:rsidR="005808D5">
        <w:t xml:space="preserve"> and that </w:t>
      </w:r>
      <w:r w:rsidR="00752BE6">
        <w:t>relate to critical features of the ECEC system.</w:t>
      </w:r>
    </w:p>
    <w:p w14:paraId="1201CF6C" w14:textId="54B08215" w:rsidR="00482792" w:rsidRDefault="00F554AF" w:rsidP="00D00D5F">
      <w:pPr>
        <w:pStyle w:val="ListParagraph"/>
        <w:numPr>
          <w:ilvl w:val="0"/>
          <w:numId w:val="34"/>
        </w:numPr>
      </w:pPr>
      <w:r w:rsidRPr="00AD15D2">
        <w:rPr>
          <w:b/>
          <w:bCs/>
        </w:rPr>
        <w:t>Relationships and connections are central</w:t>
      </w:r>
      <w:r>
        <w:t xml:space="preserve"> – children described the relationships and connections they formed with </w:t>
      </w:r>
      <w:r w:rsidR="008C0BA8">
        <w:t>their teachers and educators, their peers and the significance of their relationships with their families</w:t>
      </w:r>
      <w:r w:rsidR="007758AF">
        <w:t xml:space="preserve"> they brought with them into the setting.</w:t>
      </w:r>
      <w:r w:rsidR="0083765C">
        <w:t xml:space="preserve"> Children also described the connections and relationships that formed with their community, the environment and </w:t>
      </w:r>
      <w:r w:rsidR="00675FF8">
        <w:t xml:space="preserve">place through ECEC. </w:t>
      </w:r>
      <w:r w:rsidR="00482792">
        <w:t xml:space="preserve">Importantly, the ECEC setting and the practices of teachers and educators were critical in both fostering and reflecting </w:t>
      </w:r>
      <w:r w:rsidR="0083765C">
        <w:t>the significance of these relationships and connections.</w:t>
      </w:r>
    </w:p>
    <w:p w14:paraId="7E4CA4F3" w14:textId="3149F240" w:rsidR="00675FF8" w:rsidRDefault="00675FF8">
      <w:pPr>
        <w:pStyle w:val="ListParagraph"/>
        <w:numPr>
          <w:ilvl w:val="0"/>
          <w:numId w:val="34"/>
        </w:numPr>
      </w:pPr>
      <w:r w:rsidRPr="00AD15D2">
        <w:rPr>
          <w:b/>
          <w:bCs/>
        </w:rPr>
        <w:t>Access to ECEC is experienced by children</w:t>
      </w:r>
      <w:r>
        <w:t xml:space="preserve"> </w:t>
      </w:r>
      <w:r w:rsidR="00203817">
        <w:t>–</w:t>
      </w:r>
      <w:r>
        <w:t xml:space="preserve"> </w:t>
      </w:r>
      <w:r w:rsidR="00203817">
        <w:t xml:space="preserve">children described rich experiences and deep engagements that occurred in their ECEC setting. </w:t>
      </w:r>
      <w:r w:rsidR="00634656">
        <w:t xml:space="preserve">Children’s access to leaning, experiences, relationships </w:t>
      </w:r>
      <w:r w:rsidR="002F1C81">
        <w:t xml:space="preserve">and decision-making was supported by their access to ECEC. </w:t>
      </w:r>
    </w:p>
    <w:p w14:paraId="1C8317E3" w14:textId="3546EDDB" w:rsidR="004260FF" w:rsidRDefault="004260FF" w:rsidP="00AD15D2">
      <w:pPr>
        <w:pStyle w:val="ListParagraph"/>
      </w:pPr>
      <w:r>
        <w:t xml:space="preserve">Supporting access </w:t>
      </w:r>
      <w:r>
        <w:rPr>
          <w:i/>
          <w:iCs/>
        </w:rPr>
        <w:t xml:space="preserve">to </w:t>
      </w:r>
      <w:r>
        <w:t xml:space="preserve">ECEC for families is a precondition for the type of access children experience </w:t>
      </w:r>
      <w:r>
        <w:rPr>
          <w:i/>
          <w:iCs/>
        </w:rPr>
        <w:t xml:space="preserve">within </w:t>
      </w:r>
      <w:r>
        <w:t xml:space="preserve">ECEC settings. </w:t>
      </w:r>
    </w:p>
    <w:p w14:paraId="42DBBB79" w14:textId="127B3054" w:rsidR="004260FF" w:rsidRDefault="00AD15D2">
      <w:pPr>
        <w:pStyle w:val="ListParagraph"/>
        <w:numPr>
          <w:ilvl w:val="0"/>
          <w:numId w:val="34"/>
        </w:numPr>
      </w:pPr>
      <w:r w:rsidRPr="008E7FC3">
        <w:rPr>
          <w:b/>
          <w:bCs/>
        </w:rPr>
        <w:t>Children’s voices provide unique insights</w:t>
      </w:r>
      <w:r>
        <w:t xml:space="preserve"> – children offered perspectives </w:t>
      </w:r>
      <w:r w:rsidR="00CB057F">
        <w:t>and insights that are not generally included in broader policy and program design</w:t>
      </w:r>
      <w:r w:rsidR="008D3C29">
        <w:t xml:space="preserve"> processes. This reinforces the importance of ensuring that </w:t>
      </w:r>
      <w:r w:rsidR="00D918D0">
        <w:t>effort to seek children’s perspectives is</w:t>
      </w:r>
      <w:r w:rsidR="0095526A">
        <w:t xml:space="preserve"> an ongoing priority </w:t>
      </w:r>
      <w:r w:rsidR="009643CA">
        <w:t xml:space="preserve">for </w:t>
      </w:r>
      <w:r w:rsidR="00B31F0E">
        <w:t>policymaking</w:t>
      </w:r>
      <w:r w:rsidR="009643CA">
        <w:t>.</w:t>
      </w:r>
    </w:p>
    <w:p w14:paraId="4C8D1B3B" w14:textId="77777777" w:rsidR="005B67CB" w:rsidRDefault="005B67CB" w:rsidP="00C26EE4"/>
    <w:p w14:paraId="61B18D21" w14:textId="77777777" w:rsidR="005B67CB" w:rsidRDefault="005B67CB" w:rsidP="00C26EE4">
      <w:pPr>
        <w:sectPr w:rsidR="005B67CB" w:rsidSect="00695060">
          <w:pgSz w:w="11906" w:h="16838"/>
          <w:pgMar w:top="1286" w:right="1440" w:bottom="1440" w:left="1440" w:header="1417" w:footer="708" w:gutter="0"/>
          <w:cols w:space="708"/>
          <w:docGrid w:linePitch="360"/>
        </w:sectPr>
      </w:pPr>
    </w:p>
    <w:p w14:paraId="3AF3E6D3" w14:textId="477C05C3" w:rsidR="00C26EE4" w:rsidRPr="00CB1EC6" w:rsidRDefault="00C26EE4" w:rsidP="00C26EE4">
      <w:pPr>
        <w:pStyle w:val="Title"/>
        <w:widowControl w:val="0"/>
      </w:pPr>
      <w:r>
        <w:lastRenderedPageBreak/>
        <w:t xml:space="preserve">Children’s perspectives of </w:t>
      </w:r>
      <w:r w:rsidR="00AD7D9E">
        <w:t>Early childhood education and care</w:t>
      </w:r>
    </w:p>
    <w:p w14:paraId="39EAFFE6" w14:textId="77777777" w:rsidR="00C26EE4" w:rsidRPr="005863FF" w:rsidRDefault="00C26EE4" w:rsidP="00C26EE4">
      <w:pPr>
        <w:pStyle w:val="Heading1"/>
      </w:pPr>
      <w:bookmarkStart w:id="24" w:name="_Toc177135984"/>
      <w:r w:rsidRPr="001652CE">
        <w:t>Introduction</w:t>
      </w:r>
      <w:bookmarkEnd w:id="24"/>
      <w:r w:rsidRPr="005863FF">
        <w:t xml:space="preserve"> </w:t>
      </w:r>
    </w:p>
    <w:p w14:paraId="38F5456D" w14:textId="707F36D9" w:rsidR="00C26EE4" w:rsidRDefault="00C26EE4" w:rsidP="00C26EE4">
      <w:r w:rsidRPr="00B70E26">
        <w:t xml:space="preserve">To help inform its inquiry into Australia’s early childhood education and care (ECEC) system, the Productivity Commission (PC) </w:t>
      </w:r>
      <w:r>
        <w:t>engaged</w:t>
      </w:r>
      <w:r w:rsidRPr="00B70E26">
        <w:t xml:space="preserve"> the Front Project (TFP) and</w:t>
      </w:r>
      <w:r>
        <w:t xml:space="preserve"> Creche and Kindergarten Association</w:t>
      </w:r>
      <w:r w:rsidRPr="00B70E26">
        <w:t xml:space="preserve"> </w:t>
      </w:r>
      <w:r>
        <w:t>(</w:t>
      </w:r>
      <w:r w:rsidRPr="00B70E26">
        <w:t>C&amp;K</w:t>
      </w:r>
      <w:r>
        <w:t>)</w:t>
      </w:r>
      <w:r w:rsidRPr="00B70E26">
        <w:t xml:space="preserve"> to undertake consultations with children aged 3-5 years. The consultations took place at a range of ECEC services across the country. </w:t>
      </w:r>
      <w:r w:rsidR="002D14AA">
        <w:t>Alongside</w:t>
      </w:r>
      <w:r w:rsidRPr="00B70E26">
        <w:t xml:space="preserve"> the consultations being undertaken by the PC with adult </w:t>
      </w:r>
      <w:r w:rsidR="00150BD4">
        <w:t xml:space="preserve">ECEC </w:t>
      </w:r>
      <w:r w:rsidRPr="00B70E26">
        <w:t>stakeholders, this study centre</w:t>
      </w:r>
      <w:r w:rsidR="00150BD4">
        <w:t>d</w:t>
      </w:r>
      <w:r w:rsidRPr="00B70E26">
        <w:t xml:space="preserve"> </w:t>
      </w:r>
      <w:r w:rsidR="00150BD4">
        <w:t>on elevating</w:t>
      </w:r>
      <w:r w:rsidRPr="00B70E26">
        <w:t xml:space="preserve"> children’s perspectives on </w:t>
      </w:r>
      <w:r w:rsidR="00B91AC2">
        <w:t>and experiences of</w:t>
      </w:r>
      <w:r w:rsidRPr="00B70E26">
        <w:t xml:space="preserve"> the </w:t>
      </w:r>
      <w:r>
        <w:t xml:space="preserve">early childhood </w:t>
      </w:r>
      <w:r w:rsidRPr="00B70E26">
        <w:t>system.</w:t>
      </w:r>
      <w:r>
        <w:t xml:space="preserve"> </w:t>
      </w:r>
      <w:r w:rsidR="007937D7">
        <w:t>C</w:t>
      </w:r>
      <w:r>
        <w:t>hildren</w:t>
      </w:r>
      <w:r w:rsidR="007937D7">
        <w:t xml:space="preserve"> are</w:t>
      </w:r>
      <w:r>
        <w:t xml:space="preserve"> the key beneficiaries of the system </w:t>
      </w:r>
      <w:r w:rsidR="006B590C">
        <w:t xml:space="preserve">– this work </w:t>
      </w:r>
      <w:r w:rsidR="00B91AC2">
        <w:t xml:space="preserve">represents </w:t>
      </w:r>
      <w:r w:rsidR="006B590C">
        <w:t>a significant opportunity to</w:t>
      </w:r>
      <w:r w:rsidR="00E77DFF">
        <w:t xml:space="preserve"> hear</w:t>
      </w:r>
      <w:r>
        <w:t xml:space="preserve"> children’s views on what works, what they want, and how ECEC </w:t>
      </w:r>
      <w:r w:rsidR="008A22A2">
        <w:t>integrates</w:t>
      </w:r>
      <w:r>
        <w:t xml:space="preserve"> with their experiences at home and in community.</w:t>
      </w:r>
    </w:p>
    <w:p w14:paraId="34753A38" w14:textId="794AA1B6" w:rsidR="00C26EE4" w:rsidRPr="00B70E26" w:rsidRDefault="00C26EE4" w:rsidP="00C26EE4">
      <w:r>
        <w:t>T</w:t>
      </w:r>
      <w:r w:rsidRPr="00B70E26">
        <w:t xml:space="preserve">he study </w:t>
      </w:r>
      <w:r>
        <w:t>built</w:t>
      </w:r>
      <w:r w:rsidRPr="00B70E26">
        <w:t xml:space="preserve"> on TFP’s earlier visioning work for the ECEC syste</w:t>
      </w:r>
      <w:r>
        <w:t>m. This work involved collaborati</w:t>
      </w:r>
      <w:r w:rsidR="00F775CE">
        <w:t>on</w:t>
      </w:r>
      <w:r>
        <w:t xml:space="preserve"> with industry participants and experts under </w:t>
      </w:r>
      <w:r w:rsidR="00DB75B6">
        <w:t>TFP’s</w:t>
      </w:r>
      <w:r>
        <w:t xml:space="preserve"> Apiary initiative, and </w:t>
      </w:r>
      <w:r w:rsidRPr="00B70E26">
        <w:t>consultation</w:t>
      </w:r>
      <w:r>
        <w:t>s</w:t>
      </w:r>
      <w:r w:rsidRPr="00B70E26">
        <w:t xml:space="preserve"> </w:t>
      </w:r>
      <w:r w:rsidR="002B21DE">
        <w:t>they</w:t>
      </w:r>
      <w:r>
        <w:t xml:space="preserve"> </w:t>
      </w:r>
      <w:r w:rsidRPr="00B70E26">
        <w:t>delivered for the Department of Social Services</w:t>
      </w:r>
      <w:r>
        <w:t xml:space="preserve"> in 2023</w:t>
      </w:r>
      <w:r w:rsidRPr="00B70E26">
        <w:t xml:space="preserve"> in support of the development of the Early Years Strategy</w:t>
      </w:r>
      <w:r>
        <w:t>.</w:t>
      </w:r>
      <w:r w:rsidRPr="00B70E26">
        <w:t xml:space="preserve"> C&amp;K</w:t>
      </w:r>
      <w:r w:rsidR="00FD70A0">
        <w:t xml:space="preserve"> brought expertise </w:t>
      </w:r>
      <w:r w:rsidR="0060650F">
        <w:t>consulting with very young children</w:t>
      </w:r>
      <w:r w:rsidRPr="00B70E26">
        <w:t xml:space="preserve"> across its own network of services in Queensland</w:t>
      </w:r>
      <w:r w:rsidR="005E383A">
        <w:t xml:space="preserve"> </w:t>
      </w:r>
      <w:r w:rsidR="00DA4DF5">
        <w:t>and experience in encountering the complexities of representing children’s perspectives whilst avoiding as far possible adult bias.</w:t>
      </w:r>
    </w:p>
    <w:p w14:paraId="10474519" w14:textId="77777777" w:rsidR="00C26EE4" w:rsidRPr="00B70E26" w:rsidRDefault="00C26EE4" w:rsidP="00C26EE4">
      <w:r w:rsidRPr="00B70E26">
        <w:t>The consultations were aimed at answering three overarching questions:</w:t>
      </w:r>
    </w:p>
    <w:p w14:paraId="19327FE4" w14:textId="77777777" w:rsidR="00C26EE4" w:rsidRPr="00B70E26" w:rsidRDefault="00C26EE4" w:rsidP="00C26EE4">
      <w:pPr>
        <w:pStyle w:val="ListParagraph"/>
        <w:numPr>
          <w:ilvl w:val="0"/>
          <w:numId w:val="25"/>
        </w:numPr>
      </w:pPr>
      <w:r w:rsidRPr="00B70E26">
        <w:t>What does the future of early learning look like to young children?</w:t>
      </w:r>
    </w:p>
    <w:p w14:paraId="4160FCF5" w14:textId="77777777" w:rsidR="00C26EE4" w:rsidRPr="00B70E26" w:rsidRDefault="00C26EE4" w:rsidP="00C26EE4">
      <w:pPr>
        <w:pStyle w:val="ListParagraph"/>
        <w:numPr>
          <w:ilvl w:val="0"/>
          <w:numId w:val="25"/>
        </w:numPr>
      </w:pPr>
      <w:r w:rsidRPr="00B70E26">
        <w:t>What matters most to children in their lives, including people, places, and activities?</w:t>
      </w:r>
    </w:p>
    <w:p w14:paraId="40D52682" w14:textId="77777777" w:rsidR="00C26EE4" w:rsidRPr="006C6ECB" w:rsidRDefault="00C26EE4" w:rsidP="00C26EE4">
      <w:pPr>
        <w:pStyle w:val="ListParagraph"/>
        <w:numPr>
          <w:ilvl w:val="0"/>
          <w:numId w:val="25"/>
        </w:numPr>
      </w:pPr>
      <w:r w:rsidRPr="00B70E26">
        <w:t>What would make today a better day, in the eyes of young children?</w:t>
      </w:r>
    </w:p>
    <w:p w14:paraId="4C332B75" w14:textId="77777777" w:rsidR="00C26EE4" w:rsidRPr="005863FF" w:rsidRDefault="00C26EE4" w:rsidP="00C26EE4">
      <w:pPr>
        <w:pStyle w:val="Heading1"/>
        <w:widowControl w:val="0"/>
        <w:spacing w:after="240"/>
      </w:pPr>
      <w:bookmarkStart w:id="25" w:name="_Toc177135985"/>
      <w:r>
        <w:t>Methodology</w:t>
      </w:r>
      <w:bookmarkEnd w:id="25"/>
    </w:p>
    <w:p w14:paraId="6217065D" w14:textId="77777777" w:rsidR="00C26EE4" w:rsidRPr="00CB1EC6" w:rsidRDefault="00C26EE4" w:rsidP="00C26EE4">
      <w:pPr>
        <w:pStyle w:val="Heading2"/>
        <w:widowControl w:val="0"/>
      </w:pPr>
      <w:bookmarkStart w:id="26" w:name="_Toc158731040"/>
      <w:bookmarkStart w:id="27" w:name="_Toc158731680"/>
      <w:bookmarkStart w:id="28" w:name="_Toc159497972"/>
      <w:bookmarkStart w:id="29" w:name="_Toc177135986"/>
      <w:r>
        <w:t>Activities</w:t>
      </w:r>
      <w:bookmarkEnd w:id="26"/>
      <w:bookmarkEnd w:id="27"/>
      <w:bookmarkEnd w:id="28"/>
      <w:bookmarkEnd w:id="29"/>
    </w:p>
    <w:p w14:paraId="285BF5FA" w14:textId="77777777" w:rsidR="00C26EE4" w:rsidRDefault="00C26EE4" w:rsidP="00C26EE4">
      <w:r w:rsidRPr="00B70E26">
        <w:t>Children participated in three activitie</w:t>
      </w:r>
      <w:r>
        <w:t xml:space="preserve">s facilitated by the research team, which was comprised of TFP researchers, educators, teachers, or </w:t>
      </w:r>
      <w:r w:rsidRPr="00B70E26">
        <w:t>educational leaders at their ECEC service</w:t>
      </w:r>
      <w:r>
        <w:t xml:space="preserve"> (referred to as ‘the research team’ throughout)</w:t>
      </w:r>
      <w:r w:rsidRPr="00B70E26">
        <w:t>. Each activity was designed t</w:t>
      </w:r>
      <w:r>
        <w:t xml:space="preserve">o </w:t>
      </w:r>
      <w:r w:rsidRPr="00B70E26">
        <w:t xml:space="preserve">be similar to the type of play-based learning children regularly engage in, offering rich opportunities for children’s insights and perspectives to be shared. </w:t>
      </w:r>
    </w:p>
    <w:p w14:paraId="6AF849A4" w14:textId="2589C0D9" w:rsidR="00C26EE4" w:rsidRPr="00B70E26" w:rsidRDefault="00C26EE4" w:rsidP="00C26EE4">
      <w:r w:rsidRPr="00B70E26">
        <w:t xml:space="preserve">Locating the data collection within ECEC services helped </w:t>
      </w:r>
      <w:r>
        <w:t>to neutralise any</w:t>
      </w:r>
      <w:r w:rsidRPr="00B70E26">
        <w:t xml:space="preserve"> power dynamics </w:t>
      </w:r>
      <w:r>
        <w:t>between children and the research team</w:t>
      </w:r>
      <w:r w:rsidRPr="00B70E26">
        <w:t xml:space="preserve">. The presence of familiar faces in the form of </w:t>
      </w:r>
      <w:r w:rsidR="00B90BC0">
        <w:t>the children’s</w:t>
      </w:r>
      <w:r w:rsidRPr="00B70E26">
        <w:t xml:space="preserve"> educators and teachers – who in many cases participated in the activities themselves – minimised </w:t>
      </w:r>
      <w:r>
        <w:t>the risk of</w:t>
      </w:r>
      <w:r w:rsidRPr="00B70E26">
        <w:t xml:space="preserve"> the research being imposed on </w:t>
      </w:r>
      <w:r>
        <w:t>children</w:t>
      </w:r>
      <w:r w:rsidRPr="00B70E26">
        <w:t xml:space="preserve"> from outside. </w:t>
      </w:r>
    </w:p>
    <w:p w14:paraId="522DFFE7" w14:textId="77777777" w:rsidR="00C26EE4" w:rsidRPr="00B70E26" w:rsidRDefault="00C26EE4" w:rsidP="00C26EE4">
      <w:r w:rsidRPr="00B70E26">
        <w:t xml:space="preserve">The three activities underpinning the data collection were: </w:t>
      </w:r>
    </w:p>
    <w:p w14:paraId="49BF2D57" w14:textId="54FE86AC" w:rsidR="00C26EE4" w:rsidRPr="00FD7E85" w:rsidRDefault="00C26EE4" w:rsidP="00C26EE4">
      <w:pPr>
        <w:pStyle w:val="ListParagraph"/>
        <w:widowControl w:val="0"/>
        <w:numPr>
          <w:ilvl w:val="0"/>
          <w:numId w:val="13"/>
        </w:numPr>
      </w:pPr>
      <w:r w:rsidRPr="00FD7E85">
        <w:rPr>
          <w:b/>
          <w:bCs/>
        </w:rPr>
        <w:t>Community painting/artwork</w:t>
      </w:r>
      <w:r w:rsidRPr="00FD7E85">
        <w:t xml:space="preserve"> (</w:t>
      </w:r>
      <w:r w:rsidR="00A5324E">
        <w:t>an opportunity for</w:t>
      </w:r>
      <w:r w:rsidRPr="00FD7E85">
        <w:t xml:space="preserve"> children</w:t>
      </w:r>
      <w:r w:rsidR="00A5324E">
        <w:t xml:space="preserve"> to</w:t>
      </w:r>
      <w:r w:rsidRPr="00FD7E85">
        <w:t xml:space="preserve"> portray of their most important people and relationships, particularly in the context of their ECEC experiences).</w:t>
      </w:r>
    </w:p>
    <w:p w14:paraId="463B3613" w14:textId="1CB16DC1" w:rsidR="00C26EE4" w:rsidRPr="00FD7E85" w:rsidRDefault="00C26EE4" w:rsidP="00C26EE4">
      <w:pPr>
        <w:pStyle w:val="ListParagraph"/>
        <w:widowControl w:val="0"/>
        <w:numPr>
          <w:ilvl w:val="0"/>
          <w:numId w:val="13"/>
        </w:numPr>
      </w:pPr>
      <w:r w:rsidRPr="00FD7E85">
        <w:rPr>
          <w:b/>
          <w:bCs/>
        </w:rPr>
        <w:t>3-D landscape creation</w:t>
      </w:r>
      <w:r w:rsidRPr="00FD7E85">
        <w:t xml:space="preserve"> (</w:t>
      </w:r>
      <w:r w:rsidR="003131B8">
        <w:t>encouraging children to construct</w:t>
      </w:r>
      <w:r w:rsidRPr="00FD7E85">
        <w:t xml:space="preserve"> the places, environments, or settings – ideally in an ECEC context – that are most loved by </w:t>
      </w:r>
      <w:r w:rsidR="00D76265">
        <w:t>them</w:t>
      </w:r>
      <w:r w:rsidRPr="00FD7E85">
        <w:t xml:space="preserve">). </w:t>
      </w:r>
    </w:p>
    <w:p w14:paraId="68965E14" w14:textId="72D70419" w:rsidR="00C26EE4" w:rsidRPr="00FD7E85" w:rsidRDefault="00C26EE4" w:rsidP="00C26EE4">
      <w:pPr>
        <w:pStyle w:val="ListParagraph"/>
        <w:widowControl w:val="0"/>
        <w:numPr>
          <w:ilvl w:val="0"/>
          <w:numId w:val="13"/>
        </w:numPr>
      </w:pPr>
      <w:r w:rsidRPr="00FD7E85">
        <w:rPr>
          <w:b/>
          <w:bCs/>
        </w:rPr>
        <w:t>Happiest day discussion</w:t>
      </w:r>
      <w:r w:rsidRPr="00FD7E85">
        <w:t xml:space="preserve"> (a</w:t>
      </w:r>
      <w:r w:rsidR="00234C26">
        <w:t>n educator-led</w:t>
      </w:r>
      <w:r w:rsidRPr="00FD7E85">
        <w:t xml:space="preserve"> discussion in which children were asked what their happiest or most enjoyable </w:t>
      </w:r>
      <w:r w:rsidR="00A8587A">
        <w:t xml:space="preserve">day </w:t>
      </w:r>
      <w:r w:rsidRPr="00FD7E85">
        <w:t>at their ECEC service had been).</w:t>
      </w:r>
    </w:p>
    <w:p w14:paraId="6BA403AC" w14:textId="48D8603E" w:rsidR="00C26EE4" w:rsidRPr="00B70E26" w:rsidRDefault="00C26EE4" w:rsidP="00C26EE4">
      <w:r w:rsidRPr="00B70E26">
        <w:lastRenderedPageBreak/>
        <w:t xml:space="preserve">Activities 1 and 2 were broadly framed </w:t>
      </w:r>
      <w:r w:rsidR="35469365">
        <w:t>as ‘prompts’</w:t>
      </w:r>
      <w:r>
        <w:t xml:space="preserve"> </w:t>
      </w:r>
      <w:r w:rsidRPr="00B70E26">
        <w:t xml:space="preserve">to seek children’s insights into the people, places, and activities that mean the most to </w:t>
      </w:r>
      <w:r w:rsidR="00D32EBA">
        <w:t>them</w:t>
      </w:r>
      <w:r>
        <w:t>, focus</w:t>
      </w:r>
      <w:r w:rsidR="00D32EBA">
        <w:t>ing</w:t>
      </w:r>
      <w:r w:rsidRPr="00B70E26">
        <w:t xml:space="preserve"> on how these elements interacted with, or were accessed through, their engagement with the ECEC system. </w:t>
      </w:r>
      <w:r w:rsidR="00E42861">
        <w:t>The primary purpose of a</w:t>
      </w:r>
      <w:r w:rsidRPr="00B70E26">
        <w:t xml:space="preserve">ctivity 3 </w:t>
      </w:r>
      <w:r w:rsidR="00E42861">
        <w:t>was</w:t>
      </w:r>
      <w:r w:rsidRPr="00B70E26">
        <w:t xml:space="preserve"> to answer research question </w:t>
      </w:r>
      <w:r w:rsidR="008B50ED">
        <w:t>three</w:t>
      </w:r>
      <w:r w:rsidR="7100D8E0">
        <w:t xml:space="preserve"> –</w:t>
      </w:r>
      <w:r w:rsidR="008B50ED">
        <w:t xml:space="preserve"> </w:t>
      </w:r>
      <w:r w:rsidR="008E3D1C">
        <w:t>‘</w:t>
      </w:r>
      <w:r w:rsidRPr="00B70E26">
        <w:t>what would make today a better day for children</w:t>
      </w:r>
      <w:r w:rsidR="236E2D7D">
        <w:t>?</w:t>
      </w:r>
      <w:r w:rsidR="008E3D1C">
        <w:t>’</w:t>
      </w:r>
      <w:r w:rsidR="1F7F09E3">
        <w:t xml:space="preserve"> – </w:t>
      </w:r>
      <w:r w:rsidR="007E7F3C">
        <w:t>however</w:t>
      </w:r>
      <w:r w:rsidR="008D26C4">
        <w:t>,</w:t>
      </w:r>
      <w:r w:rsidR="007E7F3C">
        <w:t xml:space="preserve"> </w:t>
      </w:r>
      <w:r w:rsidR="001E19FC">
        <w:t>data</w:t>
      </w:r>
      <w:r w:rsidR="007E7F3C">
        <w:t xml:space="preserve"> and quotes drawn from all three activities informed </w:t>
      </w:r>
      <w:r w:rsidR="001E19FC">
        <w:t xml:space="preserve">themes </w:t>
      </w:r>
      <w:r w:rsidR="00A3190F">
        <w:t>relating</w:t>
      </w:r>
      <w:r w:rsidR="001E19FC">
        <w:t xml:space="preserve"> to this question</w:t>
      </w:r>
      <w:r>
        <w:t>.</w:t>
      </w:r>
      <w:r w:rsidR="6503A46C">
        <w:t xml:space="preserve"> </w:t>
      </w:r>
      <w:r w:rsidR="66F3AE55">
        <w:t>More information on the deliberate flexibility of all three activities, and how this supported rich data collection, is presented shortly, in the ‘methods that support capturing the voices of children’ section below. Such consideration by the rese</w:t>
      </w:r>
      <w:r w:rsidR="54A1FDEE">
        <w:t>arch team expl</w:t>
      </w:r>
      <w:r w:rsidR="37F31759">
        <w:t>ai</w:t>
      </w:r>
      <w:r w:rsidR="54A1FDEE">
        <w:t>ns why certain themes detailed in this report</w:t>
      </w:r>
      <w:r w:rsidR="78BA0F1D">
        <w:t xml:space="preserve"> are </w:t>
      </w:r>
      <w:r w:rsidR="40C6B517">
        <w:t>not only exemplified by children’s outputs or creations from the seemingly most relevant activity. For instance, while the 3-D landscape creation</w:t>
      </w:r>
      <w:r w:rsidR="25518483">
        <w:t xml:space="preserve"> (activity 2)</w:t>
      </w:r>
      <w:r w:rsidR="40C6B517">
        <w:t xml:space="preserve"> was the key</w:t>
      </w:r>
      <w:r w:rsidR="6E3EEB35">
        <w:t xml:space="preserve"> prompt for children to think about concepts </w:t>
      </w:r>
      <w:r w:rsidR="3BFA018F">
        <w:t xml:space="preserve">related to </w:t>
      </w:r>
      <w:r w:rsidR="6E3EEB35">
        <w:t>place and environment, analysis</w:t>
      </w:r>
      <w:r w:rsidR="77E72F3C">
        <w:t>,</w:t>
      </w:r>
      <w:r w:rsidR="6E3EEB35">
        <w:t xml:space="preserve"> discussion</w:t>
      </w:r>
      <w:r w:rsidR="71C27352">
        <w:t>, and presentation</w:t>
      </w:r>
      <w:r w:rsidR="6E3EEB35">
        <w:t xml:space="preserve"> of this theme in the report </w:t>
      </w:r>
      <w:r w:rsidR="1E773EFA">
        <w:t>draws also</w:t>
      </w:r>
      <w:r w:rsidR="5DE75D4C">
        <w:t xml:space="preserve"> on data generated by activities 1 and 2.</w:t>
      </w:r>
    </w:p>
    <w:p w14:paraId="0E2DD898" w14:textId="77777777" w:rsidR="00C26EE4" w:rsidRPr="00EB20BF" w:rsidRDefault="00C26EE4" w:rsidP="00C26EE4">
      <w:pPr>
        <w:pStyle w:val="Heading2"/>
        <w:widowControl w:val="0"/>
      </w:pPr>
      <w:bookmarkStart w:id="30" w:name="_Toc158731041"/>
      <w:bookmarkStart w:id="31" w:name="_Toc158731681"/>
      <w:bookmarkStart w:id="32" w:name="_Toc159497973"/>
      <w:bookmarkStart w:id="33" w:name="_Toc177135987"/>
      <w:r>
        <w:t>Data collection</w:t>
      </w:r>
      <w:bookmarkEnd w:id="30"/>
      <w:bookmarkEnd w:id="31"/>
      <w:bookmarkEnd w:id="32"/>
      <w:bookmarkEnd w:id="33"/>
    </w:p>
    <w:p w14:paraId="0FDB037B" w14:textId="0EC4928E" w:rsidR="00C26EE4" w:rsidRPr="00FD7E85" w:rsidRDefault="00C26EE4" w:rsidP="00C26EE4">
      <w:pPr>
        <w:widowControl w:val="0"/>
      </w:pPr>
      <w:r w:rsidRPr="00FD7E85">
        <w:t xml:space="preserve">The research team collected four data </w:t>
      </w:r>
      <w:r w:rsidR="00C04A25">
        <w:t>types</w:t>
      </w:r>
      <w:r w:rsidRPr="00FD7E85">
        <w:t>:</w:t>
      </w:r>
    </w:p>
    <w:p w14:paraId="60214B5E" w14:textId="48EAB292" w:rsidR="00C26EE4" w:rsidRPr="00FD7E85" w:rsidRDefault="00C26EE4" w:rsidP="00C26EE4">
      <w:pPr>
        <w:pStyle w:val="ListParagraph"/>
        <w:widowControl w:val="0"/>
        <w:numPr>
          <w:ilvl w:val="0"/>
          <w:numId w:val="21"/>
        </w:numPr>
      </w:pPr>
      <w:r w:rsidRPr="00FD7E85">
        <w:t>Artefacts</w:t>
      </w:r>
      <w:r w:rsidR="002A4056">
        <w:t xml:space="preserve">, </w:t>
      </w:r>
      <w:r w:rsidR="003A1604">
        <w:t>meaning p</w:t>
      </w:r>
      <w:r w:rsidRPr="00FD7E85">
        <w:t>ictures and drawings created by children during the activities</w:t>
      </w:r>
    </w:p>
    <w:p w14:paraId="78552C23" w14:textId="77777777" w:rsidR="00C26EE4" w:rsidRPr="00FD7E85" w:rsidRDefault="00C26EE4" w:rsidP="00C26EE4">
      <w:pPr>
        <w:pStyle w:val="ListParagraph"/>
        <w:widowControl w:val="0"/>
        <w:numPr>
          <w:ilvl w:val="0"/>
          <w:numId w:val="21"/>
        </w:numPr>
      </w:pPr>
      <w:r w:rsidRPr="00FD7E85">
        <w:t>Photographs of children’s work, including their pictures, drawings, notes, and landscape creations</w:t>
      </w:r>
    </w:p>
    <w:p w14:paraId="768B367E" w14:textId="77777777" w:rsidR="00C26EE4" w:rsidRPr="00FD7E85" w:rsidRDefault="00C26EE4" w:rsidP="00C26EE4">
      <w:pPr>
        <w:pStyle w:val="ListParagraph"/>
        <w:widowControl w:val="0"/>
        <w:numPr>
          <w:ilvl w:val="0"/>
          <w:numId w:val="21"/>
        </w:numPr>
      </w:pPr>
      <w:r w:rsidRPr="00FD7E85">
        <w:t>Field notes recording children’s comments and description recorded on post-it notes, which were attached to duplicate copies of each photograph to aid in the subsequent analysis phase</w:t>
      </w:r>
    </w:p>
    <w:p w14:paraId="55B682AC" w14:textId="3889668D" w:rsidR="00C26EE4" w:rsidRPr="00FD7E85" w:rsidRDefault="00C26EE4" w:rsidP="00C26EE4">
      <w:pPr>
        <w:pStyle w:val="ListParagraph"/>
        <w:widowControl w:val="0"/>
        <w:numPr>
          <w:ilvl w:val="0"/>
          <w:numId w:val="21"/>
        </w:numPr>
      </w:pPr>
      <w:r w:rsidRPr="00FD7E85">
        <w:t xml:space="preserve">Research observations of </w:t>
      </w:r>
      <w:r w:rsidR="004978A2">
        <w:t>children’s</w:t>
      </w:r>
      <w:r w:rsidRPr="00FD7E85">
        <w:t xml:space="preserve"> </w:t>
      </w:r>
      <w:r w:rsidR="0010353E" w:rsidRPr="00FD7E85">
        <w:t>interaction</w:t>
      </w:r>
      <w:r w:rsidR="0010353E">
        <w:t>s</w:t>
      </w:r>
      <w:r w:rsidRPr="00FD7E85">
        <w:t xml:space="preserve"> during the activities, and other factors that may have supported or limited </w:t>
      </w:r>
      <w:r w:rsidR="00D90FFF">
        <w:t xml:space="preserve">their </w:t>
      </w:r>
      <w:r w:rsidRPr="00FD7E85">
        <w:t>participation.</w:t>
      </w:r>
    </w:p>
    <w:p w14:paraId="55BFE6E9" w14:textId="37D22109" w:rsidR="00C26EE4" w:rsidRPr="00FD7E85" w:rsidRDefault="00C26EE4" w:rsidP="00C26EE4">
      <w:pPr>
        <w:widowControl w:val="0"/>
      </w:pPr>
      <w:r w:rsidRPr="00FD7E85">
        <w:t xml:space="preserve">The research team recorded children’s comments and descriptions </w:t>
      </w:r>
      <w:r w:rsidRPr="001E19FC">
        <w:rPr>
          <w:i/>
        </w:rPr>
        <w:t>verbatim</w:t>
      </w:r>
      <w:r w:rsidRPr="00FD7E85">
        <w:t xml:space="preserve"> to ensure their work and responses were not misinterpreted </w:t>
      </w:r>
      <w:r w:rsidR="001B1956">
        <w:t>or re-phrased</w:t>
      </w:r>
      <w:r w:rsidRPr="00FD7E85">
        <w:t xml:space="preserve"> by adults. The research design also enabled further context to be added by the teachers and educators </w:t>
      </w:r>
      <w:r w:rsidR="00345596">
        <w:t>during the consultations</w:t>
      </w:r>
      <w:r w:rsidR="00952753">
        <w:t xml:space="preserve"> – they drew on their </w:t>
      </w:r>
      <w:r w:rsidR="00294A93">
        <w:t>knowledge of the children</w:t>
      </w:r>
      <w:r w:rsidR="00AC2320">
        <w:t>’s</w:t>
      </w:r>
      <w:r w:rsidR="0017403C">
        <w:t xml:space="preserve"> context </w:t>
      </w:r>
      <w:r w:rsidR="00DD7C22">
        <w:t xml:space="preserve">- </w:t>
      </w:r>
      <w:r w:rsidR="00C826CE">
        <w:t>for example</w:t>
      </w:r>
      <w:r w:rsidR="00565410">
        <w:t xml:space="preserve">, </w:t>
      </w:r>
      <w:r w:rsidR="00DD7C22">
        <w:t xml:space="preserve">when </w:t>
      </w:r>
      <w:r w:rsidR="00C826CE">
        <w:t xml:space="preserve">a child </w:t>
      </w:r>
      <w:proofErr w:type="gramStart"/>
      <w:r w:rsidR="00C826CE">
        <w:t>said</w:t>
      </w:r>
      <w:proofErr w:type="gramEnd"/>
      <w:r w:rsidR="00C826CE">
        <w:t xml:space="preserve"> </w:t>
      </w:r>
      <w:r w:rsidR="00942E25">
        <w:t>“I like to make connections</w:t>
      </w:r>
      <w:r w:rsidR="00C826CE">
        <w:t>”, the</w:t>
      </w:r>
      <w:r w:rsidR="00DD7C22">
        <w:t>ir</w:t>
      </w:r>
      <w:r w:rsidR="00C826CE">
        <w:t xml:space="preserve"> educator explained that this was a construction activity </w:t>
      </w:r>
      <w:r w:rsidR="00971245">
        <w:t>offered</w:t>
      </w:r>
      <w:r w:rsidR="00DD7C22">
        <w:t>. Similarly, when a child name</w:t>
      </w:r>
      <w:r w:rsidR="618EF136">
        <w:t>d</w:t>
      </w:r>
      <w:r w:rsidR="00DD7C22">
        <w:t xml:space="preserve"> a </w:t>
      </w:r>
      <w:proofErr w:type="gramStart"/>
      <w:r w:rsidR="00540CBB">
        <w:t>person</w:t>
      </w:r>
      <w:proofErr w:type="gramEnd"/>
      <w:r w:rsidR="00540CBB">
        <w:t xml:space="preserve"> </w:t>
      </w:r>
      <w:r w:rsidR="00DD7C22">
        <w:t xml:space="preserve">their educators could </w:t>
      </w:r>
      <w:r w:rsidR="00EE4C09">
        <w:t>identify them as a child’s family or friend</w:t>
      </w:r>
      <w:r w:rsidRPr="00FD7E85">
        <w:t>.</w:t>
      </w:r>
      <w:r w:rsidR="00AE60CC">
        <w:t xml:space="preserve"> Care was taken when consulting with teachers and educators to </w:t>
      </w:r>
      <w:r w:rsidR="00153684">
        <w:t xml:space="preserve">ensure that adult voices </w:t>
      </w:r>
      <w:r w:rsidR="00FF7843">
        <w:t xml:space="preserve">added context </w:t>
      </w:r>
      <w:r w:rsidR="000341DA">
        <w:t xml:space="preserve">rather than their own adult perspectives. </w:t>
      </w:r>
    </w:p>
    <w:p w14:paraId="3E0A5E19" w14:textId="4526FBE7" w:rsidR="00C26EE4" w:rsidRPr="00CB1EC6" w:rsidRDefault="00C26EE4" w:rsidP="00C26EE4">
      <w:pPr>
        <w:pStyle w:val="Heading2"/>
        <w:widowControl w:val="0"/>
      </w:pPr>
      <w:bookmarkStart w:id="34" w:name="_Toc158731042"/>
      <w:bookmarkStart w:id="35" w:name="_Toc158731682"/>
      <w:bookmarkStart w:id="36" w:name="_Toc159497974"/>
      <w:bookmarkStart w:id="37" w:name="_Toc177135988"/>
      <w:r w:rsidRPr="00B07D95">
        <w:t>Sample</w:t>
      </w:r>
      <w:bookmarkEnd w:id="34"/>
      <w:bookmarkEnd w:id="35"/>
      <w:bookmarkEnd w:id="36"/>
      <w:bookmarkEnd w:id="37"/>
    </w:p>
    <w:p w14:paraId="0C763247" w14:textId="3F0F405C" w:rsidR="007234E0" w:rsidRDefault="00280B27" w:rsidP="005B67CB">
      <w:pPr>
        <w:rPr>
          <w:b/>
          <w:bCs/>
        </w:rPr>
      </w:pPr>
      <w:r>
        <w:t xml:space="preserve">In total, </w:t>
      </w:r>
      <w:r w:rsidR="00C26EE4" w:rsidRPr="00D448E3">
        <w:t>2</w:t>
      </w:r>
      <w:r w:rsidR="00D448E3" w:rsidRPr="005B67CB">
        <w:t>13</w:t>
      </w:r>
      <w:r w:rsidR="00C26EE4" w:rsidRPr="31394247">
        <w:t xml:space="preserve"> children </w:t>
      </w:r>
      <w:r w:rsidR="007A2860">
        <w:t>aged between 3 and 5 years,</w:t>
      </w:r>
      <w:r w:rsidR="00C26EE4" w:rsidRPr="31394247">
        <w:t xml:space="preserve"> at</w:t>
      </w:r>
      <w:r w:rsidR="007A2860">
        <w:t>tending</w:t>
      </w:r>
      <w:r w:rsidR="00C26EE4" w:rsidRPr="31394247">
        <w:t xml:space="preserve"> </w:t>
      </w:r>
      <w:r w:rsidR="00C26EE4" w:rsidRPr="00002650">
        <w:t>1</w:t>
      </w:r>
      <w:r w:rsidR="00002650" w:rsidRPr="005B67CB">
        <w:t>7</w:t>
      </w:r>
      <w:r w:rsidR="00C26EE4" w:rsidRPr="31394247">
        <w:t xml:space="preserve"> ECEC services </w:t>
      </w:r>
      <w:r w:rsidR="007A2860">
        <w:t>across</w:t>
      </w:r>
      <w:r w:rsidR="00C26EE4" w:rsidRPr="31394247">
        <w:t xml:space="preserve"> Australia</w:t>
      </w:r>
      <w:r w:rsidR="007A2860">
        <w:t>,</w:t>
      </w:r>
      <w:r w:rsidR="00C26EE4" w:rsidRPr="31394247">
        <w:t xml:space="preserve"> participated in the consultations. While the activities were accessible by all children, not every </w:t>
      </w:r>
      <w:r w:rsidR="000341DA">
        <w:t>individual</w:t>
      </w:r>
      <w:r w:rsidR="000341DA" w:rsidRPr="31394247">
        <w:t xml:space="preserve"> </w:t>
      </w:r>
      <w:r w:rsidR="00C26EE4" w:rsidRPr="31394247">
        <w:t xml:space="preserve">child participated in all three, depending on personal preference. </w:t>
      </w:r>
      <w:r w:rsidR="005B67CB">
        <w:t xml:space="preserve">An overview of the sample is </w:t>
      </w:r>
      <w:r w:rsidR="00C26EE4" w:rsidRPr="31394247">
        <w:t xml:space="preserve">presented visually </w:t>
      </w:r>
      <w:r w:rsidR="005B67CB">
        <w:t xml:space="preserve">in </w:t>
      </w:r>
      <w:r w:rsidR="005B67CB">
        <w:fldChar w:fldCharType="begin"/>
      </w:r>
      <w:r w:rsidR="005B67CB">
        <w:instrText xml:space="preserve"> REF _Ref159923119 \h </w:instrText>
      </w:r>
      <w:r w:rsidR="005B67CB">
        <w:fldChar w:fldCharType="separate"/>
      </w:r>
      <w:r w:rsidR="00192FAF">
        <w:t xml:space="preserve">Figure </w:t>
      </w:r>
      <w:r w:rsidR="00192FAF">
        <w:rPr>
          <w:noProof/>
        </w:rPr>
        <w:t>1</w:t>
      </w:r>
      <w:r w:rsidR="005B67CB">
        <w:fldChar w:fldCharType="end"/>
      </w:r>
      <w:r w:rsidR="00C26EE4" w:rsidRPr="31394247">
        <w:t xml:space="preserve">. </w:t>
      </w:r>
    </w:p>
    <w:p w14:paraId="446E2113" w14:textId="0FD5F1CE" w:rsidR="005B67CB" w:rsidRDefault="005B67CB" w:rsidP="005B67CB">
      <w:pPr>
        <w:pStyle w:val="Caption"/>
        <w:keepNext/>
      </w:pPr>
      <w:bookmarkStart w:id="38" w:name="_Ref159923119"/>
      <w:r>
        <w:lastRenderedPageBreak/>
        <w:t xml:space="preserve">Figure </w:t>
      </w:r>
      <w:fldSimple w:instr=" SEQ Figure \* ARABIC ">
        <w:r w:rsidR="00192FAF">
          <w:rPr>
            <w:noProof/>
          </w:rPr>
          <w:t>1</w:t>
        </w:r>
      </w:fldSimple>
      <w:bookmarkEnd w:id="38"/>
      <w:r>
        <w:t xml:space="preserve"> Sample at a glance</w:t>
      </w:r>
    </w:p>
    <w:p w14:paraId="65B783C5" w14:textId="28E72530" w:rsidR="005B67CB" w:rsidRPr="0063354D" w:rsidRDefault="005B67CB" w:rsidP="005B67CB">
      <w:pPr>
        <w:widowControl w:val="0"/>
        <w:spacing w:before="0" w:after="0"/>
        <w:jc w:val="center"/>
        <w:rPr>
          <w:b/>
          <w:bCs/>
        </w:rPr>
      </w:pPr>
      <w:r w:rsidRPr="005B67CB">
        <w:rPr>
          <w:b/>
          <w:bCs/>
          <w:noProof/>
        </w:rPr>
        <w:drawing>
          <wp:inline distT="0" distB="0" distL="0" distR="0" wp14:anchorId="468A61E7" wp14:editId="5AADC3FF">
            <wp:extent cx="4328809" cy="2733682"/>
            <wp:effectExtent l="0" t="0" r="0" b="0"/>
            <wp:docPr id="33" name="Picture 32">
              <a:extLst xmlns:a="http://schemas.openxmlformats.org/drawingml/2006/main">
                <a:ext uri="{FF2B5EF4-FFF2-40B4-BE49-F238E27FC236}">
                  <a16:creationId xmlns:a16="http://schemas.microsoft.com/office/drawing/2014/main" id="{3D82B00F-E1BF-2BF2-E4C0-7092A1B0B8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a:extLst>
                        <a:ext uri="{FF2B5EF4-FFF2-40B4-BE49-F238E27FC236}">
                          <a16:creationId xmlns:a16="http://schemas.microsoft.com/office/drawing/2014/main" id="{3D82B00F-E1BF-2BF2-E4C0-7092A1B0B829}"/>
                        </a:ext>
                      </a:extLst>
                    </pic:cNvPr>
                    <pic:cNvPicPr>
                      <a:picLocks noChangeAspect="1"/>
                    </pic:cNvPicPr>
                  </pic:nvPicPr>
                  <pic:blipFill>
                    <a:blip r:embed="rId17"/>
                    <a:stretch>
                      <a:fillRect/>
                    </a:stretch>
                  </pic:blipFill>
                  <pic:spPr>
                    <a:xfrm>
                      <a:off x="0" y="0"/>
                      <a:ext cx="4335957" cy="2738196"/>
                    </a:xfrm>
                    <a:prstGeom prst="rect">
                      <a:avLst/>
                    </a:prstGeom>
                  </pic:spPr>
                </pic:pic>
              </a:graphicData>
            </a:graphic>
          </wp:inline>
        </w:drawing>
      </w:r>
    </w:p>
    <w:p w14:paraId="02DC2805" w14:textId="77777777" w:rsidR="00193470" w:rsidRPr="000C2133" w:rsidRDefault="00193470" w:rsidP="00C26EE4">
      <w:pPr>
        <w:widowControl w:val="0"/>
        <w:spacing w:before="0" w:after="0"/>
        <w:rPr>
          <w:sz w:val="10"/>
          <w:szCs w:val="10"/>
        </w:rPr>
      </w:pPr>
    </w:p>
    <w:p w14:paraId="5960D23D" w14:textId="2561D108" w:rsidR="005F07C7" w:rsidRDefault="005F07C7" w:rsidP="005F07C7">
      <w:pPr>
        <w:pStyle w:val="Caption"/>
        <w:keepNext/>
      </w:pPr>
      <w:bookmarkStart w:id="39" w:name="_Ref159923080"/>
      <w:r>
        <w:t xml:space="preserve">Figure </w:t>
      </w:r>
      <w:fldSimple w:instr=" SEQ Figure \* ARABIC ">
        <w:r w:rsidR="00192FAF">
          <w:rPr>
            <w:noProof/>
          </w:rPr>
          <w:t>2</w:t>
        </w:r>
      </w:fldSimple>
      <w:bookmarkEnd w:id="39"/>
      <w:r>
        <w:t xml:space="preserve"> Locations of services participating in consultations</w:t>
      </w:r>
    </w:p>
    <w:p w14:paraId="726E5555" w14:textId="77777777" w:rsidR="005F07C7" w:rsidRDefault="005F07C7" w:rsidP="005F07C7">
      <w:pPr>
        <w:jc w:val="center"/>
        <w:rPr>
          <w:lang w:eastAsia="en-GB"/>
        </w:rPr>
      </w:pPr>
      <w:r w:rsidRPr="00B07D95">
        <w:rPr>
          <w:noProof/>
          <w:lang w:eastAsia="en-GB"/>
        </w:rPr>
        <w:drawing>
          <wp:inline distT="0" distB="0" distL="0" distR="0" wp14:anchorId="0DCCA2A8" wp14:editId="7E88B569">
            <wp:extent cx="3753250" cy="3508744"/>
            <wp:effectExtent l="0" t="0" r="6350" b="0"/>
            <wp:docPr id="1503600122" name="Picture 1" descr="A map of australia with orang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600122" name="Picture 1" descr="A map of australia with orange dots&#10;&#10;Description automatically generated"/>
                    <pic:cNvPicPr/>
                  </pic:nvPicPr>
                  <pic:blipFill>
                    <a:blip r:embed="rId18"/>
                    <a:stretch>
                      <a:fillRect/>
                    </a:stretch>
                  </pic:blipFill>
                  <pic:spPr>
                    <a:xfrm>
                      <a:off x="0" y="0"/>
                      <a:ext cx="3785300" cy="3538706"/>
                    </a:xfrm>
                    <a:prstGeom prst="rect">
                      <a:avLst/>
                    </a:prstGeom>
                  </pic:spPr>
                </pic:pic>
              </a:graphicData>
            </a:graphic>
          </wp:inline>
        </w:drawing>
      </w:r>
    </w:p>
    <w:p w14:paraId="19BBD961" w14:textId="77777777" w:rsidR="005F07C7" w:rsidRPr="00B70E26" w:rsidRDefault="005F07C7" w:rsidP="005F07C7">
      <w:pPr>
        <w:rPr>
          <w:lang w:eastAsia="en-GB"/>
        </w:rPr>
      </w:pPr>
    </w:p>
    <w:p w14:paraId="2E9848B6" w14:textId="77777777" w:rsidR="005B67CB" w:rsidRPr="00B70E26" w:rsidRDefault="005B67CB" w:rsidP="005B67CB">
      <w:r w:rsidRPr="31394247">
        <w:t xml:space="preserve">Of the services visited: </w:t>
      </w:r>
    </w:p>
    <w:p w14:paraId="232A39A6" w14:textId="40689293" w:rsidR="005B67CB" w:rsidRPr="00B70E26" w:rsidRDefault="005B67CB" w:rsidP="005B67CB">
      <w:pPr>
        <w:pStyle w:val="Bullets"/>
      </w:pPr>
      <w:r>
        <w:t xml:space="preserve">Most services </w:t>
      </w:r>
      <w:r w:rsidR="00D000E5">
        <w:t>were</w:t>
      </w:r>
      <w:r>
        <w:t xml:space="preserve"> </w:t>
      </w:r>
      <w:r w:rsidRPr="00B70E26">
        <w:t>in major city centres (</w:t>
      </w:r>
      <w:r>
        <w:t xml:space="preserve">47% - </w:t>
      </w:r>
      <w:r w:rsidRPr="00B70E26">
        <w:t>including Melbourne</w:t>
      </w:r>
      <w:r>
        <w:t xml:space="preserve">, Sydney, and </w:t>
      </w:r>
      <w:r w:rsidRPr="00B70E26">
        <w:t xml:space="preserve">Brisbane), </w:t>
      </w:r>
      <w:r>
        <w:t>29</w:t>
      </w:r>
      <w:r w:rsidRPr="00B70E26">
        <w:t xml:space="preserve">% were in other cities and major regional centres (Perth, and the greater Hobart and Adelaide areas), and </w:t>
      </w:r>
      <w:r>
        <w:t>24</w:t>
      </w:r>
      <w:r w:rsidRPr="00B70E26">
        <w:t>% were in regional centres and other regional areas (Northern Territory and Launceston)</w:t>
      </w:r>
      <w:r w:rsidRPr="00B70E26">
        <w:rPr>
          <w:rStyle w:val="EndnoteReference"/>
          <w:sz w:val="22"/>
          <w:szCs w:val="22"/>
        </w:rPr>
        <w:endnoteReference w:id="2"/>
      </w:r>
      <w:r>
        <w:t xml:space="preserve"> – see </w:t>
      </w:r>
      <w:r>
        <w:fldChar w:fldCharType="begin"/>
      </w:r>
      <w:r>
        <w:instrText xml:space="preserve"> REF _Ref159923080 \h </w:instrText>
      </w:r>
      <w:r>
        <w:fldChar w:fldCharType="separate"/>
      </w:r>
      <w:r w:rsidR="00192FAF">
        <w:t xml:space="preserve">Figure </w:t>
      </w:r>
      <w:r w:rsidR="00192FAF">
        <w:rPr>
          <w:noProof/>
        </w:rPr>
        <w:t>2</w:t>
      </w:r>
      <w:r>
        <w:fldChar w:fldCharType="end"/>
      </w:r>
    </w:p>
    <w:p w14:paraId="25F24C61" w14:textId="0EF08518" w:rsidR="005B67CB" w:rsidRDefault="005B67CB" w:rsidP="005B67CB">
      <w:pPr>
        <w:pStyle w:val="Bullets"/>
      </w:pPr>
      <w:r w:rsidRPr="31394247">
        <w:lastRenderedPageBreak/>
        <w:t>Over half (</w:t>
      </w:r>
      <w:r>
        <w:t>59</w:t>
      </w:r>
      <w:r w:rsidRPr="31394247">
        <w:t xml:space="preserve">%) were </w:t>
      </w:r>
      <w:r>
        <w:t xml:space="preserve">registered as being </w:t>
      </w:r>
      <w:r w:rsidRPr="31394247">
        <w:t>not</w:t>
      </w:r>
      <w:r w:rsidR="00270555">
        <w:t>-</w:t>
      </w:r>
      <w:r w:rsidRPr="31394247">
        <w:t>for</w:t>
      </w:r>
      <w:r w:rsidR="00270555">
        <w:t>-</w:t>
      </w:r>
      <w:r w:rsidRPr="31394247">
        <w:t>profit, with the balance being operated by private for-profit providers. Within both cohorts, there was a mix of very large providers (in some cases representing corporate groups with a national footprint) through to local operators, who run just one or two services.</w:t>
      </w:r>
    </w:p>
    <w:p w14:paraId="5B68EC1E" w14:textId="6D5FD106" w:rsidR="005B67CB" w:rsidRDefault="005B67CB" w:rsidP="005B67CB">
      <w:pPr>
        <w:pStyle w:val="Bullets"/>
      </w:pPr>
      <w:r>
        <w:t>All services were rated as ‘Meeting’ the National Quality Standard (NQS) or above</w:t>
      </w:r>
      <w:r w:rsidR="00D93D96">
        <w:t>. B</w:t>
      </w:r>
      <w:r>
        <w:t>elow is a breakdown of these ratings:</w:t>
      </w:r>
    </w:p>
    <w:p w14:paraId="633734A8" w14:textId="77777777" w:rsidR="005B67CB" w:rsidRDefault="005B67CB" w:rsidP="005F07C7">
      <w:pPr>
        <w:pStyle w:val="Bulletslevel2"/>
        <w:ind w:left="993"/>
      </w:pPr>
      <w:r>
        <w:t>One Service was rated as ‘Excellent’</w:t>
      </w:r>
    </w:p>
    <w:p w14:paraId="57EBF13D" w14:textId="77777777" w:rsidR="005B67CB" w:rsidRDefault="005B67CB" w:rsidP="005F07C7">
      <w:pPr>
        <w:pStyle w:val="Bulletslevel2"/>
        <w:ind w:left="993"/>
      </w:pPr>
      <w:r>
        <w:t xml:space="preserve">Ten were rated as “Exceeding’ the NQS </w:t>
      </w:r>
    </w:p>
    <w:p w14:paraId="5EFB34AF" w14:textId="112CD995" w:rsidR="005B67CB" w:rsidRPr="005F07C7" w:rsidRDefault="005B67CB" w:rsidP="005F07C7">
      <w:pPr>
        <w:pStyle w:val="Bulletslevel2"/>
        <w:ind w:left="993"/>
      </w:pPr>
      <w:r>
        <w:t>Six were rated as ‘Meeting’ the NQS</w:t>
      </w:r>
      <w:r w:rsidR="00E07CD2">
        <w:t>.</w:t>
      </w:r>
      <w:r>
        <w:t xml:space="preserve"> A majority (59%) had an overall ‘</w:t>
      </w:r>
      <w:r w:rsidR="00E07CD2">
        <w:t>E</w:t>
      </w:r>
      <w:r>
        <w:t>xceeding’ rating under the NQS</w:t>
      </w:r>
    </w:p>
    <w:p w14:paraId="5E130B7B" w14:textId="7320A43C" w:rsidR="005B67CB" w:rsidRDefault="005B67CB" w:rsidP="005F07C7">
      <w:pPr>
        <w:pStyle w:val="Bulletslevel2"/>
        <w:ind w:left="993"/>
      </w:pPr>
      <w:r>
        <w:t xml:space="preserve">Seven services exceeded the NQS in all seven quality areas (see </w:t>
      </w:r>
      <w:r>
        <w:fldChar w:fldCharType="begin"/>
      </w:r>
      <w:r>
        <w:instrText xml:space="preserve"> REF _Ref159923098 \h </w:instrText>
      </w:r>
      <w:r w:rsidR="005F07C7">
        <w:instrText xml:space="preserve"> \* MERGEFORMAT </w:instrText>
      </w:r>
      <w:r>
        <w:fldChar w:fldCharType="separate"/>
      </w:r>
      <w:r w:rsidR="00192FAF">
        <w:t>Figure 3</w:t>
      </w:r>
      <w:r>
        <w:fldChar w:fldCharType="end"/>
      </w:r>
      <w:r>
        <w:t xml:space="preserve"> below for a detailed breakdown)</w:t>
      </w:r>
    </w:p>
    <w:p w14:paraId="39211B7E" w14:textId="7A7432C2" w:rsidR="005B67CB" w:rsidRDefault="005B67CB" w:rsidP="005B67CB">
      <w:pPr>
        <w:pStyle w:val="Caption"/>
        <w:keepNext/>
      </w:pPr>
      <w:bookmarkStart w:id="40" w:name="_Ref159923098"/>
      <w:r>
        <w:t xml:space="preserve">Figure </w:t>
      </w:r>
      <w:fldSimple w:instr=" SEQ Figure \* ARABIC ">
        <w:r w:rsidR="00192FAF">
          <w:rPr>
            <w:noProof/>
          </w:rPr>
          <w:t>3</w:t>
        </w:r>
      </w:fldSimple>
      <w:bookmarkEnd w:id="40"/>
      <w:r>
        <w:t xml:space="preserve"> Breakdown by quality area</w:t>
      </w:r>
    </w:p>
    <w:tbl>
      <w:tblPr>
        <w:tblStyle w:val="TableGrid"/>
        <w:tblW w:w="9359" w:type="dxa"/>
        <w:tblLayout w:type="fixed"/>
        <w:tblLook w:val="04A0" w:firstRow="1" w:lastRow="0" w:firstColumn="1" w:lastColumn="0" w:noHBand="0" w:noVBand="1"/>
      </w:tblPr>
      <w:tblGrid>
        <w:gridCol w:w="5100"/>
        <w:gridCol w:w="709"/>
        <w:gridCol w:w="709"/>
        <w:gridCol w:w="708"/>
        <w:gridCol w:w="713"/>
        <w:gridCol w:w="709"/>
        <w:gridCol w:w="711"/>
      </w:tblGrid>
      <w:tr w:rsidR="005B67CB" w:rsidRPr="00166FCF" w14:paraId="032D3B36" w14:textId="77777777" w:rsidTr="001D2723">
        <w:trPr>
          <w:cantSplit/>
        </w:trPr>
        <w:tc>
          <w:tcPr>
            <w:tcW w:w="5100" w:type="dxa"/>
            <w:tcBorders>
              <w:top w:val="single" w:sz="2" w:space="0" w:color="FFFFFF" w:themeColor="background1"/>
              <w:left w:val="single" w:sz="2" w:space="0" w:color="FFFFFF" w:themeColor="background1"/>
              <w:bottom w:val="nil"/>
            </w:tcBorders>
          </w:tcPr>
          <w:p w14:paraId="47E210EC" w14:textId="77777777" w:rsidR="005B67CB" w:rsidRPr="00166FCF" w:rsidRDefault="005B67CB">
            <w:pPr>
              <w:pStyle w:val="TableListBullet"/>
              <w:ind w:left="0" w:firstLine="0"/>
              <w:rPr>
                <w:rFonts w:ascii="Arial" w:eastAsia="Times New Roman" w:hAnsi="Arial" w:cs="Arial"/>
                <w:b/>
                <w:bCs/>
                <w:color w:val="000000" w:themeColor="text1"/>
                <w:sz w:val="19"/>
                <w:szCs w:val="19"/>
                <w:lang w:eastAsia="en-GB"/>
              </w:rPr>
            </w:pPr>
          </w:p>
        </w:tc>
        <w:tc>
          <w:tcPr>
            <w:tcW w:w="1418" w:type="dxa"/>
            <w:gridSpan w:val="2"/>
            <w:tcBorders>
              <w:top w:val="single" w:sz="2" w:space="0" w:color="000000" w:themeColor="text1"/>
              <w:bottom w:val="nil"/>
            </w:tcBorders>
          </w:tcPr>
          <w:p w14:paraId="46B01403" w14:textId="77777777" w:rsidR="005B67CB" w:rsidRPr="004344D6" w:rsidRDefault="005B67CB">
            <w:pPr>
              <w:pStyle w:val="TableListBullet"/>
              <w:ind w:left="0" w:firstLine="0"/>
              <w:jc w:val="center"/>
              <w:rPr>
                <w:rFonts w:ascii="Calibri" w:eastAsia="Arial" w:hAnsi="Calibri" w:cs="Calibri"/>
                <w:b/>
                <w:bCs/>
                <w:color w:val="000000" w:themeColor="text1"/>
                <w:sz w:val="19"/>
                <w:szCs w:val="19"/>
              </w:rPr>
            </w:pPr>
            <w:r w:rsidRPr="004344D6">
              <w:rPr>
                <w:rFonts w:ascii="Calibri" w:eastAsia="Arial" w:hAnsi="Calibri" w:cs="Calibri"/>
                <w:b/>
                <w:bCs/>
                <w:color w:val="000000" w:themeColor="text1"/>
                <w:sz w:val="19"/>
                <w:szCs w:val="19"/>
              </w:rPr>
              <w:t>Excellent (1)</w:t>
            </w:r>
          </w:p>
        </w:tc>
        <w:tc>
          <w:tcPr>
            <w:tcW w:w="1421" w:type="dxa"/>
            <w:gridSpan w:val="2"/>
            <w:tcBorders>
              <w:top w:val="single" w:sz="2" w:space="0" w:color="000000" w:themeColor="text1"/>
              <w:bottom w:val="nil"/>
            </w:tcBorders>
          </w:tcPr>
          <w:p w14:paraId="6BFC8E9B" w14:textId="555E9671" w:rsidR="005B67CB" w:rsidRPr="004344D6" w:rsidRDefault="005B67CB">
            <w:pPr>
              <w:pStyle w:val="TableListBullet"/>
              <w:ind w:left="0" w:firstLine="0"/>
              <w:jc w:val="center"/>
              <w:rPr>
                <w:rFonts w:ascii="Calibri" w:eastAsia="Arial" w:hAnsi="Calibri" w:cs="Calibri"/>
                <w:b/>
                <w:bCs/>
                <w:color w:val="000000" w:themeColor="text1"/>
                <w:sz w:val="19"/>
                <w:szCs w:val="19"/>
              </w:rPr>
            </w:pPr>
            <w:r w:rsidRPr="004344D6">
              <w:rPr>
                <w:rFonts w:ascii="Calibri" w:eastAsia="Arial" w:hAnsi="Calibri" w:cs="Calibri"/>
                <w:b/>
                <w:bCs/>
                <w:color w:val="000000" w:themeColor="text1"/>
                <w:sz w:val="19"/>
                <w:szCs w:val="19"/>
              </w:rPr>
              <w:t>Exceeding (1</w:t>
            </w:r>
            <w:r>
              <w:rPr>
                <w:rFonts w:ascii="Calibri" w:eastAsia="Arial" w:hAnsi="Calibri" w:cs="Calibri"/>
                <w:b/>
                <w:bCs/>
                <w:color w:val="000000" w:themeColor="text1"/>
                <w:sz w:val="19"/>
                <w:szCs w:val="19"/>
              </w:rPr>
              <w:t>0</w:t>
            </w:r>
            <w:r w:rsidRPr="004344D6">
              <w:rPr>
                <w:rFonts w:ascii="Calibri" w:eastAsia="Arial" w:hAnsi="Calibri" w:cs="Calibri"/>
                <w:b/>
                <w:bCs/>
                <w:color w:val="000000" w:themeColor="text1"/>
                <w:sz w:val="19"/>
                <w:szCs w:val="19"/>
              </w:rPr>
              <w:t>)</w:t>
            </w:r>
          </w:p>
        </w:tc>
        <w:tc>
          <w:tcPr>
            <w:tcW w:w="1420" w:type="dxa"/>
            <w:gridSpan w:val="2"/>
            <w:tcBorders>
              <w:top w:val="single" w:sz="2" w:space="0" w:color="000000" w:themeColor="text1"/>
              <w:bottom w:val="nil"/>
            </w:tcBorders>
          </w:tcPr>
          <w:p w14:paraId="52F7B024" w14:textId="4E4C8FB0" w:rsidR="005B67CB" w:rsidRPr="004344D6" w:rsidRDefault="005B67CB">
            <w:pPr>
              <w:pStyle w:val="TableListBullet"/>
              <w:ind w:left="0" w:firstLine="0"/>
              <w:jc w:val="center"/>
              <w:rPr>
                <w:rFonts w:ascii="Calibri" w:eastAsia="Arial" w:hAnsi="Calibri" w:cs="Calibri"/>
                <w:b/>
                <w:bCs/>
                <w:color w:val="000000" w:themeColor="text1"/>
                <w:sz w:val="19"/>
                <w:szCs w:val="19"/>
              </w:rPr>
            </w:pPr>
            <w:r w:rsidRPr="004344D6">
              <w:rPr>
                <w:rFonts w:ascii="Calibri" w:eastAsia="Arial" w:hAnsi="Calibri" w:cs="Calibri"/>
                <w:b/>
                <w:bCs/>
                <w:color w:val="000000" w:themeColor="text1"/>
                <w:sz w:val="19"/>
                <w:szCs w:val="19"/>
              </w:rPr>
              <w:t>Meeting (</w:t>
            </w:r>
            <w:r>
              <w:rPr>
                <w:rFonts w:ascii="Calibri" w:eastAsia="Arial" w:hAnsi="Calibri" w:cs="Calibri"/>
                <w:b/>
                <w:bCs/>
                <w:color w:val="000000" w:themeColor="text1"/>
                <w:sz w:val="19"/>
                <w:szCs w:val="19"/>
              </w:rPr>
              <w:t>6</w:t>
            </w:r>
            <w:r w:rsidRPr="004344D6">
              <w:rPr>
                <w:rFonts w:ascii="Calibri" w:eastAsia="Arial" w:hAnsi="Calibri" w:cs="Calibri"/>
                <w:b/>
                <w:bCs/>
                <w:color w:val="000000" w:themeColor="text1"/>
                <w:sz w:val="19"/>
                <w:szCs w:val="19"/>
              </w:rPr>
              <w:t>)</w:t>
            </w:r>
          </w:p>
        </w:tc>
      </w:tr>
      <w:tr w:rsidR="005B67CB" w:rsidRPr="00166FCF" w14:paraId="49D128E9" w14:textId="77777777" w:rsidTr="001D2723">
        <w:trPr>
          <w:cantSplit/>
        </w:trPr>
        <w:tc>
          <w:tcPr>
            <w:tcW w:w="5100" w:type="dxa"/>
            <w:tcBorders>
              <w:top w:val="nil"/>
              <w:left w:val="single" w:sz="2" w:space="0" w:color="FFFFFF" w:themeColor="background1"/>
              <w:bottom w:val="single" w:sz="4" w:space="0" w:color="auto"/>
            </w:tcBorders>
          </w:tcPr>
          <w:p w14:paraId="794529D5" w14:textId="77777777" w:rsidR="005B67CB" w:rsidRPr="00166FCF" w:rsidRDefault="005B67CB">
            <w:pPr>
              <w:pStyle w:val="TableListBullet"/>
              <w:ind w:left="0" w:firstLine="0"/>
              <w:rPr>
                <w:rFonts w:ascii="Arial" w:eastAsia="Times New Roman" w:hAnsi="Arial" w:cs="Arial"/>
                <w:b/>
                <w:bCs/>
                <w:color w:val="000000" w:themeColor="text1"/>
                <w:sz w:val="19"/>
                <w:szCs w:val="19"/>
                <w:lang w:eastAsia="en-GB"/>
              </w:rPr>
            </w:pPr>
          </w:p>
        </w:tc>
        <w:tc>
          <w:tcPr>
            <w:tcW w:w="709" w:type="dxa"/>
            <w:tcBorders>
              <w:top w:val="nil"/>
              <w:bottom w:val="single" w:sz="2" w:space="0" w:color="000000" w:themeColor="text1"/>
              <w:right w:val="single" w:sz="2" w:space="0" w:color="FFFFFF" w:themeColor="background1"/>
            </w:tcBorders>
          </w:tcPr>
          <w:p w14:paraId="6D62B874" w14:textId="77777777" w:rsidR="005B67CB" w:rsidRPr="00686ABA" w:rsidRDefault="005B67CB">
            <w:pPr>
              <w:pStyle w:val="TableListBullet"/>
              <w:ind w:left="0" w:firstLine="0"/>
              <w:jc w:val="center"/>
              <w:rPr>
                <w:rFonts w:ascii="Calibri" w:eastAsia="Arial" w:hAnsi="Calibri" w:cs="Calibri"/>
                <w:b/>
                <w:bCs/>
                <w:color w:val="0F5E61" w:themeColor="accent6"/>
                <w:sz w:val="19"/>
                <w:szCs w:val="19"/>
              </w:rPr>
            </w:pPr>
            <w:r w:rsidRPr="00686ABA">
              <w:rPr>
                <w:rFonts w:ascii="Calibri" w:eastAsia="Arial" w:hAnsi="Calibri" w:cs="Calibri"/>
                <w:b/>
                <w:bCs/>
                <w:color w:val="0F5E61" w:themeColor="accent6"/>
                <w:sz w:val="19"/>
                <w:szCs w:val="19"/>
              </w:rPr>
              <w:t>M</w:t>
            </w:r>
          </w:p>
        </w:tc>
        <w:tc>
          <w:tcPr>
            <w:tcW w:w="709" w:type="dxa"/>
            <w:tcBorders>
              <w:top w:val="nil"/>
              <w:left w:val="single" w:sz="2" w:space="0" w:color="FFFFFF" w:themeColor="background1"/>
              <w:bottom w:val="single" w:sz="2" w:space="0" w:color="000000" w:themeColor="text1"/>
            </w:tcBorders>
          </w:tcPr>
          <w:p w14:paraId="7F4B3671" w14:textId="77777777"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sidRPr="00686ABA">
              <w:rPr>
                <w:rFonts w:ascii="Calibri" w:eastAsia="Arial" w:hAnsi="Calibri" w:cs="Calibri"/>
                <w:b/>
                <w:bCs/>
                <w:color w:val="072E30" w:themeColor="accent6" w:themeShade="80"/>
                <w:sz w:val="19"/>
                <w:szCs w:val="19"/>
              </w:rPr>
              <w:t>E</w:t>
            </w:r>
          </w:p>
        </w:tc>
        <w:tc>
          <w:tcPr>
            <w:tcW w:w="708" w:type="dxa"/>
            <w:tcBorders>
              <w:top w:val="nil"/>
              <w:bottom w:val="single" w:sz="2" w:space="0" w:color="000000" w:themeColor="text1"/>
              <w:right w:val="single" w:sz="2" w:space="0" w:color="FFFFFF" w:themeColor="background1"/>
            </w:tcBorders>
          </w:tcPr>
          <w:p w14:paraId="03749A72" w14:textId="77777777" w:rsidR="005B67CB" w:rsidRPr="00686ABA" w:rsidRDefault="005B67CB">
            <w:pPr>
              <w:pStyle w:val="TableListBullet"/>
              <w:ind w:left="0" w:firstLine="0"/>
              <w:jc w:val="center"/>
              <w:rPr>
                <w:rFonts w:ascii="Calibri" w:eastAsia="Arial" w:hAnsi="Calibri" w:cs="Calibri"/>
                <w:b/>
                <w:bCs/>
                <w:color w:val="0F5E61" w:themeColor="accent6"/>
                <w:sz w:val="19"/>
                <w:szCs w:val="19"/>
              </w:rPr>
            </w:pPr>
            <w:r w:rsidRPr="00686ABA">
              <w:rPr>
                <w:rFonts w:ascii="Calibri" w:eastAsia="Arial" w:hAnsi="Calibri" w:cs="Calibri"/>
                <w:b/>
                <w:bCs/>
                <w:color w:val="0F5E61" w:themeColor="accent6"/>
                <w:sz w:val="19"/>
                <w:szCs w:val="19"/>
              </w:rPr>
              <w:t>M</w:t>
            </w:r>
          </w:p>
        </w:tc>
        <w:tc>
          <w:tcPr>
            <w:tcW w:w="713" w:type="dxa"/>
            <w:tcBorders>
              <w:top w:val="nil"/>
              <w:left w:val="single" w:sz="2" w:space="0" w:color="FFFFFF" w:themeColor="background1"/>
              <w:bottom w:val="single" w:sz="2" w:space="0" w:color="000000" w:themeColor="text1"/>
            </w:tcBorders>
          </w:tcPr>
          <w:p w14:paraId="2B55B19A" w14:textId="77777777"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sidRPr="00686ABA">
              <w:rPr>
                <w:rFonts w:ascii="Calibri" w:eastAsia="Arial" w:hAnsi="Calibri" w:cs="Calibri"/>
                <w:b/>
                <w:bCs/>
                <w:color w:val="072E30" w:themeColor="accent6" w:themeShade="80"/>
                <w:sz w:val="19"/>
                <w:szCs w:val="19"/>
              </w:rPr>
              <w:t>E</w:t>
            </w:r>
          </w:p>
        </w:tc>
        <w:tc>
          <w:tcPr>
            <w:tcW w:w="709" w:type="dxa"/>
            <w:tcBorders>
              <w:top w:val="nil"/>
              <w:bottom w:val="single" w:sz="2" w:space="0" w:color="000000" w:themeColor="text1"/>
              <w:right w:val="single" w:sz="2" w:space="0" w:color="FFFFFF" w:themeColor="background1"/>
            </w:tcBorders>
          </w:tcPr>
          <w:p w14:paraId="118B1E8A" w14:textId="77777777" w:rsidR="005B67CB" w:rsidRPr="00686ABA" w:rsidRDefault="005B67CB">
            <w:pPr>
              <w:pStyle w:val="TableListBullet"/>
              <w:ind w:left="0" w:firstLine="0"/>
              <w:jc w:val="center"/>
              <w:rPr>
                <w:rFonts w:ascii="Calibri" w:eastAsia="Arial" w:hAnsi="Calibri" w:cs="Calibri"/>
                <w:b/>
                <w:bCs/>
                <w:color w:val="0F5E61" w:themeColor="accent6"/>
                <w:sz w:val="19"/>
                <w:szCs w:val="19"/>
              </w:rPr>
            </w:pPr>
            <w:r w:rsidRPr="00686ABA">
              <w:rPr>
                <w:rFonts w:ascii="Calibri" w:eastAsia="Arial" w:hAnsi="Calibri" w:cs="Calibri"/>
                <w:b/>
                <w:bCs/>
                <w:color w:val="0F5E61" w:themeColor="accent6"/>
                <w:sz w:val="19"/>
                <w:szCs w:val="19"/>
              </w:rPr>
              <w:t>M</w:t>
            </w:r>
          </w:p>
        </w:tc>
        <w:tc>
          <w:tcPr>
            <w:tcW w:w="711" w:type="dxa"/>
            <w:tcBorders>
              <w:top w:val="nil"/>
              <w:left w:val="single" w:sz="2" w:space="0" w:color="FFFFFF" w:themeColor="background1"/>
              <w:bottom w:val="single" w:sz="2" w:space="0" w:color="000000" w:themeColor="text1"/>
            </w:tcBorders>
          </w:tcPr>
          <w:p w14:paraId="211F5373" w14:textId="77777777"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sidRPr="00686ABA">
              <w:rPr>
                <w:rFonts w:ascii="Calibri" w:eastAsia="Arial" w:hAnsi="Calibri" w:cs="Calibri"/>
                <w:b/>
                <w:bCs/>
                <w:color w:val="072E30" w:themeColor="accent6" w:themeShade="80"/>
                <w:sz w:val="19"/>
                <w:szCs w:val="19"/>
              </w:rPr>
              <w:t>E</w:t>
            </w:r>
          </w:p>
        </w:tc>
      </w:tr>
      <w:tr w:rsidR="005B67CB" w:rsidRPr="00166FCF" w14:paraId="018B88DB" w14:textId="77777777" w:rsidTr="001D2723">
        <w:trPr>
          <w:cantSplit/>
        </w:trPr>
        <w:tc>
          <w:tcPr>
            <w:tcW w:w="5100" w:type="dxa"/>
            <w:tcBorders>
              <w:top w:val="single" w:sz="4" w:space="0" w:color="auto"/>
              <w:left w:val="single" w:sz="2" w:space="0" w:color="FFFFFF" w:themeColor="background1"/>
              <w:bottom w:val="single" w:sz="2" w:space="0" w:color="FFFFFF" w:themeColor="background1"/>
            </w:tcBorders>
            <w:shd w:val="clear" w:color="auto" w:fill="F2F2F2" w:themeFill="background1" w:themeFillShade="F2"/>
          </w:tcPr>
          <w:p w14:paraId="781B4D14" w14:textId="77777777" w:rsidR="005B67CB" w:rsidRPr="00166FCF" w:rsidRDefault="005B67CB">
            <w:pPr>
              <w:pStyle w:val="TableListBullet"/>
              <w:ind w:left="0" w:firstLine="0"/>
              <w:rPr>
                <w:rFonts w:ascii="Arial" w:eastAsia="Times New Roman" w:hAnsi="Arial" w:cs="Arial"/>
                <w:b/>
                <w:bCs/>
                <w:color w:val="000000" w:themeColor="text1"/>
                <w:sz w:val="19"/>
                <w:szCs w:val="19"/>
                <w:lang w:eastAsia="en-GB"/>
              </w:rPr>
            </w:pPr>
            <w:r w:rsidRPr="00166FCF">
              <w:rPr>
                <w:rFonts w:ascii="Arial" w:eastAsia="Times New Roman" w:hAnsi="Arial" w:cs="Arial"/>
                <w:b/>
                <w:bCs/>
                <w:color w:val="000000" w:themeColor="text1"/>
                <w:sz w:val="19"/>
                <w:szCs w:val="19"/>
                <w:lang w:eastAsia="en-GB"/>
              </w:rPr>
              <w:t xml:space="preserve">QA </w:t>
            </w:r>
            <w:r w:rsidRPr="00457205">
              <w:rPr>
                <w:rFonts w:ascii="Arial" w:eastAsia="Times New Roman" w:hAnsi="Arial" w:cs="Arial"/>
                <w:b/>
                <w:bCs/>
                <w:color w:val="000000" w:themeColor="text1"/>
                <w:sz w:val="19"/>
                <w:szCs w:val="19"/>
                <w:lang w:eastAsia="en-GB"/>
              </w:rPr>
              <w:t>1</w:t>
            </w:r>
            <w:r w:rsidRPr="00166FCF">
              <w:rPr>
                <w:rFonts w:ascii="Calibri" w:eastAsia="Arial" w:hAnsi="Calibri" w:cs="Calibri"/>
                <w:color w:val="000000" w:themeColor="text1"/>
                <w:sz w:val="19"/>
                <w:szCs w:val="19"/>
              </w:rPr>
              <w:t xml:space="preserve"> </w:t>
            </w:r>
            <w:r>
              <w:rPr>
                <w:rFonts w:ascii="Calibri" w:eastAsia="Arial" w:hAnsi="Calibri" w:cs="Calibri"/>
                <w:color w:val="000000" w:themeColor="text1"/>
                <w:sz w:val="19"/>
                <w:szCs w:val="19"/>
              </w:rPr>
              <w:t>E</w:t>
            </w:r>
            <w:r w:rsidRPr="00166FCF">
              <w:rPr>
                <w:rFonts w:ascii="Calibri" w:eastAsia="Arial" w:hAnsi="Calibri" w:cs="Calibri"/>
                <w:color w:val="000000" w:themeColor="text1"/>
                <w:sz w:val="19"/>
                <w:szCs w:val="19"/>
              </w:rPr>
              <w:t>ducational program and practice</w:t>
            </w:r>
          </w:p>
        </w:tc>
        <w:tc>
          <w:tcPr>
            <w:tcW w:w="709" w:type="dxa"/>
            <w:tcBorders>
              <w:top w:val="single" w:sz="2" w:space="0" w:color="000000" w:themeColor="text1"/>
              <w:bottom w:val="single" w:sz="2" w:space="0" w:color="FFFFFF" w:themeColor="background1"/>
              <w:right w:val="single" w:sz="2" w:space="0" w:color="FFFFFF" w:themeColor="background1"/>
            </w:tcBorders>
            <w:shd w:val="clear" w:color="auto" w:fill="F2F2F2" w:themeFill="background1" w:themeFillShade="F2"/>
          </w:tcPr>
          <w:p w14:paraId="4A6901AF" w14:textId="77777777" w:rsidR="005B67CB" w:rsidRPr="00686ABA" w:rsidRDefault="005B67CB">
            <w:pPr>
              <w:pStyle w:val="TableListBullet"/>
              <w:ind w:left="0" w:firstLine="0"/>
              <w:jc w:val="center"/>
              <w:rPr>
                <w:rFonts w:ascii="Calibri" w:eastAsia="Arial" w:hAnsi="Calibri" w:cs="Calibri"/>
                <w:b/>
                <w:bCs/>
                <w:color w:val="0F5E61" w:themeColor="accent6"/>
                <w:sz w:val="19"/>
                <w:szCs w:val="19"/>
              </w:rPr>
            </w:pPr>
            <w:r>
              <w:rPr>
                <w:rFonts w:ascii="Calibri" w:eastAsia="Arial" w:hAnsi="Calibri" w:cs="Calibri"/>
                <w:b/>
                <w:bCs/>
                <w:color w:val="0F5E61" w:themeColor="accent6"/>
                <w:sz w:val="19"/>
                <w:szCs w:val="19"/>
              </w:rPr>
              <w:t>-</w:t>
            </w:r>
          </w:p>
        </w:tc>
        <w:tc>
          <w:tcPr>
            <w:tcW w:w="709" w:type="dxa"/>
            <w:tcBorders>
              <w:top w:val="single" w:sz="2" w:space="0" w:color="000000" w:themeColor="text1"/>
              <w:left w:val="single" w:sz="2" w:space="0" w:color="FFFFFF" w:themeColor="background1"/>
              <w:bottom w:val="single" w:sz="2" w:space="0" w:color="FFFFFF" w:themeColor="background1"/>
            </w:tcBorders>
            <w:shd w:val="clear" w:color="auto" w:fill="F2F2F2" w:themeFill="background1" w:themeFillShade="F2"/>
          </w:tcPr>
          <w:p w14:paraId="3972755C" w14:textId="77777777"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Pr>
                <w:rFonts w:ascii="Calibri" w:eastAsia="Arial" w:hAnsi="Calibri" w:cs="Calibri"/>
                <w:b/>
                <w:bCs/>
                <w:color w:val="072E30" w:themeColor="accent6" w:themeShade="80"/>
                <w:sz w:val="19"/>
                <w:szCs w:val="19"/>
              </w:rPr>
              <w:t>1</w:t>
            </w:r>
          </w:p>
        </w:tc>
        <w:tc>
          <w:tcPr>
            <w:tcW w:w="708" w:type="dxa"/>
            <w:tcBorders>
              <w:top w:val="single" w:sz="2" w:space="0" w:color="000000" w:themeColor="text1"/>
              <w:bottom w:val="single" w:sz="2" w:space="0" w:color="FFFFFF" w:themeColor="background1"/>
              <w:right w:val="single" w:sz="2" w:space="0" w:color="FFFFFF" w:themeColor="background1"/>
            </w:tcBorders>
            <w:shd w:val="clear" w:color="auto" w:fill="F2F2F2" w:themeFill="background1" w:themeFillShade="F2"/>
          </w:tcPr>
          <w:p w14:paraId="770D1BA4" w14:textId="77777777" w:rsidR="005B67CB" w:rsidRPr="00686ABA" w:rsidRDefault="005B67CB">
            <w:pPr>
              <w:pStyle w:val="TableListBullet"/>
              <w:ind w:left="0" w:firstLine="0"/>
              <w:jc w:val="center"/>
              <w:rPr>
                <w:rFonts w:ascii="Calibri" w:eastAsia="Arial" w:hAnsi="Calibri" w:cs="Calibri"/>
                <w:b/>
                <w:bCs/>
                <w:color w:val="0F5E61" w:themeColor="accent6"/>
                <w:sz w:val="19"/>
                <w:szCs w:val="19"/>
              </w:rPr>
            </w:pPr>
            <w:r>
              <w:rPr>
                <w:rFonts w:ascii="Calibri" w:eastAsia="Arial" w:hAnsi="Calibri" w:cs="Calibri"/>
                <w:b/>
                <w:bCs/>
                <w:color w:val="0F5E61" w:themeColor="accent6"/>
                <w:sz w:val="19"/>
                <w:szCs w:val="19"/>
              </w:rPr>
              <w:t>-</w:t>
            </w:r>
          </w:p>
        </w:tc>
        <w:tc>
          <w:tcPr>
            <w:tcW w:w="713" w:type="dxa"/>
            <w:tcBorders>
              <w:top w:val="single" w:sz="2" w:space="0" w:color="000000" w:themeColor="text1"/>
              <w:left w:val="single" w:sz="2" w:space="0" w:color="FFFFFF" w:themeColor="background1"/>
              <w:bottom w:val="single" w:sz="2" w:space="0" w:color="FFFFFF" w:themeColor="background1"/>
            </w:tcBorders>
            <w:shd w:val="clear" w:color="auto" w:fill="F2F2F2" w:themeFill="background1" w:themeFillShade="F2"/>
          </w:tcPr>
          <w:p w14:paraId="4CEA5EE2" w14:textId="1AB68E0D"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Pr>
                <w:rFonts w:ascii="Calibri" w:eastAsia="Arial" w:hAnsi="Calibri" w:cs="Calibri"/>
                <w:b/>
                <w:bCs/>
                <w:color w:val="072E30" w:themeColor="accent6" w:themeShade="80"/>
                <w:sz w:val="19"/>
                <w:szCs w:val="19"/>
              </w:rPr>
              <w:t>10</w:t>
            </w:r>
          </w:p>
        </w:tc>
        <w:tc>
          <w:tcPr>
            <w:tcW w:w="709" w:type="dxa"/>
            <w:tcBorders>
              <w:top w:val="single" w:sz="2" w:space="0" w:color="000000" w:themeColor="text1"/>
              <w:bottom w:val="single" w:sz="2" w:space="0" w:color="FFFFFF" w:themeColor="background1"/>
              <w:right w:val="single" w:sz="2" w:space="0" w:color="FFFFFF" w:themeColor="background1"/>
            </w:tcBorders>
            <w:shd w:val="clear" w:color="auto" w:fill="F2F2F2" w:themeFill="background1" w:themeFillShade="F2"/>
          </w:tcPr>
          <w:p w14:paraId="5646EB20" w14:textId="180CBBBB" w:rsidR="005B67CB" w:rsidRPr="00686ABA" w:rsidRDefault="005B67CB">
            <w:pPr>
              <w:pStyle w:val="TableListBullet"/>
              <w:ind w:left="0" w:firstLine="0"/>
              <w:jc w:val="center"/>
              <w:rPr>
                <w:rFonts w:ascii="Calibri" w:eastAsia="Arial" w:hAnsi="Calibri" w:cs="Calibri"/>
                <w:b/>
                <w:bCs/>
                <w:color w:val="0F5E61" w:themeColor="accent6"/>
                <w:sz w:val="19"/>
                <w:szCs w:val="19"/>
              </w:rPr>
            </w:pPr>
            <w:r>
              <w:rPr>
                <w:rFonts w:ascii="Calibri" w:eastAsia="Arial" w:hAnsi="Calibri" w:cs="Calibri"/>
                <w:b/>
                <w:bCs/>
                <w:color w:val="0F5E61" w:themeColor="accent6"/>
                <w:sz w:val="19"/>
                <w:szCs w:val="19"/>
              </w:rPr>
              <w:t>6</w:t>
            </w:r>
          </w:p>
        </w:tc>
        <w:tc>
          <w:tcPr>
            <w:tcW w:w="711" w:type="dxa"/>
            <w:tcBorders>
              <w:top w:val="single" w:sz="2" w:space="0" w:color="000000" w:themeColor="text1"/>
              <w:left w:val="single" w:sz="2" w:space="0" w:color="FFFFFF" w:themeColor="background1"/>
              <w:bottom w:val="single" w:sz="2" w:space="0" w:color="FFFFFF" w:themeColor="background1"/>
            </w:tcBorders>
            <w:shd w:val="clear" w:color="auto" w:fill="F2F2F2" w:themeFill="background1" w:themeFillShade="F2"/>
          </w:tcPr>
          <w:p w14:paraId="79B72175" w14:textId="77777777"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Pr>
                <w:rFonts w:ascii="Calibri" w:eastAsia="Arial" w:hAnsi="Calibri" w:cs="Calibri"/>
                <w:b/>
                <w:bCs/>
                <w:color w:val="072E30" w:themeColor="accent6" w:themeShade="80"/>
                <w:sz w:val="19"/>
                <w:szCs w:val="19"/>
              </w:rPr>
              <w:t>-</w:t>
            </w:r>
          </w:p>
        </w:tc>
      </w:tr>
      <w:tr w:rsidR="005B67CB" w:rsidRPr="00166FCF" w14:paraId="15F2F060" w14:textId="77777777" w:rsidTr="001D2723">
        <w:trPr>
          <w:cantSplit/>
        </w:trPr>
        <w:tc>
          <w:tcPr>
            <w:tcW w:w="5100" w:type="dxa"/>
            <w:tcBorders>
              <w:top w:val="single" w:sz="2" w:space="0" w:color="FFFFFF" w:themeColor="background1"/>
              <w:left w:val="single" w:sz="2" w:space="0" w:color="FFFFFF" w:themeColor="background1"/>
              <w:bottom w:val="single" w:sz="2" w:space="0" w:color="FFFFFF" w:themeColor="background1"/>
            </w:tcBorders>
          </w:tcPr>
          <w:p w14:paraId="610DFD11" w14:textId="77777777" w:rsidR="005B67CB" w:rsidRPr="00166FCF" w:rsidRDefault="005B67CB">
            <w:pPr>
              <w:pStyle w:val="TableListBullet"/>
              <w:ind w:left="0" w:firstLine="0"/>
              <w:rPr>
                <w:rFonts w:ascii="Arial" w:eastAsia="Times New Roman" w:hAnsi="Arial" w:cs="Arial"/>
                <w:b/>
                <w:bCs/>
                <w:color w:val="000000" w:themeColor="text1"/>
                <w:sz w:val="19"/>
                <w:szCs w:val="19"/>
                <w:lang w:eastAsia="en-GB"/>
              </w:rPr>
            </w:pPr>
            <w:r w:rsidRPr="00457205">
              <w:rPr>
                <w:rFonts w:ascii="Arial" w:eastAsia="Times New Roman" w:hAnsi="Arial" w:cs="Arial"/>
                <w:b/>
                <w:bCs/>
                <w:color w:val="000000" w:themeColor="text1"/>
                <w:sz w:val="19"/>
                <w:szCs w:val="19"/>
                <w:lang w:eastAsia="en-GB"/>
              </w:rPr>
              <w:t>Q</w:t>
            </w:r>
            <w:r w:rsidRPr="00166FCF">
              <w:rPr>
                <w:rFonts w:ascii="Arial" w:eastAsia="Times New Roman" w:hAnsi="Arial" w:cs="Arial"/>
                <w:b/>
                <w:bCs/>
                <w:color w:val="000000" w:themeColor="text1"/>
                <w:sz w:val="19"/>
                <w:szCs w:val="19"/>
                <w:lang w:eastAsia="en-GB"/>
              </w:rPr>
              <w:t xml:space="preserve">A </w:t>
            </w:r>
            <w:r w:rsidRPr="00457205">
              <w:rPr>
                <w:rFonts w:ascii="Arial" w:eastAsia="Times New Roman" w:hAnsi="Arial" w:cs="Arial"/>
                <w:b/>
                <w:bCs/>
                <w:color w:val="000000" w:themeColor="text1"/>
                <w:sz w:val="19"/>
                <w:szCs w:val="19"/>
                <w:lang w:eastAsia="en-GB"/>
              </w:rPr>
              <w:t>2</w:t>
            </w:r>
            <w:r w:rsidRPr="00166FCF">
              <w:rPr>
                <w:rFonts w:ascii="Calibri" w:eastAsia="Arial" w:hAnsi="Calibri" w:cs="Calibri"/>
                <w:color w:val="000000" w:themeColor="text1"/>
                <w:sz w:val="19"/>
                <w:szCs w:val="19"/>
              </w:rPr>
              <w:t xml:space="preserve"> Children’s health and safety</w:t>
            </w:r>
          </w:p>
        </w:tc>
        <w:tc>
          <w:tcPr>
            <w:tcW w:w="709" w:type="dxa"/>
            <w:tcBorders>
              <w:top w:val="single" w:sz="2" w:space="0" w:color="FFFFFF" w:themeColor="background1"/>
              <w:bottom w:val="single" w:sz="2" w:space="0" w:color="FFFFFF" w:themeColor="background1"/>
              <w:right w:val="single" w:sz="2" w:space="0" w:color="FFFFFF" w:themeColor="background1"/>
            </w:tcBorders>
          </w:tcPr>
          <w:p w14:paraId="70B26844" w14:textId="77777777" w:rsidR="005B67CB" w:rsidRPr="00686ABA" w:rsidRDefault="005B67CB">
            <w:pPr>
              <w:pStyle w:val="TableListBullet"/>
              <w:ind w:left="0" w:firstLine="0"/>
              <w:jc w:val="center"/>
              <w:rPr>
                <w:rFonts w:ascii="Calibri" w:eastAsia="Arial" w:hAnsi="Calibri" w:cs="Calibri"/>
                <w:b/>
                <w:bCs/>
                <w:color w:val="0F5E61" w:themeColor="accent6"/>
                <w:sz w:val="19"/>
                <w:szCs w:val="19"/>
              </w:rPr>
            </w:pPr>
            <w:r>
              <w:rPr>
                <w:rFonts w:ascii="Calibri" w:eastAsia="Arial" w:hAnsi="Calibri" w:cs="Calibri"/>
                <w:b/>
                <w:bCs/>
                <w:color w:val="0F5E61" w:themeColor="accent6"/>
                <w:sz w:val="19"/>
                <w:szCs w:val="19"/>
              </w:rPr>
              <w:t>-</w:t>
            </w:r>
          </w:p>
        </w:tc>
        <w:tc>
          <w:tcPr>
            <w:tcW w:w="709" w:type="dxa"/>
            <w:tcBorders>
              <w:top w:val="single" w:sz="2" w:space="0" w:color="FFFFFF" w:themeColor="background1"/>
              <w:left w:val="single" w:sz="2" w:space="0" w:color="FFFFFF" w:themeColor="background1"/>
              <w:bottom w:val="single" w:sz="2" w:space="0" w:color="FFFFFF" w:themeColor="background1"/>
            </w:tcBorders>
          </w:tcPr>
          <w:p w14:paraId="0756DE03" w14:textId="77777777"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Pr>
                <w:rFonts w:ascii="Calibri" w:eastAsia="Arial" w:hAnsi="Calibri" w:cs="Calibri"/>
                <w:b/>
                <w:bCs/>
                <w:color w:val="072E30" w:themeColor="accent6" w:themeShade="80"/>
                <w:sz w:val="19"/>
                <w:szCs w:val="19"/>
              </w:rPr>
              <w:t>1</w:t>
            </w:r>
          </w:p>
        </w:tc>
        <w:tc>
          <w:tcPr>
            <w:tcW w:w="708" w:type="dxa"/>
            <w:tcBorders>
              <w:top w:val="single" w:sz="2" w:space="0" w:color="FFFFFF" w:themeColor="background1"/>
              <w:bottom w:val="single" w:sz="2" w:space="0" w:color="FFFFFF" w:themeColor="background1"/>
              <w:right w:val="single" w:sz="2" w:space="0" w:color="FFFFFF" w:themeColor="background1"/>
            </w:tcBorders>
          </w:tcPr>
          <w:p w14:paraId="2A8FBC62" w14:textId="7BECA677" w:rsidR="005B67CB" w:rsidRPr="00686ABA" w:rsidRDefault="005B67CB">
            <w:pPr>
              <w:pStyle w:val="TableListBullet"/>
              <w:ind w:left="0" w:firstLine="0"/>
              <w:jc w:val="center"/>
              <w:rPr>
                <w:rFonts w:ascii="Calibri" w:eastAsia="Arial" w:hAnsi="Calibri" w:cs="Calibri"/>
                <w:b/>
                <w:bCs/>
                <w:color w:val="0F5E61" w:themeColor="accent6"/>
                <w:sz w:val="19"/>
                <w:szCs w:val="19"/>
              </w:rPr>
            </w:pPr>
            <w:r>
              <w:rPr>
                <w:rFonts w:ascii="Calibri" w:eastAsia="Arial" w:hAnsi="Calibri" w:cs="Calibri"/>
                <w:b/>
                <w:bCs/>
                <w:color w:val="0F5E61" w:themeColor="accent6"/>
                <w:sz w:val="19"/>
                <w:szCs w:val="19"/>
              </w:rPr>
              <w:t>2</w:t>
            </w:r>
          </w:p>
        </w:tc>
        <w:tc>
          <w:tcPr>
            <w:tcW w:w="713" w:type="dxa"/>
            <w:tcBorders>
              <w:top w:val="single" w:sz="2" w:space="0" w:color="FFFFFF" w:themeColor="background1"/>
              <w:left w:val="single" w:sz="2" w:space="0" w:color="FFFFFF" w:themeColor="background1"/>
              <w:bottom w:val="single" w:sz="2" w:space="0" w:color="FFFFFF" w:themeColor="background1"/>
            </w:tcBorders>
          </w:tcPr>
          <w:p w14:paraId="673AC448" w14:textId="77777777"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Pr>
                <w:rFonts w:ascii="Calibri" w:eastAsia="Arial" w:hAnsi="Calibri" w:cs="Calibri"/>
                <w:b/>
                <w:bCs/>
                <w:color w:val="072E30" w:themeColor="accent6" w:themeShade="80"/>
                <w:sz w:val="19"/>
                <w:szCs w:val="19"/>
              </w:rPr>
              <w:t>8</w:t>
            </w:r>
          </w:p>
        </w:tc>
        <w:tc>
          <w:tcPr>
            <w:tcW w:w="709" w:type="dxa"/>
            <w:tcBorders>
              <w:top w:val="single" w:sz="2" w:space="0" w:color="FFFFFF" w:themeColor="background1"/>
              <w:bottom w:val="single" w:sz="2" w:space="0" w:color="FFFFFF" w:themeColor="background1"/>
              <w:right w:val="single" w:sz="2" w:space="0" w:color="FFFFFF" w:themeColor="background1"/>
            </w:tcBorders>
          </w:tcPr>
          <w:p w14:paraId="5488DF56" w14:textId="73596E8E" w:rsidR="005B67CB" w:rsidRPr="00686ABA" w:rsidRDefault="005B67CB">
            <w:pPr>
              <w:pStyle w:val="TableListBullet"/>
              <w:ind w:left="0" w:firstLine="0"/>
              <w:jc w:val="center"/>
              <w:rPr>
                <w:rFonts w:ascii="Calibri" w:eastAsia="Arial" w:hAnsi="Calibri" w:cs="Calibri"/>
                <w:b/>
                <w:bCs/>
                <w:color w:val="0F5E61" w:themeColor="accent6"/>
                <w:sz w:val="19"/>
                <w:szCs w:val="19"/>
              </w:rPr>
            </w:pPr>
            <w:r>
              <w:rPr>
                <w:rFonts w:ascii="Calibri" w:eastAsia="Arial" w:hAnsi="Calibri" w:cs="Calibri"/>
                <w:b/>
                <w:bCs/>
                <w:color w:val="0F5E61" w:themeColor="accent6"/>
                <w:sz w:val="19"/>
                <w:szCs w:val="19"/>
              </w:rPr>
              <w:t>6</w:t>
            </w:r>
          </w:p>
        </w:tc>
        <w:tc>
          <w:tcPr>
            <w:tcW w:w="711" w:type="dxa"/>
            <w:tcBorders>
              <w:top w:val="single" w:sz="2" w:space="0" w:color="FFFFFF" w:themeColor="background1"/>
              <w:left w:val="single" w:sz="2" w:space="0" w:color="FFFFFF" w:themeColor="background1"/>
              <w:bottom w:val="single" w:sz="2" w:space="0" w:color="FFFFFF" w:themeColor="background1"/>
            </w:tcBorders>
          </w:tcPr>
          <w:p w14:paraId="21ECD6A3" w14:textId="77777777"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Pr>
                <w:rFonts w:ascii="Calibri" w:eastAsia="Arial" w:hAnsi="Calibri" w:cs="Calibri"/>
                <w:b/>
                <w:bCs/>
                <w:color w:val="072E30" w:themeColor="accent6" w:themeShade="80"/>
                <w:sz w:val="19"/>
                <w:szCs w:val="19"/>
              </w:rPr>
              <w:t>-</w:t>
            </w:r>
          </w:p>
        </w:tc>
      </w:tr>
      <w:tr w:rsidR="005B67CB" w:rsidRPr="00166FCF" w14:paraId="77DB0206" w14:textId="77777777" w:rsidTr="001D2723">
        <w:trPr>
          <w:cantSplit/>
        </w:trPr>
        <w:tc>
          <w:tcPr>
            <w:tcW w:w="5100" w:type="dxa"/>
            <w:tcBorders>
              <w:top w:val="single" w:sz="2" w:space="0" w:color="FFFFFF" w:themeColor="background1"/>
              <w:left w:val="single" w:sz="2" w:space="0" w:color="FFFFFF" w:themeColor="background1"/>
              <w:bottom w:val="single" w:sz="2" w:space="0" w:color="FFFFFF" w:themeColor="background1"/>
            </w:tcBorders>
            <w:shd w:val="clear" w:color="auto" w:fill="F2F2F2" w:themeFill="background1" w:themeFillShade="F2"/>
          </w:tcPr>
          <w:p w14:paraId="23FC5F74" w14:textId="77777777" w:rsidR="005B67CB" w:rsidRPr="00166FCF" w:rsidRDefault="005B67CB">
            <w:pPr>
              <w:pStyle w:val="TableListBullet"/>
              <w:ind w:left="0" w:firstLine="0"/>
              <w:rPr>
                <w:rFonts w:ascii="Arial" w:eastAsia="Times New Roman" w:hAnsi="Arial" w:cs="Arial"/>
                <w:b/>
                <w:bCs/>
                <w:color w:val="000000" w:themeColor="text1"/>
                <w:sz w:val="19"/>
                <w:szCs w:val="19"/>
                <w:lang w:eastAsia="en-GB"/>
              </w:rPr>
            </w:pPr>
            <w:r w:rsidRPr="00166FCF">
              <w:rPr>
                <w:rFonts w:ascii="Arial" w:eastAsia="Times New Roman" w:hAnsi="Arial" w:cs="Arial"/>
                <w:b/>
                <w:bCs/>
                <w:color w:val="000000" w:themeColor="text1"/>
                <w:sz w:val="19"/>
                <w:szCs w:val="19"/>
                <w:lang w:eastAsia="en-GB"/>
              </w:rPr>
              <w:t xml:space="preserve">QA </w:t>
            </w:r>
            <w:r w:rsidRPr="00457205">
              <w:rPr>
                <w:rFonts w:ascii="Arial" w:eastAsia="Times New Roman" w:hAnsi="Arial" w:cs="Arial"/>
                <w:b/>
                <w:bCs/>
                <w:color w:val="000000" w:themeColor="text1"/>
                <w:sz w:val="19"/>
                <w:szCs w:val="19"/>
                <w:lang w:eastAsia="en-GB"/>
              </w:rPr>
              <w:t>3</w:t>
            </w:r>
            <w:r w:rsidRPr="00166FCF">
              <w:rPr>
                <w:rFonts w:ascii="Calibri" w:eastAsia="Arial" w:hAnsi="Calibri" w:cs="Calibri"/>
                <w:color w:val="000000" w:themeColor="text1"/>
                <w:sz w:val="19"/>
                <w:szCs w:val="19"/>
              </w:rPr>
              <w:t xml:space="preserve"> Physical environment</w:t>
            </w:r>
          </w:p>
        </w:tc>
        <w:tc>
          <w:tcPr>
            <w:tcW w:w="709" w:type="dxa"/>
            <w:tcBorders>
              <w:top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Pr>
          <w:p w14:paraId="23E6B10C" w14:textId="77777777" w:rsidR="005B67CB" w:rsidRPr="00686ABA" w:rsidRDefault="005B67CB">
            <w:pPr>
              <w:pStyle w:val="TableListBullet"/>
              <w:ind w:left="0" w:firstLine="0"/>
              <w:jc w:val="center"/>
              <w:rPr>
                <w:rFonts w:ascii="Calibri" w:eastAsia="Arial" w:hAnsi="Calibri" w:cs="Calibri"/>
                <w:b/>
                <w:bCs/>
                <w:color w:val="0F5E61" w:themeColor="accent6"/>
                <w:sz w:val="19"/>
                <w:szCs w:val="19"/>
              </w:rPr>
            </w:pPr>
            <w:r>
              <w:rPr>
                <w:rFonts w:ascii="Calibri" w:eastAsia="Arial" w:hAnsi="Calibri" w:cs="Calibri"/>
                <w:b/>
                <w:bCs/>
                <w:color w:val="0F5E61" w:themeColor="accent6"/>
                <w:sz w:val="19"/>
                <w:szCs w:val="19"/>
              </w:rPr>
              <w:t>-</w:t>
            </w:r>
          </w:p>
        </w:tc>
        <w:tc>
          <w:tcPr>
            <w:tcW w:w="709" w:type="dxa"/>
            <w:tcBorders>
              <w:top w:val="single" w:sz="2" w:space="0" w:color="FFFFFF" w:themeColor="background1"/>
              <w:left w:val="single" w:sz="2" w:space="0" w:color="FFFFFF" w:themeColor="background1"/>
              <w:bottom w:val="single" w:sz="2" w:space="0" w:color="FFFFFF" w:themeColor="background1"/>
            </w:tcBorders>
            <w:shd w:val="clear" w:color="auto" w:fill="F2F2F2" w:themeFill="background1" w:themeFillShade="F2"/>
          </w:tcPr>
          <w:p w14:paraId="6422CCE8" w14:textId="77777777"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Pr>
                <w:rFonts w:ascii="Calibri" w:eastAsia="Arial" w:hAnsi="Calibri" w:cs="Calibri"/>
                <w:b/>
                <w:bCs/>
                <w:color w:val="072E30" w:themeColor="accent6" w:themeShade="80"/>
                <w:sz w:val="19"/>
                <w:szCs w:val="19"/>
              </w:rPr>
              <w:t>1</w:t>
            </w:r>
          </w:p>
        </w:tc>
        <w:tc>
          <w:tcPr>
            <w:tcW w:w="708" w:type="dxa"/>
            <w:tcBorders>
              <w:top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Pr>
          <w:p w14:paraId="261BDF49" w14:textId="77777777" w:rsidR="005B67CB" w:rsidRPr="00686ABA" w:rsidRDefault="005B67CB">
            <w:pPr>
              <w:pStyle w:val="TableListBullet"/>
              <w:ind w:left="0" w:firstLine="0"/>
              <w:jc w:val="center"/>
              <w:rPr>
                <w:rFonts w:ascii="Calibri" w:eastAsia="Arial" w:hAnsi="Calibri" w:cs="Calibri"/>
                <w:b/>
                <w:bCs/>
                <w:color w:val="0F5E61" w:themeColor="accent6"/>
                <w:sz w:val="19"/>
                <w:szCs w:val="19"/>
              </w:rPr>
            </w:pPr>
            <w:r>
              <w:rPr>
                <w:rFonts w:ascii="Calibri" w:eastAsia="Arial" w:hAnsi="Calibri" w:cs="Calibri"/>
                <w:b/>
                <w:bCs/>
                <w:color w:val="0F5E61" w:themeColor="accent6"/>
                <w:sz w:val="19"/>
                <w:szCs w:val="19"/>
              </w:rPr>
              <w:t>1</w:t>
            </w:r>
          </w:p>
        </w:tc>
        <w:tc>
          <w:tcPr>
            <w:tcW w:w="713" w:type="dxa"/>
            <w:tcBorders>
              <w:top w:val="single" w:sz="2" w:space="0" w:color="FFFFFF" w:themeColor="background1"/>
              <w:left w:val="single" w:sz="2" w:space="0" w:color="FFFFFF" w:themeColor="background1"/>
              <w:bottom w:val="single" w:sz="2" w:space="0" w:color="FFFFFF" w:themeColor="background1"/>
            </w:tcBorders>
            <w:shd w:val="clear" w:color="auto" w:fill="F2F2F2" w:themeFill="background1" w:themeFillShade="F2"/>
          </w:tcPr>
          <w:p w14:paraId="1651C8CA" w14:textId="06C3F0EA"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Pr>
                <w:rFonts w:ascii="Calibri" w:eastAsia="Arial" w:hAnsi="Calibri" w:cs="Calibri"/>
                <w:b/>
                <w:bCs/>
                <w:color w:val="072E30" w:themeColor="accent6" w:themeShade="80"/>
                <w:sz w:val="19"/>
                <w:szCs w:val="19"/>
              </w:rPr>
              <w:t>9</w:t>
            </w:r>
          </w:p>
        </w:tc>
        <w:tc>
          <w:tcPr>
            <w:tcW w:w="709" w:type="dxa"/>
            <w:tcBorders>
              <w:top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Pr>
          <w:p w14:paraId="5A90BBFB" w14:textId="26C6D303" w:rsidR="005B67CB" w:rsidRPr="00686ABA" w:rsidRDefault="005B67CB">
            <w:pPr>
              <w:pStyle w:val="TableListBullet"/>
              <w:ind w:left="0" w:firstLine="0"/>
              <w:jc w:val="center"/>
              <w:rPr>
                <w:rFonts w:ascii="Calibri" w:eastAsia="Arial" w:hAnsi="Calibri" w:cs="Calibri"/>
                <w:b/>
                <w:bCs/>
                <w:color w:val="0F5E61" w:themeColor="accent6"/>
                <w:sz w:val="19"/>
                <w:szCs w:val="19"/>
              </w:rPr>
            </w:pPr>
            <w:r>
              <w:rPr>
                <w:rFonts w:ascii="Calibri" w:eastAsia="Arial" w:hAnsi="Calibri" w:cs="Calibri"/>
                <w:b/>
                <w:bCs/>
                <w:color w:val="0F5E61" w:themeColor="accent6"/>
                <w:sz w:val="19"/>
                <w:szCs w:val="19"/>
              </w:rPr>
              <w:t>6</w:t>
            </w:r>
          </w:p>
        </w:tc>
        <w:tc>
          <w:tcPr>
            <w:tcW w:w="711" w:type="dxa"/>
            <w:tcBorders>
              <w:top w:val="single" w:sz="2" w:space="0" w:color="FFFFFF" w:themeColor="background1"/>
              <w:left w:val="single" w:sz="2" w:space="0" w:color="FFFFFF" w:themeColor="background1"/>
              <w:bottom w:val="single" w:sz="2" w:space="0" w:color="FFFFFF" w:themeColor="background1"/>
            </w:tcBorders>
            <w:shd w:val="clear" w:color="auto" w:fill="F2F2F2" w:themeFill="background1" w:themeFillShade="F2"/>
          </w:tcPr>
          <w:p w14:paraId="7D887AC6" w14:textId="77777777"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Pr>
                <w:rFonts w:ascii="Calibri" w:eastAsia="Arial" w:hAnsi="Calibri" w:cs="Calibri"/>
                <w:b/>
                <w:bCs/>
                <w:color w:val="072E30" w:themeColor="accent6" w:themeShade="80"/>
                <w:sz w:val="19"/>
                <w:szCs w:val="19"/>
              </w:rPr>
              <w:t>-</w:t>
            </w:r>
          </w:p>
        </w:tc>
      </w:tr>
      <w:tr w:rsidR="005B67CB" w:rsidRPr="00166FCF" w14:paraId="4952B293" w14:textId="77777777" w:rsidTr="001D2723">
        <w:trPr>
          <w:cantSplit/>
        </w:trPr>
        <w:tc>
          <w:tcPr>
            <w:tcW w:w="5100" w:type="dxa"/>
            <w:tcBorders>
              <w:top w:val="single" w:sz="2" w:space="0" w:color="FFFFFF" w:themeColor="background1"/>
              <w:left w:val="single" w:sz="2" w:space="0" w:color="FFFFFF" w:themeColor="background1"/>
              <w:bottom w:val="single" w:sz="2" w:space="0" w:color="FFFFFF" w:themeColor="background1"/>
            </w:tcBorders>
          </w:tcPr>
          <w:p w14:paraId="27E9A960" w14:textId="77777777" w:rsidR="005B67CB" w:rsidRPr="00166FCF" w:rsidRDefault="005B67CB">
            <w:pPr>
              <w:pStyle w:val="TableListBullet"/>
              <w:ind w:left="0" w:firstLine="0"/>
              <w:rPr>
                <w:rFonts w:ascii="Arial" w:eastAsia="Times New Roman" w:hAnsi="Arial" w:cs="Arial"/>
                <w:b/>
                <w:bCs/>
                <w:color w:val="000000" w:themeColor="text1"/>
                <w:sz w:val="19"/>
                <w:szCs w:val="19"/>
                <w:lang w:eastAsia="en-GB"/>
              </w:rPr>
            </w:pPr>
            <w:r w:rsidRPr="00166FCF">
              <w:rPr>
                <w:rFonts w:ascii="Arial" w:eastAsia="Times New Roman" w:hAnsi="Arial" w:cs="Arial"/>
                <w:b/>
                <w:bCs/>
                <w:color w:val="000000" w:themeColor="text1"/>
                <w:sz w:val="19"/>
                <w:szCs w:val="19"/>
                <w:lang w:eastAsia="en-GB"/>
              </w:rPr>
              <w:t xml:space="preserve">QA </w:t>
            </w:r>
            <w:r w:rsidRPr="00457205">
              <w:rPr>
                <w:rFonts w:ascii="Arial" w:eastAsia="Times New Roman" w:hAnsi="Arial" w:cs="Arial"/>
                <w:b/>
                <w:bCs/>
                <w:color w:val="000000" w:themeColor="text1"/>
                <w:sz w:val="19"/>
                <w:szCs w:val="19"/>
                <w:lang w:eastAsia="en-GB"/>
              </w:rPr>
              <w:t>4</w:t>
            </w:r>
            <w:r w:rsidRPr="00166FCF">
              <w:rPr>
                <w:rFonts w:ascii="Calibri" w:eastAsia="Arial" w:hAnsi="Calibri" w:cs="Calibri"/>
                <w:color w:val="000000" w:themeColor="text1"/>
                <w:sz w:val="19"/>
                <w:szCs w:val="19"/>
              </w:rPr>
              <w:t xml:space="preserve"> Staffing arrangements</w:t>
            </w:r>
          </w:p>
        </w:tc>
        <w:tc>
          <w:tcPr>
            <w:tcW w:w="709" w:type="dxa"/>
            <w:tcBorders>
              <w:top w:val="single" w:sz="2" w:space="0" w:color="FFFFFF" w:themeColor="background1"/>
              <w:bottom w:val="single" w:sz="2" w:space="0" w:color="FFFFFF" w:themeColor="background1"/>
              <w:right w:val="single" w:sz="2" w:space="0" w:color="FFFFFF" w:themeColor="background1"/>
            </w:tcBorders>
          </w:tcPr>
          <w:p w14:paraId="4A1391D4" w14:textId="77777777" w:rsidR="005B67CB" w:rsidRPr="00686ABA" w:rsidRDefault="005B67CB">
            <w:pPr>
              <w:pStyle w:val="TableListBullet"/>
              <w:ind w:left="0" w:firstLine="0"/>
              <w:jc w:val="center"/>
              <w:rPr>
                <w:rFonts w:ascii="Calibri" w:eastAsia="Arial" w:hAnsi="Calibri" w:cs="Calibri"/>
                <w:b/>
                <w:bCs/>
                <w:color w:val="0F5E61" w:themeColor="accent6"/>
                <w:sz w:val="19"/>
                <w:szCs w:val="19"/>
              </w:rPr>
            </w:pPr>
            <w:r>
              <w:rPr>
                <w:rFonts w:ascii="Calibri" w:eastAsia="Arial" w:hAnsi="Calibri" w:cs="Calibri"/>
                <w:b/>
                <w:bCs/>
                <w:color w:val="0F5E61" w:themeColor="accent6"/>
                <w:sz w:val="19"/>
                <w:szCs w:val="19"/>
              </w:rPr>
              <w:t>-</w:t>
            </w:r>
          </w:p>
        </w:tc>
        <w:tc>
          <w:tcPr>
            <w:tcW w:w="709" w:type="dxa"/>
            <w:tcBorders>
              <w:top w:val="single" w:sz="2" w:space="0" w:color="FFFFFF" w:themeColor="background1"/>
              <w:left w:val="single" w:sz="2" w:space="0" w:color="FFFFFF" w:themeColor="background1"/>
              <w:bottom w:val="single" w:sz="2" w:space="0" w:color="FFFFFF" w:themeColor="background1"/>
            </w:tcBorders>
          </w:tcPr>
          <w:p w14:paraId="6BCE5691" w14:textId="77777777"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Pr>
                <w:rFonts w:ascii="Calibri" w:eastAsia="Arial" w:hAnsi="Calibri" w:cs="Calibri"/>
                <w:b/>
                <w:bCs/>
                <w:color w:val="072E30" w:themeColor="accent6" w:themeShade="80"/>
                <w:sz w:val="19"/>
                <w:szCs w:val="19"/>
              </w:rPr>
              <w:t>1</w:t>
            </w:r>
          </w:p>
        </w:tc>
        <w:tc>
          <w:tcPr>
            <w:tcW w:w="708" w:type="dxa"/>
            <w:tcBorders>
              <w:top w:val="single" w:sz="2" w:space="0" w:color="FFFFFF" w:themeColor="background1"/>
              <w:bottom w:val="single" w:sz="2" w:space="0" w:color="FFFFFF" w:themeColor="background1"/>
              <w:right w:val="single" w:sz="2" w:space="0" w:color="FFFFFF" w:themeColor="background1"/>
            </w:tcBorders>
          </w:tcPr>
          <w:p w14:paraId="65DBEFBC" w14:textId="77777777" w:rsidR="005B67CB" w:rsidRPr="00686ABA" w:rsidRDefault="005B67CB">
            <w:pPr>
              <w:pStyle w:val="TableListBullet"/>
              <w:ind w:left="0" w:firstLine="0"/>
              <w:jc w:val="center"/>
              <w:rPr>
                <w:rFonts w:ascii="Calibri" w:eastAsia="Arial" w:hAnsi="Calibri" w:cs="Calibri"/>
                <w:b/>
                <w:bCs/>
                <w:color w:val="0F5E61" w:themeColor="accent6"/>
                <w:sz w:val="19"/>
                <w:szCs w:val="19"/>
              </w:rPr>
            </w:pPr>
            <w:r>
              <w:rPr>
                <w:rFonts w:ascii="Calibri" w:eastAsia="Arial" w:hAnsi="Calibri" w:cs="Calibri"/>
                <w:b/>
                <w:bCs/>
                <w:color w:val="0F5E61" w:themeColor="accent6"/>
                <w:sz w:val="19"/>
                <w:szCs w:val="19"/>
              </w:rPr>
              <w:t>2</w:t>
            </w:r>
          </w:p>
        </w:tc>
        <w:tc>
          <w:tcPr>
            <w:tcW w:w="713" w:type="dxa"/>
            <w:tcBorders>
              <w:top w:val="single" w:sz="2" w:space="0" w:color="FFFFFF" w:themeColor="background1"/>
              <w:left w:val="single" w:sz="2" w:space="0" w:color="FFFFFF" w:themeColor="background1"/>
              <w:bottom w:val="single" w:sz="2" w:space="0" w:color="FFFFFF" w:themeColor="background1"/>
            </w:tcBorders>
          </w:tcPr>
          <w:p w14:paraId="4188F143" w14:textId="19E0070A"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Pr>
                <w:rFonts w:ascii="Calibri" w:eastAsia="Arial" w:hAnsi="Calibri" w:cs="Calibri"/>
                <w:b/>
                <w:bCs/>
                <w:color w:val="072E30" w:themeColor="accent6" w:themeShade="80"/>
                <w:sz w:val="19"/>
                <w:szCs w:val="19"/>
              </w:rPr>
              <w:t>8</w:t>
            </w:r>
          </w:p>
        </w:tc>
        <w:tc>
          <w:tcPr>
            <w:tcW w:w="709" w:type="dxa"/>
            <w:tcBorders>
              <w:top w:val="single" w:sz="2" w:space="0" w:color="FFFFFF" w:themeColor="background1"/>
              <w:bottom w:val="single" w:sz="2" w:space="0" w:color="FFFFFF" w:themeColor="background1"/>
              <w:right w:val="single" w:sz="2" w:space="0" w:color="FFFFFF" w:themeColor="background1"/>
            </w:tcBorders>
          </w:tcPr>
          <w:p w14:paraId="3D9C7BBF" w14:textId="0962FC57" w:rsidR="005B67CB" w:rsidRPr="00686ABA" w:rsidRDefault="005B67CB">
            <w:pPr>
              <w:pStyle w:val="TableListBullet"/>
              <w:ind w:left="0" w:firstLine="0"/>
              <w:jc w:val="center"/>
              <w:rPr>
                <w:rFonts w:ascii="Calibri" w:eastAsia="Arial" w:hAnsi="Calibri" w:cs="Calibri"/>
                <w:b/>
                <w:bCs/>
                <w:color w:val="0F5E61" w:themeColor="accent6"/>
                <w:sz w:val="19"/>
                <w:szCs w:val="19"/>
              </w:rPr>
            </w:pPr>
            <w:r>
              <w:rPr>
                <w:rFonts w:ascii="Calibri" w:eastAsia="Arial" w:hAnsi="Calibri" w:cs="Calibri"/>
                <w:b/>
                <w:bCs/>
                <w:color w:val="0F5E61" w:themeColor="accent6"/>
                <w:sz w:val="19"/>
                <w:szCs w:val="19"/>
              </w:rPr>
              <w:t>6</w:t>
            </w:r>
          </w:p>
        </w:tc>
        <w:tc>
          <w:tcPr>
            <w:tcW w:w="711" w:type="dxa"/>
            <w:tcBorders>
              <w:top w:val="single" w:sz="2" w:space="0" w:color="FFFFFF" w:themeColor="background1"/>
              <w:left w:val="single" w:sz="2" w:space="0" w:color="FFFFFF" w:themeColor="background1"/>
              <w:bottom w:val="single" w:sz="2" w:space="0" w:color="FFFFFF" w:themeColor="background1"/>
            </w:tcBorders>
          </w:tcPr>
          <w:p w14:paraId="37441126" w14:textId="77777777"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Pr>
                <w:rFonts w:ascii="Calibri" w:eastAsia="Arial" w:hAnsi="Calibri" w:cs="Calibri"/>
                <w:b/>
                <w:bCs/>
                <w:color w:val="072E30" w:themeColor="accent6" w:themeShade="80"/>
                <w:sz w:val="19"/>
                <w:szCs w:val="19"/>
              </w:rPr>
              <w:t>-</w:t>
            </w:r>
          </w:p>
        </w:tc>
      </w:tr>
      <w:tr w:rsidR="005B67CB" w:rsidRPr="00166FCF" w14:paraId="4DD46692" w14:textId="77777777" w:rsidTr="001D2723">
        <w:trPr>
          <w:cantSplit/>
        </w:trPr>
        <w:tc>
          <w:tcPr>
            <w:tcW w:w="5100" w:type="dxa"/>
            <w:tcBorders>
              <w:top w:val="single" w:sz="2" w:space="0" w:color="FFFFFF" w:themeColor="background1"/>
              <w:left w:val="single" w:sz="2" w:space="0" w:color="FFFFFF" w:themeColor="background1"/>
              <w:bottom w:val="single" w:sz="2" w:space="0" w:color="FFFFFF" w:themeColor="background1"/>
            </w:tcBorders>
            <w:shd w:val="clear" w:color="auto" w:fill="F2F2F2" w:themeFill="background1" w:themeFillShade="F2"/>
          </w:tcPr>
          <w:p w14:paraId="04998E18" w14:textId="77777777" w:rsidR="005B67CB" w:rsidRPr="00166FCF" w:rsidRDefault="005B67CB">
            <w:pPr>
              <w:pStyle w:val="TableListBullet"/>
              <w:ind w:left="0" w:firstLine="0"/>
              <w:rPr>
                <w:rFonts w:ascii="Arial" w:eastAsia="Times New Roman" w:hAnsi="Arial" w:cs="Arial"/>
                <w:b/>
                <w:bCs/>
                <w:color w:val="000000" w:themeColor="text1"/>
                <w:sz w:val="19"/>
                <w:szCs w:val="19"/>
                <w:lang w:eastAsia="en-GB"/>
              </w:rPr>
            </w:pPr>
            <w:r w:rsidRPr="00166FCF">
              <w:rPr>
                <w:rFonts w:ascii="Arial" w:eastAsia="Times New Roman" w:hAnsi="Arial" w:cs="Arial"/>
                <w:b/>
                <w:bCs/>
                <w:color w:val="000000" w:themeColor="text1"/>
                <w:sz w:val="19"/>
                <w:szCs w:val="19"/>
                <w:lang w:eastAsia="en-GB"/>
              </w:rPr>
              <w:t xml:space="preserve">QA </w:t>
            </w:r>
            <w:r w:rsidRPr="00457205">
              <w:rPr>
                <w:rFonts w:ascii="Arial" w:eastAsia="Times New Roman" w:hAnsi="Arial" w:cs="Arial"/>
                <w:b/>
                <w:bCs/>
                <w:color w:val="000000" w:themeColor="text1"/>
                <w:sz w:val="19"/>
                <w:szCs w:val="19"/>
                <w:lang w:eastAsia="en-GB"/>
              </w:rPr>
              <w:t>5</w:t>
            </w:r>
            <w:r w:rsidRPr="00166FCF">
              <w:rPr>
                <w:rFonts w:ascii="Calibri" w:eastAsia="Arial" w:hAnsi="Calibri" w:cs="Calibri"/>
                <w:color w:val="000000" w:themeColor="text1"/>
                <w:sz w:val="19"/>
                <w:szCs w:val="19"/>
              </w:rPr>
              <w:t xml:space="preserve"> Relationships with children</w:t>
            </w:r>
          </w:p>
        </w:tc>
        <w:tc>
          <w:tcPr>
            <w:tcW w:w="709" w:type="dxa"/>
            <w:tcBorders>
              <w:top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Pr>
          <w:p w14:paraId="11ECD649" w14:textId="77777777" w:rsidR="005B67CB" w:rsidRPr="00686ABA" w:rsidRDefault="005B67CB">
            <w:pPr>
              <w:pStyle w:val="TableListBullet"/>
              <w:ind w:left="0" w:firstLine="0"/>
              <w:jc w:val="center"/>
              <w:rPr>
                <w:rFonts w:ascii="Calibri" w:eastAsia="Arial" w:hAnsi="Calibri" w:cs="Calibri"/>
                <w:b/>
                <w:bCs/>
                <w:color w:val="0F5E61" w:themeColor="accent6"/>
                <w:sz w:val="19"/>
                <w:szCs w:val="19"/>
              </w:rPr>
            </w:pPr>
            <w:r>
              <w:rPr>
                <w:rFonts w:ascii="Calibri" w:eastAsia="Arial" w:hAnsi="Calibri" w:cs="Calibri"/>
                <w:b/>
                <w:bCs/>
                <w:color w:val="0F5E61" w:themeColor="accent6"/>
                <w:sz w:val="19"/>
                <w:szCs w:val="19"/>
              </w:rPr>
              <w:t>-</w:t>
            </w:r>
          </w:p>
        </w:tc>
        <w:tc>
          <w:tcPr>
            <w:tcW w:w="709" w:type="dxa"/>
            <w:tcBorders>
              <w:top w:val="single" w:sz="2" w:space="0" w:color="FFFFFF" w:themeColor="background1"/>
              <w:left w:val="single" w:sz="2" w:space="0" w:color="FFFFFF" w:themeColor="background1"/>
              <w:bottom w:val="single" w:sz="2" w:space="0" w:color="FFFFFF" w:themeColor="background1"/>
            </w:tcBorders>
            <w:shd w:val="clear" w:color="auto" w:fill="F2F2F2" w:themeFill="background1" w:themeFillShade="F2"/>
          </w:tcPr>
          <w:p w14:paraId="45E55E66" w14:textId="77777777"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Pr>
                <w:rFonts w:ascii="Calibri" w:eastAsia="Arial" w:hAnsi="Calibri" w:cs="Calibri"/>
                <w:b/>
                <w:bCs/>
                <w:color w:val="072E30" w:themeColor="accent6" w:themeShade="80"/>
                <w:sz w:val="19"/>
                <w:szCs w:val="19"/>
              </w:rPr>
              <w:t>1</w:t>
            </w:r>
          </w:p>
        </w:tc>
        <w:tc>
          <w:tcPr>
            <w:tcW w:w="708" w:type="dxa"/>
            <w:tcBorders>
              <w:top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Pr>
          <w:p w14:paraId="0B634B85" w14:textId="77777777" w:rsidR="005B67CB" w:rsidRPr="00686ABA" w:rsidRDefault="005B67CB">
            <w:pPr>
              <w:pStyle w:val="TableListBullet"/>
              <w:ind w:left="0" w:firstLine="0"/>
              <w:jc w:val="center"/>
              <w:rPr>
                <w:rFonts w:ascii="Calibri" w:eastAsia="Arial" w:hAnsi="Calibri" w:cs="Calibri"/>
                <w:b/>
                <w:bCs/>
                <w:color w:val="0F5E61" w:themeColor="accent6"/>
                <w:sz w:val="19"/>
                <w:szCs w:val="19"/>
              </w:rPr>
            </w:pPr>
            <w:r>
              <w:rPr>
                <w:rFonts w:ascii="Calibri" w:eastAsia="Arial" w:hAnsi="Calibri" w:cs="Calibri"/>
                <w:b/>
                <w:bCs/>
                <w:color w:val="0F5E61" w:themeColor="accent6"/>
                <w:sz w:val="19"/>
                <w:szCs w:val="19"/>
              </w:rPr>
              <w:t>-</w:t>
            </w:r>
          </w:p>
        </w:tc>
        <w:tc>
          <w:tcPr>
            <w:tcW w:w="713" w:type="dxa"/>
            <w:tcBorders>
              <w:top w:val="single" w:sz="2" w:space="0" w:color="FFFFFF" w:themeColor="background1"/>
              <w:left w:val="single" w:sz="2" w:space="0" w:color="FFFFFF" w:themeColor="background1"/>
              <w:bottom w:val="single" w:sz="2" w:space="0" w:color="FFFFFF" w:themeColor="background1"/>
            </w:tcBorders>
            <w:shd w:val="clear" w:color="auto" w:fill="F2F2F2" w:themeFill="background1" w:themeFillShade="F2"/>
          </w:tcPr>
          <w:p w14:paraId="7B54E655" w14:textId="680ABEC1"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Pr>
                <w:rFonts w:ascii="Calibri" w:eastAsia="Arial" w:hAnsi="Calibri" w:cs="Calibri"/>
                <w:b/>
                <w:bCs/>
                <w:color w:val="072E30" w:themeColor="accent6" w:themeShade="80"/>
                <w:sz w:val="19"/>
                <w:szCs w:val="19"/>
              </w:rPr>
              <w:t>10</w:t>
            </w:r>
          </w:p>
        </w:tc>
        <w:tc>
          <w:tcPr>
            <w:tcW w:w="709" w:type="dxa"/>
            <w:tcBorders>
              <w:top w:val="single" w:sz="2" w:space="0" w:color="FFFFFF" w:themeColor="background1"/>
              <w:bottom w:val="single" w:sz="2" w:space="0" w:color="FFFFFF" w:themeColor="background1"/>
              <w:right w:val="single" w:sz="2" w:space="0" w:color="FFFFFF" w:themeColor="background1"/>
            </w:tcBorders>
            <w:shd w:val="clear" w:color="auto" w:fill="F2F2F2" w:themeFill="background1" w:themeFillShade="F2"/>
          </w:tcPr>
          <w:p w14:paraId="031553DA" w14:textId="4B5AE41D" w:rsidR="005B67CB" w:rsidRPr="00686ABA" w:rsidRDefault="005B67CB">
            <w:pPr>
              <w:pStyle w:val="TableListBullet"/>
              <w:ind w:left="0" w:firstLine="0"/>
              <w:jc w:val="center"/>
              <w:rPr>
                <w:rFonts w:ascii="Calibri" w:eastAsia="Arial" w:hAnsi="Calibri" w:cs="Calibri"/>
                <w:b/>
                <w:bCs/>
                <w:color w:val="0F5E61" w:themeColor="accent6"/>
                <w:sz w:val="19"/>
                <w:szCs w:val="19"/>
              </w:rPr>
            </w:pPr>
            <w:r>
              <w:rPr>
                <w:rFonts w:ascii="Calibri" w:eastAsia="Arial" w:hAnsi="Calibri" w:cs="Calibri"/>
                <w:b/>
                <w:bCs/>
                <w:color w:val="0F5E61" w:themeColor="accent6"/>
                <w:sz w:val="19"/>
                <w:szCs w:val="19"/>
              </w:rPr>
              <w:t>6</w:t>
            </w:r>
          </w:p>
        </w:tc>
        <w:tc>
          <w:tcPr>
            <w:tcW w:w="711" w:type="dxa"/>
            <w:tcBorders>
              <w:top w:val="single" w:sz="2" w:space="0" w:color="FFFFFF" w:themeColor="background1"/>
              <w:left w:val="single" w:sz="2" w:space="0" w:color="FFFFFF" w:themeColor="background1"/>
              <w:bottom w:val="single" w:sz="2" w:space="0" w:color="FFFFFF" w:themeColor="background1"/>
            </w:tcBorders>
            <w:shd w:val="clear" w:color="auto" w:fill="F2F2F2" w:themeFill="background1" w:themeFillShade="F2"/>
          </w:tcPr>
          <w:p w14:paraId="643E872B" w14:textId="77777777"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Pr>
                <w:rFonts w:ascii="Calibri" w:eastAsia="Arial" w:hAnsi="Calibri" w:cs="Calibri"/>
                <w:b/>
                <w:bCs/>
                <w:color w:val="072E30" w:themeColor="accent6" w:themeShade="80"/>
                <w:sz w:val="19"/>
                <w:szCs w:val="19"/>
              </w:rPr>
              <w:t>-</w:t>
            </w:r>
          </w:p>
        </w:tc>
      </w:tr>
      <w:tr w:rsidR="005B67CB" w:rsidRPr="00166FCF" w14:paraId="5C60128F" w14:textId="77777777" w:rsidTr="001D2723">
        <w:trPr>
          <w:cantSplit/>
        </w:trPr>
        <w:tc>
          <w:tcPr>
            <w:tcW w:w="5100" w:type="dxa"/>
            <w:tcBorders>
              <w:top w:val="single" w:sz="2" w:space="0" w:color="FFFFFF" w:themeColor="background1"/>
              <w:left w:val="single" w:sz="2" w:space="0" w:color="FFFFFF" w:themeColor="background1"/>
              <w:bottom w:val="single" w:sz="2" w:space="0" w:color="FFFFFF" w:themeColor="background1"/>
            </w:tcBorders>
          </w:tcPr>
          <w:p w14:paraId="686FD9BC" w14:textId="77777777" w:rsidR="005B67CB" w:rsidRPr="00166FCF" w:rsidRDefault="005B67CB">
            <w:pPr>
              <w:pStyle w:val="TableListBullet"/>
              <w:ind w:left="0" w:firstLine="0"/>
              <w:rPr>
                <w:rFonts w:ascii="Arial" w:eastAsia="Times New Roman" w:hAnsi="Arial" w:cs="Arial"/>
                <w:b/>
                <w:bCs/>
                <w:color w:val="000000" w:themeColor="text1"/>
                <w:sz w:val="19"/>
                <w:szCs w:val="19"/>
                <w:lang w:eastAsia="en-GB"/>
              </w:rPr>
            </w:pPr>
            <w:r w:rsidRPr="00166FCF">
              <w:rPr>
                <w:rFonts w:ascii="Arial" w:eastAsia="Times New Roman" w:hAnsi="Arial" w:cs="Arial"/>
                <w:b/>
                <w:bCs/>
                <w:color w:val="000000" w:themeColor="text1"/>
                <w:sz w:val="19"/>
                <w:szCs w:val="19"/>
                <w:lang w:eastAsia="en-GB"/>
              </w:rPr>
              <w:t xml:space="preserve">QA </w:t>
            </w:r>
            <w:r w:rsidRPr="00457205">
              <w:rPr>
                <w:rFonts w:ascii="Arial" w:eastAsia="Times New Roman" w:hAnsi="Arial" w:cs="Arial"/>
                <w:b/>
                <w:bCs/>
                <w:color w:val="000000" w:themeColor="text1"/>
                <w:sz w:val="19"/>
                <w:szCs w:val="19"/>
                <w:lang w:eastAsia="en-GB"/>
              </w:rPr>
              <w:t>6</w:t>
            </w:r>
            <w:r w:rsidRPr="00166FCF">
              <w:rPr>
                <w:rFonts w:ascii="Calibri" w:eastAsia="Arial" w:hAnsi="Calibri" w:cs="Calibri"/>
                <w:color w:val="000000" w:themeColor="text1"/>
                <w:sz w:val="19"/>
                <w:szCs w:val="19"/>
              </w:rPr>
              <w:t xml:space="preserve"> </w:t>
            </w:r>
            <w:r>
              <w:rPr>
                <w:rFonts w:ascii="Calibri" w:eastAsia="Arial" w:hAnsi="Calibri" w:cs="Calibri"/>
                <w:color w:val="000000" w:themeColor="text1"/>
                <w:sz w:val="19"/>
                <w:szCs w:val="19"/>
              </w:rPr>
              <w:t>Collaborative p</w:t>
            </w:r>
            <w:r w:rsidRPr="00166FCF">
              <w:rPr>
                <w:rFonts w:ascii="Calibri" w:eastAsia="Arial" w:hAnsi="Calibri" w:cs="Calibri"/>
                <w:color w:val="000000" w:themeColor="text1"/>
                <w:sz w:val="19"/>
                <w:szCs w:val="19"/>
              </w:rPr>
              <w:t>artnerships w</w:t>
            </w:r>
            <w:r>
              <w:rPr>
                <w:rFonts w:ascii="Calibri" w:eastAsia="Arial" w:hAnsi="Calibri" w:cs="Calibri"/>
                <w:color w:val="000000" w:themeColor="text1"/>
                <w:sz w:val="19"/>
                <w:szCs w:val="19"/>
              </w:rPr>
              <w:t xml:space="preserve">ith </w:t>
            </w:r>
            <w:r w:rsidRPr="00166FCF">
              <w:rPr>
                <w:rFonts w:ascii="Calibri" w:eastAsia="Arial" w:hAnsi="Calibri" w:cs="Calibri"/>
                <w:color w:val="000000" w:themeColor="text1"/>
                <w:sz w:val="19"/>
                <w:szCs w:val="19"/>
              </w:rPr>
              <w:t>families &amp; communities</w:t>
            </w:r>
          </w:p>
        </w:tc>
        <w:tc>
          <w:tcPr>
            <w:tcW w:w="709" w:type="dxa"/>
            <w:tcBorders>
              <w:top w:val="single" w:sz="2" w:space="0" w:color="FFFFFF" w:themeColor="background1"/>
              <w:bottom w:val="single" w:sz="2" w:space="0" w:color="FFFFFF" w:themeColor="background1"/>
              <w:right w:val="single" w:sz="2" w:space="0" w:color="FFFFFF" w:themeColor="background1"/>
            </w:tcBorders>
          </w:tcPr>
          <w:p w14:paraId="2600F450" w14:textId="77777777" w:rsidR="005B67CB" w:rsidRPr="00686ABA" w:rsidRDefault="005B67CB">
            <w:pPr>
              <w:pStyle w:val="TableListBullet"/>
              <w:ind w:left="0" w:firstLine="0"/>
              <w:jc w:val="center"/>
              <w:rPr>
                <w:rFonts w:ascii="Calibri" w:eastAsia="Arial" w:hAnsi="Calibri" w:cs="Calibri"/>
                <w:b/>
                <w:bCs/>
                <w:color w:val="0F5E61" w:themeColor="accent6"/>
                <w:sz w:val="19"/>
                <w:szCs w:val="19"/>
              </w:rPr>
            </w:pPr>
            <w:r>
              <w:rPr>
                <w:rFonts w:ascii="Calibri" w:eastAsia="Arial" w:hAnsi="Calibri" w:cs="Calibri"/>
                <w:b/>
                <w:bCs/>
                <w:color w:val="0F5E61" w:themeColor="accent6"/>
                <w:sz w:val="19"/>
                <w:szCs w:val="19"/>
              </w:rPr>
              <w:t>-</w:t>
            </w:r>
          </w:p>
        </w:tc>
        <w:tc>
          <w:tcPr>
            <w:tcW w:w="709" w:type="dxa"/>
            <w:tcBorders>
              <w:top w:val="single" w:sz="2" w:space="0" w:color="FFFFFF" w:themeColor="background1"/>
              <w:left w:val="single" w:sz="2" w:space="0" w:color="FFFFFF" w:themeColor="background1"/>
              <w:bottom w:val="single" w:sz="2" w:space="0" w:color="FFFFFF" w:themeColor="background1"/>
            </w:tcBorders>
          </w:tcPr>
          <w:p w14:paraId="0DA973F0" w14:textId="77777777"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Pr>
                <w:rFonts w:ascii="Calibri" w:eastAsia="Arial" w:hAnsi="Calibri" w:cs="Calibri"/>
                <w:b/>
                <w:bCs/>
                <w:color w:val="072E30" w:themeColor="accent6" w:themeShade="80"/>
                <w:sz w:val="19"/>
                <w:szCs w:val="19"/>
              </w:rPr>
              <w:t>1</w:t>
            </w:r>
          </w:p>
        </w:tc>
        <w:tc>
          <w:tcPr>
            <w:tcW w:w="708" w:type="dxa"/>
            <w:tcBorders>
              <w:top w:val="single" w:sz="2" w:space="0" w:color="FFFFFF" w:themeColor="background1"/>
              <w:bottom w:val="single" w:sz="2" w:space="0" w:color="FFFFFF" w:themeColor="background1"/>
              <w:right w:val="single" w:sz="2" w:space="0" w:color="FFFFFF" w:themeColor="background1"/>
            </w:tcBorders>
          </w:tcPr>
          <w:p w14:paraId="38D16D9E" w14:textId="77777777" w:rsidR="005B67CB" w:rsidRPr="00686ABA" w:rsidRDefault="005B67CB">
            <w:pPr>
              <w:pStyle w:val="TableListBullet"/>
              <w:ind w:left="0" w:firstLine="0"/>
              <w:jc w:val="center"/>
              <w:rPr>
                <w:rFonts w:ascii="Calibri" w:eastAsia="Arial" w:hAnsi="Calibri" w:cs="Calibri"/>
                <w:b/>
                <w:bCs/>
                <w:color w:val="0F5E61" w:themeColor="accent6"/>
                <w:sz w:val="19"/>
                <w:szCs w:val="19"/>
              </w:rPr>
            </w:pPr>
            <w:r>
              <w:rPr>
                <w:rFonts w:ascii="Calibri" w:eastAsia="Arial" w:hAnsi="Calibri" w:cs="Calibri"/>
                <w:b/>
                <w:bCs/>
                <w:color w:val="0F5E61" w:themeColor="accent6"/>
                <w:sz w:val="19"/>
                <w:szCs w:val="19"/>
              </w:rPr>
              <w:t>-</w:t>
            </w:r>
          </w:p>
        </w:tc>
        <w:tc>
          <w:tcPr>
            <w:tcW w:w="713" w:type="dxa"/>
            <w:tcBorders>
              <w:top w:val="single" w:sz="2" w:space="0" w:color="FFFFFF" w:themeColor="background1"/>
              <w:left w:val="single" w:sz="2" w:space="0" w:color="FFFFFF" w:themeColor="background1"/>
              <w:bottom w:val="single" w:sz="2" w:space="0" w:color="FFFFFF" w:themeColor="background1"/>
            </w:tcBorders>
          </w:tcPr>
          <w:p w14:paraId="55671F6A" w14:textId="5AB92D52"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Pr>
                <w:rFonts w:ascii="Calibri" w:eastAsia="Arial" w:hAnsi="Calibri" w:cs="Calibri"/>
                <w:b/>
                <w:bCs/>
                <w:color w:val="072E30" w:themeColor="accent6" w:themeShade="80"/>
                <w:sz w:val="19"/>
                <w:szCs w:val="19"/>
              </w:rPr>
              <w:t>10</w:t>
            </w:r>
          </w:p>
        </w:tc>
        <w:tc>
          <w:tcPr>
            <w:tcW w:w="709" w:type="dxa"/>
            <w:tcBorders>
              <w:top w:val="single" w:sz="2" w:space="0" w:color="FFFFFF" w:themeColor="background1"/>
              <w:bottom w:val="single" w:sz="2" w:space="0" w:color="FFFFFF" w:themeColor="background1"/>
              <w:right w:val="single" w:sz="2" w:space="0" w:color="FFFFFF" w:themeColor="background1"/>
            </w:tcBorders>
          </w:tcPr>
          <w:p w14:paraId="702CF741" w14:textId="613B8C6A" w:rsidR="005B67CB" w:rsidRPr="00686ABA" w:rsidRDefault="005B67CB">
            <w:pPr>
              <w:pStyle w:val="TableListBullet"/>
              <w:ind w:left="0" w:firstLine="0"/>
              <w:jc w:val="center"/>
              <w:rPr>
                <w:rFonts w:ascii="Calibri" w:eastAsia="Arial" w:hAnsi="Calibri" w:cs="Calibri"/>
                <w:b/>
                <w:bCs/>
                <w:color w:val="0F5E61" w:themeColor="accent6"/>
                <w:sz w:val="19"/>
                <w:szCs w:val="19"/>
              </w:rPr>
            </w:pPr>
            <w:r>
              <w:rPr>
                <w:rFonts w:ascii="Calibri" w:eastAsia="Arial" w:hAnsi="Calibri" w:cs="Calibri"/>
                <w:b/>
                <w:bCs/>
                <w:color w:val="0F5E61" w:themeColor="accent6"/>
                <w:sz w:val="19"/>
                <w:szCs w:val="19"/>
              </w:rPr>
              <w:t>6</w:t>
            </w:r>
          </w:p>
        </w:tc>
        <w:tc>
          <w:tcPr>
            <w:tcW w:w="711" w:type="dxa"/>
            <w:tcBorders>
              <w:top w:val="single" w:sz="2" w:space="0" w:color="FFFFFF" w:themeColor="background1"/>
              <w:left w:val="single" w:sz="2" w:space="0" w:color="FFFFFF" w:themeColor="background1"/>
              <w:bottom w:val="single" w:sz="2" w:space="0" w:color="FFFFFF" w:themeColor="background1"/>
            </w:tcBorders>
          </w:tcPr>
          <w:p w14:paraId="081658FA" w14:textId="77777777"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Pr>
                <w:rFonts w:ascii="Calibri" w:eastAsia="Arial" w:hAnsi="Calibri" w:cs="Calibri"/>
                <w:b/>
                <w:bCs/>
                <w:color w:val="072E30" w:themeColor="accent6" w:themeShade="80"/>
                <w:sz w:val="19"/>
                <w:szCs w:val="19"/>
              </w:rPr>
              <w:t>-</w:t>
            </w:r>
          </w:p>
        </w:tc>
      </w:tr>
      <w:tr w:rsidR="005B67CB" w:rsidRPr="00166FCF" w14:paraId="16AF0EF5" w14:textId="77777777" w:rsidTr="001D2723">
        <w:trPr>
          <w:cantSplit/>
        </w:trPr>
        <w:tc>
          <w:tcPr>
            <w:tcW w:w="5100" w:type="dxa"/>
            <w:tcBorders>
              <w:top w:val="single" w:sz="2" w:space="0" w:color="FFFFFF" w:themeColor="background1"/>
              <w:left w:val="single" w:sz="2" w:space="0" w:color="FFFFFF" w:themeColor="background1"/>
            </w:tcBorders>
            <w:shd w:val="clear" w:color="auto" w:fill="F2F2F2" w:themeFill="background1" w:themeFillShade="F2"/>
          </w:tcPr>
          <w:p w14:paraId="6CB4EA70" w14:textId="77777777" w:rsidR="005B67CB" w:rsidRPr="00166FCF" w:rsidRDefault="005B67CB">
            <w:pPr>
              <w:pStyle w:val="TableListBullet"/>
              <w:ind w:left="0" w:firstLine="0"/>
              <w:rPr>
                <w:rFonts w:ascii="Arial" w:eastAsia="Times New Roman" w:hAnsi="Arial" w:cs="Arial"/>
                <w:b/>
                <w:bCs/>
                <w:color w:val="000000" w:themeColor="text1"/>
                <w:sz w:val="19"/>
                <w:szCs w:val="19"/>
                <w:lang w:eastAsia="en-GB"/>
              </w:rPr>
            </w:pPr>
            <w:r w:rsidRPr="00166FCF">
              <w:rPr>
                <w:rFonts w:ascii="Arial" w:eastAsia="Times New Roman" w:hAnsi="Arial" w:cs="Arial"/>
                <w:b/>
                <w:bCs/>
                <w:color w:val="000000" w:themeColor="text1"/>
                <w:sz w:val="19"/>
                <w:szCs w:val="19"/>
                <w:lang w:eastAsia="en-GB"/>
              </w:rPr>
              <w:t xml:space="preserve">QA </w:t>
            </w:r>
            <w:r w:rsidRPr="00457205">
              <w:rPr>
                <w:rFonts w:ascii="Arial" w:eastAsia="Times New Roman" w:hAnsi="Arial" w:cs="Arial"/>
                <w:b/>
                <w:bCs/>
                <w:color w:val="000000" w:themeColor="text1"/>
                <w:sz w:val="19"/>
                <w:szCs w:val="19"/>
                <w:lang w:eastAsia="en-GB"/>
              </w:rPr>
              <w:t>7</w:t>
            </w:r>
            <w:r w:rsidRPr="00166FCF">
              <w:rPr>
                <w:rFonts w:ascii="Calibri" w:eastAsia="Arial" w:hAnsi="Calibri" w:cs="Calibri"/>
                <w:color w:val="000000" w:themeColor="text1"/>
                <w:sz w:val="19"/>
                <w:szCs w:val="19"/>
              </w:rPr>
              <w:t xml:space="preserve"> Governance &amp; leadership</w:t>
            </w:r>
          </w:p>
        </w:tc>
        <w:tc>
          <w:tcPr>
            <w:tcW w:w="709" w:type="dxa"/>
            <w:tcBorders>
              <w:top w:val="single" w:sz="2" w:space="0" w:color="FFFFFF" w:themeColor="background1"/>
              <w:right w:val="single" w:sz="2" w:space="0" w:color="FFFFFF" w:themeColor="background1"/>
            </w:tcBorders>
            <w:shd w:val="clear" w:color="auto" w:fill="F2F2F2" w:themeFill="background1" w:themeFillShade="F2"/>
          </w:tcPr>
          <w:p w14:paraId="7392B981" w14:textId="77777777" w:rsidR="005B67CB" w:rsidRPr="00686ABA" w:rsidRDefault="005B67CB">
            <w:pPr>
              <w:pStyle w:val="TableListBullet"/>
              <w:ind w:left="0" w:firstLine="0"/>
              <w:jc w:val="center"/>
              <w:rPr>
                <w:rFonts w:ascii="Calibri" w:eastAsia="Arial" w:hAnsi="Calibri" w:cs="Calibri"/>
                <w:b/>
                <w:bCs/>
                <w:color w:val="0F5E61" w:themeColor="accent6"/>
                <w:sz w:val="19"/>
                <w:szCs w:val="19"/>
              </w:rPr>
            </w:pPr>
            <w:r>
              <w:rPr>
                <w:rFonts w:ascii="Calibri" w:eastAsia="Arial" w:hAnsi="Calibri" w:cs="Calibri"/>
                <w:b/>
                <w:bCs/>
                <w:color w:val="0F5E61" w:themeColor="accent6"/>
                <w:sz w:val="19"/>
                <w:szCs w:val="19"/>
              </w:rPr>
              <w:t>-</w:t>
            </w:r>
          </w:p>
        </w:tc>
        <w:tc>
          <w:tcPr>
            <w:tcW w:w="709" w:type="dxa"/>
            <w:tcBorders>
              <w:top w:val="single" w:sz="2" w:space="0" w:color="FFFFFF" w:themeColor="background1"/>
              <w:left w:val="single" w:sz="2" w:space="0" w:color="FFFFFF" w:themeColor="background1"/>
            </w:tcBorders>
            <w:shd w:val="clear" w:color="auto" w:fill="F2F2F2" w:themeFill="background1" w:themeFillShade="F2"/>
          </w:tcPr>
          <w:p w14:paraId="5EE37C94" w14:textId="77777777"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Pr>
                <w:rFonts w:ascii="Calibri" w:eastAsia="Arial" w:hAnsi="Calibri" w:cs="Calibri"/>
                <w:b/>
                <w:bCs/>
                <w:color w:val="072E30" w:themeColor="accent6" w:themeShade="80"/>
                <w:sz w:val="19"/>
                <w:szCs w:val="19"/>
              </w:rPr>
              <w:t>1</w:t>
            </w:r>
          </w:p>
        </w:tc>
        <w:tc>
          <w:tcPr>
            <w:tcW w:w="708" w:type="dxa"/>
            <w:tcBorders>
              <w:top w:val="single" w:sz="2" w:space="0" w:color="FFFFFF" w:themeColor="background1"/>
              <w:right w:val="single" w:sz="2" w:space="0" w:color="FFFFFF" w:themeColor="background1"/>
            </w:tcBorders>
            <w:shd w:val="clear" w:color="auto" w:fill="F2F2F2" w:themeFill="background1" w:themeFillShade="F2"/>
          </w:tcPr>
          <w:p w14:paraId="582F1733" w14:textId="77777777" w:rsidR="005B67CB" w:rsidRPr="00686ABA" w:rsidRDefault="005B67CB">
            <w:pPr>
              <w:pStyle w:val="TableListBullet"/>
              <w:ind w:left="0" w:firstLine="0"/>
              <w:jc w:val="center"/>
              <w:rPr>
                <w:rFonts w:ascii="Calibri" w:eastAsia="Arial" w:hAnsi="Calibri" w:cs="Calibri"/>
                <w:b/>
                <w:bCs/>
                <w:color w:val="0F5E61" w:themeColor="accent6"/>
                <w:sz w:val="19"/>
                <w:szCs w:val="19"/>
              </w:rPr>
            </w:pPr>
            <w:r>
              <w:rPr>
                <w:rFonts w:ascii="Calibri" w:eastAsia="Arial" w:hAnsi="Calibri" w:cs="Calibri"/>
                <w:b/>
                <w:bCs/>
                <w:color w:val="0F5E61" w:themeColor="accent6"/>
                <w:sz w:val="19"/>
                <w:szCs w:val="19"/>
              </w:rPr>
              <w:t>2</w:t>
            </w:r>
          </w:p>
        </w:tc>
        <w:tc>
          <w:tcPr>
            <w:tcW w:w="713" w:type="dxa"/>
            <w:tcBorders>
              <w:top w:val="single" w:sz="2" w:space="0" w:color="FFFFFF" w:themeColor="background1"/>
              <w:left w:val="single" w:sz="2" w:space="0" w:color="FFFFFF" w:themeColor="background1"/>
            </w:tcBorders>
            <w:shd w:val="clear" w:color="auto" w:fill="F2F2F2" w:themeFill="background1" w:themeFillShade="F2"/>
          </w:tcPr>
          <w:p w14:paraId="2199ECC6" w14:textId="703510D5"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Pr>
                <w:rFonts w:ascii="Calibri" w:eastAsia="Arial" w:hAnsi="Calibri" w:cs="Calibri"/>
                <w:b/>
                <w:bCs/>
                <w:color w:val="072E30" w:themeColor="accent6" w:themeShade="80"/>
                <w:sz w:val="19"/>
                <w:szCs w:val="19"/>
              </w:rPr>
              <w:t>8</w:t>
            </w:r>
          </w:p>
        </w:tc>
        <w:tc>
          <w:tcPr>
            <w:tcW w:w="709" w:type="dxa"/>
            <w:tcBorders>
              <w:top w:val="single" w:sz="2" w:space="0" w:color="FFFFFF" w:themeColor="background1"/>
              <w:right w:val="single" w:sz="2" w:space="0" w:color="FFFFFF" w:themeColor="background1"/>
            </w:tcBorders>
            <w:shd w:val="clear" w:color="auto" w:fill="F2F2F2" w:themeFill="background1" w:themeFillShade="F2"/>
          </w:tcPr>
          <w:p w14:paraId="291D3B54" w14:textId="49DD334F" w:rsidR="005B67CB" w:rsidRPr="00686ABA" w:rsidRDefault="005B67CB">
            <w:pPr>
              <w:pStyle w:val="TableListBullet"/>
              <w:ind w:left="0" w:firstLine="0"/>
              <w:jc w:val="center"/>
              <w:rPr>
                <w:rFonts w:ascii="Calibri" w:eastAsia="Arial" w:hAnsi="Calibri" w:cs="Calibri"/>
                <w:b/>
                <w:bCs/>
                <w:color w:val="0F5E61" w:themeColor="accent6"/>
                <w:sz w:val="19"/>
                <w:szCs w:val="19"/>
              </w:rPr>
            </w:pPr>
            <w:r>
              <w:rPr>
                <w:rFonts w:ascii="Calibri" w:eastAsia="Arial" w:hAnsi="Calibri" w:cs="Calibri"/>
                <w:b/>
                <w:bCs/>
                <w:color w:val="0F5E61" w:themeColor="accent6"/>
                <w:sz w:val="19"/>
                <w:szCs w:val="19"/>
              </w:rPr>
              <w:t>6</w:t>
            </w:r>
          </w:p>
        </w:tc>
        <w:tc>
          <w:tcPr>
            <w:tcW w:w="711" w:type="dxa"/>
            <w:tcBorders>
              <w:top w:val="single" w:sz="2" w:space="0" w:color="FFFFFF" w:themeColor="background1"/>
              <w:left w:val="single" w:sz="2" w:space="0" w:color="FFFFFF" w:themeColor="background1"/>
            </w:tcBorders>
            <w:shd w:val="clear" w:color="auto" w:fill="F2F2F2" w:themeFill="background1" w:themeFillShade="F2"/>
          </w:tcPr>
          <w:p w14:paraId="6179BF5C" w14:textId="77777777" w:rsidR="005B67CB" w:rsidRPr="00686ABA" w:rsidRDefault="005B67CB">
            <w:pPr>
              <w:pStyle w:val="TableListBullet"/>
              <w:ind w:left="0" w:firstLine="0"/>
              <w:jc w:val="center"/>
              <w:rPr>
                <w:rFonts w:ascii="Calibri" w:eastAsia="Arial" w:hAnsi="Calibri" w:cs="Calibri"/>
                <w:b/>
                <w:bCs/>
                <w:color w:val="072E30" w:themeColor="accent6" w:themeShade="80"/>
                <w:sz w:val="19"/>
                <w:szCs w:val="19"/>
              </w:rPr>
            </w:pPr>
            <w:r>
              <w:rPr>
                <w:rFonts w:ascii="Calibri" w:eastAsia="Arial" w:hAnsi="Calibri" w:cs="Calibri"/>
                <w:b/>
                <w:bCs/>
                <w:color w:val="072E30" w:themeColor="accent6" w:themeShade="80"/>
                <w:sz w:val="19"/>
                <w:szCs w:val="19"/>
              </w:rPr>
              <w:t>-</w:t>
            </w:r>
          </w:p>
        </w:tc>
      </w:tr>
    </w:tbl>
    <w:p w14:paraId="3739745D" w14:textId="77777777" w:rsidR="005B67CB" w:rsidRDefault="005B67CB" w:rsidP="00C26EE4">
      <w:pPr>
        <w:widowControl w:val="0"/>
        <w:spacing w:before="0" w:after="0"/>
        <w:rPr>
          <w:b/>
          <w:bCs/>
        </w:rPr>
      </w:pPr>
    </w:p>
    <w:p w14:paraId="4062D566" w14:textId="6A8AE0B8" w:rsidR="00193470" w:rsidRPr="00397DE8" w:rsidRDefault="00193470" w:rsidP="00C26EE4">
      <w:r w:rsidRPr="00B70E26">
        <w:t xml:space="preserve">To ensure the study covered a cross-section of Australian society, </w:t>
      </w:r>
      <w:r>
        <w:t xml:space="preserve">the </w:t>
      </w:r>
      <w:r w:rsidRPr="00B70E26">
        <w:t xml:space="preserve">selection of ECEC services was also informed by several socioeconomic and demographic factors. </w:t>
      </w:r>
      <w:r w:rsidR="007D5BB7">
        <w:t xml:space="preserve">For </w:t>
      </w:r>
      <w:r w:rsidR="00EE4C09">
        <w:t>example,</w:t>
      </w:r>
      <w:r w:rsidRPr="00B70E26">
        <w:t xml:space="preserve"> the relative wealth and economic status of local areas</w:t>
      </w:r>
      <w:r w:rsidR="00644288">
        <w:t xml:space="preserve"> was</w:t>
      </w:r>
      <w:r w:rsidRPr="00B70E26">
        <w:t xml:space="preserve"> guided by analysis of the Socio-Economic Index for Areas (SEIFA) at the level of postal area.</w:t>
      </w:r>
      <w:r w:rsidRPr="00B70E26">
        <w:rPr>
          <w:rStyle w:val="EndnoteReference"/>
          <w:sz w:val="22"/>
          <w:szCs w:val="22"/>
        </w:rPr>
        <w:endnoteReference w:id="3"/>
      </w:r>
      <w:r w:rsidRPr="00B70E26">
        <w:t xml:space="preserve"> </w:t>
      </w:r>
      <w:r>
        <w:t xml:space="preserve">Over </w:t>
      </w:r>
      <w:r w:rsidR="005B67CB">
        <w:t>h</w:t>
      </w:r>
      <w:r w:rsidR="005B67CB" w:rsidRPr="00B70E26">
        <w:t>alf</w:t>
      </w:r>
      <w:r w:rsidRPr="00B70E26">
        <w:t xml:space="preserve"> of the services were in communities in the bottom six SEIFA deciles</w:t>
      </w:r>
      <w:r w:rsidR="005B67CB" w:rsidRPr="00B70E26">
        <w:t>, with 2</w:t>
      </w:r>
      <w:r w:rsidR="005B67CB">
        <w:t>4</w:t>
      </w:r>
      <w:r w:rsidR="005B67CB" w:rsidRPr="00B70E26">
        <w:t>% of the sample within the bottom four deciles</w:t>
      </w:r>
      <w:r w:rsidRPr="00B70E26" w:rsidDel="00002650">
        <w:t xml:space="preserve"> (i.e. those exhibiting the highest level of relative disadvantage</w:t>
      </w:r>
      <w:r w:rsidR="005B67CB" w:rsidRPr="00B70E26">
        <w:t>).</w:t>
      </w:r>
      <w:r w:rsidRPr="00B70E26">
        <w:t xml:space="preserve"> A specific breakdown by decile groupings is presented below, in </w:t>
      </w:r>
      <w:r w:rsidR="005B67CB">
        <w:fldChar w:fldCharType="begin"/>
      </w:r>
      <w:r w:rsidR="005B67CB">
        <w:instrText xml:space="preserve"> REF _Ref159923331 \h </w:instrText>
      </w:r>
      <w:r w:rsidR="005B67CB">
        <w:fldChar w:fldCharType="separate"/>
      </w:r>
      <w:r w:rsidR="00192FAF">
        <w:t xml:space="preserve">Figure </w:t>
      </w:r>
      <w:r w:rsidR="00192FAF">
        <w:rPr>
          <w:noProof/>
        </w:rPr>
        <w:t>4</w:t>
      </w:r>
      <w:r w:rsidR="005B67CB">
        <w:fldChar w:fldCharType="end"/>
      </w:r>
      <w:r w:rsidR="005B67CB" w:rsidRPr="00B70E26">
        <w:t>.</w:t>
      </w:r>
    </w:p>
    <w:p w14:paraId="7F97F33F" w14:textId="1A1418E6" w:rsidR="005B67CB" w:rsidRDefault="005B67CB" w:rsidP="005B67CB">
      <w:pPr>
        <w:pStyle w:val="Caption"/>
        <w:keepNext/>
      </w:pPr>
      <w:bookmarkStart w:id="41" w:name="_Ref159923331"/>
      <w:r>
        <w:t xml:space="preserve">Figure </w:t>
      </w:r>
      <w:fldSimple w:instr=" SEQ Figure \* ARABIC ">
        <w:r w:rsidR="00192FAF">
          <w:rPr>
            <w:noProof/>
          </w:rPr>
          <w:t>4</w:t>
        </w:r>
      </w:fldSimple>
      <w:bookmarkEnd w:id="41"/>
      <w:r>
        <w:t xml:space="preserve"> </w:t>
      </w:r>
      <w:r w:rsidRPr="001E2AFC">
        <w:t>Communities visited, by SEIFA decile (1 being most disadvantaged)</w:t>
      </w:r>
    </w:p>
    <w:tbl>
      <w:tblPr>
        <w:tblStyle w:val="GridTable4-Accent5"/>
        <w:tblW w:w="0" w:type="auto"/>
        <w:tblLook w:val="06A0" w:firstRow="1" w:lastRow="0" w:firstColumn="1" w:lastColumn="0" w:noHBand="1" w:noVBand="1"/>
      </w:tblPr>
      <w:tblGrid>
        <w:gridCol w:w="1803"/>
        <w:gridCol w:w="1803"/>
        <w:gridCol w:w="1803"/>
        <w:gridCol w:w="1803"/>
        <w:gridCol w:w="1804"/>
      </w:tblGrid>
      <w:tr w:rsidR="00193470" w:rsidRPr="00FD7E85" w14:paraId="24EFA53E" w14:textId="77777777" w:rsidTr="00AA65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Borders>
              <w:top w:val="single" w:sz="4" w:space="0" w:color="F07A4D" w:themeColor="accent4"/>
              <w:left w:val="single" w:sz="4" w:space="0" w:color="F07A4D" w:themeColor="accent4"/>
              <w:bottom w:val="single" w:sz="4" w:space="0" w:color="F07A4D" w:themeColor="accent4"/>
            </w:tcBorders>
            <w:shd w:val="clear" w:color="auto" w:fill="F07A4D" w:themeFill="accent4"/>
          </w:tcPr>
          <w:p w14:paraId="2AA171FD" w14:textId="77777777" w:rsidR="00193470" w:rsidRPr="00FD7E85" w:rsidRDefault="00193470" w:rsidP="00AA6571">
            <w:pPr>
              <w:widowControl w:val="0"/>
              <w:jc w:val="center"/>
            </w:pPr>
            <w:r w:rsidRPr="00FD7E85">
              <w:t>Deciles 1-2</w:t>
            </w:r>
          </w:p>
        </w:tc>
        <w:tc>
          <w:tcPr>
            <w:tcW w:w="1803" w:type="dxa"/>
            <w:tcBorders>
              <w:top w:val="single" w:sz="4" w:space="0" w:color="F07A4D" w:themeColor="accent4"/>
              <w:bottom w:val="single" w:sz="4" w:space="0" w:color="F07A4D" w:themeColor="accent4"/>
            </w:tcBorders>
            <w:shd w:val="clear" w:color="auto" w:fill="F07A4D" w:themeFill="accent4"/>
          </w:tcPr>
          <w:p w14:paraId="0E9EB8C7" w14:textId="77777777" w:rsidR="00193470" w:rsidRPr="00FD7E85" w:rsidRDefault="00193470" w:rsidP="00AA6571">
            <w:pPr>
              <w:widowControl w:val="0"/>
              <w:jc w:val="center"/>
              <w:cnfStyle w:val="100000000000" w:firstRow="1" w:lastRow="0" w:firstColumn="0" w:lastColumn="0" w:oddVBand="0" w:evenVBand="0" w:oddHBand="0" w:evenHBand="0" w:firstRowFirstColumn="0" w:firstRowLastColumn="0" w:lastRowFirstColumn="0" w:lastRowLastColumn="0"/>
            </w:pPr>
            <w:r w:rsidRPr="00FD7E85">
              <w:t>Deciles 3-4</w:t>
            </w:r>
          </w:p>
        </w:tc>
        <w:tc>
          <w:tcPr>
            <w:tcW w:w="1803" w:type="dxa"/>
            <w:tcBorders>
              <w:top w:val="single" w:sz="4" w:space="0" w:color="F07A4D" w:themeColor="accent4"/>
              <w:bottom w:val="single" w:sz="4" w:space="0" w:color="F07A4D" w:themeColor="accent4"/>
            </w:tcBorders>
            <w:shd w:val="clear" w:color="auto" w:fill="F07A4D" w:themeFill="accent4"/>
          </w:tcPr>
          <w:p w14:paraId="7A2350CE" w14:textId="77777777" w:rsidR="00193470" w:rsidRPr="00FD7E85" w:rsidRDefault="00193470" w:rsidP="00AA6571">
            <w:pPr>
              <w:widowControl w:val="0"/>
              <w:jc w:val="center"/>
              <w:cnfStyle w:val="100000000000" w:firstRow="1" w:lastRow="0" w:firstColumn="0" w:lastColumn="0" w:oddVBand="0" w:evenVBand="0" w:oddHBand="0" w:evenHBand="0" w:firstRowFirstColumn="0" w:firstRowLastColumn="0" w:lastRowFirstColumn="0" w:lastRowLastColumn="0"/>
            </w:pPr>
            <w:r w:rsidRPr="00FD7E85">
              <w:t>Deciles 5-6</w:t>
            </w:r>
          </w:p>
        </w:tc>
        <w:tc>
          <w:tcPr>
            <w:tcW w:w="1803" w:type="dxa"/>
            <w:tcBorders>
              <w:top w:val="single" w:sz="4" w:space="0" w:color="F07A4D" w:themeColor="accent4"/>
              <w:bottom w:val="single" w:sz="4" w:space="0" w:color="F07A4D" w:themeColor="accent4"/>
            </w:tcBorders>
            <w:shd w:val="clear" w:color="auto" w:fill="F07A4D" w:themeFill="accent4"/>
          </w:tcPr>
          <w:p w14:paraId="37DFD69D" w14:textId="77777777" w:rsidR="00193470" w:rsidRPr="00FD7E85" w:rsidRDefault="00193470" w:rsidP="00AA6571">
            <w:pPr>
              <w:widowControl w:val="0"/>
              <w:jc w:val="center"/>
              <w:cnfStyle w:val="100000000000" w:firstRow="1" w:lastRow="0" w:firstColumn="0" w:lastColumn="0" w:oddVBand="0" w:evenVBand="0" w:oddHBand="0" w:evenHBand="0" w:firstRowFirstColumn="0" w:firstRowLastColumn="0" w:lastRowFirstColumn="0" w:lastRowLastColumn="0"/>
            </w:pPr>
            <w:r w:rsidRPr="00FD7E85">
              <w:t>Deciles 7-8</w:t>
            </w:r>
          </w:p>
        </w:tc>
        <w:tc>
          <w:tcPr>
            <w:tcW w:w="1804" w:type="dxa"/>
            <w:tcBorders>
              <w:top w:val="single" w:sz="4" w:space="0" w:color="F07A4D" w:themeColor="accent4"/>
              <w:bottom w:val="single" w:sz="4" w:space="0" w:color="F07A4D" w:themeColor="accent4"/>
              <w:right w:val="single" w:sz="4" w:space="0" w:color="F07A4D" w:themeColor="accent4"/>
            </w:tcBorders>
            <w:shd w:val="clear" w:color="auto" w:fill="F07A4D" w:themeFill="accent4"/>
          </w:tcPr>
          <w:p w14:paraId="21390E8B" w14:textId="77777777" w:rsidR="00193470" w:rsidRPr="00FD7E85" w:rsidRDefault="00193470" w:rsidP="00AA6571">
            <w:pPr>
              <w:widowControl w:val="0"/>
              <w:jc w:val="center"/>
              <w:cnfStyle w:val="100000000000" w:firstRow="1" w:lastRow="0" w:firstColumn="0" w:lastColumn="0" w:oddVBand="0" w:evenVBand="0" w:oddHBand="0" w:evenHBand="0" w:firstRowFirstColumn="0" w:firstRowLastColumn="0" w:lastRowFirstColumn="0" w:lastRowLastColumn="0"/>
            </w:pPr>
            <w:r w:rsidRPr="00FD7E85">
              <w:t>Deciles 9-10</w:t>
            </w:r>
          </w:p>
        </w:tc>
      </w:tr>
      <w:tr w:rsidR="00193470" w:rsidRPr="00FD7E85" w14:paraId="18CD948C" w14:textId="77777777" w:rsidTr="00AA6571">
        <w:tc>
          <w:tcPr>
            <w:cnfStyle w:val="001000000000" w:firstRow="0" w:lastRow="0" w:firstColumn="1" w:lastColumn="0" w:oddVBand="0" w:evenVBand="0" w:oddHBand="0" w:evenHBand="0" w:firstRowFirstColumn="0" w:firstRowLastColumn="0" w:lastRowFirstColumn="0" w:lastRowLastColumn="0"/>
            <w:tcW w:w="1803" w:type="dxa"/>
            <w:tcBorders>
              <w:top w:val="single" w:sz="4" w:space="0" w:color="F07A4D" w:themeColor="accent4"/>
            </w:tcBorders>
          </w:tcPr>
          <w:p w14:paraId="18A2FE96" w14:textId="77777777" w:rsidR="00193470" w:rsidRPr="00FD7E85" w:rsidRDefault="00193470" w:rsidP="00AA6571">
            <w:pPr>
              <w:pStyle w:val="Tablebody"/>
              <w:jc w:val="center"/>
            </w:pPr>
            <w:r w:rsidRPr="00FD7E85">
              <w:t>1</w:t>
            </w:r>
          </w:p>
        </w:tc>
        <w:tc>
          <w:tcPr>
            <w:tcW w:w="1803" w:type="dxa"/>
            <w:tcBorders>
              <w:top w:val="single" w:sz="4" w:space="0" w:color="F07A4D" w:themeColor="accent4"/>
            </w:tcBorders>
          </w:tcPr>
          <w:p w14:paraId="400D89C6" w14:textId="77777777" w:rsidR="00193470" w:rsidRPr="00FD7E85" w:rsidRDefault="00193470" w:rsidP="00AA6571">
            <w:pPr>
              <w:pStyle w:val="Tablebody"/>
              <w:jc w:val="center"/>
              <w:cnfStyle w:val="000000000000" w:firstRow="0" w:lastRow="0" w:firstColumn="0" w:lastColumn="0" w:oddVBand="0" w:evenVBand="0" w:oddHBand="0" w:evenHBand="0" w:firstRowFirstColumn="0" w:firstRowLastColumn="0" w:lastRowFirstColumn="0" w:lastRowLastColumn="0"/>
            </w:pPr>
            <w:r w:rsidRPr="00FD7E85">
              <w:t>3</w:t>
            </w:r>
          </w:p>
        </w:tc>
        <w:tc>
          <w:tcPr>
            <w:tcW w:w="1803" w:type="dxa"/>
            <w:tcBorders>
              <w:top w:val="single" w:sz="4" w:space="0" w:color="F07A4D" w:themeColor="accent4"/>
            </w:tcBorders>
          </w:tcPr>
          <w:p w14:paraId="626B3D21" w14:textId="62C4CF3B" w:rsidR="00193470" w:rsidRPr="00FD7E85" w:rsidRDefault="00193470" w:rsidP="00AA6571">
            <w:pPr>
              <w:pStyle w:val="Tablebody"/>
              <w:jc w:val="center"/>
              <w:cnfStyle w:val="000000000000" w:firstRow="0" w:lastRow="0" w:firstColumn="0" w:lastColumn="0" w:oddVBand="0" w:evenVBand="0" w:oddHBand="0" w:evenHBand="0" w:firstRowFirstColumn="0" w:firstRowLastColumn="0" w:lastRowFirstColumn="0" w:lastRowLastColumn="0"/>
            </w:pPr>
            <w:r>
              <w:t>6</w:t>
            </w:r>
          </w:p>
        </w:tc>
        <w:tc>
          <w:tcPr>
            <w:tcW w:w="1803" w:type="dxa"/>
            <w:tcBorders>
              <w:top w:val="single" w:sz="4" w:space="0" w:color="F07A4D" w:themeColor="accent4"/>
            </w:tcBorders>
          </w:tcPr>
          <w:p w14:paraId="471510C7" w14:textId="77777777" w:rsidR="00193470" w:rsidRPr="00FD7E85" w:rsidRDefault="00193470" w:rsidP="00AA6571">
            <w:pPr>
              <w:pStyle w:val="Tablebody"/>
              <w:jc w:val="center"/>
              <w:cnfStyle w:val="000000000000" w:firstRow="0" w:lastRow="0" w:firstColumn="0" w:lastColumn="0" w:oddVBand="0" w:evenVBand="0" w:oddHBand="0" w:evenHBand="0" w:firstRowFirstColumn="0" w:firstRowLastColumn="0" w:lastRowFirstColumn="0" w:lastRowLastColumn="0"/>
            </w:pPr>
            <w:r w:rsidRPr="00FD7E85">
              <w:t>4</w:t>
            </w:r>
          </w:p>
        </w:tc>
        <w:tc>
          <w:tcPr>
            <w:tcW w:w="1804" w:type="dxa"/>
            <w:tcBorders>
              <w:top w:val="single" w:sz="4" w:space="0" w:color="F07A4D" w:themeColor="accent4"/>
            </w:tcBorders>
          </w:tcPr>
          <w:p w14:paraId="0E316A74" w14:textId="77777777" w:rsidR="00193470" w:rsidRPr="00FD7E85" w:rsidRDefault="00193470" w:rsidP="00AA6571">
            <w:pPr>
              <w:pStyle w:val="Tablebody"/>
              <w:jc w:val="center"/>
              <w:cnfStyle w:val="000000000000" w:firstRow="0" w:lastRow="0" w:firstColumn="0" w:lastColumn="0" w:oddVBand="0" w:evenVBand="0" w:oddHBand="0" w:evenHBand="0" w:firstRowFirstColumn="0" w:firstRowLastColumn="0" w:lastRowFirstColumn="0" w:lastRowLastColumn="0"/>
            </w:pPr>
            <w:r w:rsidRPr="00FD7E85">
              <w:t>4</w:t>
            </w:r>
          </w:p>
        </w:tc>
      </w:tr>
    </w:tbl>
    <w:p w14:paraId="23CB486A" w14:textId="11597AB1" w:rsidR="00193470" w:rsidRPr="00B70E26" w:rsidRDefault="00193470" w:rsidP="00C26EE4">
      <w:r w:rsidRPr="00B70E26">
        <w:t xml:space="preserve">Deliberate efforts were also made to ensure the communities visited were </w:t>
      </w:r>
      <w:r w:rsidR="00BE0602">
        <w:t>culturally diverse</w:t>
      </w:r>
      <w:r w:rsidRPr="00B70E26">
        <w:t xml:space="preserve">. For instance, </w:t>
      </w:r>
      <w:r>
        <w:t>29</w:t>
      </w:r>
      <w:r w:rsidRPr="00B70E26">
        <w:t>% of communities serviced by the ECEC centres that participated in the study have Aboriginal and Torres Strait Islander populations that are, proportionally speaking, greater than the national level of 3.2%.</w:t>
      </w:r>
      <w:r w:rsidRPr="00B70E26">
        <w:rPr>
          <w:rStyle w:val="EndnoteReference"/>
          <w:sz w:val="22"/>
          <w:szCs w:val="22"/>
        </w:rPr>
        <w:endnoteReference w:id="4"/>
      </w:r>
      <w:r w:rsidRPr="00B70E26">
        <w:t xml:space="preserve"> Two such communities were significantly higher than the national rate; 11.6% and 16.5% of people in these areas identifying as Aboriginal or Torres Strait Islander.</w:t>
      </w:r>
      <w:r>
        <w:t xml:space="preserve"> </w:t>
      </w:r>
    </w:p>
    <w:p w14:paraId="48A5C95F" w14:textId="7402CF09" w:rsidR="00193470" w:rsidRPr="00B70E26" w:rsidRDefault="00193470" w:rsidP="00C26EE4">
      <w:r w:rsidRPr="00B70E26">
        <w:t>Another measure of cultural and linguistic diversity – the percentage of people born outside Australia – was applied when framing the sample population.</w:t>
      </w:r>
      <w:r w:rsidRPr="00B70E26">
        <w:rPr>
          <w:rStyle w:val="EndnoteReference"/>
          <w:sz w:val="22"/>
          <w:szCs w:val="22"/>
        </w:rPr>
        <w:endnoteReference w:id="5"/>
      </w:r>
      <w:r w:rsidRPr="00B70E26">
        <w:t xml:space="preserve"> </w:t>
      </w:r>
      <w:r>
        <w:t>A majority</w:t>
      </w:r>
      <w:r w:rsidRPr="00B70E26">
        <w:t xml:space="preserve"> (5</w:t>
      </w:r>
      <w:r>
        <w:t>9</w:t>
      </w:r>
      <w:r w:rsidRPr="00B70E26">
        <w:t xml:space="preserve">%) of the </w:t>
      </w:r>
      <w:r w:rsidRPr="00B70E26">
        <w:lastRenderedPageBreak/>
        <w:t xml:space="preserve">communities that participated in the consultations had higher rates than the nation-wide figure of 33.1%. </w:t>
      </w:r>
      <w:r w:rsidR="005B67CB">
        <w:t>Five</w:t>
      </w:r>
      <w:r>
        <w:t xml:space="preserve"> </w:t>
      </w:r>
      <w:r w:rsidRPr="00B70E26">
        <w:t>of the 1</w:t>
      </w:r>
      <w:r>
        <w:t>7</w:t>
      </w:r>
      <w:r w:rsidRPr="00B70E26">
        <w:t xml:space="preserve"> areas visited have non-Australian born populations that exceed in number those born in Australia. Among these communities, the leading countries of birth outside Australia include India, China, Vietnam, Sri Lanka, Lebanon, the Philippines, England, Nepal, New Zealand, Malaysia and Greece. </w:t>
      </w:r>
    </w:p>
    <w:p w14:paraId="1B2B2A90" w14:textId="77777777" w:rsidR="00193470" w:rsidRPr="00CB1EC6" w:rsidRDefault="00193470" w:rsidP="00C26EE4">
      <w:pPr>
        <w:pStyle w:val="Heading2"/>
        <w:widowControl w:val="0"/>
      </w:pPr>
      <w:bookmarkStart w:id="42" w:name="_Toc159497975"/>
      <w:bookmarkStart w:id="43" w:name="_Toc177135989"/>
      <w:r>
        <w:t>Ethics process</w:t>
      </w:r>
      <w:bookmarkEnd w:id="42"/>
      <w:bookmarkEnd w:id="43"/>
    </w:p>
    <w:p w14:paraId="55D52675" w14:textId="7A438A99" w:rsidR="00D00900" w:rsidRDefault="00193470" w:rsidP="00C26EE4">
      <w:r w:rsidRPr="00B70E26">
        <w:t>The study team engaged an approved</w:t>
      </w:r>
      <w:r>
        <w:t xml:space="preserve"> independent</w:t>
      </w:r>
      <w:r w:rsidRPr="00B70E26">
        <w:t xml:space="preserve"> human research ethics committee, </w:t>
      </w:r>
      <w:proofErr w:type="spellStart"/>
      <w:r w:rsidRPr="00B70E26">
        <w:t>Bellberry</w:t>
      </w:r>
      <w:proofErr w:type="spellEnd"/>
      <w:r w:rsidRPr="00B70E26">
        <w:t xml:space="preserve"> Limited, to ensure that activity design, consent processes, and procedures related to data recording and analysis met industry-leading ethical </w:t>
      </w:r>
      <w:r w:rsidR="00A04480">
        <w:t xml:space="preserve">research </w:t>
      </w:r>
      <w:r w:rsidRPr="00B70E26">
        <w:t xml:space="preserve">standards. Informed consent to participate in the consultations was sought at every stage of the process, from ECEC services, families, and children. </w:t>
      </w:r>
      <w:r w:rsidR="00CE7150">
        <w:t>Children</w:t>
      </w:r>
      <w:r w:rsidR="001C3865">
        <w:t xml:space="preserve">’s assent was also sought at commencement and throughout the sessions. </w:t>
      </w:r>
      <w:r w:rsidR="00462AA7">
        <w:t xml:space="preserve">Consent and assent </w:t>
      </w:r>
      <w:proofErr w:type="gramStart"/>
      <w:r w:rsidR="00462AA7">
        <w:t>was</w:t>
      </w:r>
      <w:proofErr w:type="gramEnd"/>
      <w:r w:rsidR="00462AA7">
        <w:t xml:space="preserve"> also sought to </w:t>
      </w:r>
      <w:r w:rsidR="00E06E85">
        <w:t xml:space="preserve">use and include samples of children’s work </w:t>
      </w:r>
      <w:r w:rsidR="000E1842">
        <w:t xml:space="preserve">along with </w:t>
      </w:r>
      <w:r w:rsidR="00E06E85">
        <w:t xml:space="preserve">quotes and notes collected. </w:t>
      </w:r>
    </w:p>
    <w:p w14:paraId="620CA31D" w14:textId="6EF55BF1" w:rsidR="00193470" w:rsidRPr="00B70E26" w:rsidRDefault="00193470" w:rsidP="00C26EE4">
      <w:r w:rsidRPr="00B70E26">
        <w:t>Researchers involved in data collection held relevant Working with Children Checks in each jurisdiction they visited. All data collected in the consultation were deidentified (including any references to places that may infer where the respondent is from) and held securely in a password-protected online server, accessible only by study personnel engaged in the analysis and write-up work of the study.</w:t>
      </w:r>
    </w:p>
    <w:p w14:paraId="19DA7058" w14:textId="77777777" w:rsidR="00193470" w:rsidRDefault="00193470" w:rsidP="00C26EE4">
      <w:pPr>
        <w:pStyle w:val="Heading2"/>
        <w:widowControl w:val="0"/>
      </w:pPr>
      <w:bookmarkStart w:id="44" w:name="_Toc159497976"/>
      <w:bookmarkStart w:id="45" w:name="_Toc177135990"/>
      <w:r>
        <w:t>Analysis</w:t>
      </w:r>
      <w:bookmarkEnd w:id="44"/>
      <w:bookmarkEnd w:id="45"/>
    </w:p>
    <w:p w14:paraId="6C14AD84" w14:textId="1E55BCAF" w:rsidR="00193470" w:rsidRPr="00B70E26" w:rsidRDefault="00193470" w:rsidP="00C26EE4">
      <w:r w:rsidRPr="00B70E26">
        <w:t xml:space="preserve">Analysis of the visual and spoken outputs from the three activities was undertaken by </w:t>
      </w:r>
      <w:r>
        <w:t xml:space="preserve">the </w:t>
      </w:r>
      <w:r w:rsidR="00234344">
        <w:t xml:space="preserve">research </w:t>
      </w:r>
      <w:r>
        <w:t>team, compris</w:t>
      </w:r>
      <w:r w:rsidR="00234344">
        <w:t>ing</w:t>
      </w:r>
      <w:r>
        <w:t xml:space="preserve"> four researchers and early years </w:t>
      </w:r>
      <w:r w:rsidRPr="00B70E26">
        <w:t xml:space="preserve">professionals from TFP and C&amp;K with </w:t>
      </w:r>
      <w:r w:rsidR="00D14BD0">
        <w:t>experience and qualifications</w:t>
      </w:r>
      <w:r w:rsidRPr="00B70E26">
        <w:t xml:space="preserve"> in </w:t>
      </w:r>
      <w:r w:rsidR="00850AE7">
        <w:t xml:space="preserve">undertaking </w:t>
      </w:r>
      <w:r w:rsidRPr="00B70E26">
        <w:t xml:space="preserve">qualitative research. </w:t>
      </w:r>
      <w:r w:rsidR="00850AE7">
        <w:t>A</w:t>
      </w:r>
      <w:r w:rsidRPr="00B70E26">
        <w:t>n initial thematic matrix was developed</w:t>
      </w:r>
      <w:r w:rsidR="00850AE7">
        <w:t xml:space="preserve"> to</w:t>
      </w:r>
      <w:r w:rsidRPr="00B70E26">
        <w:t xml:space="preserve"> inform the subsequent analysis of all the collected data. </w:t>
      </w:r>
      <w:r w:rsidR="00EC0359">
        <w:t xml:space="preserve">The activities incorporated mechanisms to </w:t>
      </w:r>
      <w:r w:rsidR="009528A1">
        <w:t xml:space="preserve">triangulate </w:t>
      </w:r>
      <w:r w:rsidR="00A06643">
        <w:t xml:space="preserve">findings </w:t>
      </w:r>
      <w:r w:rsidR="008F0627">
        <w:t>by posing questions with different angles of exploration</w:t>
      </w:r>
      <w:r w:rsidR="00DE54D4">
        <w:t xml:space="preserve"> and modes of exploration</w:t>
      </w:r>
      <w:r w:rsidR="000A0614">
        <w:t xml:space="preserve"> – the analysis drew themes from across the</w:t>
      </w:r>
      <w:r w:rsidR="00687A74">
        <w:t xml:space="preserve"> research activities. </w:t>
      </w:r>
    </w:p>
    <w:p w14:paraId="7051A114" w14:textId="61C86625" w:rsidR="00193470" w:rsidRPr="00B70E26" w:rsidRDefault="00193470" w:rsidP="00C26EE4">
      <w:r w:rsidRPr="00B70E26">
        <w:t xml:space="preserve">The </w:t>
      </w:r>
      <w:r w:rsidR="000713A6">
        <w:t>development of the</w:t>
      </w:r>
      <w:r>
        <w:t xml:space="preserve"> </w:t>
      </w:r>
      <w:r w:rsidRPr="00B70E26">
        <w:t>thematic matrix involved a ‘blind review’ process, in which each researcher individually examined the data collected from the first five ECEC services visited</w:t>
      </w:r>
      <w:r w:rsidR="00207943">
        <w:t xml:space="preserve">. The analysis team </w:t>
      </w:r>
      <w:r w:rsidR="007230FB">
        <w:t>convened to undertake a workshop designed to articulate themes, insights and draw connections.</w:t>
      </w:r>
      <w:r w:rsidR="00B576C8">
        <w:t xml:space="preserve"> </w:t>
      </w:r>
      <w:r w:rsidR="00431441">
        <w:t>Additional data collected could be analysed using the matrix, w</w:t>
      </w:r>
      <w:r w:rsidR="0085750F">
        <w:t>hile the design enable</w:t>
      </w:r>
      <w:r w:rsidR="6DDCC8C5">
        <w:t>d</w:t>
      </w:r>
      <w:r w:rsidR="0085750F">
        <w:t xml:space="preserve"> new</w:t>
      </w:r>
      <w:r w:rsidR="00BE1556">
        <w:t xml:space="preserve"> insights or themes to be </w:t>
      </w:r>
      <w:r w:rsidR="00B1237E">
        <w:t xml:space="preserve">incorporated. </w:t>
      </w:r>
      <w:r w:rsidR="4BEFF9A6">
        <w:t xml:space="preserve">This </w:t>
      </w:r>
      <w:r w:rsidR="3F82889E">
        <w:t>analytical approach dr</w:t>
      </w:r>
      <w:r w:rsidR="112AF671">
        <w:t>ew</w:t>
      </w:r>
      <w:r w:rsidR="3F82889E">
        <w:t xml:space="preserve"> on and aligns with best practice in qualitative </w:t>
      </w:r>
      <w:r w:rsidR="0DC27301">
        <w:t>research method</w:t>
      </w:r>
      <w:r w:rsidR="4EF8C156">
        <w:t>s.</w:t>
      </w:r>
      <w:r w:rsidR="00412FB8">
        <w:rPr>
          <w:rStyle w:val="EndnoteReference"/>
        </w:rPr>
        <w:endnoteReference w:id="6"/>
      </w:r>
    </w:p>
    <w:p w14:paraId="069D6D56" w14:textId="159CD38C" w:rsidR="00193470" w:rsidRDefault="007A317E" w:rsidP="007D4F1C">
      <w:r>
        <w:t>Themes emerged across consultations enabling</w:t>
      </w:r>
      <w:r w:rsidR="009E7C27">
        <w:t xml:space="preserve"> them to be related to </w:t>
      </w:r>
      <w:r w:rsidR="00F0131A">
        <w:t>concepts important to the inquiry</w:t>
      </w:r>
      <w:r w:rsidR="009E7C27">
        <w:t xml:space="preserve">. This is noted as adult analysis drawing on themes from children’s perspectives. </w:t>
      </w:r>
    </w:p>
    <w:p w14:paraId="202DE921" w14:textId="6E352C00" w:rsidR="00393F80" w:rsidRDefault="00393F80" w:rsidP="00393F80">
      <w:pPr>
        <w:pStyle w:val="Caption"/>
        <w:keepNext/>
      </w:pPr>
      <w:r>
        <w:lastRenderedPageBreak/>
        <w:t xml:space="preserve">Figure </w:t>
      </w:r>
      <w:fldSimple w:instr=" SEQ Figure \* ARABIC ">
        <w:r w:rsidR="00192FAF">
          <w:rPr>
            <w:noProof/>
          </w:rPr>
          <w:t>5</w:t>
        </w:r>
      </w:fldSimple>
      <w:r>
        <w:t xml:space="preserve"> Data analysis process</w:t>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56"/>
      </w:tblGrid>
      <w:tr w:rsidR="00393F80" w14:paraId="08C22E50" w14:textId="77777777" w:rsidTr="00D2697A">
        <w:tc>
          <w:tcPr>
            <w:tcW w:w="9356" w:type="dxa"/>
          </w:tcPr>
          <w:p w14:paraId="0683C8FC" w14:textId="5661286F" w:rsidR="00393F80" w:rsidRDefault="00393F80" w:rsidP="00C26EE4">
            <w:pPr>
              <w:rPr>
                <w:b/>
                <w:bCs/>
              </w:rPr>
            </w:pPr>
            <w:r>
              <w:rPr>
                <w:noProof/>
              </w:rPr>
              <w:drawing>
                <wp:inline distT="0" distB="0" distL="0" distR="0" wp14:anchorId="68590955" wp14:editId="42892D36">
                  <wp:extent cx="5626847" cy="3200400"/>
                  <wp:effectExtent l="38100" t="19050" r="31115" b="38100"/>
                  <wp:docPr id="1247013234"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tc>
      </w:tr>
    </w:tbl>
    <w:p w14:paraId="375D9468" w14:textId="1751C185" w:rsidR="00193470" w:rsidRPr="00CB1EC6" w:rsidRDefault="00B0659E" w:rsidP="00C26EE4">
      <w:pPr>
        <w:pStyle w:val="Heading2"/>
        <w:widowControl w:val="0"/>
      </w:pPr>
      <w:bookmarkStart w:id="46" w:name="_Toc177135991"/>
      <w:r>
        <w:t>C</w:t>
      </w:r>
      <w:r w:rsidR="00193470">
        <w:t>hild</w:t>
      </w:r>
      <w:bookmarkStart w:id="47" w:name="_Toc158731045"/>
      <w:bookmarkStart w:id="48" w:name="_Toc158731685"/>
      <w:bookmarkStart w:id="49" w:name="_Toc159497977"/>
      <w:r w:rsidR="00193470">
        <w:t>-centred methodologies</w:t>
      </w:r>
      <w:bookmarkEnd w:id="46"/>
      <w:bookmarkEnd w:id="47"/>
      <w:bookmarkEnd w:id="48"/>
      <w:bookmarkEnd w:id="49"/>
    </w:p>
    <w:p w14:paraId="1C133C3D" w14:textId="08F26474" w:rsidR="00193470" w:rsidRDefault="00451C69" w:rsidP="00C26EE4">
      <w:r>
        <w:t>Elevating</w:t>
      </w:r>
      <w:r w:rsidR="00193470">
        <w:t xml:space="preserve"> children’s voices and perspectives in policy making processes requires careful consideration to ensure that the processes remain rigorous and meaningful. This requires </w:t>
      </w:r>
      <w:r w:rsidR="00D9400C">
        <w:t xml:space="preserve">sensitive tailoring of </w:t>
      </w:r>
      <w:r w:rsidR="00193470">
        <w:t xml:space="preserve">research questions and approaches </w:t>
      </w:r>
      <w:r w:rsidR="00D9400C">
        <w:t>when</w:t>
      </w:r>
      <w:r w:rsidR="00193470">
        <w:t xml:space="preserve"> working with young children (for instance, aligning language and concepts with their capabilities and life experiences). Data collection and analysis must </w:t>
      </w:r>
      <w:r w:rsidR="00D9400C">
        <w:t>address</w:t>
      </w:r>
      <w:r w:rsidR="00193470">
        <w:t xml:space="preserve"> researcher limitations in understanding and interpreting children’s insights and comments. </w:t>
      </w:r>
      <w:r w:rsidR="00D9400C">
        <w:t>T</w:t>
      </w:r>
      <w:r w:rsidR="00193470">
        <w:t>here is a</w:t>
      </w:r>
      <w:r w:rsidR="00D9400C">
        <w:t xml:space="preserve"> further</w:t>
      </w:r>
      <w:r w:rsidR="00193470">
        <w:t xml:space="preserve"> ethical imperative when working with children to ensure their views are represented </w:t>
      </w:r>
      <w:r w:rsidR="007635EA">
        <w:t>and fed</w:t>
      </w:r>
      <w:r w:rsidR="001F4350">
        <w:t xml:space="preserve"> </w:t>
      </w:r>
      <w:r w:rsidR="007635EA">
        <w:t>back</w:t>
      </w:r>
      <w:r w:rsidR="00193470">
        <w:t xml:space="preserve"> meaningfully</w:t>
      </w:r>
      <w:r w:rsidR="00DB37A8">
        <w:t xml:space="preserve"> to them</w:t>
      </w:r>
      <w:r w:rsidR="00193470">
        <w:t>.</w:t>
      </w:r>
    </w:p>
    <w:p w14:paraId="28FABD90" w14:textId="77777777" w:rsidR="00193470" w:rsidRDefault="00193470" w:rsidP="00C26EE4">
      <w:r>
        <w:t>To address these concerns, the design team adopted the following principles to support children’s participation:</w:t>
      </w:r>
    </w:p>
    <w:p w14:paraId="36470924" w14:textId="4078AFA6" w:rsidR="00193470" w:rsidRDefault="00193470" w:rsidP="00C26EE4">
      <w:pPr>
        <w:pStyle w:val="Bullets"/>
      </w:pPr>
      <w:r>
        <w:t>Relationships matter</w:t>
      </w:r>
      <w:r w:rsidR="000D1799">
        <w:t xml:space="preserve">, </w:t>
      </w:r>
      <w:r>
        <w:t>support</w:t>
      </w:r>
      <w:r w:rsidR="000D1799">
        <w:t>ing</w:t>
      </w:r>
      <w:r>
        <w:t xml:space="preserve"> children to feel safe and comfortable </w:t>
      </w:r>
      <w:r w:rsidR="00801F0E">
        <w:t>through</w:t>
      </w:r>
      <w:r>
        <w:t xml:space="preserve"> working with familiar educators and teachers to undertake the activities</w:t>
      </w:r>
    </w:p>
    <w:p w14:paraId="4F345E64" w14:textId="79A0E059" w:rsidR="00193470" w:rsidRDefault="00193470" w:rsidP="00C26EE4">
      <w:pPr>
        <w:pStyle w:val="Bullets"/>
      </w:pPr>
      <w:r>
        <w:t xml:space="preserve">Familiarity matters – </w:t>
      </w:r>
      <w:r w:rsidR="007A317E">
        <w:t xml:space="preserve">using familiar experiences and materials </w:t>
      </w:r>
      <w:r>
        <w:t>within familiar environments</w:t>
      </w:r>
    </w:p>
    <w:p w14:paraId="6B77E8F5" w14:textId="7D222B55" w:rsidR="00193470" w:rsidRDefault="00193470" w:rsidP="00C26EE4">
      <w:pPr>
        <w:pStyle w:val="Bullets"/>
      </w:pPr>
      <w:r>
        <w:t>Choice matter</w:t>
      </w:r>
      <w:r w:rsidR="003530D1">
        <w:t>s</w:t>
      </w:r>
      <w:r>
        <w:t xml:space="preserve"> – incorporating flexibility to enable children to move in and out of activities – or to opt out</w:t>
      </w:r>
    </w:p>
    <w:p w14:paraId="22EE6D15" w14:textId="77777777" w:rsidR="00193470" w:rsidRDefault="00193470" w:rsidP="00C26EE4">
      <w:pPr>
        <w:pStyle w:val="Bullets"/>
      </w:pPr>
      <w:r>
        <w:t xml:space="preserve">Context matters – tailoring the approach to the context in which the children live </w:t>
      </w:r>
    </w:p>
    <w:p w14:paraId="6E1585D6" w14:textId="0686DFB2" w:rsidR="00193470" w:rsidRDefault="00FB52BB" w:rsidP="00C26EE4">
      <w:pPr>
        <w:pStyle w:val="Bullets"/>
      </w:pPr>
      <w:r>
        <w:t>Self-representation</w:t>
      </w:r>
      <w:r w:rsidR="00193470">
        <w:t xml:space="preserve"> matter</w:t>
      </w:r>
      <w:r>
        <w:t>s</w:t>
      </w:r>
      <w:r w:rsidR="00193470">
        <w:t xml:space="preserve"> – including children’s comments and descriptions verbatim (without correction)</w:t>
      </w:r>
    </w:p>
    <w:p w14:paraId="451567AA" w14:textId="5D3D204B" w:rsidR="00193470" w:rsidRPr="00081E29" w:rsidRDefault="00193470" w:rsidP="00C26EE4">
      <w:pPr>
        <w:pStyle w:val="Bullets"/>
      </w:pPr>
      <w:r>
        <w:t xml:space="preserve">Accountability matters – developing protocols for data collection and analysis that set out </w:t>
      </w:r>
      <w:r w:rsidR="002C2ADD">
        <w:t>and apply ethical</w:t>
      </w:r>
      <w:r>
        <w:t xml:space="preserve"> considerations</w:t>
      </w:r>
      <w:r w:rsidR="007A2A5E">
        <w:t xml:space="preserve"> – especially as it relates to </w:t>
      </w:r>
      <w:r w:rsidR="00AD3457">
        <w:t xml:space="preserve">privileging children’s perspectives with integrity and avoiding adult bias </w:t>
      </w:r>
      <w:r w:rsidR="00F0522A">
        <w:t>in analysis</w:t>
      </w:r>
      <w:r>
        <w:t>.</w:t>
      </w:r>
    </w:p>
    <w:p w14:paraId="4F0631A7" w14:textId="063B5B65" w:rsidR="00193470" w:rsidRDefault="00D2697A" w:rsidP="00C26EE4">
      <w:r>
        <w:t xml:space="preserve">The </w:t>
      </w:r>
      <w:r w:rsidR="004A17A5">
        <w:t xml:space="preserve">research </w:t>
      </w:r>
      <w:r>
        <w:t xml:space="preserve">approach drew on </w:t>
      </w:r>
      <w:r w:rsidR="004A17A5">
        <w:t>the team’s earlier work</w:t>
      </w:r>
      <w:r>
        <w:t xml:space="preserve"> </w:t>
      </w:r>
      <w:r w:rsidR="008144BE">
        <w:t>undertaking consultations with children</w:t>
      </w:r>
      <w:r w:rsidR="004A17A5">
        <w:t>. Through this work</w:t>
      </w:r>
      <w:r w:rsidR="006811CF">
        <w:t xml:space="preserve">, </w:t>
      </w:r>
      <w:r w:rsidR="008144BE">
        <w:t xml:space="preserve">the team learned that </w:t>
      </w:r>
      <w:r w:rsidR="008144BE" w:rsidRPr="00B70E26">
        <w:t>children age</w:t>
      </w:r>
      <w:r w:rsidR="006811CF">
        <w:t>d 3-5 years</w:t>
      </w:r>
      <w:r w:rsidR="008144BE" w:rsidRPr="00B70E26">
        <w:t xml:space="preserve"> will not limit their responses to </w:t>
      </w:r>
      <w:r w:rsidR="008144BE">
        <w:lastRenderedPageBreak/>
        <w:t xml:space="preserve">specific </w:t>
      </w:r>
      <w:r w:rsidR="008144BE" w:rsidRPr="00B70E26">
        <w:t xml:space="preserve">questions </w:t>
      </w:r>
      <w:r w:rsidR="008144BE">
        <w:t xml:space="preserve">posed through the </w:t>
      </w:r>
      <w:r w:rsidR="008144BE" w:rsidRPr="00B70E26">
        <w:t>activities.</w:t>
      </w:r>
      <w:r w:rsidR="008144BE">
        <w:t xml:space="preserve"> Th</w:t>
      </w:r>
      <w:r w:rsidR="006811CF">
        <w:t>us, the</w:t>
      </w:r>
      <w:r w:rsidR="008144BE">
        <w:t xml:space="preserve"> design included </w:t>
      </w:r>
      <w:r w:rsidR="00C77675">
        <w:t xml:space="preserve">opportunities </w:t>
      </w:r>
      <w:r w:rsidR="006811CF">
        <w:t xml:space="preserve">to </w:t>
      </w:r>
      <w:r w:rsidR="00F85EE2">
        <w:t>cross</w:t>
      </w:r>
      <w:r w:rsidR="006811CF">
        <w:t>-</w:t>
      </w:r>
      <w:r w:rsidR="00F85EE2">
        <w:t>reference emerg</w:t>
      </w:r>
      <w:r w:rsidR="006811CF">
        <w:t>ent</w:t>
      </w:r>
      <w:r w:rsidR="00F85EE2">
        <w:t xml:space="preserve"> themes</w:t>
      </w:r>
      <w:r w:rsidR="00C77675">
        <w:t xml:space="preserve"> with multiple data sources</w:t>
      </w:r>
      <w:r w:rsidR="00F85EE2">
        <w:t>.</w:t>
      </w:r>
      <w:r w:rsidR="00193470" w:rsidRPr="00B70E26">
        <w:t xml:space="preserve"> For instance, children would often portray special people or relationships </w:t>
      </w:r>
      <w:r w:rsidR="003A7215">
        <w:t xml:space="preserve">alongside </w:t>
      </w:r>
      <w:r w:rsidR="00193470" w:rsidRPr="00B70E26">
        <w:t>a place or environment</w:t>
      </w:r>
      <w:r w:rsidR="0012317F">
        <w:t xml:space="preserve"> reflecting </w:t>
      </w:r>
      <w:r w:rsidR="00193470" w:rsidRPr="00B70E26">
        <w:t>their</w:t>
      </w:r>
      <w:r w:rsidR="00193470">
        <w:t xml:space="preserve"> own unique set of</w:t>
      </w:r>
      <w:r w:rsidR="00193470" w:rsidRPr="00B70E26">
        <w:t xml:space="preserve"> interests, passions, or opinions. </w:t>
      </w:r>
      <w:r w:rsidR="0012317F">
        <w:t xml:space="preserve">Rather than imposing </w:t>
      </w:r>
      <w:r w:rsidR="001C2FA8">
        <w:t>limits on children as they participated</w:t>
      </w:r>
      <w:r w:rsidR="00AC023C">
        <w:t xml:space="preserve">, the activities were designed to be flexible and respond </w:t>
      </w:r>
      <w:r w:rsidR="5F62BFF7">
        <w:t xml:space="preserve">to </w:t>
      </w:r>
      <w:r w:rsidR="00AC023C">
        <w:t>the approaches that the children adopted</w:t>
      </w:r>
      <w:r w:rsidR="00AF3637">
        <w:t>. For</w:t>
      </w:r>
      <w:r w:rsidR="00541E5C">
        <w:t xml:space="preserve"> example, children could paint o</w:t>
      </w:r>
      <w:r w:rsidR="008055D2">
        <w:t>r represent anything th</w:t>
      </w:r>
      <w:r w:rsidR="00EE7558">
        <w:t>ey chose</w:t>
      </w:r>
      <w:r w:rsidR="001D6124">
        <w:t xml:space="preserve">. Similarly, children could use any material in their </w:t>
      </w:r>
      <w:r w:rsidR="00472BE0">
        <w:t xml:space="preserve">building </w:t>
      </w:r>
      <w:r w:rsidR="00CF69CD">
        <w:t>activities</w:t>
      </w:r>
      <w:r w:rsidR="00334FB8">
        <w:t xml:space="preserve">. </w:t>
      </w:r>
      <w:r w:rsidR="00F11AF3">
        <w:t>The process did not impose s</w:t>
      </w:r>
      <w:r w:rsidR="001D6124">
        <w:t>trict instructions on how to participate</w:t>
      </w:r>
      <w:r w:rsidR="490496E9">
        <w:t>,</w:t>
      </w:r>
      <w:r w:rsidR="001D6124">
        <w:t xml:space="preserve"> </w:t>
      </w:r>
      <w:r w:rsidR="007A317E">
        <w:t xml:space="preserve">enabling </w:t>
      </w:r>
      <w:r w:rsidR="00760424">
        <w:t>the</w:t>
      </w:r>
      <w:r w:rsidR="007A317E">
        <w:t xml:space="preserve"> dual focus on the creations and the </w:t>
      </w:r>
      <w:r w:rsidR="000D4F09">
        <w:t xml:space="preserve">discussions that occurred alongside </w:t>
      </w:r>
      <w:r w:rsidR="00307652">
        <w:t>them</w:t>
      </w:r>
      <w:r w:rsidR="00AC023C">
        <w:t xml:space="preserve">. </w:t>
      </w:r>
    </w:p>
    <w:p w14:paraId="3BABC14A" w14:textId="2D054A93" w:rsidR="00193470" w:rsidRDefault="00B75CBD" w:rsidP="00C26EE4">
      <w:r>
        <w:t>T</w:t>
      </w:r>
      <w:r w:rsidR="00193470">
        <w:t>he analysis team</w:t>
      </w:r>
      <w:r>
        <w:t xml:space="preserve"> similarly</w:t>
      </w:r>
      <w:r w:rsidR="00193470">
        <w:t xml:space="preserve"> held each other </w:t>
      </w:r>
      <w:r>
        <w:t>accountable</w:t>
      </w:r>
      <w:r w:rsidR="00193470">
        <w:t xml:space="preserve"> throughout the data analysis process</w:t>
      </w:r>
      <w:r>
        <w:t xml:space="preserve"> to </w:t>
      </w:r>
      <w:r w:rsidR="00D31CC0">
        <w:t>ensure that themes were drawn from</w:t>
      </w:r>
      <w:r w:rsidR="00193470">
        <w:t xml:space="preserve"> children’s </w:t>
      </w:r>
      <w:r w:rsidR="00D31CC0">
        <w:t>work</w:t>
      </w:r>
      <w:r w:rsidR="00AC5298">
        <w:t xml:space="preserve"> and their </w:t>
      </w:r>
      <w:r w:rsidR="00193470">
        <w:t xml:space="preserve">intended meanings </w:t>
      </w:r>
      <w:r w:rsidR="00D31CC0">
        <w:t>rather than adult interpretations of them</w:t>
      </w:r>
      <w:r w:rsidR="00193470">
        <w:t>.</w:t>
      </w:r>
    </w:p>
    <w:p w14:paraId="472303C2" w14:textId="3DB6824E" w:rsidR="00193470" w:rsidRPr="00970592" w:rsidRDefault="001E0376" w:rsidP="00B0659E">
      <w:pPr>
        <w:pStyle w:val="Heading3"/>
      </w:pPr>
      <w:bookmarkStart w:id="50" w:name="_Toc159497978"/>
      <w:r w:rsidRPr="00970592">
        <w:t>Methods that support</w:t>
      </w:r>
      <w:r w:rsidR="00193470" w:rsidRPr="00970592">
        <w:t xml:space="preserve"> capturing the voices of children</w:t>
      </w:r>
      <w:bookmarkEnd w:id="50"/>
    </w:p>
    <w:p w14:paraId="2553F515" w14:textId="3E340461" w:rsidR="00193470" w:rsidRPr="00AC5298" w:rsidRDefault="00193470" w:rsidP="006F38FA">
      <w:pPr>
        <w:pStyle w:val="paragraph"/>
        <w:spacing w:before="0" w:beforeAutospacing="0" w:after="120" w:afterAutospacing="0"/>
        <w:textAlignment w:val="baseline"/>
        <w:rPr>
          <w:rFonts w:ascii="Helvetica" w:hAnsi="Helvetica" w:cstheme="minorBidi"/>
          <w:sz w:val="21"/>
          <w:szCs w:val="21"/>
          <w:highlight w:val="yellow"/>
        </w:rPr>
      </w:pPr>
      <w:r w:rsidRPr="00970592">
        <w:rPr>
          <w:rStyle w:val="normaltextrun"/>
          <w:rFonts w:ascii="Helvetica" w:hAnsi="Helvetica" w:cstheme="minorBidi"/>
          <w:sz w:val="21"/>
          <w:szCs w:val="21"/>
        </w:rPr>
        <w:t xml:space="preserve">Our focus on research that amplifies children’s agency and their voices reflects a broader shift away from traditional theories of </w:t>
      </w:r>
      <w:r w:rsidR="00A54C8F" w:rsidRPr="00970592">
        <w:rPr>
          <w:rStyle w:val="normaltextrun"/>
          <w:rFonts w:ascii="Helvetica" w:hAnsi="Helvetica" w:cstheme="minorBidi"/>
          <w:sz w:val="21"/>
          <w:szCs w:val="21"/>
        </w:rPr>
        <w:t xml:space="preserve">child </w:t>
      </w:r>
      <w:r w:rsidRPr="00970592">
        <w:rPr>
          <w:rStyle w:val="normaltextrun"/>
          <w:rFonts w:ascii="Helvetica" w:hAnsi="Helvetica" w:cstheme="minorBidi"/>
          <w:sz w:val="21"/>
          <w:szCs w:val="21"/>
        </w:rPr>
        <w:t xml:space="preserve">development. These earlier theories had been cautious about </w:t>
      </w:r>
      <w:r w:rsidR="00A071A4" w:rsidRPr="00970592">
        <w:rPr>
          <w:rStyle w:val="normaltextrun"/>
          <w:rFonts w:ascii="Helvetica" w:hAnsi="Helvetica" w:cstheme="minorBidi"/>
          <w:sz w:val="21"/>
          <w:szCs w:val="21"/>
        </w:rPr>
        <w:t>affording</w:t>
      </w:r>
      <w:r w:rsidRPr="00970592">
        <w:rPr>
          <w:rStyle w:val="normaltextrun"/>
          <w:rFonts w:ascii="Helvetica" w:hAnsi="Helvetica" w:cstheme="minorBidi"/>
          <w:sz w:val="21"/>
          <w:szCs w:val="21"/>
        </w:rPr>
        <w:t xml:space="preserve"> full agency to children, minimising or downplaying their experiences by understanding childhood as simply a point located part-way on a spectrum towards adulthood. This view, which conceptualised children as “human </w:t>
      </w:r>
      <w:proofErr w:type="spellStart"/>
      <w:r w:rsidRPr="00970592">
        <w:rPr>
          <w:rStyle w:val="normaltextrun"/>
          <w:rFonts w:ascii="Helvetica" w:hAnsi="Helvetica" w:cstheme="minorBidi"/>
          <w:sz w:val="21"/>
          <w:szCs w:val="21"/>
        </w:rPr>
        <w:t>becomings</w:t>
      </w:r>
      <w:proofErr w:type="spellEnd"/>
      <w:r w:rsidRPr="00970592">
        <w:rPr>
          <w:rStyle w:val="normaltextrun"/>
          <w:rFonts w:ascii="Helvetica" w:hAnsi="Helvetica" w:cstheme="minorBidi"/>
          <w:sz w:val="21"/>
          <w:szCs w:val="21"/>
        </w:rPr>
        <w:t>, rather than as human beings”,</w:t>
      </w:r>
      <w:r w:rsidRPr="00970592">
        <w:rPr>
          <w:rStyle w:val="EndnoteReference"/>
          <w:rFonts w:ascii="Helvetica" w:hAnsi="Helvetica" w:cstheme="minorBidi"/>
          <w:sz w:val="21"/>
          <w:szCs w:val="21"/>
        </w:rPr>
        <w:endnoteReference w:id="7"/>
      </w:r>
      <w:r w:rsidRPr="00970592">
        <w:rPr>
          <w:rStyle w:val="normaltextrun"/>
          <w:rFonts w:ascii="Helvetica" w:hAnsi="Helvetica" w:cstheme="minorBidi"/>
          <w:sz w:val="21"/>
          <w:szCs w:val="21"/>
        </w:rPr>
        <w:t xml:space="preserve"> has been replaced by research </w:t>
      </w:r>
      <w:r w:rsidR="004D3F35" w:rsidRPr="00970592">
        <w:rPr>
          <w:rStyle w:val="normaltextrun"/>
          <w:rFonts w:ascii="Helvetica" w:hAnsi="Helvetica" w:cstheme="minorBidi"/>
          <w:sz w:val="21"/>
          <w:szCs w:val="21"/>
        </w:rPr>
        <w:t xml:space="preserve">theories and </w:t>
      </w:r>
      <w:r w:rsidRPr="00970592">
        <w:rPr>
          <w:rStyle w:val="normaltextrun"/>
          <w:rFonts w:ascii="Helvetica" w:hAnsi="Helvetica" w:cstheme="minorBidi"/>
          <w:sz w:val="21"/>
          <w:szCs w:val="21"/>
        </w:rPr>
        <w:t xml:space="preserve">practices that seek to genuinely acknowledge, understand, and validate the totality of children’s lives. The use of such methods is further justified by principle-based documents to which Australia is a signatory, including the United Nations’ </w:t>
      </w:r>
      <w:r w:rsidRPr="00970592">
        <w:rPr>
          <w:rStyle w:val="normaltextrun"/>
          <w:rFonts w:ascii="Helvetica" w:hAnsi="Helvetica" w:cstheme="minorBidi"/>
          <w:i/>
          <w:sz w:val="21"/>
          <w:szCs w:val="21"/>
        </w:rPr>
        <w:t>Convention on the Rights of the Child</w:t>
      </w:r>
      <w:r w:rsidRPr="00970592">
        <w:rPr>
          <w:rStyle w:val="normaltextrun"/>
          <w:rFonts w:ascii="Helvetica" w:hAnsi="Helvetica" w:cstheme="minorBidi"/>
          <w:sz w:val="21"/>
          <w:szCs w:val="21"/>
        </w:rPr>
        <w:t>.</w:t>
      </w:r>
      <w:r w:rsidRPr="00970592">
        <w:rPr>
          <w:rStyle w:val="EndnoteReference"/>
          <w:rFonts w:ascii="Helvetica" w:hAnsi="Helvetica" w:cstheme="minorBidi"/>
          <w:sz w:val="21"/>
          <w:szCs w:val="21"/>
        </w:rPr>
        <w:endnoteReference w:id="8"/>
      </w:r>
      <w:r w:rsidRPr="00970592">
        <w:rPr>
          <w:rStyle w:val="normaltextrun"/>
          <w:rFonts w:ascii="Helvetica" w:hAnsi="Helvetica" w:cstheme="minorBidi"/>
          <w:sz w:val="21"/>
          <w:szCs w:val="21"/>
        </w:rPr>
        <w:t xml:space="preserve"> </w:t>
      </w:r>
      <w:r w:rsidR="00B473F6" w:rsidRPr="00970592">
        <w:rPr>
          <w:rStyle w:val="normaltextrun"/>
          <w:rFonts w:ascii="Helvetica" w:hAnsi="Helvetica" w:cstheme="minorBidi"/>
          <w:sz w:val="21"/>
          <w:szCs w:val="21"/>
        </w:rPr>
        <w:t xml:space="preserve">In particular, Article 12 </w:t>
      </w:r>
      <w:r w:rsidR="7BDB645E" w:rsidRPr="00970592">
        <w:rPr>
          <w:rStyle w:val="normaltextrun"/>
          <w:rFonts w:ascii="Helvetica" w:hAnsi="Helvetica" w:cstheme="minorBidi"/>
          <w:sz w:val="21"/>
          <w:szCs w:val="21"/>
        </w:rPr>
        <w:t>calls for assuring</w:t>
      </w:r>
      <w:r w:rsidR="00B473F6">
        <w:rPr>
          <w:rFonts w:ascii="Helvetica" w:eastAsia="Batang" w:hAnsi="Helvetica" w:cstheme="minorBidi"/>
          <w:sz w:val="21"/>
          <w:szCs w:val="21"/>
          <w:lang w:eastAsia="en-US"/>
        </w:rPr>
        <w:t xml:space="preserve"> that t</w:t>
      </w:r>
      <w:r w:rsidR="00B473F6" w:rsidRPr="00970592">
        <w:rPr>
          <w:rFonts w:ascii="Helvetica" w:eastAsia="Batang" w:hAnsi="Helvetica" w:cstheme="minorBidi"/>
          <w:sz w:val="21"/>
          <w:szCs w:val="21"/>
          <w:lang w:eastAsia="en-US"/>
        </w:rPr>
        <w:t xml:space="preserve">he child </w:t>
      </w:r>
      <w:r w:rsidR="00B473F6">
        <w:rPr>
          <w:rFonts w:ascii="Helvetica" w:eastAsia="Batang" w:hAnsi="Helvetica" w:cstheme="minorBidi"/>
          <w:sz w:val="21"/>
          <w:szCs w:val="21"/>
          <w:lang w:eastAsia="en-US"/>
        </w:rPr>
        <w:t>“</w:t>
      </w:r>
      <w:r w:rsidR="00B473F6" w:rsidRPr="00970592">
        <w:rPr>
          <w:rFonts w:ascii="Helvetica" w:eastAsia="Batang" w:hAnsi="Helvetica" w:cstheme="minorBidi"/>
          <w:sz w:val="21"/>
          <w:szCs w:val="21"/>
          <w:lang w:eastAsia="en-US"/>
        </w:rPr>
        <w:t>who is capable of forming his or her own views</w:t>
      </w:r>
      <w:r w:rsidR="4CEF83B8" w:rsidRPr="692ECD40">
        <w:rPr>
          <w:rFonts w:ascii="Helvetica" w:eastAsia="Batang" w:hAnsi="Helvetica" w:cstheme="minorBidi"/>
          <w:sz w:val="21"/>
          <w:szCs w:val="21"/>
          <w:lang w:eastAsia="en-US"/>
        </w:rPr>
        <w:t>” is given</w:t>
      </w:r>
      <w:r w:rsidR="00B473F6" w:rsidRPr="00970592">
        <w:rPr>
          <w:rFonts w:ascii="Helvetica" w:eastAsia="Batang" w:hAnsi="Helvetica" w:cstheme="minorBidi"/>
          <w:sz w:val="21"/>
          <w:szCs w:val="21"/>
          <w:lang w:eastAsia="en-US"/>
        </w:rPr>
        <w:t xml:space="preserve"> the right to express those views freely in all matters affecting the child, the views of the child being given due weight in accordance with the age and maturity of the chil</w:t>
      </w:r>
      <w:r w:rsidR="00B473F6">
        <w:rPr>
          <w:rFonts w:ascii="Helvetica" w:eastAsia="Batang" w:hAnsi="Helvetica" w:cstheme="minorBidi"/>
          <w:sz w:val="21"/>
          <w:szCs w:val="21"/>
          <w:lang w:eastAsia="en-US"/>
        </w:rPr>
        <w:t>d”. The children in this study clearly demonstrate their capacity to form and express views on the matter of their experiences of ECEC.</w:t>
      </w:r>
    </w:p>
    <w:p w14:paraId="5FF1B8A6" w14:textId="2725225A" w:rsidR="000559F2" w:rsidRPr="00970592" w:rsidRDefault="006C4703" w:rsidP="000559F2">
      <w:pPr>
        <w:pStyle w:val="paragraph"/>
        <w:spacing w:before="0" w:beforeAutospacing="0" w:after="120" w:afterAutospacing="0"/>
        <w:textAlignment w:val="baseline"/>
        <w:rPr>
          <w:rStyle w:val="normaltextrun"/>
          <w:rFonts w:ascii="Helvetica" w:hAnsi="Helvetica" w:cs="Segoe UI"/>
          <w:sz w:val="21"/>
          <w:szCs w:val="21"/>
        </w:rPr>
      </w:pPr>
      <w:r w:rsidRPr="00970592">
        <w:rPr>
          <w:rStyle w:val="normaltextrun"/>
          <w:rFonts w:ascii="Helvetica" w:hAnsi="Helvetica" w:cs="Segoe UI"/>
          <w:sz w:val="21"/>
          <w:szCs w:val="21"/>
        </w:rPr>
        <w:t>Our use of</w:t>
      </w:r>
      <w:r w:rsidR="000559F2" w:rsidRPr="00970592">
        <w:rPr>
          <w:rStyle w:val="normaltextrun"/>
          <w:rFonts w:ascii="Helvetica" w:hAnsi="Helvetica" w:cs="Segoe UI"/>
          <w:sz w:val="21"/>
          <w:szCs w:val="21"/>
        </w:rPr>
        <w:t xml:space="preserve"> three methods of </w:t>
      </w:r>
      <w:r w:rsidRPr="00970592">
        <w:rPr>
          <w:rStyle w:val="normaltextrun"/>
          <w:rFonts w:ascii="Helvetica" w:hAnsi="Helvetica" w:cs="Segoe UI"/>
          <w:sz w:val="21"/>
          <w:szCs w:val="21"/>
        </w:rPr>
        <w:t>primary</w:t>
      </w:r>
      <w:r w:rsidR="000559F2" w:rsidRPr="00970592">
        <w:rPr>
          <w:rStyle w:val="normaltextrun"/>
          <w:rFonts w:ascii="Helvetica" w:hAnsi="Helvetica" w:cs="Segoe UI"/>
          <w:sz w:val="21"/>
          <w:szCs w:val="21"/>
        </w:rPr>
        <w:t xml:space="preserve"> data collection </w:t>
      </w:r>
      <w:r w:rsidRPr="00970592">
        <w:rPr>
          <w:rStyle w:val="normaltextrun"/>
          <w:rFonts w:ascii="Helvetica" w:hAnsi="Helvetica" w:cs="Segoe UI"/>
          <w:sz w:val="21"/>
          <w:szCs w:val="21"/>
        </w:rPr>
        <w:t xml:space="preserve">were </w:t>
      </w:r>
      <w:r w:rsidR="000559F2" w:rsidRPr="00970592">
        <w:rPr>
          <w:rStyle w:val="normaltextrun"/>
          <w:rFonts w:ascii="Helvetica" w:hAnsi="Helvetica" w:cs="Segoe UI"/>
          <w:sz w:val="21"/>
          <w:szCs w:val="21"/>
        </w:rPr>
        <w:t>informed by</w:t>
      </w:r>
      <w:r w:rsidR="00790251" w:rsidRPr="00970592">
        <w:rPr>
          <w:rStyle w:val="normaltextrun"/>
          <w:rFonts w:ascii="Helvetica" w:hAnsi="Helvetica" w:cs="Segoe UI"/>
          <w:sz w:val="21"/>
          <w:szCs w:val="21"/>
        </w:rPr>
        <w:t xml:space="preserve"> scholarly</w:t>
      </w:r>
      <w:r w:rsidR="000559F2" w:rsidRPr="00970592">
        <w:rPr>
          <w:rStyle w:val="normaltextrun"/>
          <w:rFonts w:ascii="Helvetica" w:hAnsi="Helvetica" w:cs="Segoe UI"/>
          <w:sz w:val="21"/>
          <w:szCs w:val="21"/>
        </w:rPr>
        <w:t xml:space="preserve"> literature noting the inherent value of multi-modal methodologies in enhancing data validity, especially in studies involving young children.</w:t>
      </w:r>
      <w:r w:rsidR="000559F2" w:rsidRPr="00970592">
        <w:rPr>
          <w:rStyle w:val="EndnoteReference"/>
          <w:rFonts w:ascii="Helvetica" w:hAnsi="Helvetica" w:cs="Segoe UI"/>
          <w:sz w:val="21"/>
          <w:szCs w:val="21"/>
        </w:rPr>
        <w:endnoteReference w:id="9"/>
      </w:r>
      <w:r w:rsidR="000559F2" w:rsidRPr="00970592">
        <w:rPr>
          <w:rStyle w:val="normaltextrun"/>
          <w:rFonts w:ascii="Helvetica" w:hAnsi="Helvetica" w:cs="Segoe UI"/>
          <w:sz w:val="21"/>
          <w:szCs w:val="21"/>
        </w:rPr>
        <w:t xml:space="preserve"> Gaining influence in recent years, for instance, Alison Clark and Peter Moss’s ‘Mosaic approach’ encourages capturing the views and insights of young children through the use of multiple different methods and activities, creating ‘tiles’ of meaning that can be put together to tell rich stories on the part of participants.</w:t>
      </w:r>
      <w:r w:rsidR="000559F2" w:rsidRPr="00970592">
        <w:rPr>
          <w:rStyle w:val="EndnoteReference"/>
          <w:rFonts w:ascii="Helvetica" w:hAnsi="Helvetica" w:cs="Segoe UI"/>
          <w:sz w:val="21"/>
          <w:szCs w:val="21"/>
        </w:rPr>
        <w:endnoteReference w:id="10"/>
      </w:r>
      <w:r w:rsidR="000559F2" w:rsidRPr="00970592">
        <w:rPr>
          <w:rStyle w:val="normaltextrun"/>
          <w:rFonts w:ascii="Helvetica" w:hAnsi="Helvetica" w:cs="Segoe UI"/>
          <w:sz w:val="21"/>
          <w:szCs w:val="21"/>
        </w:rPr>
        <w:t xml:space="preserve"> </w:t>
      </w:r>
    </w:p>
    <w:p w14:paraId="0637E23E" w14:textId="6C98E17D" w:rsidR="000559F2" w:rsidRPr="00970592" w:rsidRDefault="000559F2" w:rsidP="000559F2">
      <w:pPr>
        <w:pStyle w:val="paragraph"/>
        <w:spacing w:before="0" w:beforeAutospacing="0" w:after="120" w:afterAutospacing="0"/>
        <w:textAlignment w:val="baseline"/>
        <w:rPr>
          <w:rStyle w:val="normaltextrun"/>
          <w:rFonts w:ascii="Helvetica" w:hAnsi="Helvetica" w:cs="Segoe UI"/>
          <w:sz w:val="21"/>
          <w:szCs w:val="21"/>
        </w:rPr>
      </w:pPr>
      <w:r w:rsidRPr="00970592">
        <w:rPr>
          <w:rStyle w:val="normaltextrun"/>
          <w:rFonts w:ascii="Helvetica" w:hAnsi="Helvetica" w:cs="Segoe UI"/>
          <w:sz w:val="21"/>
          <w:szCs w:val="21"/>
        </w:rPr>
        <w:t>The research design was also informed by participatory action research methods</w:t>
      </w:r>
      <w:r w:rsidR="000F6CC4" w:rsidRPr="00970592">
        <w:rPr>
          <w:rStyle w:val="normaltextrun"/>
          <w:rFonts w:ascii="Helvetica" w:hAnsi="Helvetica" w:cs="Segoe UI"/>
          <w:sz w:val="21"/>
          <w:szCs w:val="21"/>
        </w:rPr>
        <w:t xml:space="preserve"> </w:t>
      </w:r>
      <w:r w:rsidRPr="00970592">
        <w:rPr>
          <w:rStyle w:val="EndnoteReference"/>
          <w:rFonts w:ascii="Helvetica" w:hAnsi="Helvetica" w:cs="Segoe UI"/>
          <w:sz w:val="21"/>
          <w:szCs w:val="21"/>
        </w:rPr>
        <w:endnoteReference w:id="11"/>
      </w:r>
      <w:r w:rsidRPr="00970592">
        <w:rPr>
          <w:rStyle w:val="normaltextrun"/>
          <w:rFonts w:ascii="Helvetica" w:hAnsi="Helvetica" w:cs="Segoe UI"/>
          <w:sz w:val="21"/>
          <w:szCs w:val="21"/>
        </w:rPr>
        <w:t xml:space="preserve">, which </w:t>
      </w:r>
      <w:r w:rsidR="002218FE" w:rsidRPr="00970592">
        <w:rPr>
          <w:rStyle w:val="normaltextrun"/>
          <w:rFonts w:ascii="Helvetica" w:hAnsi="Helvetica" w:cs="Segoe UI"/>
          <w:sz w:val="21"/>
          <w:szCs w:val="21"/>
        </w:rPr>
        <w:t>seeks</w:t>
      </w:r>
      <w:r w:rsidRPr="00970592">
        <w:rPr>
          <w:rStyle w:val="normaltextrun"/>
          <w:rFonts w:ascii="Helvetica" w:hAnsi="Helvetica" w:cs="Segoe UI"/>
          <w:sz w:val="21"/>
          <w:szCs w:val="21"/>
        </w:rPr>
        <w:t xml:space="preserve"> the views of those directly impacted by the findings of research. In th</w:t>
      </w:r>
      <w:r w:rsidR="002218FE" w:rsidRPr="00970592">
        <w:rPr>
          <w:rStyle w:val="normaltextrun"/>
          <w:rFonts w:ascii="Helvetica" w:hAnsi="Helvetica" w:cs="Segoe UI"/>
          <w:sz w:val="21"/>
          <w:szCs w:val="21"/>
        </w:rPr>
        <w:t>e present study</w:t>
      </w:r>
      <w:r w:rsidRPr="00970592">
        <w:rPr>
          <w:rStyle w:val="normaltextrun"/>
          <w:rFonts w:ascii="Helvetica" w:hAnsi="Helvetica" w:cs="Segoe UI"/>
          <w:sz w:val="21"/>
          <w:szCs w:val="21"/>
        </w:rPr>
        <w:t>, the participatory methods such as drawing, painting, or other creative pursuits like arts and crafts provide opportunities for participants of all ability levels to engage fully and share their voices and insights. Further, these types of activities are considered effective in collecting the authentic insights of younger children</w:t>
      </w:r>
      <w:r w:rsidR="43813511" w:rsidRPr="00970592">
        <w:rPr>
          <w:rStyle w:val="normaltextrun"/>
          <w:rFonts w:ascii="Helvetica" w:hAnsi="Helvetica" w:cs="Segoe UI"/>
          <w:sz w:val="21"/>
          <w:szCs w:val="21"/>
        </w:rPr>
        <w:t>,</w:t>
      </w:r>
      <w:r w:rsidRPr="00970592">
        <w:rPr>
          <w:rStyle w:val="normaltextrun"/>
          <w:rFonts w:ascii="Helvetica" w:hAnsi="Helvetica" w:cs="Segoe UI"/>
          <w:sz w:val="21"/>
          <w:szCs w:val="21"/>
        </w:rPr>
        <w:t xml:space="preserve"> </w:t>
      </w:r>
      <w:r w:rsidR="307FCB4A" w:rsidRPr="00970592">
        <w:rPr>
          <w:rStyle w:val="normaltextrun"/>
          <w:rFonts w:ascii="Helvetica" w:hAnsi="Helvetica" w:cs="Segoe UI"/>
          <w:sz w:val="21"/>
          <w:szCs w:val="21"/>
        </w:rPr>
        <w:t xml:space="preserve">bringing to the surface </w:t>
      </w:r>
      <w:r w:rsidRPr="00970592">
        <w:rPr>
          <w:rStyle w:val="normaltextrun"/>
          <w:rFonts w:ascii="Helvetica" w:hAnsi="Helvetica" w:cs="Segoe UI"/>
          <w:sz w:val="21"/>
          <w:szCs w:val="21"/>
        </w:rPr>
        <w:t>their “unanticipated, volunteered felt meanings.”</w:t>
      </w:r>
      <w:r w:rsidRPr="00970592">
        <w:rPr>
          <w:rStyle w:val="EndnoteReference"/>
          <w:rFonts w:ascii="Helvetica" w:hAnsi="Helvetica" w:cs="Segoe UI"/>
          <w:sz w:val="21"/>
          <w:szCs w:val="21"/>
        </w:rPr>
        <w:endnoteReference w:id="12"/>
      </w:r>
      <w:r w:rsidRPr="00970592">
        <w:rPr>
          <w:rStyle w:val="normaltextrun"/>
          <w:rFonts w:ascii="Helvetica" w:hAnsi="Helvetica" w:cs="Segoe UI"/>
          <w:sz w:val="21"/>
          <w:szCs w:val="21"/>
        </w:rPr>
        <w:t xml:space="preserve"> </w:t>
      </w:r>
    </w:p>
    <w:p w14:paraId="7F678DCE" w14:textId="5D1F7B0B" w:rsidR="00193470" w:rsidRPr="00970592" w:rsidRDefault="000559F2" w:rsidP="006F38FA">
      <w:pPr>
        <w:pStyle w:val="paragraph"/>
        <w:spacing w:before="0" w:beforeAutospacing="0" w:after="120" w:afterAutospacing="0"/>
        <w:textAlignment w:val="baseline"/>
        <w:rPr>
          <w:rFonts w:ascii="Helvetica" w:hAnsi="Helvetica" w:cs="Segoe UI"/>
          <w:sz w:val="21"/>
          <w:szCs w:val="21"/>
        </w:rPr>
      </w:pPr>
      <w:r w:rsidRPr="00970592">
        <w:rPr>
          <w:rStyle w:val="normaltextrun"/>
          <w:rFonts w:ascii="Helvetica" w:hAnsi="Helvetica" w:cs="Segoe UI"/>
          <w:sz w:val="21"/>
          <w:szCs w:val="21"/>
        </w:rPr>
        <w:t xml:space="preserve">A potential risk with research involving young children is that children’s insights, when recorded by adult researchers, may not fully or genuinely reflect participants’ intended meanings. </w:t>
      </w:r>
      <w:r w:rsidR="00E27959" w:rsidRPr="00970592">
        <w:rPr>
          <w:rStyle w:val="normaltextrun"/>
          <w:rFonts w:ascii="Helvetica" w:hAnsi="Helvetica" w:cs="Segoe UI"/>
          <w:sz w:val="21"/>
          <w:szCs w:val="21"/>
        </w:rPr>
        <w:t>We addressed this potential</w:t>
      </w:r>
      <w:r w:rsidRPr="00970592">
        <w:rPr>
          <w:rStyle w:val="normaltextrun"/>
          <w:rFonts w:ascii="Helvetica" w:hAnsi="Helvetica" w:cs="Segoe UI"/>
          <w:sz w:val="21"/>
          <w:szCs w:val="21"/>
        </w:rPr>
        <w:t xml:space="preserve"> risk by capturing children’s descriptions of their work verbatim. </w:t>
      </w:r>
      <w:r w:rsidR="0074560E" w:rsidRPr="00970592">
        <w:rPr>
          <w:rStyle w:val="normaltextrun"/>
          <w:rFonts w:ascii="Helvetica" w:hAnsi="Helvetica" w:cs="Segoe UI"/>
          <w:sz w:val="21"/>
          <w:szCs w:val="21"/>
        </w:rPr>
        <w:t>In addition,</w:t>
      </w:r>
      <w:r w:rsidR="00193470" w:rsidRPr="00970592">
        <w:rPr>
          <w:rStyle w:val="normaltextrun"/>
          <w:rFonts w:ascii="Helvetica" w:hAnsi="Helvetica" w:cs="Segoe UI"/>
          <w:sz w:val="21"/>
          <w:szCs w:val="21"/>
        </w:rPr>
        <w:t xml:space="preserve"> cross-referencing multiple types of data generated </w:t>
      </w:r>
      <w:r w:rsidR="00A471B4" w:rsidRPr="00970592">
        <w:rPr>
          <w:rStyle w:val="normaltextrun"/>
          <w:rFonts w:ascii="Helvetica" w:hAnsi="Helvetica" w:cs="Segoe UI"/>
          <w:sz w:val="21"/>
          <w:szCs w:val="21"/>
        </w:rPr>
        <w:t xml:space="preserve">across </w:t>
      </w:r>
      <w:r w:rsidR="00193470" w:rsidRPr="00970592">
        <w:rPr>
          <w:rStyle w:val="normaltextrun"/>
          <w:rFonts w:ascii="Helvetica" w:hAnsi="Helvetica" w:cs="Segoe UI"/>
          <w:sz w:val="21"/>
          <w:szCs w:val="21"/>
        </w:rPr>
        <w:t xml:space="preserve">the three activities </w:t>
      </w:r>
      <w:r w:rsidR="00A94C9A" w:rsidRPr="00970592">
        <w:rPr>
          <w:rStyle w:val="normaltextrun"/>
          <w:rFonts w:ascii="Helvetica" w:hAnsi="Helvetica" w:cs="Segoe UI"/>
          <w:sz w:val="21"/>
          <w:szCs w:val="21"/>
        </w:rPr>
        <w:t xml:space="preserve">supported </w:t>
      </w:r>
      <w:r w:rsidR="006F6A67" w:rsidRPr="00970592">
        <w:rPr>
          <w:rStyle w:val="normaltextrun"/>
          <w:rFonts w:ascii="Helvetica" w:hAnsi="Helvetica" w:cs="Segoe UI"/>
          <w:sz w:val="21"/>
          <w:szCs w:val="21"/>
        </w:rPr>
        <w:t>the development of them</w:t>
      </w:r>
      <w:r w:rsidR="00590270" w:rsidRPr="00970592">
        <w:rPr>
          <w:rStyle w:val="normaltextrun"/>
          <w:rFonts w:ascii="Helvetica" w:hAnsi="Helvetica" w:cs="Segoe UI"/>
          <w:sz w:val="21"/>
          <w:szCs w:val="21"/>
        </w:rPr>
        <w:t>atic areas</w:t>
      </w:r>
      <w:r w:rsidR="0090577D" w:rsidRPr="00970592">
        <w:rPr>
          <w:rStyle w:val="normaltextrun"/>
          <w:rFonts w:ascii="Helvetica" w:hAnsi="Helvetica" w:cs="Segoe UI"/>
          <w:sz w:val="21"/>
          <w:szCs w:val="21"/>
        </w:rPr>
        <w:t xml:space="preserve">. This </w:t>
      </w:r>
      <w:r w:rsidR="00CE6390" w:rsidRPr="00970592">
        <w:rPr>
          <w:rStyle w:val="normaltextrun"/>
          <w:rFonts w:ascii="Helvetica" w:hAnsi="Helvetica" w:cs="Segoe UI"/>
          <w:sz w:val="21"/>
          <w:szCs w:val="21"/>
        </w:rPr>
        <w:t xml:space="preserve">approach </w:t>
      </w:r>
      <w:r w:rsidR="0090577D" w:rsidRPr="00970592">
        <w:rPr>
          <w:rStyle w:val="normaltextrun"/>
          <w:rFonts w:ascii="Helvetica" w:hAnsi="Helvetica" w:cs="Segoe UI"/>
          <w:sz w:val="21"/>
          <w:szCs w:val="21"/>
        </w:rPr>
        <w:t xml:space="preserve">also </w:t>
      </w:r>
      <w:r w:rsidR="00CE6390" w:rsidRPr="00970592">
        <w:rPr>
          <w:rStyle w:val="normaltextrun"/>
          <w:rFonts w:ascii="Helvetica" w:hAnsi="Helvetica" w:cs="Segoe UI"/>
          <w:sz w:val="21"/>
          <w:szCs w:val="21"/>
        </w:rPr>
        <w:t>accommodated</w:t>
      </w:r>
      <w:r w:rsidR="00193470" w:rsidRPr="00970592">
        <w:rPr>
          <w:rStyle w:val="normaltextrun"/>
          <w:rFonts w:ascii="Helvetica" w:hAnsi="Helvetica" w:cs="Segoe UI"/>
          <w:sz w:val="21"/>
          <w:szCs w:val="21"/>
        </w:rPr>
        <w:t xml:space="preserve"> the highly creative, non-linear, unpredictable, and spontaneous ways that young children express themselves, </w:t>
      </w:r>
      <w:r w:rsidR="00047091" w:rsidRPr="00970592">
        <w:rPr>
          <w:rStyle w:val="normaltextrun"/>
          <w:rFonts w:ascii="Helvetica" w:hAnsi="Helvetica" w:cs="Segoe UI"/>
          <w:sz w:val="21"/>
          <w:szCs w:val="21"/>
        </w:rPr>
        <w:t xml:space="preserve">which is </w:t>
      </w:r>
      <w:r w:rsidR="00FA1BBF" w:rsidRPr="00970592">
        <w:rPr>
          <w:rStyle w:val="normaltextrun"/>
          <w:rFonts w:ascii="Helvetica" w:hAnsi="Helvetica" w:cs="Segoe UI"/>
          <w:sz w:val="21"/>
          <w:szCs w:val="21"/>
        </w:rPr>
        <w:lastRenderedPageBreak/>
        <w:t xml:space="preserve">typical of </w:t>
      </w:r>
      <w:r w:rsidR="00412FBA" w:rsidRPr="00970592">
        <w:rPr>
          <w:rStyle w:val="normaltextrun"/>
          <w:rFonts w:ascii="Helvetica" w:hAnsi="Helvetica" w:cs="Segoe UI"/>
          <w:sz w:val="21"/>
          <w:szCs w:val="21"/>
        </w:rPr>
        <w:t>what</w:t>
      </w:r>
      <w:r w:rsidR="00193470" w:rsidRPr="00970592">
        <w:rPr>
          <w:rStyle w:val="normaltextrun"/>
          <w:rFonts w:ascii="Helvetica" w:hAnsi="Helvetica" w:cs="Segoe UI"/>
          <w:sz w:val="21"/>
          <w:szCs w:val="21"/>
        </w:rPr>
        <w:t xml:space="preserve"> Piaget referred to as the ‘pre-operational’ stage of cognitive development.</w:t>
      </w:r>
      <w:r w:rsidR="00A57050" w:rsidRPr="00970592">
        <w:rPr>
          <w:rStyle w:val="EndnoteReference"/>
          <w:rFonts w:ascii="Helvetica" w:hAnsi="Helvetica" w:cs="Segoe UI"/>
          <w:sz w:val="21"/>
          <w:szCs w:val="21"/>
        </w:rPr>
        <w:endnoteReference w:id="13"/>
      </w:r>
      <w:r w:rsidR="00193470" w:rsidRPr="00970592">
        <w:rPr>
          <w:rStyle w:val="normaltextrun"/>
          <w:rFonts w:ascii="Helvetica" w:hAnsi="Helvetica" w:cs="Segoe UI"/>
          <w:sz w:val="21"/>
          <w:szCs w:val="21"/>
        </w:rPr>
        <w:t xml:space="preserve"> This phase of </w:t>
      </w:r>
      <w:r w:rsidR="00190681" w:rsidRPr="00970592">
        <w:rPr>
          <w:rStyle w:val="normaltextrun"/>
          <w:rFonts w:ascii="Helvetica" w:hAnsi="Helvetica" w:cs="Segoe UI"/>
          <w:sz w:val="21"/>
          <w:szCs w:val="21"/>
        </w:rPr>
        <w:t>child</w:t>
      </w:r>
      <w:r w:rsidR="00193470" w:rsidRPr="00970592">
        <w:rPr>
          <w:rStyle w:val="normaltextrun"/>
          <w:rFonts w:ascii="Helvetica" w:hAnsi="Helvetica" w:cs="Segoe UI"/>
          <w:sz w:val="21"/>
          <w:szCs w:val="21"/>
        </w:rPr>
        <w:t xml:space="preserve"> development marks a transitory period between the more basic sensorimotor intelligence level, typical of infants, and concrete operational thinking stage, more commonly achieved by children of early school age.</w:t>
      </w:r>
      <w:r w:rsidR="00A57050" w:rsidRPr="00970592">
        <w:rPr>
          <w:rStyle w:val="EndnoteReference"/>
          <w:rFonts w:ascii="Helvetica" w:hAnsi="Helvetica" w:cs="Segoe UI"/>
          <w:sz w:val="21"/>
          <w:szCs w:val="21"/>
        </w:rPr>
        <w:endnoteReference w:id="14"/>
      </w:r>
    </w:p>
    <w:p w14:paraId="42B81AA9" w14:textId="79D0EECE" w:rsidR="00193470" w:rsidRPr="00970592" w:rsidRDefault="00D078B1" w:rsidP="006F38FA">
      <w:pPr>
        <w:pStyle w:val="paragraph"/>
        <w:spacing w:before="0" w:beforeAutospacing="0" w:after="120" w:afterAutospacing="0"/>
        <w:textAlignment w:val="baseline"/>
        <w:rPr>
          <w:rStyle w:val="eop"/>
          <w:rFonts w:ascii="Helvetica" w:hAnsi="Helvetica" w:cs="Segoe UI"/>
          <w:sz w:val="21"/>
          <w:szCs w:val="21"/>
        </w:rPr>
      </w:pPr>
      <w:r w:rsidRPr="00970592">
        <w:rPr>
          <w:rStyle w:val="normaltextrun"/>
          <w:rFonts w:ascii="Helvetica" w:hAnsi="Helvetica" w:cs="Segoe UI"/>
          <w:sz w:val="21"/>
          <w:szCs w:val="21"/>
        </w:rPr>
        <w:t>All</w:t>
      </w:r>
      <w:r w:rsidR="00193470" w:rsidRPr="00970592">
        <w:rPr>
          <w:rStyle w:val="normaltextrun"/>
          <w:rFonts w:ascii="Helvetica" w:hAnsi="Helvetica" w:cs="Segoe UI"/>
          <w:sz w:val="21"/>
          <w:szCs w:val="21"/>
        </w:rPr>
        <w:t xml:space="preserve"> three activities were shaped by the acknowledged power of the use of vignettes in qualitative research, particularly in studies involving young children.</w:t>
      </w:r>
      <w:r w:rsidR="00193470" w:rsidRPr="00970592">
        <w:rPr>
          <w:rStyle w:val="EndnoteReference"/>
          <w:rFonts w:ascii="Helvetica" w:hAnsi="Helvetica" w:cs="Segoe UI"/>
          <w:sz w:val="21"/>
          <w:szCs w:val="21"/>
        </w:rPr>
        <w:endnoteReference w:id="15"/>
      </w:r>
      <w:r w:rsidR="00193470" w:rsidRPr="00970592">
        <w:rPr>
          <w:rStyle w:val="normaltextrun"/>
          <w:rFonts w:ascii="Helvetica" w:hAnsi="Helvetica" w:cs="Segoe UI"/>
          <w:sz w:val="21"/>
          <w:szCs w:val="21"/>
        </w:rPr>
        <w:t xml:space="preserve"> Vignettes, in this context, include “short scenarios in written or pictorial form, intended to elicit responses to typical scenarios … [or] stories about individuals, situations and structures, which can make reference to important points in the study of perceptions, beliefs and attitudes.”</w:t>
      </w:r>
      <w:r w:rsidR="00193470" w:rsidRPr="00970592">
        <w:rPr>
          <w:rStyle w:val="EndnoteReference"/>
          <w:rFonts w:ascii="Helvetica" w:hAnsi="Helvetica" w:cs="Segoe UI"/>
          <w:sz w:val="21"/>
          <w:szCs w:val="21"/>
        </w:rPr>
        <w:endnoteReference w:id="16"/>
      </w:r>
      <w:r w:rsidR="00193470" w:rsidRPr="00970592">
        <w:rPr>
          <w:rStyle w:val="eop"/>
          <w:rFonts w:ascii="Helvetica" w:hAnsi="Helvetica" w:cs="Segoe UI"/>
          <w:sz w:val="21"/>
          <w:szCs w:val="21"/>
        </w:rPr>
        <w:t> </w:t>
      </w:r>
      <w:r w:rsidR="008E3F6A" w:rsidRPr="00970592">
        <w:rPr>
          <w:rStyle w:val="eop"/>
          <w:rFonts w:ascii="Helvetica" w:hAnsi="Helvetica" w:cs="Segoe UI"/>
          <w:sz w:val="21"/>
          <w:szCs w:val="21"/>
        </w:rPr>
        <w:t>In</w:t>
      </w:r>
      <w:r w:rsidR="00AD1A0C" w:rsidRPr="00970592">
        <w:rPr>
          <w:rStyle w:val="eop"/>
          <w:rFonts w:ascii="Helvetica" w:hAnsi="Helvetica" w:cs="Segoe UI"/>
          <w:sz w:val="21"/>
          <w:szCs w:val="21"/>
        </w:rPr>
        <w:t xml:space="preserve"> analys</w:t>
      </w:r>
      <w:r w:rsidR="008E3F6A" w:rsidRPr="00970592">
        <w:rPr>
          <w:rStyle w:val="eop"/>
          <w:rFonts w:ascii="Helvetica" w:hAnsi="Helvetica" w:cs="Segoe UI"/>
          <w:sz w:val="21"/>
          <w:szCs w:val="21"/>
        </w:rPr>
        <w:t>ing</w:t>
      </w:r>
      <w:r w:rsidR="00AD1A0C" w:rsidRPr="00970592">
        <w:rPr>
          <w:rStyle w:val="eop"/>
          <w:rFonts w:ascii="Helvetica" w:hAnsi="Helvetica" w:cs="Segoe UI"/>
          <w:sz w:val="21"/>
          <w:szCs w:val="21"/>
        </w:rPr>
        <w:t xml:space="preserve"> these vignette-style </w:t>
      </w:r>
      <w:r w:rsidR="008E3F6A" w:rsidRPr="00970592">
        <w:rPr>
          <w:rStyle w:val="eop"/>
          <w:rFonts w:ascii="Helvetica" w:hAnsi="Helvetica" w:cs="Segoe UI"/>
          <w:sz w:val="21"/>
          <w:szCs w:val="21"/>
        </w:rPr>
        <w:t>data, we have drawn on the concept of ‘fidelity’, rather than aiming to represent a valid truth</w:t>
      </w:r>
      <w:r w:rsidR="00094892" w:rsidRPr="00970592">
        <w:rPr>
          <w:rStyle w:val="eop"/>
          <w:rFonts w:ascii="Helvetica" w:hAnsi="Helvetica" w:cs="Segoe UI"/>
          <w:sz w:val="21"/>
          <w:szCs w:val="21"/>
        </w:rPr>
        <w:t xml:space="preserve">. </w:t>
      </w:r>
      <w:r w:rsidR="00594307" w:rsidRPr="00970592">
        <w:rPr>
          <w:rStyle w:val="eop"/>
          <w:rFonts w:ascii="Helvetica" w:hAnsi="Helvetica" w:cs="Segoe UI"/>
          <w:sz w:val="21"/>
          <w:szCs w:val="21"/>
        </w:rPr>
        <w:t xml:space="preserve">As </w:t>
      </w:r>
      <w:r w:rsidR="008928FE" w:rsidRPr="00970592">
        <w:rPr>
          <w:rStyle w:val="eop"/>
          <w:rFonts w:ascii="Helvetica" w:hAnsi="Helvetica" w:cs="Segoe UI"/>
          <w:sz w:val="21"/>
          <w:szCs w:val="21"/>
        </w:rPr>
        <w:t>Grumet</w:t>
      </w:r>
      <w:r w:rsidR="00C25B74" w:rsidRPr="00970592">
        <w:rPr>
          <w:rStyle w:val="eop"/>
          <w:rFonts w:ascii="Helvetica" w:hAnsi="Helvetica" w:cs="Segoe UI"/>
          <w:sz w:val="21"/>
          <w:szCs w:val="21"/>
        </w:rPr>
        <w:t xml:space="preserve"> (1995)</w:t>
      </w:r>
      <w:r w:rsidR="00594307" w:rsidRPr="00970592">
        <w:rPr>
          <w:rStyle w:val="eop"/>
          <w:rFonts w:ascii="Helvetica" w:hAnsi="Helvetica" w:cs="Segoe UI"/>
          <w:sz w:val="21"/>
          <w:szCs w:val="21"/>
        </w:rPr>
        <w:t xml:space="preserve"> </w:t>
      </w:r>
      <w:r w:rsidR="00B037EF" w:rsidRPr="00970592">
        <w:rPr>
          <w:rStyle w:val="eop"/>
          <w:rFonts w:ascii="Helvetica" w:hAnsi="Helvetica" w:cs="Segoe UI"/>
          <w:sz w:val="21"/>
          <w:szCs w:val="21"/>
        </w:rPr>
        <w:t xml:space="preserve">explained, </w:t>
      </w:r>
      <w:r w:rsidR="000576E9" w:rsidRPr="00970592">
        <w:rPr>
          <w:rStyle w:val="eop"/>
          <w:rFonts w:ascii="Helvetica" w:hAnsi="Helvetica" w:cs="Segoe UI"/>
          <w:sz w:val="21"/>
          <w:szCs w:val="21"/>
        </w:rPr>
        <w:t>truth can be seen as the retelling of what happened</w:t>
      </w:r>
      <w:r w:rsidR="00C25B74" w:rsidRPr="00970592">
        <w:rPr>
          <w:rStyle w:val="eop"/>
          <w:rFonts w:ascii="Helvetica" w:hAnsi="Helvetica" w:cs="Segoe UI"/>
          <w:sz w:val="21"/>
          <w:szCs w:val="21"/>
        </w:rPr>
        <w:t xml:space="preserve"> whereas</w:t>
      </w:r>
      <w:r w:rsidR="000576E9" w:rsidRPr="00970592">
        <w:rPr>
          <w:rStyle w:val="eop"/>
          <w:rFonts w:ascii="Helvetica" w:hAnsi="Helvetica" w:cs="Segoe UI"/>
          <w:sz w:val="21"/>
          <w:szCs w:val="21"/>
        </w:rPr>
        <w:t xml:space="preserve"> fidelity is “what it means to the teller of the tale.”</w:t>
      </w:r>
      <w:r w:rsidR="00FA36DF" w:rsidRPr="00970592">
        <w:rPr>
          <w:rStyle w:val="EndnoteReference"/>
          <w:rFonts w:ascii="Helvetica" w:hAnsi="Helvetica" w:cs="Segoe UI"/>
          <w:sz w:val="21"/>
          <w:szCs w:val="21"/>
        </w:rPr>
        <w:endnoteReference w:id="17"/>
      </w:r>
      <w:r w:rsidR="006B1F1E" w:rsidRPr="00970592">
        <w:rPr>
          <w:rStyle w:val="eop"/>
          <w:rFonts w:ascii="Helvetica" w:hAnsi="Helvetica" w:cs="Segoe UI"/>
          <w:sz w:val="21"/>
          <w:szCs w:val="21"/>
        </w:rPr>
        <w:t xml:space="preserve"> </w:t>
      </w:r>
      <w:r w:rsidR="00C25B74" w:rsidRPr="00970592">
        <w:rPr>
          <w:rStyle w:val="eop"/>
          <w:rFonts w:ascii="Helvetica" w:hAnsi="Helvetica" w:cs="Segoe UI"/>
          <w:sz w:val="21"/>
          <w:szCs w:val="21"/>
        </w:rPr>
        <w:t>F</w:t>
      </w:r>
      <w:r w:rsidR="00F709FA" w:rsidRPr="00970592">
        <w:rPr>
          <w:rStyle w:val="eop"/>
          <w:rFonts w:ascii="Helvetica" w:hAnsi="Helvetica" w:cs="Segoe UI"/>
          <w:sz w:val="21"/>
          <w:szCs w:val="21"/>
        </w:rPr>
        <w:t>idelity has been an important concept in this study</w:t>
      </w:r>
      <w:r w:rsidR="00AE4696" w:rsidRPr="00970592">
        <w:rPr>
          <w:rStyle w:val="eop"/>
          <w:rFonts w:ascii="Helvetica" w:hAnsi="Helvetica" w:cs="Segoe UI"/>
          <w:sz w:val="21"/>
          <w:szCs w:val="21"/>
        </w:rPr>
        <w:t xml:space="preserve"> </w:t>
      </w:r>
      <w:r w:rsidR="002A2806" w:rsidRPr="00970592">
        <w:rPr>
          <w:rStyle w:val="eop"/>
          <w:rFonts w:ascii="Helvetica" w:hAnsi="Helvetica" w:cs="Segoe UI"/>
          <w:sz w:val="21"/>
          <w:szCs w:val="21"/>
        </w:rPr>
        <w:t>seeking</w:t>
      </w:r>
      <w:r w:rsidR="00AE4696" w:rsidRPr="00970592">
        <w:rPr>
          <w:rStyle w:val="eop"/>
          <w:rFonts w:ascii="Helvetica" w:hAnsi="Helvetica" w:cs="Segoe UI"/>
          <w:sz w:val="21"/>
          <w:szCs w:val="21"/>
        </w:rPr>
        <w:t xml:space="preserve"> to </w:t>
      </w:r>
      <w:r w:rsidR="00FB49FF" w:rsidRPr="00970592">
        <w:rPr>
          <w:rStyle w:val="eop"/>
          <w:rFonts w:ascii="Helvetica" w:hAnsi="Helvetica" w:cs="Segoe UI"/>
          <w:sz w:val="21"/>
          <w:szCs w:val="21"/>
        </w:rPr>
        <w:t>move</w:t>
      </w:r>
      <w:r w:rsidR="00AE4696" w:rsidRPr="00970592">
        <w:rPr>
          <w:rStyle w:val="eop"/>
          <w:rFonts w:ascii="Helvetica" w:hAnsi="Helvetica" w:cs="Segoe UI"/>
          <w:sz w:val="21"/>
          <w:szCs w:val="21"/>
        </w:rPr>
        <w:t xml:space="preserve"> beyond simply retelling actions. </w:t>
      </w:r>
      <w:r w:rsidR="0019779E" w:rsidRPr="00970592">
        <w:rPr>
          <w:rStyle w:val="eop"/>
          <w:rFonts w:ascii="Helvetica" w:hAnsi="Helvetica" w:cs="Segoe UI"/>
          <w:sz w:val="21"/>
          <w:szCs w:val="21"/>
        </w:rPr>
        <w:t>To</w:t>
      </w:r>
      <w:r w:rsidR="00AE4696" w:rsidRPr="00970592">
        <w:rPr>
          <w:rStyle w:val="eop"/>
          <w:rFonts w:ascii="Helvetica" w:hAnsi="Helvetica" w:cs="Segoe UI"/>
          <w:sz w:val="21"/>
          <w:szCs w:val="21"/>
        </w:rPr>
        <w:t xml:space="preserve"> illuminate motivations, intents, and thinking, some subjective analysis was necessary</w:t>
      </w:r>
      <w:r w:rsidR="00EB4DDC" w:rsidRPr="00970592">
        <w:rPr>
          <w:rStyle w:val="eop"/>
          <w:rFonts w:ascii="Helvetica" w:hAnsi="Helvetica" w:cs="Segoe UI"/>
          <w:sz w:val="21"/>
          <w:szCs w:val="21"/>
        </w:rPr>
        <w:t xml:space="preserve">. As such, </w:t>
      </w:r>
      <w:r w:rsidR="00724107" w:rsidRPr="00970592">
        <w:rPr>
          <w:rStyle w:val="eop"/>
          <w:rFonts w:ascii="Helvetica" w:hAnsi="Helvetica" w:cs="Segoe UI"/>
          <w:sz w:val="21"/>
          <w:szCs w:val="21"/>
        </w:rPr>
        <w:t xml:space="preserve">fidelity was taken to mean the faithfulness of the retelling – that, as far as possible, the researchers were faithful to the actions and responses of the child participants, while making best attempts to understand and reflect the less visible aspects of the </w:t>
      </w:r>
      <w:r w:rsidR="0015488C" w:rsidRPr="00970592">
        <w:rPr>
          <w:rStyle w:val="eop"/>
          <w:rFonts w:ascii="Helvetica" w:hAnsi="Helvetica" w:cs="Segoe UI"/>
          <w:sz w:val="21"/>
          <w:szCs w:val="21"/>
        </w:rPr>
        <w:t>protagonists’</w:t>
      </w:r>
      <w:r w:rsidR="00724107" w:rsidRPr="00970592">
        <w:rPr>
          <w:rStyle w:val="eop"/>
          <w:rFonts w:ascii="Helvetica" w:hAnsi="Helvetica" w:cs="Segoe UI"/>
          <w:sz w:val="21"/>
          <w:szCs w:val="21"/>
        </w:rPr>
        <w:t xml:space="preserve"> experiences.</w:t>
      </w:r>
    </w:p>
    <w:p w14:paraId="75D9ADF8" w14:textId="4FCBD1DF" w:rsidR="00D078B1" w:rsidRPr="00970592" w:rsidRDefault="00D078B1" w:rsidP="006F38FA">
      <w:pPr>
        <w:pStyle w:val="paragraph"/>
        <w:spacing w:before="0" w:beforeAutospacing="0" w:after="120" w:afterAutospacing="0"/>
        <w:textAlignment w:val="baseline"/>
        <w:rPr>
          <w:rFonts w:ascii="Helvetica" w:hAnsi="Helvetica" w:cs="Segoe UI"/>
          <w:sz w:val="21"/>
          <w:szCs w:val="21"/>
        </w:rPr>
      </w:pPr>
      <w:r w:rsidRPr="00970592">
        <w:rPr>
          <w:rFonts w:ascii="Helvetica" w:hAnsi="Helvetica" w:cs="Segoe UI"/>
          <w:sz w:val="21"/>
          <w:szCs w:val="21"/>
        </w:rPr>
        <w:t xml:space="preserve">Ultimately, the research team were mindful of </w:t>
      </w:r>
      <w:proofErr w:type="spellStart"/>
      <w:r w:rsidRPr="00970592">
        <w:rPr>
          <w:rFonts w:ascii="Helvetica" w:hAnsi="Helvetica" w:cs="Segoe UI"/>
          <w:sz w:val="21"/>
          <w:szCs w:val="21"/>
        </w:rPr>
        <w:t>MacLure’s</w:t>
      </w:r>
      <w:proofErr w:type="spellEnd"/>
      <w:r w:rsidRPr="00970592">
        <w:rPr>
          <w:rFonts w:ascii="Helvetica" w:hAnsi="Helvetica" w:cs="Segoe UI"/>
          <w:sz w:val="21"/>
          <w:szCs w:val="21"/>
        </w:rPr>
        <w:t xml:space="preserve"> warning of the many ways in which voice in qualitative research</w:t>
      </w:r>
      <w:r w:rsidR="00B57F54" w:rsidRPr="00970592">
        <w:rPr>
          <w:rFonts w:ascii="Helvetica" w:hAnsi="Helvetica" w:cs="Segoe UI"/>
          <w:sz w:val="21"/>
          <w:szCs w:val="21"/>
        </w:rPr>
        <w:t xml:space="preserve"> can</w:t>
      </w:r>
      <w:r w:rsidRPr="00970592">
        <w:rPr>
          <w:rFonts w:ascii="Helvetica" w:hAnsi="Helvetica" w:cs="Segoe UI"/>
          <w:sz w:val="21"/>
          <w:szCs w:val="21"/>
        </w:rPr>
        <w:t xml:space="preserve"> </w:t>
      </w:r>
      <w:r w:rsidR="00956EFB" w:rsidRPr="00970592">
        <w:rPr>
          <w:rFonts w:ascii="Helvetica" w:hAnsi="Helvetica" w:cs="Segoe UI"/>
          <w:sz w:val="21"/>
          <w:szCs w:val="21"/>
        </w:rPr>
        <w:t>“falter of fail.”</w:t>
      </w:r>
      <w:r w:rsidR="00942953" w:rsidRPr="00970592">
        <w:rPr>
          <w:rStyle w:val="EndnoteReference"/>
          <w:rFonts w:ascii="Helvetica" w:hAnsi="Helvetica" w:cs="Segoe UI"/>
          <w:sz w:val="21"/>
          <w:szCs w:val="21"/>
        </w:rPr>
        <w:endnoteReference w:id="18"/>
      </w:r>
      <w:r w:rsidR="00404692" w:rsidRPr="00970592">
        <w:rPr>
          <w:rFonts w:ascii="Helvetica" w:hAnsi="Helvetica" w:cs="Segoe UI"/>
          <w:sz w:val="21"/>
          <w:szCs w:val="21"/>
        </w:rPr>
        <w:t xml:space="preserve"> </w:t>
      </w:r>
      <w:proofErr w:type="spellStart"/>
      <w:r w:rsidR="00404692" w:rsidRPr="00970592">
        <w:rPr>
          <w:rFonts w:ascii="Helvetica" w:hAnsi="Helvetica" w:cs="Segoe UI"/>
          <w:sz w:val="21"/>
          <w:szCs w:val="21"/>
        </w:rPr>
        <w:t>MacLure</w:t>
      </w:r>
      <w:proofErr w:type="spellEnd"/>
      <w:r w:rsidR="0036253D" w:rsidRPr="00970592">
        <w:rPr>
          <w:rFonts w:ascii="Helvetica" w:hAnsi="Helvetica" w:cs="Segoe UI"/>
          <w:sz w:val="21"/>
          <w:szCs w:val="21"/>
        </w:rPr>
        <w:t xml:space="preserve"> speaks of the </w:t>
      </w:r>
      <w:r w:rsidR="007E0548" w:rsidRPr="00970592">
        <w:rPr>
          <w:rFonts w:ascii="Helvetica" w:hAnsi="Helvetica" w:cs="Segoe UI"/>
          <w:sz w:val="21"/>
          <w:szCs w:val="21"/>
        </w:rPr>
        <w:t>risk of children’s voice being presented as innocent and idealised</w:t>
      </w:r>
      <w:r w:rsidR="009A6E41" w:rsidRPr="00970592">
        <w:rPr>
          <w:rFonts w:ascii="Helvetica" w:hAnsi="Helvetica" w:cs="Segoe UI"/>
          <w:sz w:val="21"/>
          <w:szCs w:val="21"/>
        </w:rPr>
        <w:t xml:space="preserve">, </w:t>
      </w:r>
      <w:r w:rsidR="006E5361" w:rsidRPr="00970592">
        <w:rPr>
          <w:rFonts w:ascii="Helvetica" w:hAnsi="Helvetica" w:cs="Segoe UI"/>
          <w:sz w:val="21"/>
          <w:szCs w:val="21"/>
        </w:rPr>
        <w:t xml:space="preserve">invoking </w:t>
      </w:r>
      <w:r w:rsidR="00D06107" w:rsidRPr="00970592">
        <w:rPr>
          <w:rFonts w:ascii="Helvetica" w:hAnsi="Helvetica" w:cs="Segoe UI"/>
          <w:sz w:val="21"/>
          <w:szCs w:val="21"/>
        </w:rPr>
        <w:t xml:space="preserve">other </w:t>
      </w:r>
      <w:r w:rsidR="00C76F3E" w:rsidRPr="00970592">
        <w:rPr>
          <w:rFonts w:ascii="Helvetica" w:hAnsi="Helvetica" w:cs="Segoe UI"/>
          <w:sz w:val="21"/>
          <w:szCs w:val="21"/>
        </w:rPr>
        <w:t xml:space="preserve">potential pitfalls of child-centred research, including perspectives </w:t>
      </w:r>
      <w:r w:rsidR="00057F28" w:rsidRPr="00970592">
        <w:rPr>
          <w:rFonts w:ascii="Helvetica" w:hAnsi="Helvetica" w:cs="Segoe UI"/>
          <w:sz w:val="21"/>
          <w:szCs w:val="21"/>
        </w:rPr>
        <w:t>which</w:t>
      </w:r>
      <w:r w:rsidR="009A6E41" w:rsidRPr="00970592">
        <w:rPr>
          <w:rFonts w:ascii="Helvetica" w:hAnsi="Helvetica" w:cs="Segoe UI"/>
          <w:sz w:val="21"/>
          <w:szCs w:val="21"/>
        </w:rPr>
        <w:t xml:space="preserve"> suggest representations of children’s voice can fall into the “textual politics of good intentions.”</w:t>
      </w:r>
      <w:r w:rsidR="00F11265" w:rsidRPr="00970592">
        <w:rPr>
          <w:rStyle w:val="EndnoteReference"/>
          <w:rFonts w:ascii="Helvetica" w:hAnsi="Helvetica" w:cs="Segoe UI"/>
          <w:sz w:val="21"/>
          <w:szCs w:val="21"/>
        </w:rPr>
        <w:endnoteReference w:id="19"/>
      </w:r>
      <w:r w:rsidR="00D24F3A" w:rsidRPr="00970592">
        <w:rPr>
          <w:rFonts w:ascii="Helvetica" w:hAnsi="Helvetica" w:cs="Segoe UI"/>
          <w:sz w:val="21"/>
          <w:szCs w:val="21"/>
        </w:rPr>
        <w:t xml:space="preserve"> The purpose of these consultations and our analysis, was to gather children’s contributions as a way of creating impressi</w:t>
      </w:r>
      <w:r w:rsidR="00FF5DD4" w:rsidRPr="00970592">
        <w:rPr>
          <w:rFonts w:ascii="Helvetica" w:hAnsi="Helvetica" w:cs="Segoe UI"/>
          <w:sz w:val="21"/>
          <w:szCs w:val="21"/>
        </w:rPr>
        <w:t>ons</w:t>
      </w:r>
      <w:r w:rsidR="00D24F3A" w:rsidRPr="00970592">
        <w:rPr>
          <w:rFonts w:ascii="Helvetica" w:hAnsi="Helvetica" w:cs="Segoe UI"/>
          <w:sz w:val="21"/>
          <w:szCs w:val="21"/>
        </w:rPr>
        <w:t xml:space="preserve">, reflecting perspectives that are often hidden in more </w:t>
      </w:r>
      <w:r w:rsidR="000B3D37" w:rsidRPr="00970592">
        <w:rPr>
          <w:rFonts w:ascii="Helvetica" w:hAnsi="Helvetica" w:cs="Segoe UI"/>
          <w:sz w:val="21"/>
          <w:szCs w:val="21"/>
        </w:rPr>
        <w:t xml:space="preserve">controlled studies </w:t>
      </w:r>
      <w:r w:rsidR="00B05977" w:rsidRPr="00970592">
        <w:rPr>
          <w:rFonts w:ascii="Helvetica" w:hAnsi="Helvetica" w:cs="Segoe UI"/>
          <w:sz w:val="21"/>
          <w:szCs w:val="21"/>
        </w:rPr>
        <w:t xml:space="preserve">that </w:t>
      </w:r>
      <w:r w:rsidR="006429B0" w:rsidRPr="00970592">
        <w:rPr>
          <w:rFonts w:ascii="Helvetica" w:hAnsi="Helvetica" w:cs="Segoe UI"/>
          <w:sz w:val="21"/>
          <w:szCs w:val="21"/>
        </w:rPr>
        <w:t>tend to look for certain traits, behaviours, and other evidence to support or refute a hypothesis.</w:t>
      </w:r>
    </w:p>
    <w:p w14:paraId="2BE3A4C8" w14:textId="4F0BBC08" w:rsidR="00193470" w:rsidRPr="00970592" w:rsidRDefault="00147296" w:rsidP="00CA7435">
      <w:pPr>
        <w:pStyle w:val="Heading3"/>
      </w:pPr>
      <w:bookmarkStart w:id="51" w:name="_Toc159497979"/>
      <w:r w:rsidRPr="00970592">
        <w:t xml:space="preserve">Centring children’s voice in research and policy </w:t>
      </w:r>
      <w:bookmarkEnd w:id="51"/>
    </w:p>
    <w:p w14:paraId="19AFE1FB" w14:textId="668CDA18" w:rsidR="008750E4" w:rsidRPr="00970592" w:rsidRDefault="001A5E80" w:rsidP="008750E4">
      <w:r w:rsidRPr="00970592">
        <w:t xml:space="preserve">As noted earlier, this consultation and report is situated </w:t>
      </w:r>
      <w:r w:rsidR="00A552E4" w:rsidRPr="00970592">
        <w:t>on</w:t>
      </w:r>
      <w:r w:rsidRPr="00970592">
        <w:t xml:space="preserve"> an ever-expanding terrain of government initiatives, consultations, and academic studies centring children’s voices in policymaking, both locally and internationally and across a broad range of subject areas. </w:t>
      </w:r>
      <w:r w:rsidR="00341A6B" w:rsidRPr="00970592">
        <w:t>E</w:t>
      </w:r>
      <w:r w:rsidRPr="00970592">
        <w:t>xamples of these government consultations in the Australian context are outlined below</w:t>
      </w:r>
      <w:r w:rsidR="0051263B" w:rsidRPr="00970592">
        <w:t xml:space="preserve"> in </w:t>
      </w:r>
      <w:r w:rsidR="00CF42D6" w:rsidRPr="00970592">
        <w:fldChar w:fldCharType="begin"/>
      </w:r>
      <w:r w:rsidR="00CF42D6" w:rsidRPr="00970592">
        <w:instrText xml:space="preserve"> REF _Ref159991470 \h </w:instrText>
      </w:r>
      <w:r w:rsidR="00EA707C">
        <w:instrText xml:space="preserve"> \* MERGEFORMAT </w:instrText>
      </w:r>
      <w:r w:rsidR="00CF42D6" w:rsidRPr="00970592">
        <w:fldChar w:fldCharType="separate"/>
      </w:r>
      <w:r w:rsidR="00192FAF">
        <w:t xml:space="preserve">Figure </w:t>
      </w:r>
      <w:r w:rsidR="00192FAF">
        <w:rPr>
          <w:noProof/>
        </w:rPr>
        <w:t>6</w:t>
      </w:r>
      <w:r w:rsidR="00CF42D6" w:rsidRPr="00970592">
        <w:fldChar w:fldCharType="end"/>
      </w:r>
      <w:r w:rsidR="006826BE" w:rsidRPr="00970592">
        <w:t xml:space="preserve">. </w:t>
      </w:r>
      <w:r w:rsidR="003904C4" w:rsidRPr="00970592">
        <w:t>These examples exist</w:t>
      </w:r>
      <w:r w:rsidR="001D7F2C" w:rsidRPr="00970592">
        <w:t xml:space="preserve"> withing a</w:t>
      </w:r>
      <w:r w:rsidR="008750E4" w:rsidRPr="00970592">
        <w:t xml:space="preserve"> range of Australian and international studies and consultation processes </w:t>
      </w:r>
      <w:r w:rsidR="001D7F2C" w:rsidRPr="00970592">
        <w:t>that</w:t>
      </w:r>
      <w:r w:rsidR="008750E4" w:rsidRPr="00970592">
        <w:t xml:space="preserve"> focus</w:t>
      </w:r>
      <w:r w:rsidR="001D7F2C" w:rsidRPr="00970592">
        <w:t xml:space="preserve"> </w:t>
      </w:r>
      <w:r w:rsidR="008750E4" w:rsidRPr="00970592">
        <w:t xml:space="preserve">on hearing the voices of children to progress research, practice and policy. A summary of this work has been provided in </w:t>
      </w:r>
      <w:r w:rsidR="001D7F2C" w:rsidRPr="00970592">
        <w:t>A</w:t>
      </w:r>
      <w:r w:rsidR="008750E4" w:rsidRPr="00970592">
        <w:t xml:space="preserve">ttachment 1. </w:t>
      </w:r>
    </w:p>
    <w:p w14:paraId="18C5BB32" w14:textId="4E06FA55" w:rsidR="00B641C5" w:rsidRPr="00970592" w:rsidRDefault="00480545" w:rsidP="001A5E80">
      <w:r w:rsidRPr="00970592">
        <w:t>Many</w:t>
      </w:r>
      <w:r w:rsidR="001A5E80" w:rsidRPr="00970592">
        <w:t xml:space="preserve"> of these </w:t>
      </w:r>
      <w:r w:rsidR="00DF706D" w:rsidRPr="00970592">
        <w:t>studies</w:t>
      </w:r>
      <w:r w:rsidR="003D1138" w:rsidRPr="00970592">
        <w:t xml:space="preserve"> </w:t>
      </w:r>
      <w:r w:rsidR="001E39D9" w:rsidRPr="00970592">
        <w:t xml:space="preserve">grapple with </w:t>
      </w:r>
      <w:r w:rsidR="00CD0305" w:rsidRPr="00970592">
        <w:t xml:space="preserve">difficulties </w:t>
      </w:r>
      <w:r w:rsidR="0055105D" w:rsidRPr="00970592">
        <w:t>involved with</w:t>
      </w:r>
      <w:r w:rsidR="00CD0305" w:rsidRPr="00970592">
        <w:t xml:space="preserve"> </w:t>
      </w:r>
      <w:r w:rsidR="001A5E80" w:rsidRPr="00970592">
        <w:t>effectively incorporat</w:t>
      </w:r>
      <w:r w:rsidR="0035536E" w:rsidRPr="00970592">
        <w:t>ing</w:t>
      </w:r>
      <w:r w:rsidR="001A5E80" w:rsidRPr="00970592">
        <w:t xml:space="preserve"> children’s voices and perspectives into their respective policy areas. </w:t>
      </w:r>
      <w:r w:rsidR="00491C3A" w:rsidRPr="00970592">
        <w:t xml:space="preserve">This </w:t>
      </w:r>
      <w:r w:rsidR="00E77949" w:rsidRPr="00970592">
        <w:t>under</w:t>
      </w:r>
      <w:r w:rsidR="00CF72FA" w:rsidRPr="00970592">
        <w:t>scores both</w:t>
      </w:r>
      <w:r w:rsidR="00E77949" w:rsidRPr="00970592">
        <w:t xml:space="preserve"> the </w:t>
      </w:r>
      <w:r w:rsidR="0055105D" w:rsidRPr="00970592">
        <w:t>significance</w:t>
      </w:r>
      <w:r w:rsidR="00E77949" w:rsidRPr="00970592">
        <w:t xml:space="preserve"> </w:t>
      </w:r>
      <w:r w:rsidR="00BF61E2" w:rsidRPr="00970592">
        <w:t xml:space="preserve">and emergent nature of </w:t>
      </w:r>
      <w:r w:rsidR="001A5E80" w:rsidRPr="00970592">
        <w:t xml:space="preserve">the type of child-centred consultation </w:t>
      </w:r>
      <w:r w:rsidR="00DE6361" w:rsidRPr="00970592">
        <w:t xml:space="preserve">that </w:t>
      </w:r>
      <w:r w:rsidR="001A5E80" w:rsidRPr="00970592">
        <w:t xml:space="preserve">the PC has commissioned as part of its inquiry into ECEC. </w:t>
      </w:r>
    </w:p>
    <w:p w14:paraId="0930E710" w14:textId="19C69067" w:rsidR="00465773" w:rsidRDefault="00465773" w:rsidP="00465773">
      <w:pPr>
        <w:pStyle w:val="Caption"/>
        <w:keepNext/>
      </w:pPr>
      <w:bookmarkStart w:id="52" w:name="_Ref159991470"/>
      <w:r>
        <w:lastRenderedPageBreak/>
        <w:t xml:space="preserve">Figure </w:t>
      </w:r>
      <w:fldSimple w:instr=" SEQ Figure \* ARABIC ">
        <w:r w:rsidR="00192FAF">
          <w:rPr>
            <w:noProof/>
          </w:rPr>
          <w:t>6</w:t>
        </w:r>
      </w:fldSimple>
      <w:bookmarkEnd w:id="52"/>
      <w:r>
        <w:t xml:space="preserve"> Recent government-led consultations with children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465773" w14:paraId="347EAEE2" w14:textId="77777777" w:rsidTr="00465773">
        <w:tc>
          <w:tcPr>
            <w:tcW w:w="9026" w:type="dxa"/>
          </w:tcPr>
          <w:p w14:paraId="3D425333" w14:textId="6052BE86" w:rsidR="00465773" w:rsidRPr="00970592" w:rsidRDefault="00465773" w:rsidP="001A5E80">
            <w:pPr>
              <w:rPr>
                <w:b/>
              </w:rPr>
            </w:pPr>
            <w:r w:rsidRPr="00970592">
              <w:rPr>
                <w:b/>
                <w:noProof/>
                <w:u w:val="single"/>
              </w:rPr>
              <w:drawing>
                <wp:inline distT="0" distB="0" distL="0" distR="0" wp14:anchorId="61640DC5" wp14:editId="5332537C">
                  <wp:extent cx="5731510" cy="3395980"/>
                  <wp:effectExtent l="38100" t="38100" r="59690" b="0"/>
                  <wp:docPr id="199976966" name="Diagram 1">
                    <a:extLst xmlns:a="http://schemas.openxmlformats.org/drawingml/2006/main">
                      <a:ext uri="{FF2B5EF4-FFF2-40B4-BE49-F238E27FC236}">
                        <a16:creationId xmlns:a16="http://schemas.microsoft.com/office/drawing/2014/main" id="{3E5D23A4-9733-43E6-C00E-7B50F612ABD6}"/>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tc>
      </w:tr>
    </w:tbl>
    <w:p w14:paraId="3FF81F40" w14:textId="77777777" w:rsidR="00C26EE4" w:rsidRDefault="00C26EE4" w:rsidP="00C26EE4">
      <w:pPr>
        <w:pStyle w:val="Heading2"/>
      </w:pPr>
      <w:bookmarkStart w:id="53" w:name="_Toc158731048"/>
      <w:bookmarkStart w:id="54" w:name="_Toc158731688"/>
      <w:bookmarkStart w:id="55" w:name="_Toc159497980"/>
      <w:bookmarkStart w:id="56" w:name="_Toc177135992"/>
      <w:r>
        <w:t>Limitations</w:t>
      </w:r>
      <w:bookmarkEnd w:id="53"/>
      <w:bookmarkEnd w:id="54"/>
      <w:bookmarkEnd w:id="55"/>
      <w:bookmarkEnd w:id="56"/>
      <w:r>
        <w:t xml:space="preserve"> </w:t>
      </w:r>
    </w:p>
    <w:p w14:paraId="2CD3BB0F" w14:textId="77777777" w:rsidR="00C26EE4" w:rsidRDefault="00C26EE4" w:rsidP="00C26EE4">
      <w:r>
        <w:t xml:space="preserve">There are limitations to consider in relation to the findings drawn from this project. While some relate to the scope in which the project was conducted, others relate to contextual factors and the ability to draw generalisations from it. </w:t>
      </w:r>
    </w:p>
    <w:p w14:paraId="51BBFC00" w14:textId="3BB3D7E7" w:rsidR="00C26EE4" w:rsidRDefault="00C26EE4" w:rsidP="00C26EE4">
      <w:r>
        <w:t>Firstly, methodological limitations associated with undertaking research and consultation with children where adults are intermediaries of the findings</w:t>
      </w:r>
      <w:r w:rsidR="008126CD">
        <w:t xml:space="preserve">, as </w:t>
      </w:r>
      <w:r>
        <w:t>noted</w:t>
      </w:r>
      <w:r w:rsidR="008126CD">
        <w:t xml:space="preserve"> above, have been</w:t>
      </w:r>
      <w:r w:rsidDel="008126CD">
        <w:t xml:space="preserve"> </w:t>
      </w:r>
      <w:r>
        <w:t xml:space="preserve">addressed to the extent possible through the research design – for example, by drawing on direct quotes where available and ensuring that themes were drawn from the descriptions accompanying the results.  </w:t>
      </w:r>
    </w:p>
    <w:p w14:paraId="33BF65C4" w14:textId="56E1BD1C" w:rsidR="00C26EE4" w:rsidRDefault="00C26EE4" w:rsidP="00C26EE4">
      <w:r>
        <w:t>Second</w:t>
      </w:r>
      <w:r w:rsidR="008126CD">
        <w:t>ly</w:t>
      </w:r>
      <w:r>
        <w:t xml:space="preserve">, while drawing the sample from children who are already attending ECEC settings was a core design decision that aligned with the scope of the work, it also implies the insights are drawn from children who already access the service system. </w:t>
      </w:r>
      <w:proofErr w:type="gramStart"/>
      <w:r>
        <w:t>Thus</w:t>
      </w:r>
      <w:proofErr w:type="gramEnd"/>
      <w:r>
        <w:t xml:space="preserve"> the experiences, needs and priorities of children who have not engaged in an ECEC setting are not reflected. </w:t>
      </w:r>
    </w:p>
    <w:p w14:paraId="50AFDAE8" w14:textId="77777777" w:rsidR="00C26EE4" w:rsidRDefault="00C26EE4" w:rsidP="00C26EE4">
      <w:r>
        <w:t xml:space="preserve">Third, another sample limitation relates to the profile of ECEC settings involved in the research. Many services who participated were operating with an Exceeding Assessment and Review rating. They also had the capacity, in staffing ratios and space, to participate in the research. While this was an enabler for progressing the work, it highlights that the children who participated in the research also attended services that had factors that support quality and stability in place. This may not reflect the experiences of all children attending ECEC settings. </w:t>
      </w:r>
    </w:p>
    <w:p w14:paraId="056DD3CC" w14:textId="7D6E7F1F" w:rsidR="00C26EE4" w:rsidRDefault="00C26EE4" w:rsidP="00C26EE4">
      <w:r>
        <w:t xml:space="preserve">Finally, the research was designed and conducted in English. </w:t>
      </w:r>
      <w:r w:rsidR="00543CBB">
        <w:t>This meant that</w:t>
      </w:r>
      <w:r>
        <w:t xml:space="preserve"> while children from diverse language and ability backgrounds were involved in the research with the support of familiar educators, children whose first language was not English</w:t>
      </w:r>
      <w:r w:rsidR="008126CD">
        <w:t>,</w:t>
      </w:r>
      <w:r>
        <w:t xml:space="preserve"> or</w:t>
      </w:r>
      <w:r w:rsidR="008126CD">
        <w:t xml:space="preserve"> who were not</w:t>
      </w:r>
      <w:r>
        <w:t xml:space="preserve"> verbally express</w:t>
      </w:r>
      <w:r w:rsidR="00543CBB">
        <w:t>ive</w:t>
      </w:r>
      <w:r w:rsidR="008126CD">
        <w:t>,</w:t>
      </w:r>
      <w:r>
        <w:t xml:space="preserve"> were not specifically catered for. </w:t>
      </w:r>
    </w:p>
    <w:p w14:paraId="6162E098" w14:textId="60ACA1D7" w:rsidR="00C26EE4" w:rsidRPr="003820AC" w:rsidRDefault="00C26EE4" w:rsidP="00C26EE4">
      <w:r>
        <w:lastRenderedPageBreak/>
        <w:t>These limitations do not undermine the finding</w:t>
      </w:r>
      <w:r w:rsidR="00CC11B4">
        <w:t xml:space="preserve">s </w:t>
      </w:r>
      <w:r>
        <w:t>presented and drawn from the research undertaken</w:t>
      </w:r>
      <w:r w:rsidR="00CC11B4">
        <w:t xml:space="preserve"> –</w:t>
      </w:r>
      <w:r>
        <w:t xml:space="preserve"> they do</w:t>
      </w:r>
      <w:r w:rsidR="00CC11B4">
        <w:t>,</w:t>
      </w:r>
      <w:r>
        <w:t xml:space="preserve"> however</w:t>
      </w:r>
      <w:r w:rsidR="00CC11B4">
        <w:t>,</w:t>
      </w:r>
      <w:r>
        <w:t xml:space="preserve"> point to additional layers of consideration when engaging in research involving children and more generally. </w:t>
      </w:r>
    </w:p>
    <w:p w14:paraId="294F1CDC" w14:textId="59C99443" w:rsidR="00C26EE4" w:rsidRDefault="00C26EE4" w:rsidP="00F66FAE">
      <w:pPr>
        <w:pStyle w:val="Heading1"/>
        <w:widowControl w:val="0"/>
        <w:spacing w:after="240" w:line="259" w:lineRule="auto"/>
      </w:pPr>
      <w:bookmarkStart w:id="57" w:name="_Toc177135993"/>
      <w:r>
        <w:t xml:space="preserve">Key </w:t>
      </w:r>
      <w:r w:rsidR="16B98DD2">
        <w:t>themes</w:t>
      </w:r>
      <w:bookmarkEnd w:id="57"/>
    </w:p>
    <w:p w14:paraId="5B12DE24" w14:textId="77777777" w:rsidR="00C26EE4" w:rsidRPr="00CB1EC6" w:rsidRDefault="00C26EE4" w:rsidP="00C26EE4">
      <w:pPr>
        <w:pStyle w:val="Heading2"/>
        <w:widowControl w:val="0"/>
      </w:pPr>
      <w:bookmarkStart w:id="58" w:name="_Toc158731050"/>
      <w:bookmarkStart w:id="59" w:name="_Toc177135994"/>
      <w:r>
        <w:t>ECEC settings play a critical role in children’s lives</w:t>
      </w:r>
      <w:bookmarkEnd w:id="58"/>
      <w:bookmarkEnd w:id="59"/>
    </w:p>
    <w:p w14:paraId="7DE0EA15" w14:textId="50296567" w:rsidR="00C26EE4" w:rsidRDefault="00C26EE4" w:rsidP="00C26EE4">
      <w:r>
        <w:t>ECEC settings have profound impacts on how children view, experience, and interact with the world around them. While safe, secure, and nurturing home environments are importan</w:t>
      </w:r>
      <w:r w:rsidR="0061246C">
        <w:t>t</w:t>
      </w:r>
      <w:r>
        <w:t xml:space="preserve"> to children’s development, ECEC services extend children’s experiences as settings where they begin to: engage in programs that extend their learning, development and wellbeing; form relationships outside of familial or guardianship bonds; and develop important social and emotional skills. A key finding from the data (including children’s responses, artworks, and creations) indicates that children’s participation in ECEC settings enables access to a wide variety of experiences that would otherwise not be afforded. While we note that the term ‘access’ is used in the context of the PC inquiry to describe access for families to ECEC services, children</w:t>
      </w:r>
      <w:r w:rsidR="008E2490">
        <w:t xml:space="preserve"> (without necessarily using the term)</w:t>
      </w:r>
      <w:r>
        <w:t xml:space="preserve"> offered specific and granular examples of the types of ‘</w:t>
      </w:r>
      <w:proofErr w:type="gramStart"/>
      <w:r>
        <w:t>access’</w:t>
      </w:r>
      <w:proofErr w:type="gramEnd"/>
      <w:r>
        <w:t xml:space="preserve"> and value that ECEC offers them.</w:t>
      </w:r>
      <w:r w:rsidR="00114B75">
        <w:t xml:space="preserve"> </w:t>
      </w:r>
    </w:p>
    <w:p w14:paraId="3881341F" w14:textId="77777777" w:rsidR="00C26EE4" w:rsidRDefault="00C26EE4" w:rsidP="00C26EE4">
      <w:r>
        <w:t xml:space="preserve">The list of benefits of, and opportunities provided by, ECEC services is substantial. To children, services are, among other things: </w:t>
      </w:r>
    </w:p>
    <w:p w14:paraId="4FB952EA" w14:textId="77777777" w:rsidR="00C26EE4" w:rsidRDefault="00C26EE4" w:rsidP="00C26EE4">
      <w:pPr>
        <w:pStyle w:val="Bullets"/>
      </w:pPr>
      <w:r>
        <w:t xml:space="preserve">Sites where connections and relationships with others can be developed and maintained, encouraging key social and emotional </w:t>
      </w:r>
      <w:proofErr w:type="gramStart"/>
      <w:r>
        <w:t>skills;</w:t>
      </w:r>
      <w:proofErr w:type="gramEnd"/>
      <w:r>
        <w:t xml:space="preserve"> </w:t>
      </w:r>
    </w:p>
    <w:p w14:paraId="13AECA0E" w14:textId="77777777" w:rsidR="00C26EE4" w:rsidRPr="00A85813" w:rsidRDefault="00C26EE4" w:rsidP="00C26EE4">
      <w:pPr>
        <w:pStyle w:val="Bullets"/>
      </w:pPr>
      <w:r>
        <w:t xml:space="preserve">Places where children engage deeply with their learning and have opportunities to explore concepts and experiences over </w:t>
      </w:r>
      <w:proofErr w:type="gramStart"/>
      <w:r>
        <w:t>time;</w:t>
      </w:r>
      <w:proofErr w:type="gramEnd"/>
    </w:p>
    <w:p w14:paraId="338A35E8" w14:textId="77777777" w:rsidR="00C26EE4" w:rsidRDefault="00C26EE4" w:rsidP="00C26EE4">
      <w:pPr>
        <w:pStyle w:val="Bullets"/>
      </w:pPr>
      <w:r>
        <w:t xml:space="preserve">Spaces that inspire communal experiences and the development of shared memories including empathy, self-regulation, and the ability to compromise and </w:t>
      </w:r>
      <w:proofErr w:type="gramStart"/>
      <w:r>
        <w:t>negotiate;</w:t>
      </w:r>
      <w:proofErr w:type="gramEnd"/>
      <w:r>
        <w:t xml:space="preserve"> </w:t>
      </w:r>
    </w:p>
    <w:p w14:paraId="5842CF4F" w14:textId="77777777" w:rsidR="00C26EE4" w:rsidRDefault="00C26EE4" w:rsidP="00C26EE4">
      <w:pPr>
        <w:pStyle w:val="Bullets"/>
      </w:pPr>
      <w:r>
        <w:t>Places that allow for sensory experiences through which children are able to occupy and experiment with different states of being, and access materials that are provided for them (e.g. messy play—dirt, dough, slime—being noisy or quiet, accessing materials, ingredients, utensils to make and experiment</w:t>
      </w:r>
      <w:proofErr w:type="gramStart"/>
      <w:r>
        <w:t>);</w:t>
      </w:r>
      <w:proofErr w:type="gramEnd"/>
    </w:p>
    <w:p w14:paraId="1617F539" w14:textId="77777777" w:rsidR="00C26EE4" w:rsidRDefault="00C26EE4" w:rsidP="00C26EE4">
      <w:pPr>
        <w:pStyle w:val="Bullets"/>
      </w:pPr>
      <w:r>
        <w:t>Settings where children can engage with ideas, concepts, and resources not accessible in their home environment (including incursions and excursions). Among other benefits, this opens children’s eyes to the world and inspires creativity, imagination, and critical thinking; and</w:t>
      </w:r>
    </w:p>
    <w:p w14:paraId="30275849" w14:textId="77777777" w:rsidR="00C26EE4" w:rsidRDefault="00C26EE4" w:rsidP="00C26EE4">
      <w:pPr>
        <w:pStyle w:val="Bullets"/>
      </w:pPr>
      <w:r>
        <w:t xml:space="preserve">Sites that provide </w:t>
      </w:r>
      <w:r w:rsidRPr="00F40921">
        <w:t>opportunit</w:t>
      </w:r>
      <w:r>
        <w:t>ies</w:t>
      </w:r>
      <w:r w:rsidRPr="00F40921">
        <w:t xml:space="preserve"> to explore ‘place’</w:t>
      </w:r>
      <w:r>
        <w:t>,</w:t>
      </w:r>
      <w:r w:rsidRPr="00F40921">
        <w:t xml:space="preserve"> enabling access to different built and natural environments, awareness of location (relative to other locations), connections to local communities (within and beyond the setting), and </w:t>
      </w:r>
      <w:r>
        <w:t>the development of</w:t>
      </w:r>
      <w:r w:rsidRPr="00F40921">
        <w:t xml:space="preserve"> skills associated with understanding risk, safety, and personal boundaries.  </w:t>
      </w:r>
    </w:p>
    <w:p w14:paraId="62DE650B" w14:textId="0D04D2DC" w:rsidR="00C26EE4" w:rsidRPr="000D1BAC" w:rsidRDefault="00C26EE4" w:rsidP="00C26EE4">
      <w:r w:rsidRPr="000D1BAC">
        <w:t>Furthermore, reflecting the complex ways children conceptualise, understand, and speak about their experiences, it is noted that the themes and concepts frequently overlap and interconnect with one another. Again, the multi-layered nature of these findings arguably emphasises the profound and varied role played by the ECEC system in children’s emotional, mental, and social development.</w:t>
      </w:r>
    </w:p>
    <w:p w14:paraId="08D74179" w14:textId="77777777" w:rsidR="00C26EE4" w:rsidRPr="00FD7E85" w:rsidRDefault="00C26EE4" w:rsidP="00C26EE4">
      <w:pPr>
        <w:widowControl w:val="0"/>
        <w:pBdr>
          <w:top w:val="single" w:sz="4" w:space="1" w:color="auto"/>
          <w:left w:val="single" w:sz="4" w:space="4" w:color="auto"/>
          <w:bottom w:val="single" w:sz="4" w:space="1" w:color="auto"/>
          <w:right w:val="single" w:sz="4" w:space="4" w:color="auto"/>
        </w:pBdr>
        <w:jc w:val="center"/>
        <w:rPr>
          <w:u w:val="single"/>
        </w:rPr>
      </w:pPr>
      <w:r w:rsidRPr="00FD7E85">
        <w:rPr>
          <w:u w:val="single"/>
        </w:rPr>
        <w:lastRenderedPageBreak/>
        <w:t xml:space="preserve">Researchers’ interpretation and implications for policy </w:t>
      </w:r>
    </w:p>
    <w:p w14:paraId="44F776B4" w14:textId="23CFC689" w:rsidR="00C26EE4" w:rsidRPr="00FD7E85" w:rsidRDefault="00C26EE4" w:rsidP="00C26EE4">
      <w:pPr>
        <w:widowControl w:val="0"/>
        <w:pBdr>
          <w:top w:val="single" w:sz="4" w:space="1" w:color="auto"/>
          <w:left w:val="single" w:sz="4" w:space="4" w:color="auto"/>
          <w:bottom w:val="single" w:sz="4" w:space="1" w:color="auto"/>
          <w:right w:val="single" w:sz="4" w:space="4" w:color="auto"/>
        </w:pBdr>
      </w:pPr>
      <w:r w:rsidRPr="00FD7E85">
        <w:t xml:space="preserve">Children describe, in their own words, examples of a quality early childhood learning environment </w:t>
      </w:r>
      <w:r w:rsidR="00C70567">
        <w:t>in relation to their</w:t>
      </w:r>
      <w:r w:rsidRPr="00FD7E85">
        <w:t xml:space="preserve"> experiences that exemplify an emergent curriculum and approaches to teaching and learning that are specific to </w:t>
      </w:r>
      <w:r w:rsidR="00C01FFB">
        <w:t xml:space="preserve">practice in </w:t>
      </w:r>
      <w:r w:rsidRPr="00FD7E85">
        <w:t>ECEC settings. The components of quality children describe are structural and process compo</w:t>
      </w:r>
      <w:r>
        <w:t>ne</w:t>
      </w:r>
      <w:r w:rsidRPr="00FD7E85">
        <w:t>nts of quality</w:t>
      </w:r>
      <w:r w:rsidRPr="00FD7E85" w:rsidDel="008D7586">
        <w:t xml:space="preserve"> </w:t>
      </w:r>
      <w:r w:rsidRPr="00FD7E85">
        <w:t>–</w:t>
      </w:r>
      <w:r w:rsidR="008D7586">
        <w:t xml:space="preserve"> with their responses</w:t>
      </w:r>
      <w:r w:rsidRPr="00FD7E85">
        <w:t xml:space="preserve"> provid</w:t>
      </w:r>
      <w:r w:rsidR="008D7586">
        <w:t>ing</w:t>
      </w:r>
      <w:r w:rsidRPr="00FD7E85">
        <w:t xml:space="preserve"> insight into</w:t>
      </w:r>
      <w:r w:rsidR="008D7586">
        <w:t>:</w:t>
      </w:r>
      <w:r w:rsidRPr="00FD7E85">
        <w:t xml:space="preserve"> the physical environments that engage them</w:t>
      </w:r>
      <w:r>
        <w:t xml:space="preserve"> (natural and built environments, safety and exploring risk</w:t>
      </w:r>
      <w:r w:rsidR="008D7586">
        <w:t>);</w:t>
      </w:r>
      <w:r w:rsidRPr="00FD7E85">
        <w:t xml:space="preserve"> the relationships with teachers and educators that support them (relying on ratios, conditions, and qualifications)</w:t>
      </w:r>
      <w:r w:rsidR="008D7586">
        <w:t xml:space="preserve">; their </w:t>
      </w:r>
      <w:r w:rsidRPr="00FD7E85">
        <w:t>relationships with peers (relying on time, consistency and predictability)</w:t>
      </w:r>
      <w:r w:rsidR="008D7586">
        <w:t>;</w:t>
      </w:r>
      <w:r w:rsidRPr="00FD7E85">
        <w:t xml:space="preserve"> and the connections that they weave through their experience in ECEC (relying on connections to place, community and culture – and settings that accommodate and incorporate the significance of this for children). </w:t>
      </w:r>
    </w:p>
    <w:p w14:paraId="6491B69F" w14:textId="25770251" w:rsidR="00C26EE4" w:rsidRPr="00FD7E85" w:rsidRDefault="00C26EE4" w:rsidP="00C26EE4">
      <w:pPr>
        <w:widowControl w:val="0"/>
        <w:pBdr>
          <w:top w:val="single" w:sz="4" w:space="1" w:color="auto"/>
          <w:left w:val="single" w:sz="4" w:space="4" w:color="auto"/>
          <w:bottom w:val="single" w:sz="4" w:space="1" w:color="auto"/>
          <w:right w:val="single" w:sz="4" w:space="4" w:color="auto"/>
        </w:pBdr>
      </w:pPr>
      <w:r w:rsidRPr="00FD7E85">
        <w:t>Indicators of quality</w:t>
      </w:r>
      <w:r>
        <w:t>, as described through the National Quality Framework,</w:t>
      </w:r>
      <w:r w:rsidRPr="00FD7E85">
        <w:t xml:space="preserve"> have been drawn from the rich (and colourful) data that children generated. It is important to note the fine</w:t>
      </w:r>
      <w:r w:rsidR="005B5A63">
        <w:t xml:space="preserve"> </w:t>
      </w:r>
      <w:r w:rsidRPr="00FD7E85">
        <w:t>level of detail to which quality and its components describe. The implication for policy, informed by children’s voices, urges attention to this detail when planning a system that responds to the needs of children, families</w:t>
      </w:r>
      <w:r>
        <w:t>,</w:t>
      </w:r>
      <w:r w:rsidRPr="00FD7E85">
        <w:t xml:space="preserve"> and society through ECEC. </w:t>
      </w:r>
      <w:r>
        <w:t>Attendance to</w:t>
      </w:r>
      <w:r w:rsidDel="00E90358">
        <w:t xml:space="preserve"> </w:t>
      </w:r>
      <w:r w:rsidR="00E90358">
        <w:t>quality</w:t>
      </w:r>
      <w:r>
        <w:t xml:space="preserve"> is a daily practice of ECEC </w:t>
      </w:r>
      <w:r w:rsidR="00C46E00">
        <w:t>professionals</w:t>
      </w:r>
      <w:r>
        <w:t xml:space="preserve"> that relies on structural foundations and stability. </w:t>
      </w:r>
    </w:p>
    <w:p w14:paraId="4517ECCB" w14:textId="62E5CB13" w:rsidR="00C26EE4" w:rsidRPr="00FD7E85" w:rsidRDefault="00C26EE4" w:rsidP="00C26EE4">
      <w:pPr>
        <w:widowControl w:val="0"/>
        <w:pBdr>
          <w:top w:val="single" w:sz="4" w:space="1" w:color="auto"/>
          <w:left w:val="single" w:sz="4" w:space="4" w:color="auto"/>
          <w:bottom w:val="single" w:sz="4" w:space="1" w:color="auto"/>
          <w:right w:val="single" w:sz="4" w:space="4" w:color="auto"/>
        </w:pBdr>
      </w:pPr>
      <w:r w:rsidRPr="00FD7E85">
        <w:t xml:space="preserve">While children are clearly </w:t>
      </w:r>
      <w:r>
        <w:t xml:space="preserve">the </w:t>
      </w:r>
      <w:r w:rsidRPr="00FD7E85">
        <w:t>intended beneficiaries of accessible, affordable, equitable and high-quality ECEC, and the system that supports this, when describing their experiences of and priorities for their ECEC settings, they emphasise distinct qualities when describing the value that they draw from it. This is a high-definition perspective of ‘</w:t>
      </w:r>
      <w:proofErr w:type="gramStart"/>
      <w:r w:rsidRPr="00FD7E85">
        <w:t>access’</w:t>
      </w:r>
      <w:proofErr w:type="gramEnd"/>
      <w:r w:rsidRPr="00FD7E85">
        <w:t xml:space="preserve"> provided by children, that zooms in on what is important, valued and beneficial from children’s perspectives. In the scope of the PC inquiry, access is a threshold of entry to ECEC settings</w:t>
      </w:r>
      <w:r>
        <w:t xml:space="preserve"> </w:t>
      </w:r>
      <w:r w:rsidRPr="00FD7E85">
        <w:t xml:space="preserve">punctuated by an exit in which children demonstrate and benefit from developmental outcomes. For children, however, the access created </w:t>
      </w:r>
      <w:r w:rsidRPr="00E13814">
        <w:rPr>
          <w:i/>
          <w:iCs/>
        </w:rPr>
        <w:t>through</w:t>
      </w:r>
      <w:r w:rsidRPr="00FD7E85">
        <w:t xml:space="preserve"> ECEC is a gateway to a rich set of world-expanding experiences and relationships. What occurs between the entry and exit of ECEC matters for children</w:t>
      </w:r>
      <w:r w:rsidR="00FB0C29">
        <w:t>,</w:t>
      </w:r>
      <w:r w:rsidRPr="00FD7E85">
        <w:t xml:space="preserve"> and there is an opportunity to reflect this in recommendations for system design.</w:t>
      </w:r>
    </w:p>
    <w:p w14:paraId="41E40B53" w14:textId="77777777" w:rsidR="00C26EE4" w:rsidRPr="00FD7E85" w:rsidRDefault="00C26EE4" w:rsidP="00C26EE4">
      <w:pPr>
        <w:widowControl w:val="0"/>
        <w:pBdr>
          <w:top w:val="single" w:sz="4" w:space="1" w:color="auto"/>
          <w:left w:val="single" w:sz="4" w:space="4" w:color="auto"/>
          <w:bottom w:val="single" w:sz="4" w:space="1" w:color="auto"/>
          <w:right w:val="single" w:sz="4" w:space="4" w:color="auto"/>
        </w:pBdr>
      </w:pPr>
      <w:r w:rsidRPr="00FD7E85">
        <w:t xml:space="preserve">There is an opportunity to amplify children’s descriptions of ‘quality </w:t>
      </w:r>
      <w:r w:rsidRPr="00FD7E85">
        <w:rPr>
          <w:i/>
          <w:iCs/>
        </w:rPr>
        <w:t>within</w:t>
      </w:r>
      <w:r w:rsidRPr="00FD7E85">
        <w:t xml:space="preserve"> ECEC’ and ‘access </w:t>
      </w:r>
      <w:r w:rsidRPr="00FD7E85">
        <w:rPr>
          <w:i/>
          <w:iCs/>
        </w:rPr>
        <w:t>created through</w:t>
      </w:r>
      <w:r w:rsidRPr="00FD7E85">
        <w:t xml:space="preserve"> ECEC’ in the PC’s framing of a system marked by availability, affordability, inclusivity and flexibility. </w:t>
      </w:r>
      <w:r>
        <w:t>These</w:t>
      </w:r>
      <w:r w:rsidRPr="00FD7E85">
        <w:t xml:space="preserve"> framings</w:t>
      </w:r>
      <w:r>
        <w:t xml:space="preserve"> expand typical references to </w:t>
      </w:r>
      <w:r w:rsidRPr="00FD7E85">
        <w:t xml:space="preserve">‘quality </w:t>
      </w:r>
      <w:r w:rsidRPr="00FD7E85">
        <w:rPr>
          <w:i/>
          <w:iCs/>
        </w:rPr>
        <w:t>of</w:t>
      </w:r>
      <w:r w:rsidRPr="00FD7E85">
        <w:t xml:space="preserve"> ECEC’ and ‘access </w:t>
      </w:r>
      <w:r w:rsidRPr="00FD7E85">
        <w:rPr>
          <w:i/>
          <w:iCs/>
        </w:rPr>
        <w:t>to</w:t>
      </w:r>
      <w:r w:rsidRPr="00FD7E85">
        <w:t xml:space="preserve"> ECEC’</w:t>
      </w:r>
      <w:r>
        <w:t xml:space="preserve"> and </w:t>
      </w:r>
      <w:r w:rsidRPr="00FD7E85">
        <w:t>offer the potential to enhance how policy and practice is shaped</w:t>
      </w:r>
      <w:r>
        <w:t xml:space="preserve">. </w:t>
      </w:r>
    </w:p>
    <w:p w14:paraId="6493585A" w14:textId="77777777" w:rsidR="00C26EE4" w:rsidRPr="004B58AA" w:rsidRDefault="00C26EE4" w:rsidP="00C26EE4">
      <w:pPr>
        <w:widowControl w:val="0"/>
        <w:pBdr>
          <w:top w:val="single" w:sz="4" w:space="1" w:color="auto"/>
          <w:left w:val="single" w:sz="4" w:space="4" w:color="auto"/>
          <w:bottom w:val="single" w:sz="4" w:space="1" w:color="auto"/>
          <w:right w:val="single" w:sz="4" w:space="4" w:color="auto"/>
        </w:pBdr>
        <w:rPr>
          <w:sz w:val="4"/>
          <w:szCs w:val="4"/>
        </w:rPr>
      </w:pPr>
    </w:p>
    <w:p w14:paraId="03B14F70" w14:textId="77777777" w:rsidR="00C26EE4" w:rsidRPr="00CB1EC6" w:rsidRDefault="00C26EE4" w:rsidP="00F30952">
      <w:pPr>
        <w:pStyle w:val="Heading3"/>
      </w:pPr>
      <w:bookmarkStart w:id="60" w:name="_Toc158731051"/>
      <w:r>
        <w:t>Relationships and connections</w:t>
      </w:r>
      <w:bookmarkEnd w:id="60"/>
    </w:p>
    <w:p w14:paraId="44412DE4" w14:textId="77777777" w:rsidR="00C26EE4" w:rsidRDefault="00C26EE4" w:rsidP="00C26EE4">
      <w:r>
        <w:t xml:space="preserve">The data shows that children deeply value a range of relationships in their lives, including those that are established, nurtured, and in turn help shape their experiences, within the ECEC settings they attend. </w:t>
      </w:r>
    </w:p>
    <w:p w14:paraId="138A5222" w14:textId="77777777" w:rsidR="00C26EE4" w:rsidRDefault="00C26EE4" w:rsidP="00C26EE4">
      <w:r>
        <w:t xml:space="preserve">In terms of relationships outside of the ECEC context, many children spoke about or portrayed both their immediate and extended families. References to parents and other guardians, as well as siblings, dominated these portrayals. However, there was an interesting mix to the contexts in which children’s closest family members were discussed. While many children spoke of spending time with their parents, guardians, and siblings at home, a great number of these discussions also referred to the sharing with family members of children’s own experiences within formal ECEC settings. </w:t>
      </w:r>
    </w:p>
    <w:p w14:paraId="3C7D8EB6" w14:textId="3B8EA9A9" w:rsidR="00C26EE4" w:rsidRPr="0063354D" w:rsidRDefault="00C26EE4" w:rsidP="00C26EE4">
      <w:r>
        <w:t xml:space="preserve">For example, several children recalled treasured memories of when their closest family members had visited or spent time with them at their </w:t>
      </w:r>
      <w:r w:rsidR="005B5A63">
        <w:t>ECEC service</w:t>
      </w:r>
      <w:r>
        <w:t xml:space="preserve">, in some cases sharing with their </w:t>
      </w:r>
      <w:r>
        <w:lastRenderedPageBreak/>
        <w:t>broader group of peers what the special grown-ups in their lives do for a living, or how they contribute to their communities. Children also spoke fondly about their connections outside of the ECEC setting, describing interactions and relationships with other family members, such as cousins, grandparents, and uncles and aunties. Many references to these connections took place in the context of travel or celebrations of holidays and festive occasions</w:t>
      </w:r>
      <w:r w:rsidR="005B5A63">
        <w:t xml:space="preserve"> –</w:t>
      </w:r>
      <w:r>
        <w:t xml:space="preserve"> a theme taken up and discussed in more detail further below in this report.</w:t>
      </w:r>
      <w:r w:rsidRPr="00E920BC">
        <w:t xml:space="preserve"> </w:t>
      </w:r>
      <w:r>
        <w:t>Children brought these significant relationships and connections into their settings where their educators and teachers also ‘got to know them’ and their significance to children.</w:t>
      </w:r>
      <w:r w:rsidR="00FB0C29">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6015"/>
      </w:tblGrid>
      <w:tr w:rsidR="005A3E0F" w:rsidRPr="005B1F28" w14:paraId="3E02240E" w14:textId="77777777" w:rsidTr="00A41A0B">
        <w:trPr>
          <w:jc w:val="center"/>
        </w:trPr>
        <w:tc>
          <w:tcPr>
            <w:tcW w:w="1418" w:type="dxa"/>
            <w:shd w:val="clear" w:color="auto" w:fill="auto"/>
            <w:vAlign w:val="center"/>
          </w:tcPr>
          <w:p w14:paraId="68D302F2" w14:textId="52ACC3F9" w:rsidR="00EB5AE8" w:rsidRPr="005B1F28" w:rsidRDefault="007D09D3" w:rsidP="00C774D6">
            <w:pPr>
              <w:pStyle w:val="Quote"/>
              <w:ind w:left="0" w:right="0"/>
            </w:pPr>
            <w:r w:rsidRPr="007D09D3">
              <w:rPr>
                <w:noProof/>
              </w:rPr>
              <w:drawing>
                <wp:inline distT="0" distB="0" distL="0" distR="0" wp14:anchorId="48E6FB60" wp14:editId="2632E93B">
                  <wp:extent cx="513080" cy="513080"/>
                  <wp:effectExtent l="0" t="0" r="1270" b="1270"/>
                  <wp:docPr id="16" name="Picture 15">
                    <a:extLst xmlns:a="http://schemas.openxmlformats.org/drawingml/2006/main">
                      <a:ext uri="{FF2B5EF4-FFF2-40B4-BE49-F238E27FC236}">
                        <a16:creationId xmlns:a16="http://schemas.microsoft.com/office/drawing/2014/main" id="{8E84EFB3-18B2-80DC-37F1-785E4A195EF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8E84EFB3-18B2-80DC-37F1-785E4A195EF0}"/>
                              </a:ext>
                              <a:ext uri="{C183D7F6-B498-43B3-948B-1728B52AA6E4}">
                                <adec:decorative xmlns:adec="http://schemas.microsoft.com/office/drawing/2017/decorative" val="1"/>
                              </a:ext>
                            </a:extLst>
                          </pic:cNvPr>
                          <pic:cNvPicPr>
                            <a:picLocks noChangeAspect="1"/>
                          </pic:cNvPicPr>
                        </pic:nvPicPr>
                        <pic:blipFill rotWithShape="1">
                          <a:blip r:embed="rId29"/>
                          <a:srcRect l="13238" t="10850" r="13526" b="15915"/>
                          <a:stretch/>
                        </pic:blipFill>
                        <pic:spPr>
                          <a:xfrm>
                            <a:off x="0" y="0"/>
                            <a:ext cx="515426" cy="515426"/>
                          </a:xfrm>
                          <a:prstGeom prst="rect">
                            <a:avLst/>
                          </a:prstGeom>
                        </pic:spPr>
                      </pic:pic>
                    </a:graphicData>
                  </a:graphic>
                </wp:inline>
              </w:drawing>
            </w:r>
          </w:p>
        </w:tc>
        <w:tc>
          <w:tcPr>
            <w:tcW w:w="6015" w:type="dxa"/>
            <w:shd w:val="clear" w:color="auto" w:fill="auto"/>
            <w:vAlign w:val="center"/>
          </w:tcPr>
          <w:p w14:paraId="16E082AF" w14:textId="0A43DF1D" w:rsidR="00EB5AE8" w:rsidRPr="005B1F28" w:rsidRDefault="00EB5AE8" w:rsidP="00C774D6">
            <w:pPr>
              <w:pStyle w:val="Quote"/>
              <w:ind w:left="0" w:right="0"/>
            </w:pPr>
            <w:r w:rsidRPr="005B1F28">
              <w:t>“When the police [child’s own father] came [to the centre]. I’m going to be a footy player and a policeman.”</w:t>
            </w:r>
          </w:p>
        </w:tc>
      </w:tr>
    </w:tbl>
    <w:p w14:paraId="4E97212C" w14:textId="77777777" w:rsidR="00EB5AE8" w:rsidRDefault="00EB5AE8" w:rsidP="00C26EE4"/>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single" w:sz="2" w:space="0" w:color="D0CECE" w:themeColor="background2" w:themeShade="E6"/>
        </w:tblBorders>
        <w:tblLook w:val="04A0" w:firstRow="1" w:lastRow="0" w:firstColumn="1" w:lastColumn="0" w:noHBand="0" w:noVBand="1"/>
      </w:tblPr>
      <w:tblGrid>
        <w:gridCol w:w="4607"/>
        <w:gridCol w:w="4607"/>
      </w:tblGrid>
      <w:tr w:rsidR="00393575" w14:paraId="1E9027A7" w14:textId="77777777" w:rsidTr="005A3E0F">
        <w:tc>
          <w:tcPr>
            <w:tcW w:w="4607" w:type="dxa"/>
          </w:tcPr>
          <w:p w14:paraId="11D8BDD4" w14:textId="504D7FB8" w:rsidR="00393575" w:rsidRDefault="00393575" w:rsidP="00393575">
            <w:pPr>
              <w:jc w:val="center"/>
            </w:pPr>
            <w:r>
              <w:fldChar w:fldCharType="begin"/>
            </w:r>
            <w:r>
              <w:instrText xml:space="preserve"> INCLUDEPICTURE "/Users/danielhanningtonpinto/Library/Group Containers/UBF8T346G9.ms/WebArchiveCopyPasteTempFiles/com.microsoft.Word/ea465c0a-1ed8-464f-9e85-b422d60bcc80" \* MERGEFORMATINET </w:instrText>
            </w:r>
            <w:r>
              <w:fldChar w:fldCharType="separate"/>
            </w:r>
            <w:r>
              <w:rPr>
                <w:noProof/>
              </w:rPr>
              <w:drawing>
                <wp:inline distT="0" distB="0" distL="0" distR="0" wp14:anchorId="4829990C" wp14:editId="21F7A0DF">
                  <wp:extent cx="2276279" cy="3187700"/>
                  <wp:effectExtent l="0" t="0" r="0" b="0"/>
                  <wp:docPr id="703170316" name="Picture 70317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69241" cy="3317884"/>
                          </a:xfrm>
                          <a:prstGeom prst="rect">
                            <a:avLst/>
                          </a:prstGeom>
                          <a:noFill/>
                          <a:ln>
                            <a:noFill/>
                          </a:ln>
                        </pic:spPr>
                      </pic:pic>
                    </a:graphicData>
                  </a:graphic>
                </wp:inline>
              </w:drawing>
            </w:r>
            <w:r>
              <w:fldChar w:fldCharType="end"/>
            </w:r>
          </w:p>
        </w:tc>
        <w:tc>
          <w:tcPr>
            <w:tcW w:w="4607" w:type="dxa"/>
          </w:tcPr>
          <w:p w14:paraId="42F72696" w14:textId="61100405" w:rsidR="00393575" w:rsidRDefault="00393575" w:rsidP="00393575">
            <w:pPr>
              <w:jc w:val="center"/>
            </w:pPr>
            <w:r>
              <w:fldChar w:fldCharType="begin"/>
            </w:r>
            <w:r>
              <w:instrText xml:space="preserve"> INCLUDEPICTURE "/Users/danielhanningtonpinto/Library/Group Containers/UBF8T346G9.ms/WebArchiveCopyPasteTempFiles/com.microsoft.Word/afad78b5-b313-444e-b02b-b8131ce82891" \* MERGEFORMATINET </w:instrText>
            </w:r>
            <w:r>
              <w:fldChar w:fldCharType="separate"/>
            </w:r>
            <w:r>
              <w:rPr>
                <w:noProof/>
              </w:rPr>
              <w:drawing>
                <wp:inline distT="0" distB="0" distL="0" distR="0" wp14:anchorId="3E771706" wp14:editId="45E29EEC">
                  <wp:extent cx="2238060" cy="3186430"/>
                  <wp:effectExtent l="0" t="0" r="0" b="1270"/>
                  <wp:docPr id="18576757" name="Picture 18576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6371"/>
                          <a:stretch/>
                        </pic:blipFill>
                        <pic:spPr bwMode="auto">
                          <a:xfrm>
                            <a:off x="0" y="0"/>
                            <a:ext cx="2356914" cy="335564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393575" w:rsidRPr="00393575" w14:paraId="0124B80F" w14:textId="77777777" w:rsidTr="005A3E0F">
        <w:tc>
          <w:tcPr>
            <w:tcW w:w="4607" w:type="dxa"/>
          </w:tcPr>
          <w:p w14:paraId="3C098DA8" w14:textId="742AAB10" w:rsidR="00393575" w:rsidRPr="00393575" w:rsidRDefault="00393575" w:rsidP="009B71AE">
            <w:pPr>
              <w:widowControl w:val="0"/>
              <w:jc w:val="center"/>
            </w:pPr>
            <w:r w:rsidRPr="009B71AE">
              <w:rPr>
                <w:rStyle w:val="QuoteChar"/>
              </w:rPr>
              <w:t>“That’s my Mum. I love her because she’s so cute.”</w:t>
            </w:r>
          </w:p>
        </w:tc>
        <w:tc>
          <w:tcPr>
            <w:tcW w:w="4607" w:type="dxa"/>
          </w:tcPr>
          <w:p w14:paraId="558C444A" w14:textId="29AD3082" w:rsidR="00393575" w:rsidRPr="00393575" w:rsidRDefault="00393575" w:rsidP="009B71AE">
            <w:pPr>
              <w:jc w:val="center"/>
            </w:pPr>
            <w:r w:rsidRPr="009B71AE">
              <w:rPr>
                <w:rStyle w:val="QuoteChar"/>
              </w:rPr>
              <w:t>“My baby sisters [names redacted]. I like to go to parties with [them].”</w:t>
            </w:r>
          </w:p>
        </w:tc>
      </w:tr>
    </w:tbl>
    <w:p w14:paraId="7757A31C" w14:textId="77777777" w:rsidR="00393575" w:rsidRDefault="00393575" w:rsidP="00393575">
      <w:pPr>
        <w:widowControl w:val="0"/>
      </w:pPr>
    </w:p>
    <w:p w14:paraId="49523CB5" w14:textId="77777777" w:rsidR="00393575" w:rsidRDefault="00393575" w:rsidP="00393575">
      <w:pPr>
        <w:widowControl w:val="0"/>
      </w:pPr>
    </w:p>
    <w:p w14:paraId="71F81B59" w14:textId="77777777" w:rsidR="00393575" w:rsidRDefault="00393575" w:rsidP="00393575">
      <w:pPr>
        <w:widowControl w:val="0"/>
      </w:pPr>
    </w:p>
    <w:p w14:paraId="26476C25" w14:textId="77777777" w:rsidR="00393575" w:rsidRDefault="00393575" w:rsidP="00393575">
      <w:pPr>
        <w:widowControl w:val="0"/>
      </w:pPr>
    </w:p>
    <w:tbl>
      <w:tblPr>
        <w:tblStyle w:val="TableGrid"/>
        <w:tblW w:w="9067" w:type="dxa"/>
        <w:tblBorders>
          <w:top w:val="none" w:sz="0" w:space="0" w:color="auto"/>
          <w:left w:val="none" w:sz="0" w:space="0" w:color="auto"/>
          <w:bottom w:val="none" w:sz="0" w:space="0" w:color="auto"/>
          <w:right w:val="none" w:sz="0" w:space="0" w:color="auto"/>
          <w:insideH w:val="single" w:sz="2" w:space="0" w:color="D0CECE" w:themeColor="background2" w:themeShade="E6"/>
          <w:insideV w:val="none" w:sz="0" w:space="0" w:color="auto"/>
        </w:tblBorders>
        <w:tblLayout w:type="fixed"/>
        <w:tblLook w:val="04A0" w:firstRow="1" w:lastRow="0" w:firstColumn="1" w:lastColumn="0" w:noHBand="0" w:noVBand="1"/>
      </w:tblPr>
      <w:tblGrid>
        <w:gridCol w:w="3681"/>
        <w:gridCol w:w="1701"/>
        <w:gridCol w:w="567"/>
        <w:gridCol w:w="3118"/>
      </w:tblGrid>
      <w:tr w:rsidR="00393575" w14:paraId="3DB4221A" w14:textId="77777777" w:rsidTr="005B092D">
        <w:tc>
          <w:tcPr>
            <w:tcW w:w="5382" w:type="dxa"/>
            <w:gridSpan w:val="2"/>
            <w:vAlign w:val="center"/>
          </w:tcPr>
          <w:p w14:paraId="67318189" w14:textId="0C4E3CAA" w:rsidR="00393575" w:rsidRDefault="00393575" w:rsidP="009B71AE">
            <w:pPr>
              <w:widowControl w:val="0"/>
              <w:jc w:val="right"/>
            </w:pPr>
            <w:r>
              <w:lastRenderedPageBreak/>
              <w:fldChar w:fldCharType="begin"/>
            </w:r>
            <w:r>
              <w:instrText xml:space="preserve"> INCLUDEPICTURE "/Users/danielhanningtonpinto/Library/Group Containers/UBF8T346G9.ms/WebArchiveCopyPasteTempFiles/com.microsoft.Word/b0543586-c6a2-447d-abe7-9e342105dba8" \* MERGEFORMATINET </w:instrText>
            </w:r>
            <w:r>
              <w:fldChar w:fldCharType="separate"/>
            </w:r>
            <w:r>
              <w:rPr>
                <w:noProof/>
              </w:rPr>
              <w:drawing>
                <wp:inline distT="0" distB="0" distL="0" distR="0" wp14:anchorId="3079F8B6" wp14:editId="7114CBFD">
                  <wp:extent cx="2312879" cy="3082870"/>
                  <wp:effectExtent l="0" t="3810" r="0" b="0"/>
                  <wp:docPr id="530586311" name="Picture 530586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2356703" cy="3141283"/>
                          </a:xfrm>
                          <a:prstGeom prst="rect">
                            <a:avLst/>
                          </a:prstGeom>
                          <a:noFill/>
                          <a:ln>
                            <a:noFill/>
                          </a:ln>
                        </pic:spPr>
                      </pic:pic>
                    </a:graphicData>
                  </a:graphic>
                </wp:inline>
              </w:drawing>
            </w:r>
            <w:r>
              <w:fldChar w:fldCharType="end"/>
            </w:r>
          </w:p>
        </w:tc>
        <w:tc>
          <w:tcPr>
            <w:tcW w:w="3685" w:type="dxa"/>
            <w:gridSpan w:val="2"/>
            <w:vAlign w:val="center"/>
          </w:tcPr>
          <w:p w14:paraId="71434B7E" w14:textId="76DEA5F5" w:rsidR="00393575" w:rsidRDefault="00393575" w:rsidP="009B71AE">
            <w:pPr>
              <w:widowControl w:val="0"/>
              <w:jc w:val="right"/>
            </w:pPr>
            <w:r w:rsidRPr="009B71AE">
              <w:rPr>
                <w:rStyle w:val="QuoteChar"/>
              </w:rPr>
              <w:t>“My house, my Mumma, Dadda, me, and my baby cousin. They be nice.”</w:t>
            </w:r>
          </w:p>
        </w:tc>
      </w:tr>
      <w:tr w:rsidR="00393575" w14:paraId="5BFBE386" w14:textId="77777777" w:rsidTr="005B092D">
        <w:tc>
          <w:tcPr>
            <w:tcW w:w="3681" w:type="dxa"/>
            <w:vAlign w:val="center"/>
          </w:tcPr>
          <w:p w14:paraId="428D068D" w14:textId="1E3EFC96" w:rsidR="00393575" w:rsidRDefault="00393575" w:rsidP="00AD7D9E">
            <w:pPr>
              <w:widowControl w:val="0"/>
              <w:jc w:val="center"/>
            </w:pPr>
            <w:r w:rsidRPr="009B71AE">
              <w:rPr>
                <w:rStyle w:val="QuoteChar"/>
              </w:rPr>
              <w:t>“Brother. I love him. Play cars with him.”</w:t>
            </w:r>
          </w:p>
        </w:tc>
        <w:tc>
          <w:tcPr>
            <w:tcW w:w="5386" w:type="dxa"/>
            <w:gridSpan w:val="3"/>
            <w:vAlign w:val="center"/>
          </w:tcPr>
          <w:p w14:paraId="37413786" w14:textId="2EE779F8" w:rsidR="00393575" w:rsidRDefault="00393575" w:rsidP="009B71AE">
            <w:pPr>
              <w:widowControl w:val="0"/>
              <w:jc w:val="right"/>
            </w:pPr>
            <w:r>
              <w:fldChar w:fldCharType="begin"/>
            </w:r>
            <w:r>
              <w:instrText xml:space="preserve"> INCLUDEPICTURE "/Users/danielhanningtonpinto/Library/Group Containers/UBF8T346G9.ms/WebArchiveCopyPasteTempFiles/com.microsoft.Word/e7efccd6-250d-4df2-9446-2ce20f66ef30" \* MERGEFORMATINET </w:instrText>
            </w:r>
            <w:r>
              <w:fldChar w:fldCharType="separate"/>
            </w:r>
            <w:r>
              <w:rPr>
                <w:noProof/>
              </w:rPr>
              <w:drawing>
                <wp:inline distT="0" distB="0" distL="0" distR="0" wp14:anchorId="013EEA07" wp14:editId="7581011E">
                  <wp:extent cx="2533963" cy="3147774"/>
                  <wp:effectExtent l="0" t="2223" r="4128" b="4127"/>
                  <wp:docPr id="168982015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6163" r="18605" b="18022"/>
                          <a:stretch/>
                        </pic:blipFill>
                        <pic:spPr bwMode="auto">
                          <a:xfrm rot="16200000">
                            <a:off x="0" y="0"/>
                            <a:ext cx="2567370" cy="318927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393575" w14:paraId="1D4EA2FB" w14:textId="77777777" w:rsidTr="005B092D">
        <w:tc>
          <w:tcPr>
            <w:tcW w:w="5949" w:type="dxa"/>
            <w:gridSpan w:val="3"/>
            <w:vAlign w:val="center"/>
          </w:tcPr>
          <w:p w14:paraId="69546F55" w14:textId="7A2BB0AE" w:rsidR="00393575" w:rsidRDefault="009B71AE" w:rsidP="009B71AE">
            <w:pPr>
              <w:widowControl w:val="0"/>
              <w:jc w:val="center"/>
            </w:pPr>
            <w:r>
              <w:fldChar w:fldCharType="begin"/>
            </w:r>
            <w:r>
              <w:instrText xml:space="preserve"> INCLUDEPICTURE "/Users/danielhanningtonpinto/Library/Group Containers/UBF8T346G9.ms/WebArchiveCopyPasteTempFiles/com.microsoft.Word/6f2212ec-d7ab-4462-924e-4ca7b172d93a" \* MERGEFORMATINET </w:instrText>
            </w:r>
            <w:r>
              <w:fldChar w:fldCharType="separate"/>
            </w:r>
            <w:r>
              <w:rPr>
                <w:noProof/>
              </w:rPr>
              <w:drawing>
                <wp:inline distT="0" distB="0" distL="0" distR="0" wp14:anchorId="79260189" wp14:editId="25FCFCF5">
                  <wp:extent cx="3190975" cy="2361235"/>
                  <wp:effectExtent l="0" t="0" r="0" b="1270"/>
                  <wp:docPr id="14154748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96151" cy="2439062"/>
                          </a:xfrm>
                          <a:prstGeom prst="rect">
                            <a:avLst/>
                          </a:prstGeom>
                          <a:noFill/>
                          <a:ln>
                            <a:noFill/>
                          </a:ln>
                        </pic:spPr>
                      </pic:pic>
                    </a:graphicData>
                  </a:graphic>
                </wp:inline>
              </w:drawing>
            </w:r>
            <w:r>
              <w:fldChar w:fldCharType="end"/>
            </w:r>
          </w:p>
        </w:tc>
        <w:tc>
          <w:tcPr>
            <w:tcW w:w="3118" w:type="dxa"/>
            <w:vAlign w:val="center"/>
          </w:tcPr>
          <w:p w14:paraId="6740000B" w14:textId="458E27D6" w:rsidR="00393575" w:rsidRDefault="009B71AE" w:rsidP="00AD7D9E">
            <w:pPr>
              <w:widowControl w:val="0"/>
              <w:jc w:val="center"/>
            </w:pPr>
            <w:r w:rsidRPr="009B71AE">
              <w:rPr>
                <w:rStyle w:val="QuoteChar"/>
              </w:rPr>
              <w:t>“I have the sun and the blue sky and my Mummy in her black dress and my imaginary black shoes and some love hearts.”</w:t>
            </w:r>
          </w:p>
        </w:tc>
      </w:tr>
    </w:tbl>
    <w:p w14:paraId="3E1064DF" w14:textId="77777777" w:rsidR="00A029CE" w:rsidRDefault="00A029CE" w:rsidP="00A029CE">
      <w:pPr>
        <w:widowControl w:val="0"/>
      </w:pPr>
    </w:p>
    <w:p w14:paraId="27AB97F6" w14:textId="0AFE7324" w:rsidR="00C26EE4" w:rsidRDefault="00C26EE4" w:rsidP="00A029CE">
      <w:pPr>
        <w:widowControl w:val="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8"/>
        <w:gridCol w:w="1162"/>
        <w:gridCol w:w="3346"/>
      </w:tblGrid>
      <w:tr w:rsidR="00562D4C" w14:paraId="3C643809" w14:textId="77777777" w:rsidTr="005B092D">
        <w:tc>
          <w:tcPr>
            <w:tcW w:w="4508" w:type="dxa"/>
            <w:tcBorders>
              <w:right w:val="single" w:sz="2" w:space="0" w:color="D0CECE" w:themeColor="background2" w:themeShade="E6"/>
            </w:tcBorders>
            <w:vAlign w:val="center"/>
          </w:tcPr>
          <w:p w14:paraId="4ACDAC6F" w14:textId="25136C4A" w:rsidR="00562D4C" w:rsidRDefault="00562D4C" w:rsidP="00562D4C">
            <w:pPr>
              <w:widowControl w:val="0"/>
              <w:jc w:val="center"/>
            </w:pPr>
            <w:r>
              <w:lastRenderedPageBreak/>
              <w:fldChar w:fldCharType="begin"/>
            </w:r>
            <w:r>
              <w:instrText xml:space="preserve"> INCLUDEPICTURE "/Users/danielhanningtonpinto/Library/Group Containers/UBF8T346G9.ms/WebArchiveCopyPasteTempFiles/com.microsoft.Word/b14b8fb7-8bf2-4d9b-a30d-c40589893ac2" \* MERGEFORMATINET </w:instrText>
            </w:r>
            <w:r>
              <w:fldChar w:fldCharType="separate"/>
            </w:r>
            <w:r>
              <w:rPr>
                <w:noProof/>
              </w:rPr>
              <w:drawing>
                <wp:inline distT="0" distB="0" distL="0" distR="0" wp14:anchorId="752E2633" wp14:editId="03BDDE12">
                  <wp:extent cx="2430684" cy="3400157"/>
                  <wp:effectExtent l="0" t="0" r="0" b="3810"/>
                  <wp:docPr id="809972819" name="Picture 80997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70514" cy="3455873"/>
                          </a:xfrm>
                          <a:prstGeom prst="rect">
                            <a:avLst/>
                          </a:prstGeom>
                          <a:noFill/>
                          <a:ln>
                            <a:noFill/>
                          </a:ln>
                        </pic:spPr>
                      </pic:pic>
                    </a:graphicData>
                  </a:graphic>
                </wp:inline>
              </w:drawing>
            </w:r>
            <w:r>
              <w:fldChar w:fldCharType="end"/>
            </w:r>
          </w:p>
        </w:tc>
        <w:tc>
          <w:tcPr>
            <w:tcW w:w="4508" w:type="dxa"/>
            <w:gridSpan w:val="2"/>
            <w:tcBorders>
              <w:left w:val="single" w:sz="2" w:space="0" w:color="D0CECE" w:themeColor="background2" w:themeShade="E6"/>
            </w:tcBorders>
            <w:vAlign w:val="center"/>
          </w:tcPr>
          <w:p w14:paraId="4F5CF65D" w14:textId="5E93E3C0" w:rsidR="00562D4C" w:rsidRDefault="00562D4C" w:rsidP="00562D4C">
            <w:pPr>
              <w:widowControl w:val="0"/>
              <w:jc w:val="center"/>
            </w:pPr>
            <w:r>
              <w:fldChar w:fldCharType="begin"/>
            </w:r>
            <w:r>
              <w:instrText xml:space="preserve"> INCLUDEPICTURE "/Users/danielhanningtonpinto/Library/Group Containers/UBF8T346G9.ms/WebArchiveCopyPasteTempFiles/com.microsoft.Word/a2413cee-2a16-4ed1-a267-e1b293833ca7" \* MERGEFORMATINET </w:instrText>
            </w:r>
            <w:r>
              <w:fldChar w:fldCharType="separate"/>
            </w:r>
            <w:r>
              <w:rPr>
                <w:noProof/>
              </w:rPr>
              <w:drawing>
                <wp:inline distT="0" distB="0" distL="0" distR="0" wp14:anchorId="6A951503" wp14:editId="63F687A0">
                  <wp:extent cx="2430684" cy="3400157"/>
                  <wp:effectExtent l="0" t="0" r="0" b="3810"/>
                  <wp:docPr id="1810496939" name="Picture 1810496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52597" cy="3430810"/>
                          </a:xfrm>
                          <a:prstGeom prst="rect">
                            <a:avLst/>
                          </a:prstGeom>
                          <a:noFill/>
                          <a:ln>
                            <a:noFill/>
                          </a:ln>
                        </pic:spPr>
                      </pic:pic>
                    </a:graphicData>
                  </a:graphic>
                </wp:inline>
              </w:drawing>
            </w:r>
            <w:r>
              <w:fldChar w:fldCharType="end"/>
            </w:r>
          </w:p>
        </w:tc>
      </w:tr>
      <w:tr w:rsidR="00562D4C" w14:paraId="516960A4" w14:textId="77777777" w:rsidTr="005B092D">
        <w:tc>
          <w:tcPr>
            <w:tcW w:w="4508" w:type="dxa"/>
            <w:tcBorders>
              <w:right w:val="single" w:sz="2" w:space="0" w:color="D0CECE" w:themeColor="background2" w:themeShade="E6"/>
            </w:tcBorders>
          </w:tcPr>
          <w:p w14:paraId="3E3F9E22" w14:textId="7514ABDF" w:rsidR="00562D4C" w:rsidRDefault="00562D4C" w:rsidP="00562D4C">
            <w:pPr>
              <w:pStyle w:val="Quote"/>
            </w:pPr>
            <w:r w:rsidRPr="00554E9A">
              <w:t xml:space="preserve">“That’s my little sister, that’s my Mum, and that’s my </w:t>
            </w:r>
            <w:proofErr w:type="gramStart"/>
            <w:r w:rsidRPr="00554E9A">
              <w:t>Dad</w:t>
            </w:r>
            <w:proofErr w:type="gramEnd"/>
            <w:r>
              <w:t>.</w:t>
            </w:r>
            <w:r w:rsidRPr="00554E9A">
              <w:t>”</w:t>
            </w:r>
          </w:p>
        </w:tc>
        <w:tc>
          <w:tcPr>
            <w:tcW w:w="4508" w:type="dxa"/>
            <w:gridSpan w:val="2"/>
            <w:tcBorders>
              <w:left w:val="single" w:sz="2" w:space="0" w:color="D0CECE" w:themeColor="background2" w:themeShade="E6"/>
            </w:tcBorders>
          </w:tcPr>
          <w:p w14:paraId="29A24622" w14:textId="727F3A6F" w:rsidR="00562D4C" w:rsidRDefault="00562D4C" w:rsidP="00562D4C">
            <w:pPr>
              <w:pStyle w:val="Quote"/>
            </w:pPr>
            <w:r w:rsidRPr="00554E9A">
              <w:t>“That’s Mummy. She gives me lots and lots of treats and she also hugs me all the time.”</w:t>
            </w:r>
          </w:p>
        </w:tc>
      </w:tr>
      <w:tr w:rsidR="00562D4C" w14:paraId="4325DB74" w14:textId="77777777" w:rsidTr="00562D4C">
        <w:tc>
          <w:tcPr>
            <w:tcW w:w="5670" w:type="dxa"/>
            <w:gridSpan w:val="2"/>
          </w:tcPr>
          <w:p w14:paraId="22ACFCF4" w14:textId="2F6FD719" w:rsidR="00562D4C" w:rsidRPr="00554E9A" w:rsidRDefault="00562D4C" w:rsidP="00562D4C">
            <w:pPr>
              <w:pStyle w:val="Quote"/>
              <w:ind w:left="0"/>
              <w:jc w:val="right"/>
            </w:pPr>
            <w:r>
              <w:fldChar w:fldCharType="begin"/>
            </w:r>
            <w:r>
              <w:instrText xml:space="preserve"> INCLUDEPICTURE "/Users/danielhanningtonpinto/Library/Group Containers/UBF8T346G9.ms/WebArchiveCopyPasteTempFiles/com.microsoft.Word/d0f3b5c5-8ad7-463e-823d-4e2bdf444ba6" \* MERGEFORMATINET </w:instrText>
            </w:r>
            <w:r>
              <w:fldChar w:fldCharType="separate"/>
            </w:r>
            <w:r>
              <w:rPr>
                <w:noProof/>
              </w:rPr>
              <w:drawing>
                <wp:inline distT="0" distB="0" distL="0" distR="0" wp14:anchorId="709B93B3" wp14:editId="1B7E2E05">
                  <wp:extent cx="3611776" cy="2708832"/>
                  <wp:effectExtent l="0" t="5715" r="2540" b="2540"/>
                  <wp:docPr id="2024394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91890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3664707" cy="2748530"/>
                          </a:xfrm>
                          <a:prstGeom prst="rect">
                            <a:avLst/>
                          </a:prstGeom>
                          <a:noFill/>
                          <a:ln>
                            <a:noFill/>
                          </a:ln>
                        </pic:spPr>
                      </pic:pic>
                    </a:graphicData>
                  </a:graphic>
                </wp:inline>
              </w:drawing>
            </w:r>
            <w:r>
              <w:fldChar w:fldCharType="end"/>
            </w:r>
          </w:p>
        </w:tc>
        <w:tc>
          <w:tcPr>
            <w:tcW w:w="3346" w:type="dxa"/>
            <w:vAlign w:val="center"/>
          </w:tcPr>
          <w:p w14:paraId="6170E59E" w14:textId="0DD9EE11" w:rsidR="00562D4C" w:rsidRPr="00562D4C" w:rsidRDefault="00562D4C" w:rsidP="00AD7D9E">
            <w:pPr>
              <w:pStyle w:val="Quote"/>
              <w:ind w:left="0"/>
            </w:pPr>
            <w:r>
              <w:rPr>
                <w:rFonts w:ascii="Times New Roman" w:hAnsi="Times New Roman" w:cs="Times New Roman"/>
                <w:i w:val="0"/>
                <w:color w:val="auto"/>
              </w:rPr>
              <w:t>“</w:t>
            </w:r>
            <w:r w:rsidRPr="00562D4C">
              <w:t>This is my Daddy and me and a love heart because I love him.”</w:t>
            </w:r>
          </w:p>
        </w:tc>
      </w:tr>
    </w:tbl>
    <w:p w14:paraId="5DC65AD0" w14:textId="77777777" w:rsidR="005B092D" w:rsidRPr="00AE0EF5" w:rsidRDefault="005B092D" w:rsidP="005B092D">
      <w:pPr>
        <w:widowControl w:val="0"/>
        <w:rPr>
          <w:sz w:val="3"/>
          <w:szCs w:val="3"/>
        </w:rPr>
      </w:pPr>
    </w:p>
    <w:tbl>
      <w:tblPr>
        <w:tblStyle w:val="TableGrid"/>
        <w:tblW w:w="0" w:type="auto"/>
        <w:tblBorders>
          <w:top w:val="none" w:sz="0" w:space="0" w:color="auto"/>
          <w:left w:val="none" w:sz="0" w:space="0" w:color="auto"/>
          <w:bottom w:val="none" w:sz="0" w:space="0" w:color="auto"/>
          <w:right w:val="none" w:sz="0" w:space="0" w:color="auto"/>
          <w:insideH w:val="single" w:sz="2" w:space="0" w:color="D0CECE" w:themeColor="background2" w:themeShade="E6"/>
          <w:insideV w:val="none" w:sz="0" w:space="0" w:color="auto"/>
        </w:tblBorders>
        <w:tblLayout w:type="fixed"/>
        <w:tblLook w:val="04A0" w:firstRow="1" w:lastRow="0" w:firstColumn="1" w:lastColumn="0" w:noHBand="0" w:noVBand="1"/>
      </w:tblPr>
      <w:tblGrid>
        <w:gridCol w:w="3397"/>
        <w:gridCol w:w="2694"/>
        <w:gridCol w:w="2925"/>
      </w:tblGrid>
      <w:tr w:rsidR="00FD2B8D" w14:paraId="56B43B74" w14:textId="77777777" w:rsidTr="00387532">
        <w:tc>
          <w:tcPr>
            <w:tcW w:w="6091" w:type="dxa"/>
            <w:gridSpan w:val="2"/>
            <w:vAlign w:val="center"/>
          </w:tcPr>
          <w:p w14:paraId="32DB63C0" w14:textId="1E5D6A07" w:rsidR="00FD2B8D" w:rsidRDefault="00FD2B8D" w:rsidP="00387532">
            <w:pPr>
              <w:widowControl w:val="0"/>
              <w:spacing w:before="0" w:line="240" w:lineRule="auto"/>
              <w:jc w:val="center"/>
            </w:pPr>
            <w:r>
              <w:lastRenderedPageBreak/>
              <w:fldChar w:fldCharType="begin"/>
            </w:r>
            <w:r>
              <w:instrText xml:space="preserve"> INCLUDEPICTURE "/Users/danielhanningtonpinto/Library/Group Containers/UBF8T346G9.ms/WebArchiveCopyPasteTempFiles/com.microsoft.Word/9a0a4a5d-30df-4795-8ece-1ca070fbdce4" \* MERGEFORMATINET </w:instrText>
            </w:r>
            <w:r>
              <w:fldChar w:fldCharType="separate"/>
            </w:r>
            <w:r>
              <w:rPr>
                <w:noProof/>
              </w:rPr>
              <w:drawing>
                <wp:inline distT="0" distB="0" distL="0" distR="0" wp14:anchorId="00B9623E" wp14:editId="77E33F0B">
                  <wp:extent cx="1977516" cy="2788982"/>
                  <wp:effectExtent l="635" t="0" r="4445" b="4445"/>
                  <wp:docPr id="838772436" name="Picture 83877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r="8922" b="3650"/>
                          <a:stretch/>
                        </pic:blipFill>
                        <pic:spPr bwMode="auto">
                          <a:xfrm rot="16200000">
                            <a:off x="0" y="0"/>
                            <a:ext cx="1980826" cy="279365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2925" w:type="dxa"/>
            <w:vAlign w:val="center"/>
          </w:tcPr>
          <w:p w14:paraId="317AFFCD" w14:textId="5E8CA504" w:rsidR="00FD2B8D" w:rsidRDefault="00FD2B8D" w:rsidP="00FD2B8D">
            <w:pPr>
              <w:pStyle w:val="Quote"/>
              <w:ind w:left="170" w:right="123"/>
            </w:pPr>
            <w:r w:rsidRPr="00554E9A">
              <w:t>“My Mum and Dad. I make playdough with my Mum and Dad.”</w:t>
            </w:r>
          </w:p>
        </w:tc>
      </w:tr>
      <w:tr w:rsidR="0034576D" w14:paraId="794EFD47" w14:textId="77777777" w:rsidTr="00387532">
        <w:tc>
          <w:tcPr>
            <w:tcW w:w="3397" w:type="dxa"/>
            <w:vAlign w:val="center"/>
          </w:tcPr>
          <w:p w14:paraId="4FAB13E3" w14:textId="525DE7FD" w:rsidR="0034576D" w:rsidRDefault="0034576D">
            <w:pPr>
              <w:widowControl w:val="0"/>
              <w:jc w:val="center"/>
            </w:pPr>
            <w:r w:rsidRPr="0034576D">
              <w:rPr>
                <w:rStyle w:val="QuoteChar"/>
              </w:rPr>
              <w:t>“I’m going to draw me, my Mummy, and my sisters. That’s my two sisters.”</w:t>
            </w:r>
          </w:p>
        </w:tc>
        <w:tc>
          <w:tcPr>
            <w:tcW w:w="5619" w:type="dxa"/>
            <w:gridSpan w:val="2"/>
            <w:vAlign w:val="center"/>
          </w:tcPr>
          <w:p w14:paraId="7126D1E4" w14:textId="77777777" w:rsidR="0034576D" w:rsidRPr="00562D4C" w:rsidRDefault="0034576D">
            <w:pPr>
              <w:pStyle w:val="Quote"/>
              <w:ind w:left="170" w:right="123"/>
              <w:rPr>
                <w:rFonts w:ascii="Webdings" w:hAnsi="Webdings" w:hint="eastAsia"/>
                <w:i w:val="0"/>
                <w:iCs w:val="0"/>
                <w:color w:val="auto"/>
              </w:rPr>
            </w:pPr>
            <w:r>
              <w:fldChar w:fldCharType="begin"/>
            </w:r>
            <w:r>
              <w:instrText xml:space="preserve"> INCLUDEPICTURE "/Users/danielhanningtonpinto/Library/Group Containers/UBF8T346G9.ms/WebArchiveCopyPasteTempFiles/com.microsoft.Word/19d581c7-2c8a-46de-b98d-8f1e6db6bc81" \* MERGEFORMATINET </w:instrText>
            </w:r>
            <w:r>
              <w:fldChar w:fldCharType="separate"/>
            </w:r>
            <w:r>
              <w:rPr>
                <w:noProof/>
              </w:rPr>
              <w:drawing>
                <wp:inline distT="0" distB="0" distL="0" distR="0" wp14:anchorId="66578ABF" wp14:editId="68D4A80B">
                  <wp:extent cx="2508355" cy="1881266"/>
                  <wp:effectExtent l="0" t="0" r="0" b="0"/>
                  <wp:docPr id="15203770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0800000">
                            <a:off x="0" y="0"/>
                            <a:ext cx="2512785" cy="1884589"/>
                          </a:xfrm>
                          <a:prstGeom prst="rect">
                            <a:avLst/>
                          </a:prstGeom>
                          <a:noFill/>
                          <a:ln>
                            <a:noFill/>
                          </a:ln>
                        </pic:spPr>
                      </pic:pic>
                    </a:graphicData>
                  </a:graphic>
                </wp:inline>
              </w:drawing>
            </w:r>
            <w:r>
              <w:fldChar w:fldCharType="end"/>
            </w:r>
          </w:p>
        </w:tc>
      </w:tr>
      <w:tr w:rsidR="0034576D" w14:paraId="430C3C3F" w14:textId="77777777" w:rsidTr="00387532">
        <w:tc>
          <w:tcPr>
            <w:tcW w:w="6091" w:type="dxa"/>
            <w:gridSpan w:val="2"/>
            <w:vAlign w:val="center"/>
          </w:tcPr>
          <w:p w14:paraId="005BE8A6" w14:textId="04CFE005" w:rsidR="0034576D" w:rsidRDefault="0034576D" w:rsidP="00FD2B8D">
            <w:pPr>
              <w:widowControl w:val="0"/>
              <w:jc w:val="center"/>
            </w:pPr>
            <w:r>
              <w:fldChar w:fldCharType="begin"/>
            </w:r>
            <w:r>
              <w:instrText xml:space="preserve"> INCLUDEPICTURE "/Users/danielhanningtonpinto/Library/Group Containers/UBF8T346G9.ms/WebArchiveCopyPasteTempFiles/com.microsoft.Word/0a189c69-b2c1-461d-85e1-10b38b39a27d" \* MERGEFORMATINET </w:instrText>
            </w:r>
            <w:r>
              <w:fldChar w:fldCharType="separate"/>
            </w:r>
            <w:r>
              <w:rPr>
                <w:noProof/>
              </w:rPr>
              <w:drawing>
                <wp:inline distT="0" distB="0" distL="0" distR="0" wp14:anchorId="35D1DD2F" wp14:editId="01222376">
                  <wp:extent cx="2574278" cy="1861088"/>
                  <wp:effectExtent l="38100" t="50800" r="42545" b="44450"/>
                  <wp:docPr id="3100901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5727" r="2238"/>
                          <a:stretch/>
                        </pic:blipFill>
                        <pic:spPr bwMode="auto">
                          <a:xfrm rot="120000">
                            <a:off x="0" y="0"/>
                            <a:ext cx="2598939" cy="1878917"/>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2925" w:type="dxa"/>
            <w:vAlign w:val="center"/>
          </w:tcPr>
          <w:p w14:paraId="60F8C78C" w14:textId="11B11ACD" w:rsidR="0034576D" w:rsidRPr="00562D4C" w:rsidRDefault="0034576D" w:rsidP="00FD2B8D">
            <w:pPr>
              <w:pStyle w:val="Quote"/>
              <w:ind w:left="170" w:right="123"/>
              <w:rPr>
                <w:rFonts w:ascii="Webdings" w:hAnsi="Webdings" w:hint="eastAsia"/>
                <w:i w:val="0"/>
                <w:iCs w:val="0"/>
                <w:color w:val="auto"/>
              </w:rPr>
            </w:pPr>
            <w:r>
              <w:t>“I am drawing my Mum. My Mum is happy. I love you, Mummy.”</w:t>
            </w:r>
          </w:p>
        </w:tc>
      </w:tr>
      <w:tr w:rsidR="00AE0EF5" w14:paraId="6DC2A54D" w14:textId="77777777" w:rsidTr="00387532">
        <w:tc>
          <w:tcPr>
            <w:tcW w:w="3397" w:type="dxa"/>
            <w:vAlign w:val="center"/>
          </w:tcPr>
          <w:p w14:paraId="7D56E481" w14:textId="046F5707" w:rsidR="00AE0EF5" w:rsidRDefault="00387532" w:rsidP="00FD2B8D">
            <w:pPr>
              <w:widowControl w:val="0"/>
              <w:jc w:val="center"/>
            </w:pPr>
            <w:r w:rsidRPr="00554E9A">
              <w:t>“</w:t>
            </w:r>
            <w:r w:rsidRPr="00387532">
              <w:rPr>
                <w:i/>
                <w:iCs/>
                <w:color w:val="404040" w:themeColor="text1" w:themeTint="BF"/>
              </w:rPr>
              <w:t>Me and my sister. I want to see my Mum and Dad more.”</w:t>
            </w:r>
          </w:p>
        </w:tc>
        <w:tc>
          <w:tcPr>
            <w:tcW w:w="5619" w:type="dxa"/>
            <w:gridSpan w:val="2"/>
            <w:vAlign w:val="center"/>
          </w:tcPr>
          <w:p w14:paraId="098927A5" w14:textId="1113336B" w:rsidR="00AE0EF5" w:rsidRPr="00562D4C" w:rsidRDefault="00AE0EF5" w:rsidP="00AE0EF5">
            <w:pPr>
              <w:jc w:val="center"/>
              <w:rPr>
                <w:rFonts w:ascii="Webdings" w:hAnsi="Webdings" w:hint="eastAsia"/>
                <w:i/>
                <w:iCs/>
              </w:rPr>
            </w:pPr>
            <w:r>
              <w:fldChar w:fldCharType="begin"/>
            </w:r>
            <w:r>
              <w:instrText xml:space="preserve"> INCLUDEPICTURE "/Users/danielhanningtonpinto/Library/Group Containers/UBF8T346G9.ms/WebArchiveCopyPasteTempFiles/com.microsoft.Word/24fd61c0-0b34-41bc-8f23-206ede4ae7b7" \* MERGEFORMATINET </w:instrText>
            </w:r>
            <w:r>
              <w:fldChar w:fldCharType="separate"/>
            </w:r>
            <w:r>
              <w:rPr>
                <w:noProof/>
              </w:rPr>
              <w:drawing>
                <wp:inline distT="0" distB="0" distL="0" distR="0" wp14:anchorId="28A84C6A" wp14:editId="4A037166">
                  <wp:extent cx="1821851" cy="2539892"/>
                  <wp:effectExtent l="0" t="3175" r="3810" b="3810"/>
                  <wp:docPr id="342444655" name="Picture 342444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444655" name="Picture 19"/>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390"/>
                          <a:stretch/>
                        </pic:blipFill>
                        <pic:spPr bwMode="auto">
                          <a:xfrm rot="16200000">
                            <a:off x="0" y="0"/>
                            <a:ext cx="1863681" cy="259820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bl>
    <w:p w14:paraId="202245B7" w14:textId="77777777" w:rsidR="00572DA6" w:rsidRPr="006D1C5E" w:rsidRDefault="00572DA6" w:rsidP="00387532">
      <w:pPr>
        <w:widowControl w:val="0"/>
        <w:rPr>
          <w:sz w:val="11"/>
          <w:szCs w:val="11"/>
        </w:rPr>
      </w:pPr>
    </w:p>
    <w:tbl>
      <w:tblPr>
        <w:tblStyle w:val="TableGrid"/>
        <w:tblW w:w="0" w:type="auto"/>
        <w:tblBorders>
          <w:top w:val="none" w:sz="0" w:space="0" w:color="auto"/>
          <w:left w:val="none" w:sz="0" w:space="0" w:color="auto"/>
          <w:bottom w:val="none" w:sz="0" w:space="0" w:color="auto"/>
          <w:right w:val="none" w:sz="0" w:space="0" w:color="auto"/>
          <w:insideH w:val="single" w:sz="2" w:space="0" w:color="D0CECE" w:themeColor="background2" w:themeShade="E6"/>
          <w:insideV w:val="none" w:sz="0" w:space="0" w:color="auto"/>
        </w:tblBorders>
        <w:tblLook w:val="04A0" w:firstRow="1" w:lastRow="0" w:firstColumn="1" w:lastColumn="0" w:noHBand="0" w:noVBand="1"/>
      </w:tblPr>
      <w:tblGrid>
        <w:gridCol w:w="4508"/>
        <w:gridCol w:w="4508"/>
      </w:tblGrid>
      <w:tr w:rsidR="006D1C5E" w14:paraId="42F4BB50" w14:textId="77777777" w:rsidTr="006D1C5E">
        <w:tc>
          <w:tcPr>
            <w:tcW w:w="4508" w:type="dxa"/>
            <w:tcBorders>
              <w:top w:val="single" w:sz="2" w:space="0" w:color="D0CECE" w:themeColor="background2" w:themeShade="E6"/>
              <w:bottom w:val="nil"/>
              <w:right w:val="nil"/>
            </w:tcBorders>
          </w:tcPr>
          <w:p w14:paraId="7080B5F5" w14:textId="35AE5188" w:rsidR="006D1C5E" w:rsidRDefault="006D1C5E" w:rsidP="006D1C5E">
            <w:pPr>
              <w:widowControl w:val="0"/>
              <w:jc w:val="center"/>
            </w:pPr>
            <w:r>
              <w:lastRenderedPageBreak/>
              <w:fldChar w:fldCharType="begin"/>
            </w:r>
            <w:r>
              <w:instrText xml:space="preserve"> INCLUDEPICTURE "/Users/danielhanningtonpinto/Library/Group Containers/UBF8T346G9.ms/WebArchiveCopyPasteTempFiles/com.microsoft.Word/d2ea2393-654a-4c62-9219-35d2dfd901ae" \* MERGEFORMATINET </w:instrText>
            </w:r>
            <w:r>
              <w:fldChar w:fldCharType="separate"/>
            </w:r>
            <w:r>
              <w:rPr>
                <w:noProof/>
              </w:rPr>
              <w:drawing>
                <wp:inline distT="0" distB="0" distL="0" distR="0" wp14:anchorId="7B7AA4CC" wp14:editId="278D6EE0">
                  <wp:extent cx="2012912" cy="2578746"/>
                  <wp:effectExtent l="0" t="3810" r="3175" b="3175"/>
                  <wp:docPr id="63826898" name="Picture 63826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0195" t="12726" b="10612"/>
                          <a:stretch/>
                        </pic:blipFill>
                        <pic:spPr bwMode="auto">
                          <a:xfrm rot="5400000">
                            <a:off x="0" y="0"/>
                            <a:ext cx="2050265" cy="2626599"/>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4508" w:type="dxa"/>
            <w:tcBorders>
              <w:top w:val="single" w:sz="2" w:space="0" w:color="D0CECE" w:themeColor="background2" w:themeShade="E6"/>
              <w:left w:val="nil"/>
              <w:bottom w:val="nil"/>
            </w:tcBorders>
          </w:tcPr>
          <w:p w14:paraId="14D177FC" w14:textId="7F281B81" w:rsidR="006D1C5E" w:rsidRDefault="006D1C5E" w:rsidP="006D1C5E">
            <w:pPr>
              <w:widowControl w:val="0"/>
              <w:jc w:val="center"/>
            </w:pPr>
            <w:r>
              <w:fldChar w:fldCharType="begin"/>
            </w:r>
            <w:r>
              <w:instrText xml:space="preserve"> INCLUDEPICTURE "/Users/danielhanningtonpinto/Library/Group Containers/UBF8T346G9.ms/WebArchiveCopyPasteTempFiles/com.microsoft.Word/34d265bd-0545-40e2-b159-d8ebef79056d" \* MERGEFORMATINET </w:instrText>
            </w:r>
            <w:r>
              <w:fldChar w:fldCharType="separate"/>
            </w:r>
            <w:r>
              <w:rPr>
                <w:noProof/>
              </w:rPr>
              <w:drawing>
                <wp:inline distT="0" distB="0" distL="0" distR="0" wp14:anchorId="40B422A4" wp14:editId="1143D6CF">
                  <wp:extent cx="2688521" cy="2017230"/>
                  <wp:effectExtent l="0" t="0" r="4445" b="2540"/>
                  <wp:docPr id="1139803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a:off x="0" y="0"/>
                            <a:ext cx="2700251" cy="2026031"/>
                          </a:xfrm>
                          <a:prstGeom prst="rect">
                            <a:avLst/>
                          </a:prstGeom>
                          <a:noFill/>
                          <a:ln>
                            <a:noFill/>
                          </a:ln>
                        </pic:spPr>
                      </pic:pic>
                    </a:graphicData>
                  </a:graphic>
                </wp:inline>
              </w:drawing>
            </w:r>
            <w:r>
              <w:fldChar w:fldCharType="end"/>
            </w:r>
          </w:p>
        </w:tc>
      </w:tr>
      <w:tr w:rsidR="006D1C5E" w14:paraId="6BF23EDC" w14:textId="77777777" w:rsidTr="006D1C5E">
        <w:tc>
          <w:tcPr>
            <w:tcW w:w="4508" w:type="dxa"/>
            <w:tcBorders>
              <w:top w:val="nil"/>
              <w:bottom w:val="single" w:sz="2" w:space="0" w:color="D0CECE" w:themeColor="background2" w:themeShade="E6"/>
              <w:right w:val="nil"/>
            </w:tcBorders>
          </w:tcPr>
          <w:p w14:paraId="41C2D1D1" w14:textId="40C38ADF" w:rsidR="006D1C5E" w:rsidRDefault="006D1C5E" w:rsidP="006D1C5E">
            <w:pPr>
              <w:pStyle w:val="Quote"/>
            </w:pPr>
            <w:r w:rsidRPr="00554E9A">
              <w:t>“That’s my cousins, because they play with me.”</w:t>
            </w:r>
          </w:p>
        </w:tc>
        <w:tc>
          <w:tcPr>
            <w:tcW w:w="4508" w:type="dxa"/>
            <w:tcBorders>
              <w:top w:val="nil"/>
              <w:left w:val="nil"/>
              <w:bottom w:val="single" w:sz="2" w:space="0" w:color="D0CECE" w:themeColor="background2" w:themeShade="E6"/>
            </w:tcBorders>
          </w:tcPr>
          <w:p w14:paraId="69F80C06" w14:textId="6D0605B1" w:rsidR="006D1C5E" w:rsidRDefault="006D1C5E" w:rsidP="006D1C5E">
            <w:pPr>
              <w:pStyle w:val="Quote"/>
            </w:pPr>
            <w:r>
              <w:t>“Daddy! Go fishing!”</w:t>
            </w:r>
          </w:p>
        </w:tc>
      </w:tr>
      <w:tr w:rsidR="006D1C5E" w14:paraId="5C8E31AF" w14:textId="77777777" w:rsidTr="006D1C5E">
        <w:tc>
          <w:tcPr>
            <w:tcW w:w="4508" w:type="dxa"/>
            <w:tcBorders>
              <w:top w:val="single" w:sz="2" w:space="0" w:color="D0CECE" w:themeColor="background2" w:themeShade="E6"/>
              <w:bottom w:val="single" w:sz="2" w:space="0" w:color="D0CECE" w:themeColor="background2" w:themeShade="E6"/>
            </w:tcBorders>
          </w:tcPr>
          <w:p w14:paraId="2F88B1A6" w14:textId="768DF397" w:rsidR="006D1C5E" w:rsidRPr="006D1C5E" w:rsidRDefault="006D1C5E" w:rsidP="006D1C5E">
            <w:pPr>
              <w:widowControl w:val="0"/>
              <w:jc w:val="center"/>
              <w:rPr>
                <w:i/>
                <w:iCs/>
                <w:color w:val="404040" w:themeColor="text1" w:themeTint="BF"/>
              </w:rPr>
            </w:pPr>
            <w:r w:rsidRPr="006D1C5E">
              <w:rPr>
                <w:i/>
                <w:iCs/>
                <w:color w:val="404040" w:themeColor="text1" w:themeTint="BF"/>
              </w:rPr>
              <w:fldChar w:fldCharType="begin"/>
            </w:r>
            <w:r w:rsidRPr="006D1C5E">
              <w:rPr>
                <w:i/>
                <w:iCs/>
                <w:color w:val="404040" w:themeColor="text1" w:themeTint="BF"/>
              </w:rPr>
              <w:instrText xml:space="preserve"> INCLUDEPICTURE "/Users/danielhanningtonpinto/Library/Group Containers/UBF8T346G9.ms/WebArchiveCopyPasteTempFiles/com.microsoft.Word/d29e595a-660a-4fe0-b89e-b5d8afb4d949" \* MERGEFORMATINET </w:instrText>
            </w:r>
            <w:r w:rsidRPr="006D1C5E">
              <w:rPr>
                <w:i/>
                <w:iCs/>
                <w:color w:val="404040" w:themeColor="text1" w:themeTint="BF"/>
              </w:rPr>
              <w:fldChar w:fldCharType="separate"/>
            </w:r>
            <w:r w:rsidRPr="006D1C5E">
              <w:rPr>
                <w:i/>
                <w:iCs/>
                <w:noProof/>
                <w:color w:val="404040" w:themeColor="text1" w:themeTint="BF"/>
              </w:rPr>
              <w:drawing>
                <wp:inline distT="0" distB="0" distL="0" distR="0" wp14:anchorId="3EC6D6E6" wp14:editId="35C6D2B0">
                  <wp:extent cx="3108267" cy="2273415"/>
                  <wp:effectExtent l="0" t="1905" r="1905" b="1905"/>
                  <wp:docPr id="20931313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965675" name="Picture 10"/>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29692" r="35260" b="7173"/>
                          <a:stretch/>
                        </pic:blipFill>
                        <pic:spPr bwMode="auto">
                          <a:xfrm rot="16200000">
                            <a:off x="0" y="0"/>
                            <a:ext cx="3153704" cy="2306648"/>
                          </a:xfrm>
                          <a:prstGeom prst="rect">
                            <a:avLst/>
                          </a:prstGeom>
                          <a:noFill/>
                          <a:ln>
                            <a:noFill/>
                          </a:ln>
                          <a:extLst>
                            <a:ext uri="{53640926-AAD7-44D8-BBD7-CCE9431645EC}">
                              <a14:shadowObscured xmlns:a14="http://schemas.microsoft.com/office/drawing/2010/main"/>
                            </a:ext>
                          </a:extLst>
                        </pic:spPr>
                      </pic:pic>
                    </a:graphicData>
                  </a:graphic>
                </wp:inline>
              </w:drawing>
            </w:r>
            <w:r w:rsidRPr="006D1C5E">
              <w:rPr>
                <w:i/>
                <w:iCs/>
                <w:color w:val="404040" w:themeColor="text1" w:themeTint="BF"/>
              </w:rPr>
              <w:fldChar w:fldCharType="end"/>
            </w:r>
          </w:p>
        </w:tc>
        <w:tc>
          <w:tcPr>
            <w:tcW w:w="4508" w:type="dxa"/>
            <w:tcBorders>
              <w:top w:val="single" w:sz="2" w:space="0" w:color="D0CECE" w:themeColor="background2" w:themeShade="E6"/>
              <w:bottom w:val="single" w:sz="2" w:space="0" w:color="D0CECE" w:themeColor="background2" w:themeShade="E6"/>
            </w:tcBorders>
            <w:vAlign w:val="center"/>
          </w:tcPr>
          <w:p w14:paraId="2A14019A" w14:textId="1958493E" w:rsidR="006D1C5E" w:rsidRPr="006D1C5E" w:rsidRDefault="006D1C5E" w:rsidP="006D1C5E">
            <w:pPr>
              <w:widowControl w:val="0"/>
              <w:jc w:val="center"/>
              <w:rPr>
                <w:i/>
                <w:iCs/>
                <w:color w:val="404040" w:themeColor="text1" w:themeTint="BF"/>
              </w:rPr>
            </w:pPr>
            <w:r w:rsidRPr="006D1C5E">
              <w:rPr>
                <w:i/>
                <w:iCs/>
                <w:color w:val="404040" w:themeColor="text1" w:themeTint="BF"/>
              </w:rPr>
              <w:t>“Me and Nanna. My Nanna is so kind. She is like a cuddly toy; she’s so warm.”</w:t>
            </w:r>
          </w:p>
        </w:tc>
      </w:tr>
    </w:tbl>
    <w:p w14:paraId="7BD1E62B" w14:textId="4DD0573F" w:rsidR="00C26EE4" w:rsidRDefault="00C26EE4" w:rsidP="00C26EE4">
      <w:r>
        <w:t xml:space="preserve">Another theme brought up by children in the arena of relationships and connections related to their affection for peers and educators. </w:t>
      </w:r>
      <w:r w:rsidR="00FB0C29">
        <w:t>Again, t</w:t>
      </w:r>
      <w:r>
        <w:t xml:space="preserve">he evidence indicates that children understand such relationships developed in ECEC settings in complex ways. </w:t>
      </w:r>
    </w:p>
    <w:p w14:paraId="3E78078B" w14:textId="6E0F7E91" w:rsidR="00C26EE4" w:rsidRDefault="00C26EE4" w:rsidP="00C26EE4">
      <w:r>
        <w:t xml:space="preserve">For example, while some children referred to friends as sources, and sharers, of joy and fun in general, others invoked dynamics of caring for one another. Beyond the realm of children’s own direct responses, researchers also observed children at many services </w:t>
      </w:r>
      <w:proofErr w:type="gramStart"/>
      <w:r>
        <w:t>building</w:t>
      </w:r>
      <w:proofErr w:type="gramEnd"/>
      <w:r>
        <w:t xml:space="preserve"> on one another’s thoughts and contributions to discussions, at times navigating their own personal preferences around </w:t>
      </w:r>
      <w:r w:rsidR="00FB0C29">
        <w:t xml:space="preserve">whether to allow a </w:t>
      </w:r>
      <w:r>
        <w:t>conversation to move on, or</w:t>
      </w:r>
      <w:r w:rsidR="00FB0C29">
        <w:t xml:space="preserve"> to</w:t>
      </w:r>
      <w:r>
        <w:t xml:space="preserve"> speak up to question others’ viewpoints. </w:t>
      </w:r>
    </w:p>
    <w:tbl>
      <w:tblPr>
        <w:tblStyle w:val="TableGrid"/>
        <w:tblW w:w="0" w:type="auto"/>
        <w:jc w:val="center"/>
        <w:tblBorders>
          <w:top w:val="single" w:sz="2" w:space="0" w:color="D0CECE" w:themeColor="background2" w:themeShade="E6"/>
          <w:left w:val="none" w:sz="0" w:space="0" w:color="auto"/>
          <w:bottom w:val="single" w:sz="2" w:space="0" w:color="D0CECE" w:themeColor="background2" w:themeShade="E6"/>
          <w:right w:val="none" w:sz="0" w:space="0" w:color="auto"/>
          <w:insideH w:val="single" w:sz="2" w:space="0" w:color="D0CECE" w:themeColor="background2" w:themeShade="E6"/>
          <w:insideV w:val="none" w:sz="0" w:space="0" w:color="auto"/>
        </w:tblBorders>
        <w:tblLook w:val="04A0" w:firstRow="1" w:lastRow="0" w:firstColumn="1" w:lastColumn="0" w:noHBand="0" w:noVBand="1"/>
      </w:tblPr>
      <w:tblGrid>
        <w:gridCol w:w="2405"/>
        <w:gridCol w:w="2103"/>
        <w:gridCol w:w="1724"/>
        <w:gridCol w:w="2784"/>
      </w:tblGrid>
      <w:tr w:rsidR="00AF53BD" w14:paraId="291E76D5" w14:textId="77777777" w:rsidTr="00AF53BD">
        <w:trPr>
          <w:jc w:val="center"/>
        </w:trPr>
        <w:tc>
          <w:tcPr>
            <w:tcW w:w="4508" w:type="dxa"/>
            <w:gridSpan w:val="2"/>
            <w:tcBorders>
              <w:top w:val="nil"/>
              <w:bottom w:val="nil"/>
              <w:right w:val="single" w:sz="2" w:space="0" w:color="D0CECE" w:themeColor="background2" w:themeShade="E6"/>
            </w:tcBorders>
          </w:tcPr>
          <w:p w14:paraId="691B9138" w14:textId="1F4F04B5" w:rsidR="00AF53BD" w:rsidRDefault="00AF53BD" w:rsidP="007662D2">
            <w:pPr>
              <w:spacing w:before="0"/>
              <w:jc w:val="center"/>
            </w:pPr>
            <w:r>
              <w:lastRenderedPageBreak/>
              <w:fldChar w:fldCharType="begin"/>
            </w:r>
            <w:r>
              <w:instrText xml:space="preserve"> INCLUDEPICTURE "/Users/danielhanningtonpinto/Library/Group Containers/UBF8T346G9.ms/WebArchiveCopyPasteTempFiles/com.microsoft.Word/2a4e7fb5-936c-4324-8a1b-45ac30af5da5" \* MERGEFORMATINET </w:instrText>
            </w:r>
            <w:r>
              <w:fldChar w:fldCharType="separate"/>
            </w:r>
            <w:r>
              <w:rPr>
                <w:noProof/>
              </w:rPr>
              <w:drawing>
                <wp:inline distT="0" distB="0" distL="0" distR="0" wp14:anchorId="35745F95" wp14:editId="57AD7DFA">
                  <wp:extent cx="2138232" cy="3060000"/>
                  <wp:effectExtent l="0" t="0" r="0" b="1270"/>
                  <wp:docPr id="1427127145" name="Picture 1427127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38232" cy="3060000"/>
                          </a:xfrm>
                          <a:prstGeom prst="rect">
                            <a:avLst/>
                          </a:prstGeom>
                          <a:noFill/>
                          <a:ln>
                            <a:noFill/>
                          </a:ln>
                        </pic:spPr>
                      </pic:pic>
                    </a:graphicData>
                  </a:graphic>
                </wp:inline>
              </w:drawing>
            </w:r>
            <w:r>
              <w:fldChar w:fldCharType="end"/>
            </w:r>
          </w:p>
        </w:tc>
        <w:tc>
          <w:tcPr>
            <w:tcW w:w="4508" w:type="dxa"/>
            <w:gridSpan w:val="2"/>
            <w:tcBorders>
              <w:top w:val="nil"/>
              <w:left w:val="single" w:sz="2" w:space="0" w:color="D0CECE" w:themeColor="background2" w:themeShade="E6"/>
              <w:bottom w:val="nil"/>
            </w:tcBorders>
          </w:tcPr>
          <w:p w14:paraId="619EEE07" w14:textId="3F1D68BA" w:rsidR="00AF53BD" w:rsidRDefault="00AF53BD" w:rsidP="007662D2">
            <w:pPr>
              <w:spacing w:before="0"/>
              <w:jc w:val="center"/>
            </w:pPr>
            <w:r>
              <w:fldChar w:fldCharType="begin"/>
            </w:r>
            <w:r>
              <w:instrText xml:space="preserve"> INCLUDEPICTURE "/Users/danielhanningtonpinto/Library/Group Containers/UBF8T346G9.ms/WebArchiveCopyPasteTempFiles/com.microsoft.Word/90daee84-3fe0-46dd-a0e8-1de70bc4390d" \* MERGEFORMATINET </w:instrText>
            </w:r>
            <w:r>
              <w:fldChar w:fldCharType="separate"/>
            </w:r>
            <w:r>
              <w:rPr>
                <w:noProof/>
              </w:rPr>
              <w:drawing>
                <wp:inline distT="0" distB="0" distL="0" distR="0" wp14:anchorId="66478FF2" wp14:editId="28C63A0B">
                  <wp:extent cx="2037589" cy="3060000"/>
                  <wp:effectExtent l="0" t="0" r="0" b="1270"/>
                  <wp:docPr id="1351547208" name="Picture 135154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37589" cy="3060000"/>
                          </a:xfrm>
                          <a:prstGeom prst="rect">
                            <a:avLst/>
                          </a:prstGeom>
                          <a:noFill/>
                          <a:ln>
                            <a:noFill/>
                          </a:ln>
                        </pic:spPr>
                      </pic:pic>
                    </a:graphicData>
                  </a:graphic>
                </wp:inline>
              </w:drawing>
            </w:r>
            <w:r>
              <w:fldChar w:fldCharType="end"/>
            </w:r>
          </w:p>
        </w:tc>
      </w:tr>
      <w:tr w:rsidR="00AF53BD" w14:paraId="6F3A9976" w14:textId="77777777" w:rsidTr="007662D2">
        <w:trPr>
          <w:jc w:val="center"/>
        </w:trPr>
        <w:tc>
          <w:tcPr>
            <w:tcW w:w="4508" w:type="dxa"/>
            <w:gridSpan w:val="2"/>
            <w:tcBorders>
              <w:top w:val="nil"/>
              <w:bottom w:val="nil"/>
              <w:right w:val="single" w:sz="2" w:space="0" w:color="D0CECE" w:themeColor="background2" w:themeShade="E6"/>
            </w:tcBorders>
          </w:tcPr>
          <w:p w14:paraId="25496A02" w14:textId="3FE56A29" w:rsidR="00AF53BD" w:rsidRDefault="00AF53BD" w:rsidP="00AF53BD">
            <w:pPr>
              <w:jc w:val="center"/>
            </w:pPr>
            <w:r w:rsidRPr="00AF53BD">
              <w:rPr>
                <w:rStyle w:val="QuoteChar"/>
              </w:rPr>
              <w:t>“I painted [friend’s name] because she does funny things. She’s my kindy friend – sometimes we have play dates.”</w:t>
            </w:r>
          </w:p>
        </w:tc>
        <w:tc>
          <w:tcPr>
            <w:tcW w:w="4508" w:type="dxa"/>
            <w:gridSpan w:val="2"/>
            <w:tcBorders>
              <w:top w:val="nil"/>
              <w:left w:val="single" w:sz="2" w:space="0" w:color="D0CECE" w:themeColor="background2" w:themeShade="E6"/>
              <w:bottom w:val="nil"/>
            </w:tcBorders>
          </w:tcPr>
          <w:p w14:paraId="0C749311" w14:textId="60290C1D" w:rsidR="00AF53BD" w:rsidRDefault="00AF53BD" w:rsidP="00AF53BD">
            <w:pPr>
              <w:jc w:val="center"/>
            </w:pPr>
            <w:r w:rsidRPr="00AF53BD">
              <w:rPr>
                <w:rStyle w:val="QuoteChar"/>
              </w:rPr>
              <w:t>“It’s [friend’s name’s] birthday. I painted [him] a birthday card. It’s actually made out of paint.”</w:t>
            </w:r>
          </w:p>
        </w:tc>
      </w:tr>
      <w:tr w:rsidR="007662D2" w:rsidRPr="007662D2" w14:paraId="61F3F3A2" w14:textId="77777777" w:rsidTr="007662D2">
        <w:trPr>
          <w:jc w:val="center"/>
        </w:trPr>
        <w:tc>
          <w:tcPr>
            <w:tcW w:w="4508" w:type="dxa"/>
            <w:gridSpan w:val="2"/>
            <w:tcBorders>
              <w:top w:val="nil"/>
              <w:bottom w:val="single" w:sz="2" w:space="0" w:color="D0CECE" w:themeColor="background2" w:themeShade="E6"/>
              <w:right w:val="nil"/>
            </w:tcBorders>
          </w:tcPr>
          <w:p w14:paraId="1A7D98CE" w14:textId="77777777" w:rsidR="007662D2" w:rsidRPr="007662D2" w:rsidRDefault="007662D2" w:rsidP="007662D2">
            <w:pPr>
              <w:spacing w:before="0" w:after="0" w:line="240" w:lineRule="auto"/>
              <w:jc w:val="center"/>
              <w:rPr>
                <w:rFonts w:ascii="Webdings" w:hAnsi="Webdings" w:hint="eastAsia"/>
                <w:sz w:val="8"/>
                <w:szCs w:val="8"/>
              </w:rPr>
            </w:pPr>
          </w:p>
        </w:tc>
        <w:tc>
          <w:tcPr>
            <w:tcW w:w="4508" w:type="dxa"/>
            <w:gridSpan w:val="2"/>
            <w:tcBorders>
              <w:top w:val="nil"/>
              <w:left w:val="nil"/>
              <w:bottom w:val="single" w:sz="2" w:space="0" w:color="D0CECE" w:themeColor="background2" w:themeShade="E6"/>
            </w:tcBorders>
          </w:tcPr>
          <w:p w14:paraId="5F5BDB2B" w14:textId="77777777" w:rsidR="007662D2" w:rsidRPr="007662D2" w:rsidRDefault="007662D2" w:rsidP="007662D2">
            <w:pPr>
              <w:spacing w:before="0" w:after="0" w:line="240" w:lineRule="auto"/>
              <w:jc w:val="center"/>
              <w:rPr>
                <w:rFonts w:ascii="Webdings" w:hAnsi="Webdings" w:hint="eastAsia"/>
                <w:sz w:val="2"/>
                <w:szCs w:val="2"/>
              </w:rPr>
            </w:pPr>
          </w:p>
        </w:tc>
      </w:tr>
      <w:tr w:rsidR="00AF53BD" w14:paraId="5560A133" w14:textId="77777777" w:rsidTr="007662D2">
        <w:trPr>
          <w:jc w:val="center"/>
        </w:trPr>
        <w:tc>
          <w:tcPr>
            <w:tcW w:w="2405" w:type="dxa"/>
            <w:tcBorders>
              <w:top w:val="single" w:sz="2" w:space="0" w:color="D0CECE" w:themeColor="background2" w:themeShade="E6"/>
            </w:tcBorders>
            <w:vAlign w:val="center"/>
          </w:tcPr>
          <w:p w14:paraId="5950EC2E" w14:textId="1A04820E" w:rsidR="00AF53BD" w:rsidRPr="00AF53BD" w:rsidRDefault="00AF53BD" w:rsidP="00AF53BD">
            <w:pPr>
              <w:jc w:val="center"/>
              <w:rPr>
                <w:rFonts w:ascii="Webdings" w:hAnsi="Webdings" w:hint="eastAsia"/>
              </w:rPr>
            </w:pPr>
            <w:r w:rsidRPr="00AF53BD">
              <w:rPr>
                <w:rStyle w:val="QuoteChar"/>
              </w:rPr>
              <w:t>“This is my teacher and this is my friend.”</w:t>
            </w:r>
          </w:p>
        </w:tc>
        <w:tc>
          <w:tcPr>
            <w:tcW w:w="6611" w:type="dxa"/>
            <w:gridSpan w:val="3"/>
            <w:tcBorders>
              <w:top w:val="single" w:sz="2" w:space="0" w:color="D0CECE" w:themeColor="background2" w:themeShade="E6"/>
            </w:tcBorders>
          </w:tcPr>
          <w:p w14:paraId="10818F3C" w14:textId="4C1CD456" w:rsidR="00AF53BD" w:rsidRPr="00AF53BD" w:rsidRDefault="00AF53BD" w:rsidP="00AF53BD">
            <w:pPr>
              <w:jc w:val="center"/>
              <w:rPr>
                <w:rFonts w:ascii="Webdings" w:hAnsi="Webdings" w:hint="eastAsia"/>
              </w:rPr>
            </w:pPr>
            <w:r>
              <w:fldChar w:fldCharType="begin"/>
            </w:r>
            <w:r>
              <w:instrText xml:space="preserve"> INCLUDEPICTURE "/Users/danielhanningtonpinto/Library/Group Containers/UBF8T346G9.ms/WebArchiveCopyPasteTempFiles/com.microsoft.Word/ece34beb-168b-4a95-8790-e7a804fd97f8" \* MERGEFORMATINET </w:instrText>
            </w:r>
            <w:r>
              <w:fldChar w:fldCharType="separate"/>
            </w:r>
            <w:r>
              <w:rPr>
                <w:noProof/>
              </w:rPr>
              <w:drawing>
                <wp:inline distT="0" distB="0" distL="0" distR="0" wp14:anchorId="090ACDF9" wp14:editId="1FE8747E">
                  <wp:extent cx="3403828" cy="2121108"/>
                  <wp:effectExtent l="0" t="0" r="0" b="0"/>
                  <wp:docPr id="99321596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215966" name="Picture 25"/>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6460"/>
                          <a:stretch/>
                        </pic:blipFill>
                        <pic:spPr bwMode="auto">
                          <a:xfrm>
                            <a:off x="0" y="0"/>
                            <a:ext cx="3404451" cy="2121496"/>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AF53BD" w14:paraId="22C4AD1C" w14:textId="77777777" w:rsidTr="00AF53BD">
        <w:trPr>
          <w:jc w:val="center"/>
        </w:trPr>
        <w:tc>
          <w:tcPr>
            <w:tcW w:w="6232" w:type="dxa"/>
            <w:gridSpan w:val="3"/>
          </w:tcPr>
          <w:p w14:paraId="5C23E3F9" w14:textId="0C4617D2" w:rsidR="00AF53BD" w:rsidRPr="00AF53BD" w:rsidRDefault="00AF53BD" w:rsidP="00AF53BD">
            <w:pPr>
              <w:jc w:val="center"/>
              <w:rPr>
                <w:rFonts w:ascii="Webdings" w:hAnsi="Webdings" w:hint="eastAsia"/>
              </w:rPr>
            </w:pPr>
            <w:r>
              <w:fldChar w:fldCharType="begin"/>
            </w:r>
            <w:r>
              <w:instrText xml:space="preserve"> INCLUDEPICTURE "/Users/danielhanningtonpinto/Library/Group Containers/UBF8T346G9.ms/WebArchiveCopyPasteTempFiles/com.microsoft.Word/7d35f8d4-23c7-4fb9-810f-409feab3600a" \* MERGEFORMATINET </w:instrText>
            </w:r>
            <w:r>
              <w:fldChar w:fldCharType="separate"/>
            </w:r>
            <w:r>
              <w:rPr>
                <w:noProof/>
              </w:rPr>
              <w:drawing>
                <wp:inline distT="0" distB="0" distL="0" distR="0" wp14:anchorId="780C82F1" wp14:editId="07974EA2">
                  <wp:extent cx="2942804" cy="2088000"/>
                  <wp:effectExtent l="0" t="0" r="3810" b="0"/>
                  <wp:docPr id="1822328993" name="Picture 1822328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328993" name="Picture 182232899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9112" t="10116" r="7474" b="11038"/>
                          <a:stretch/>
                        </pic:blipFill>
                        <pic:spPr bwMode="auto">
                          <a:xfrm rot="10800000">
                            <a:off x="0" y="0"/>
                            <a:ext cx="2942804" cy="208800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2784" w:type="dxa"/>
            <w:vAlign w:val="center"/>
          </w:tcPr>
          <w:p w14:paraId="67EDA44B" w14:textId="605D1ED9" w:rsidR="00AF53BD" w:rsidRPr="00AF53BD" w:rsidRDefault="00AF53BD" w:rsidP="00AF53BD">
            <w:pPr>
              <w:jc w:val="center"/>
              <w:rPr>
                <w:rFonts w:ascii="Webdings" w:hAnsi="Webdings" w:hint="eastAsia"/>
              </w:rPr>
            </w:pPr>
            <w:r w:rsidRPr="00AF53BD">
              <w:rPr>
                <w:rStyle w:val="QuoteChar"/>
              </w:rPr>
              <w:t>“[Friend’s name], because I love her.”</w:t>
            </w:r>
          </w:p>
        </w:tc>
      </w:tr>
    </w:tbl>
    <w:p w14:paraId="0AF57363" w14:textId="77777777" w:rsidR="00A03BD6" w:rsidRPr="00877598" w:rsidRDefault="00A03BD6" w:rsidP="00C26EE4">
      <w:pPr>
        <w:widowControl w:val="0"/>
        <w:jc w:val="center"/>
        <w:rPr>
          <w:sz w:val="4"/>
          <w:szCs w:val="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2" w:space="0" w:color="D0CECE" w:themeColor="background2" w:themeShade="E6"/>
        </w:tblBorders>
        <w:tblLook w:val="04A0" w:firstRow="1" w:lastRow="0" w:firstColumn="1" w:lastColumn="0" w:noHBand="0" w:noVBand="1"/>
      </w:tblPr>
      <w:tblGrid>
        <w:gridCol w:w="4111"/>
        <w:gridCol w:w="4905"/>
      </w:tblGrid>
      <w:tr w:rsidR="007662D2" w14:paraId="48ECA0FC" w14:textId="77777777" w:rsidTr="00877598">
        <w:tc>
          <w:tcPr>
            <w:tcW w:w="4111" w:type="dxa"/>
          </w:tcPr>
          <w:p w14:paraId="77B4F102" w14:textId="054C6A1A" w:rsidR="007662D2" w:rsidRDefault="00AE6D2F" w:rsidP="007662D2">
            <w:pPr>
              <w:widowControl w:val="0"/>
            </w:pPr>
            <w:r>
              <w:fldChar w:fldCharType="begin"/>
            </w:r>
            <w:r>
              <w:instrText xml:space="preserve"> INCLUDEPICTURE "/Users/danielhanningtonpinto/Library/Group Containers/UBF8T346G9.ms/WebArchiveCopyPasteTempFiles/com.microsoft.Word/eb4ed6c9-5de0-4f35-a0a3-88f0ce00de2d" \* MERGEFORMATINET </w:instrText>
            </w:r>
            <w:r>
              <w:fldChar w:fldCharType="separate"/>
            </w:r>
            <w:r>
              <w:rPr>
                <w:noProof/>
              </w:rPr>
              <w:drawing>
                <wp:inline distT="0" distB="0" distL="0" distR="0" wp14:anchorId="5F8F0C02" wp14:editId="269B2424">
                  <wp:extent cx="2134891" cy="2844000"/>
                  <wp:effectExtent l="0" t="0" r="0" b="1270"/>
                  <wp:docPr id="854259133" name="Picture 854259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34891" cy="2844000"/>
                          </a:xfrm>
                          <a:prstGeom prst="rect">
                            <a:avLst/>
                          </a:prstGeom>
                          <a:noFill/>
                          <a:ln>
                            <a:noFill/>
                          </a:ln>
                        </pic:spPr>
                      </pic:pic>
                    </a:graphicData>
                  </a:graphic>
                </wp:inline>
              </w:drawing>
            </w:r>
            <w:r>
              <w:fldChar w:fldCharType="end"/>
            </w:r>
          </w:p>
        </w:tc>
        <w:tc>
          <w:tcPr>
            <w:tcW w:w="4905" w:type="dxa"/>
            <w:vAlign w:val="center"/>
          </w:tcPr>
          <w:p w14:paraId="738ED0C9" w14:textId="44E16900" w:rsidR="007662D2" w:rsidRDefault="00877598" w:rsidP="009A2BC8">
            <w:pPr>
              <w:widowControl w:val="0"/>
              <w:jc w:val="right"/>
            </w:pPr>
            <w:r>
              <w:fldChar w:fldCharType="begin"/>
            </w:r>
            <w:r>
              <w:instrText xml:space="preserve"> INCLUDEPICTURE "/Users/danielhanningtonpinto/Library/Group Containers/UBF8T346G9.ms/WebArchiveCopyPasteTempFiles/com.microsoft.Word/bcda504b-91df-46f3-877b-fbccf53e890b" \* MERGEFORMATINET </w:instrText>
            </w:r>
            <w:r>
              <w:fldChar w:fldCharType="separate"/>
            </w:r>
            <w:r>
              <w:rPr>
                <w:noProof/>
              </w:rPr>
              <w:drawing>
                <wp:inline distT="0" distB="0" distL="0" distR="0" wp14:anchorId="168607D5" wp14:editId="1FF01414">
                  <wp:extent cx="2065621" cy="2952000"/>
                  <wp:effectExtent l="1270" t="0" r="0" b="0"/>
                  <wp:docPr id="280756400" name="Picture 28075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585" r="7277"/>
                          <a:stretch/>
                        </pic:blipFill>
                        <pic:spPr bwMode="auto">
                          <a:xfrm rot="16200000">
                            <a:off x="0" y="0"/>
                            <a:ext cx="2065621" cy="295200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877598" w14:paraId="1D88A64B" w14:textId="77777777" w:rsidTr="00BB29F9">
        <w:tc>
          <w:tcPr>
            <w:tcW w:w="4111" w:type="dxa"/>
            <w:tcBorders>
              <w:bottom w:val="nil"/>
            </w:tcBorders>
          </w:tcPr>
          <w:p w14:paraId="1A9786B5" w14:textId="1A11C077" w:rsidR="00877598" w:rsidRDefault="00877598" w:rsidP="00372BDF">
            <w:pPr>
              <w:widowControl w:val="0"/>
              <w:jc w:val="center"/>
            </w:pPr>
            <w:r w:rsidRPr="009A2BC8">
              <w:rPr>
                <w:rStyle w:val="QuoteChar"/>
              </w:rPr>
              <w:t>“That’s [fr</w:t>
            </w:r>
            <w:r w:rsidR="00EF2419">
              <w:rPr>
                <w:rStyle w:val="QuoteChar"/>
              </w:rPr>
              <w:t>i</w:t>
            </w:r>
            <w:r w:rsidRPr="009A2BC8">
              <w:rPr>
                <w:rStyle w:val="QuoteChar"/>
              </w:rPr>
              <w:t xml:space="preserve">end’s name] and me. The sun is coming up </w:t>
            </w:r>
            <w:proofErr w:type="spellStart"/>
            <w:r w:rsidRPr="009A2BC8">
              <w:rPr>
                <w:rStyle w:val="QuoteChar"/>
              </w:rPr>
              <w:t>‘cause</w:t>
            </w:r>
            <w:proofErr w:type="spellEnd"/>
            <w:r w:rsidRPr="009A2BC8">
              <w:rPr>
                <w:rStyle w:val="QuoteChar"/>
              </w:rPr>
              <w:t xml:space="preserve"> </w:t>
            </w:r>
            <w:proofErr w:type="gramStart"/>
            <w:r w:rsidRPr="009A2BC8">
              <w:rPr>
                <w:rStyle w:val="QuoteChar"/>
              </w:rPr>
              <w:t>it’s</w:t>
            </w:r>
            <w:proofErr w:type="gramEnd"/>
            <w:r w:rsidRPr="009A2BC8">
              <w:rPr>
                <w:rStyle w:val="QuoteChar"/>
              </w:rPr>
              <w:t xml:space="preserve"> morning. </w:t>
            </w:r>
            <w:proofErr w:type="gramStart"/>
            <w:r w:rsidRPr="009A2BC8">
              <w:rPr>
                <w:rStyle w:val="QuoteChar"/>
              </w:rPr>
              <w:t>[She’s]</w:t>
            </w:r>
            <w:proofErr w:type="gramEnd"/>
            <w:r w:rsidRPr="009A2BC8">
              <w:rPr>
                <w:rStyle w:val="QuoteChar"/>
              </w:rPr>
              <w:t xml:space="preserve"> my friend.”</w:t>
            </w:r>
          </w:p>
        </w:tc>
        <w:tc>
          <w:tcPr>
            <w:tcW w:w="4905" w:type="dxa"/>
            <w:tcBorders>
              <w:bottom w:val="nil"/>
            </w:tcBorders>
            <w:vAlign w:val="center"/>
          </w:tcPr>
          <w:p w14:paraId="421793AA" w14:textId="00E98B62" w:rsidR="00877598" w:rsidRPr="006D1C5E" w:rsidRDefault="00877598" w:rsidP="00877598">
            <w:pPr>
              <w:widowControl w:val="0"/>
              <w:jc w:val="center"/>
              <w:rPr>
                <w:rFonts w:ascii="Webdings" w:hAnsi="Webdings" w:hint="eastAsia"/>
              </w:rPr>
            </w:pPr>
            <w:r w:rsidRPr="009A2BC8">
              <w:rPr>
                <w:rStyle w:val="QuoteChar"/>
              </w:rPr>
              <w:t>“I like playing with my friends.”</w:t>
            </w:r>
          </w:p>
        </w:tc>
      </w:tr>
      <w:tr w:rsidR="00BB29F9" w14:paraId="2D2FC204" w14:textId="77777777" w:rsidTr="00BB29F9">
        <w:tc>
          <w:tcPr>
            <w:tcW w:w="4111" w:type="dxa"/>
            <w:tcBorders>
              <w:right w:val="nil"/>
            </w:tcBorders>
          </w:tcPr>
          <w:p w14:paraId="17080FFB" w14:textId="77777777" w:rsidR="00BB29F9" w:rsidRPr="00AF53BD" w:rsidRDefault="00BB29F9" w:rsidP="007662D2">
            <w:pPr>
              <w:widowControl w:val="0"/>
              <w:rPr>
                <w:rFonts w:ascii="Webdings" w:hAnsi="Webdings" w:hint="eastAsia"/>
              </w:rPr>
            </w:pPr>
          </w:p>
        </w:tc>
        <w:tc>
          <w:tcPr>
            <w:tcW w:w="4905" w:type="dxa"/>
            <w:tcBorders>
              <w:left w:val="nil"/>
            </w:tcBorders>
            <w:vAlign w:val="center"/>
          </w:tcPr>
          <w:p w14:paraId="2B59C037" w14:textId="77777777" w:rsidR="00BB29F9" w:rsidRPr="00AF53BD" w:rsidRDefault="00BB29F9" w:rsidP="00877598">
            <w:pPr>
              <w:widowControl w:val="0"/>
              <w:jc w:val="center"/>
              <w:rPr>
                <w:rFonts w:ascii="Webdings" w:hAnsi="Webdings" w:hint="eastAsia"/>
              </w:rPr>
            </w:pPr>
          </w:p>
        </w:tc>
      </w:tr>
    </w:tbl>
    <w:p w14:paraId="4ECB81BD" w14:textId="77777777" w:rsidR="00BB0495" w:rsidRDefault="00BB0495" w:rsidP="00BB0495">
      <w:bookmarkStart w:id="61" w:name="_Toc158731052"/>
    </w:p>
    <w:tbl>
      <w:tblPr>
        <w:tblStyle w:val="TableGrid"/>
        <w:tblW w:w="0" w:type="auto"/>
        <w:tblLook w:val="04A0" w:firstRow="1" w:lastRow="0" w:firstColumn="1" w:lastColumn="0" w:noHBand="0" w:noVBand="1"/>
      </w:tblPr>
      <w:tblGrid>
        <w:gridCol w:w="9016"/>
      </w:tblGrid>
      <w:tr w:rsidR="00BB0495" w14:paraId="54F7CC05" w14:textId="77777777" w:rsidTr="00BB0495">
        <w:tc>
          <w:tcPr>
            <w:tcW w:w="9016" w:type="dxa"/>
          </w:tcPr>
          <w:p w14:paraId="445C1C88" w14:textId="77777777" w:rsidR="00BB0495" w:rsidRPr="00FD7E85" w:rsidRDefault="00BB0495" w:rsidP="00BB0495">
            <w:pPr>
              <w:widowControl w:val="0"/>
              <w:jc w:val="center"/>
              <w:rPr>
                <w:u w:val="single"/>
              </w:rPr>
            </w:pPr>
            <w:r w:rsidRPr="00FD7E85">
              <w:rPr>
                <w:u w:val="single"/>
              </w:rPr>
              <w:t>Researchers’ interpretation and implications for policy</w:t>
            </w:r>
          </w:p>
          <w:p w14:paraId="1CBF5C29" w14:textId="77777777" w:rsidR="00BB0495" w:rsidRDefault="00BB0495" w:rsidP="00BB0495">
            <w:pPr>
              <w:widowControl w:val="0"/>
            </w:pPr>
            <w:r>
              <w:t xml:space="preserve">The prominence of children’s perspectives about the importance of relationships and connections in their lives was significant – this warrants consideration of the intended and unintended impacts of policy design particularly as it relates to critical aspects of children’s experiences of access. </w:t>
            </w:r>
          </w:p>
          <w:p w14:paraId="743F40B2" w14:textId="77777777" w:rsidR="00BB0495" w:rsidRPr="00FD7E85" w:rsidRDefault="00BB0495" w:rsidP="00BB0495">
            <w:pPr>
              <w:widowControl w:val="0"/>
            </w:pPr>
            <w:r w:rsidRPr="00FD7E85">
              <w:t xml:space="preserve">These and other observational elements captured during the consultations highlight the profound impact ECEC settings have on children’s interpersonal </w:t>
            </w:r>
            <w:r>
              <w:t>lives, the</w:t>
            </w:r>
            <w:r w:rsidRPr="00FD7E85">
              <w:t xml:space="preserve"> development</w:t>
            </w:r>
            <w:r>
              <w:t xml:space="preserve"> of friendships and the unique opportunities for social and emotional </w:t>
            </w:r>
            <w:r w:rsidRPr="00FD7E85">
              <w:t xml:space="preserve">skill development. In turn, this brings to the fore the importance of having physical environments and a workforce equipped to encourage inclusive, collaborative, and safe spaces in which all children, regardless of their background, learning preferences, or communicative abilities are welcomed and feel comfortable contributing. </w:t>
            </w:r>
          </w:p>
          <w:p w14:paraId="39A1E885" w14:textId="77777777" w:rsidR="00BB0495" w:rsidRPr="00FD7E85" w:rsidRDefault="00BB0495" w:rsidP="00BB0495">
            <w:pPr>
              <w:widowControl w:val="0"/>
            </w:pPr>
            <w:r w:rsidRPr="00FD7E85">
              <w:t>It may also be the case that realities of how children of different ages and stages of development interact with their peers (including the potential influence of dominant voices or personalities on other children) invoke a need to consider the influence of the components of process and structural quality on which relationships are nurtured in ECEC settings. These may include educator-</w:t>
            </w:r>
            <w:proofErr w:type="gramStart"/>
            <w:r w:rsidRPr="00FD7E85">
              <w:t>children</w:t>
            </w:r>
            <w:proofErr w:type="gramEnd"/>
            <w:r w:rsidRPr="00FD7E85">
              <w:t xml:space="preserve"> ratios, staffing waivers, interactions between the ECEC system and support services including those offered under the NDIS, and group sizes.</w:t>
            </w:r>
          </w:p>
          <w:p w14:paraId="11A3D38F" w14:textId="4DA03BE5" w:rsidR="00BB0495" w:rsidRDefault="00BB0495" w:rsidP="00BB0495">
            <w:pPr>
              <w:widowControl w:val="0"/>
            </w:pPr>
            <w:r w:rsidRPr="00FD7E85">
              <w:t xml:space="preserve">Children’s references to immediate family members also suggest there may be scope for thinking about how the ECEC system can enhance and encourage engagement of parents and guardians in their children’s experiences in such settings. This speaks to the emphasis the </w:t>
            </w:r>
            <w:r w:rsidRPr="00FD7E85">
              <w:lastRenderedPageBreak/>
              <w:t>PC has placed on inclusion</w:t>
            </w:r>
            <w:r>
              <w:t xml:space="preserve"> and </w:t>
            </w:r>
            <w:r w:rsidRPr="00FD7E85">
              <w:t>cultural competence and safety, and a need to embed these practices across the system. In this context, it is noted that truly effective practices around inclusion extend beyond the child and reflect a welcoming of all families. As discussed, children’s responses point to practical approaches to achieving this – including their enthusiastic welcoming of special events/days for family members, home visits, and the sharing of culture, language, and celebrations.</w:t>
            </w:r>
          </w:p>
        </w:tc>
      </w:tr>
    </w:tbl>
    <w:p w14:paraId="466597E7" w14:textId="77777777" w:rsidR="00BB0495" w:rsidRDefault="00BB0495" w:rsidP="00BB0495"/>
    <w:p w14:paraId="42814C3D" w14:textId="77777777" w:rsidR="00C26EE4" w:rsidRPr="00CB1EC6" w:rsidRDefault="00C26EE4" w:rsidP="00C26EE4">
      <w:pPr>
        <w:pStyle w:val="Heading2"/>
        <w:widowControl w:val="0"/>
      </w:pPr>
      <w:bookmarkStart w:id="62" w:name="_Toc177135995"/>
      <w:r>
        <w:t>Place: Location, the environment, and nature</w:t>
      </w:r>
      <w:bookmarkEnd w:id="61"/>
      <w:bookmarkEnd w:id="62"/>
    </w:p>
    <w:p w14:paraId="40FD1DA9" w14:textId="7757A2CA" w:rsidR="00506E79" w:rsidRDefault="00C26EE4" w:rsidP="00C26EE4">
      <w:r>
        <w:t xml:space="preserve">The data show that children are significantly influenced by the environments around them, both within and outside their ECEC settings. Across all three activities, there was a noted prominence of references to the outdoor world, and </w:t>
      </w:r>
      <w:r w:rsidR="00506E79">
        <w:t>especially t</w:t>
      </w:r>
      <w:r>
        <w:t>o physical activity within such spaces. Playgrounds, beaches, waterways and pools, walks, wooded areas, and obstacle courses were just some of the outdoor settings raised by children as being important</w:t>
      </w:r>
      <w:r w:rsidR="00506E79">
        <w:t xml:space="preserve"> in their lives</w:t>
      </w:r>
      <w:r>
        <w:t>.</w:t>
      </w:r>
      <w:r w:rsidR="00506E79">
        <w:t xml:space="preserve"> </w:t>
      </w:r>
      <w:r w:rsidR="00506E79" w:rsidRPr="008F5A23">
        <w:t xml:space="preserve">Children’s own ECEC settings featured in these environment-related responses, including references to both indoor and outdoor spaces – suggesting a level of affection for peers and educators, </w:t>
      </w:r>
      <w:r w:rsidR="009F594B" w:rsidRPr="008F5A23">
        <w:t>and</w:t>
      </w:r>
      <w:r w:rsidR="00506E79" w:rsidRPr="008F5A23">
        <w:t xml:space="preserve"> for the familiar spaces in which their learning and play outside of the home environment is most frequently centred.</w:t>
      </w:r>
    </w:p>
    <w:p w14:paraId="75569966" w14:textId="4610C2DA" w:rsidR="00C26EE4" w:rsidRDefault="00C26EE4" w:rsidP="00C26EE4">
      <w:r>
        <w:t>Many</w:t>
      </w:r>
      <w:r w:rsidDel="00C26EE4">
        <w:t xml:space="preserve"> </w:t>
      </w:r>
      <w:r w:rsidR="00506E79">
        <w:t xml:space="preserve">of children’s </w:t>
      </w:r>
      <w:r>
        <w:t>references</w:t>
      </w:r>
      <w:r w:rsidR="00506E79">
        <w:t xml:space="preserve"> to environmental themes and contexts</w:t>
      </w:r>
      <w:r>
        <w:t xml:space="preserve"> included the types of relationships and connections noted in the above discussion – highlighting the fact that it is both what children do (or are afforded the opportunity to do) that impacts them, and</w:t>
      </w:r>
      <w:r w:rsidR="00506E79">
        <w:t>,</w:t>
      </w:r>
      <w:r>
        <w:t xml:space="preserve"> crucially</w:t>
      </w:r>
      <w:r w:rsidR="00506E79">
        <w:t>,</w:t>
      </w:r>
      <w:r>
        <w:t xml:space="preserve"> with whom they share such experiences. </w:t>
      </w:r>
      <w:r w:rsidR="000A2FCB" w:rsidRPr="008F5A23">
        <w:t>Foreshadowing a key theme discussed in the following section</w:t>
      </w:r>
      <w:r w:rsidR="00FC59E2" w:rsidRPr="008F5A23">
        <w:t xml:space="preserve">, it was evident that children view </w:t>
      </w:r>
      <w:r w:rsidR="00E3043C" w:rsidRPr="008F5A23">
        <w:t>‘</w:t>
      </w:r>
      <w:r w:rsidR="00FC59E2" w:rsidRPr="008F5A23">
        <w:t>people</w:t>
      </w:r>
      <w:r w:rsidR="00E3043C" w:rsidRPr="008F5A23">
        <w:t>’</w:t>
      </w:r>
      <w:r w:rsidR="00FC59E2" w:rsidRPr="008F5A23">
        <w:t xml:space="preserve"> and </w:t>
      </w:r>
      <w:r w:rsidR="00E3043C" w:rsidRPr="008F5A23">
        <w:t>‘</w:t>
      </w:r>
      <w:r w:rsidR="00FC59E2" w:rsidRPr="008F5A23">
        <w:t>place</w:t>
      </w:r>
      <w:r w:rsidR="00E3043C" w:rsidRPr="008F5A23">
        <w:t>’</w:t>
      </w:r>
      <w:r w:rsidR="00FC59E2" w:rsidRPr="008F5A23">
        <w:t xml:space="preserve"> in complex ways. </w:t>
      </w:r>
      <w:r w:rsidR="00265C55" w:rsidRPr="008F5A23">
        <w:t>W</w:t>
      </w:r>
      <w:r w:rsidR="002D4234" w:rsidRPr="008F5A23">
        <w:t>ithin their artworks and creations</w:t>
      </w:r>
      <w:r w:rsidR="00265C55" w:rsidRPr="008F5A23">
        <w:t>,</w:t>
      </w:r>
      <w:r w:rsidR="002D4234" w:rsidRPr="008F5A23">
        <w:t xml:space="preserve"> </w:t>
      </w:r>
      <w:r w:rsidR="00FC59E2" w:rsidRPr="008F5A23">
        <w:t xml:space="preserve">children </w:t>
      </w:r>
      <w:r w:rsidR="00E33C7C" w:rsidRPr="008F5A23">
        <w:t xml:space="preserve">represented </w:t>
      </w:r>
      <w:r w:rsidR="00FC59E2" w:rsidRPr="008F5A23">
        <w:t xml:space="preserve">relationships </w:t>
      </w:r>
      <w:r w:rsidR="005915A1" w:rsidRPr="008F5A23">
        <w:t>that</w:t>
      </w:r>
      <w:r w:rsidR="00FC59E2" w:rsidRPr="008F5A23">
        <w:t xml:space="preserve"> </w:t>
      </w:r>
      <w:r w:rsidR="00E3043C" w:rsidRPr="008F5A23">
        <w:t>bring</w:t>
      </w:r>
      <w:r w:rsidR="00FC59E2" w:rsidRPr="008F5A23">
        <w:t xml:space="preserve"> the</w:t>
      </w:r>
      <w:r w:rsidR="00E3043C" w:rsidRPr="008F5A23">
        <w:t>m</w:t>
      </w:r>
      <w:r w:rsidR="00FC59E2" w:rsidRPr="008F5A23">
        <w:t xml:space="preserve"> happiness</w:t>
      </w:r>
      <w:r w:rsidR="005915A1" w:rsidRPr="008F5A23">
        <w:t xml:space="preserve"> </w:t>
      </w:r>
      <w:r w:rsidR="00806E9D" w:rsidRPr="008F5A23">
        <w:t xml:space="preserve">that spanned </w:t>
      </w:r>
      <w:r w:rsidR="00426B01" w:rsidRPr="008F5A23">
        <w:t>their</w:t>
      </w:r>
      <w:r w:rsidR="00FC59E2" w:rsidRPr="008F5A23">
        <w:t xml:space="preserve"> ‘worlds’</w:t>
      </w:r>
      <w:r w:rsidR="005A00C5" w:rsidRPr="008F5A23">
        <w:t>. Children</w:t>
      </w:r>
      <w:r w:rsidR="00426B01" w:rsidRPr="008F5A23" w:rsidDel="005A00C5">
        <w:t xml:space="preserve"> </w:t>
      </w:r>
      <w:r w:rsidR="00C45CD4" w:rsidRPr="008F5A23">
        <w:t>extended beyond the boundaries of their ECEC setting</w:t>
      </w:r>
      <w:r w:rsidR="00426B01" w:rsidRPr="008F5A23">
        <w:t xml:space="preserve"> </w:t>
      </w:r>
      <w:r w:rsidR="000A2FCB" w:rsidRPr="008F5A23">
        <w:t>– suggesting a level of</w:t>
      </w:r>
      <w:r w:rsidR="002C5CFE" w:rsidRPr="008F5A23">
        <w:t xml:space="preserve"> agency</w:t>
      </w:r>
      <w:r w:rsidR="000A2FCB" w:rsidRPr="008F5A23">
        <w:t xml:space="preserve"> and active ownership </w:t>
      </w:r>
      <w:r w:rsidR="70F979F3" w:rsidRPr="008F5A23">
        <w:t>with respect to how they</w:t>
      </w:r>
      <w:r w:rsidR="002C5CFE" w:rsidRPr="008F5A23">
        <w:t xml:space="preserve"> view, experience, and shape the environments around them</w:t>
      </w:r>
      <w:r w:rsidR="000A2FCB" w:rsidRPr="008F5A23">
        <w:t>.</w:t>
      </w:r>
    </w:p>
    <w:tbl>
      <w:tblPr>
        <w:tblStyle w:val="TableGrid"/>
        <w:tblW w:w="7229" w:type="dxa"/>
        <w:tblInd w:w="709" w:type="dxa"/>
        <w:tblBorders>
          <w:top w:val="none" w:sz="0" w:space="0" w:color="auto"/>
          <w:left w:val="none" w:sz="0" w:space="0" w:color="auto"/>
          <w:bottom w:val="none" w:sz="0" w:space="0" w:color="auto"/>
          <w:right w:val="none" w:sz="0" w:space="0" w:color="auto"/>
          <w:insideH w:val="single" w:sz="8" w:space="0" w:color="FFFFFF" w:themeColor="background1"/>
          <w:insideV w:val="none" w:sz="0" w:space="0" w:color="auto"/>
        </w:tblBorders>
        <w:tblLayout w:type="fixed"/>
        <w:tblLook w:val="04A0" w:firstRow="1" w:lastRow="0" w:firstColumn="1" w:lastColumn="0" w:noHBand="0" w:noVBand="1"/>
      </w:tblPr>
      <w:tblGrid>
        <w:gridCol w:w="1276"/>
        <w:gridCol w:w="5953"/>
      </w:tblGrid>
      <w:tr w:rsidR="00905519" w:rsidRPr="008E6CDC" w14:paraId="452945FD" w14:textId="77777777" w:rsidTr="00A41A0B">
        <w:tc>
          <w:tcPr>
            <w:tcW w:w="1276" w:type="dxa"/>
            <w:shd w:val="clear" w:color="auto" w:fill="auto"/>
          </w:tcPr>
          <w:p w14:paraId="078701B8" w14:textId="77777777" w:rsidR="0037530D" w:rsidRPr="008E6CDC" w:rsidRDefault="0037530D">
            <w:pPr>
              <w:pStyle w:val="Quote"/>
              <w:spacing w:before="120" w:after="120"/>
              <w:ind w:left="0" w:right="0"/>
            </w:pPr>
            <w:r w:rsidRPr="007D09D3">
              <w:rPr>
                <w:noProof/>
              </w:rPr>
              <w:drawing>
                <wp:inline distT="0" distB="0" distL="0" distR="0" wp14:anchorId="2E783AF3" wp14:editId="5AD0E038">
                  <wp:extent cx="513080" cy="513080"/>
                  <wp:effectExtent l="0" t="0" r="1270" b="1270"/>
                  <wp:docPr id="1275571229" name="Picture 15">
                    <a:extLst xmlns:a="http://schemas.openxmlformats.org/drawingml/2006/main">
                      <a:ext uri="{FF2B5EF4-FFF2-40B4-BE49-F238E27FC236}">
                        <a16:creationId xmlns:a16="http://schemas.microsoft.com/office/drawing/2014/main" id="{8E84EFB3-18B2-80DC-37F1-785E4A195EF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571229" name="Picture 15">
                            <a:extLst>
                              <a:ext uri="{FF2B5EF4-FFF2-40B4-BE49-F238E27FC236}">
                                <a16:creationId xmlns:a16="http://schemas.microsoft.com/office/drawing/2014/main" id="{8E84EFB3-18B2-80DC-37F1-785E4A195EF0}"/>
                              </a:ext>
                              <a:ext uri="{C183D7F6-B498-43B3-948B-1728B52AA6E4}">
                                <adec:decorative xmlns:adec="http://schemas.microsoft.com/office/drawing/2017/decorative" val="1"/>
                              </a:ext>
                            </a:extLst>
                          </pic:cNvPr>
                          <pic:cNvPicPr>
                            <a:picLocks noChangeAspect="1"/>
                          </pic:cNvPicPr>
                        </pic:nvPicPr>
                        <pic:blipFill rotWithShape="1">
                          <a:blip r:embed="rId29"/>
                          <a:srcRect l="13238" t="10850" r="13526" b="15915"/>
                          <a:stretch/>
                        </pic:blipFill>
                        <pic:spPr>
                          <a:xfrm>
                            <a:off x="0" y="0"/>
                            <a:ext cx="515426" cy="515426"/>
                          </a:xfrm>
                          <a:prstGeom prst="rect">
                            <a:avLst/>
                          </a:prstGeom>
                        </pic:spPr>
                      </pic:pic>
                    </a:graphicData>
                  </a:graphic>
                </wp:inline>
              </w:drawing>
            </w:r>
          </w:p>
        </w:tc>
        <w:tc>
          <w:tcPr>
            <w:tcW w:w="5953" w:type="dxa"/>
            <w:shd w:val="clear" w:color="auto" w:fill="auto"/>
          </w:tcPr>
          <w:p w14:paraId="61599801" w14:textId="77777777" w:rsidR="0037530D" w:rsidRPr="008E6CDC" w:rsidRDefault="0037530D">
            <w:pPr>
              <w:pStyle w:val="Quote"/>
              <w:spacing w:before="120" w:after="120"/>
              <w:ind w:left="0" w:right="0"/>
            </w:pPr>
            <w:r>
              <w:t>“A rockpool. I go to a place where there are lots of rockpools, and I played in the water there with my cousins and their friend, and Granny and Grandpa.”</w:t>
            </w:r>
          </w:p>
        </w:tc>
      </w:tr>
    </w:tbl>
    <w:p w14:paraId="1647C4B6" w14:textId="2E8A7139" w:rsidR="00C26EE4" w:rsidRDefault="00C26EE4" w:rsidP="00C26EE4">
      <w:r>
        <w:t>In the context of the</w:t>
      </w:r>
      <w:r w:rsidDel="002C5CFE">
        <w:t xml:space="preserve"> </w:t>
      </w:r>
      <w:r w:rsidR="002C5CFE">
        <w:t xml:space="preserve">connection </w:t>
      </w:r>
      <w:r>
        <w:t xml:space="preserve">between formal ECEC settings and the natural world, it was evident in all the services visited during the consultations that clear, intentional efforts have been made to bring this ‘outside world’ in – in line with requirements set out in the Early Years Learning Framework. This was </w:t>
      </w:r>
      <w:r w:rsidR="008E6027">
        <w:t xml:space="preserve">perhaps </w:t>
      </w:r>
      <w:r>
        <w:t>most notable in one service entirely located on an upper floor of a city skyscraper</w:t>
      </w:r>
      <w:r w:rsidR="00506E79">
        <w:t>, which had nonetheless deliberately included tree branches, sandpits, and a water play area</w:t>
      </w:r>
      <w:r>
        <w:t xml:space="preserve">. </w:t>
      </w:r>
      <w:r w:rsidR="008E6027">
        <w:t>At</w:t>
      </w:r>
      <w:r>
        <w:t xml:space="preserve"> some services, excursions to natural spaces in the local area – beyond the servic</w:t>
      </w:r>
      <w:r w:rsidR="00455CC3">
        <w:t>es’</w:t>
      </w:r>
      <w:r>
        <w:t xml:space="preserve"> boundaries – have enhanced children’s exposure to new experiences</w:t>
      </w:r>
      <w:r w:rsidR="00455CC3">
        <w:t xml:space="preserve"> of nature</w:t>
      </w:r>
      <w:r>
        <w:t xml:space="preserve">, featuring in several children’s ‘happiest memory’ responses. </w:t>
      </w:r>
      <w:r w:rsidR="00717924" w:rsidRPr="008F5A23">
        <w:t>Such</w:t>
      </w:r>
      <w:r w:rsidR="00BD7EC3" w:rsidRPr="008F5A23">
        <w:t xml:space="preserve"> experiences often </w:t>
      </w:r>
      <w:r w:rsidR="00455CC3" w:rsidRPr="008F5A23">
        <w:t>include</w:t>
      </w:r>
      <w:r w:rsidR="00BD7EC3" w:rsidRPr="008F5A23">
        <w:t xml:space="preserve"> an additional layer of immersion and expansion in children’s sense</w:t>
      </w:r>
      <w:r w:rsidR="008E6027" w:rsidRPr="008F5A23">
        <w:t xml:space="preserve"> or idea</w:t>
      </w:r>
      <w:r w:rsidR="00BD7EC3" w:rsidRPr="008F5A23">
        <w:t xml:space="preserve"> of </w:t>
      </w:r>
      <w:r w:rsidR="00455CC3" w:rsidRPr="008F5A23">
        <w:t>community, thanks to the guidance of local experts in conservation or cultural heritage.</w:t>
      </w:r>
      <w:r w:rsidR="00B9009B">
        <w:t xml:space="preserve"> </w:t>
      </w:r>
    </w:p>
    <w:p w14:paraId="5A5227BF" w14:textId="77777777" w:rsidR="00C26EE4" w:rsidRDefault="00C26EE4" w:rsidP="00C26EE4">
      <w:r>
        <w:t xml:space="preserve">When referring to the natural world, many children also discussed or portrayed animals – both pets and wildlife more broadly. In doing so, children frequently showed strong feelings of caring for, and empathising with, animals; a theme that will be explored in more detail in the following discussion. Again, on a case-by-case basis it became evident that children were more likely to </w:t>
      </w:r>
      <w:r>
        <w:lastRenderedPageBreak/>
        <w:t xml:space="preserve">bring up animals as an interest or passion if the service they attended was one that was either located somewhere where wild animals (such as birds or possums) could enter the </w:t>
      </w:r>
      <w:proofErr w:type="gramStart"/>
      <w:r>
        <w:t>perimeter, or</w:t>
      </w:r>
      <w:proofErr w:type="gramEnd"/>
      <w:r>
        <w:t xml:space="preserve"> was a service that actively included animals (such as chickens or fish) within the setting itself. </w:t>
      </w:r>
    </w:p>
    <w:tbl>
      <w:tblPr>
        <w:tblStyle w:val="TableGrid"/>
        <w:tblW w:w="7229" w:type="dxa"/>
        <w:tblInd w:w="709" w:type="dxa"/>
        <w:tblBorders>
          <w:top w:val="none" w:sz="0" w:space="0" w:color="auto"/>
          <w:left w:val="none" w:sz="0" w:space="0" w:color="auto"/>
          <w:bottom w:val="none" w:sz="0" w:space="0" w:color="auto"/>
          <w:right w:val="none" w:sz="0" w:space="0" w:color="auto"/>
          <w:insideH w:val="single" w:sz="8" w:space="0" w:color="FFFFFF" w:themeColor="background1"/>
          <w:insideV w:val="none" w:sz="0" w:space="0" w:color="auto"/>
        </w:tblBorders>
        <w:tblLayout w:type="fixed"/>
        <w:tblLook w:val="04A0" w:firstRow="1" w:lastRow="0" w:firstColumn="1" w:lastColumn="0" w:noHBand="0" w:noVBand="1"/>
      </w:tblPr>
      <w:tblGrid>
        <w:gridCol w:w="1276"/>
        <w:gridCol w:w="5953"/>
      </w:tblGrid>
      <w:tr w:rsidR="00905519" w:rsidRPr="008E6CDC" w14:paraId="47872BC9" w14:textId="77777777" w:rsidTr="00A41A0B">
        <w:tc>
          <w:tcPr>
            <w:tcW w:w="1276" w:type="dxa"/>
            <w:shd w:val="clear" w:color="auto" w:fill="auto"/>
          </w:tcPr>
          <w:p w14:paraId="4B06F2AB" w14:textId="77777777" w:rsidR="00B626FB" w:rsidRPr="008E6CDC" w:rsidRDefault="00B626FB">
            <w:pPr>
              <w:pStyle w:val="Quote"/>
              <w:spacing w:before="120" w:after="120"/>
              <w:ind w:left="0" w:right="0"/>
            </w:pPr>
            <w:r w:rsidRPr="00100F1E">
              <w:rPr>
                <w:noProof/>
              </w:rPr>
              <w:drawing>
                <wp:inline distT="0" distB="0" distL="0" distR="0" wp14:anchorId="27A79ED4" wp14:editId="6484F891">
                  <wp:extent cx="513080" cy="513080"/>
                  <wp:effectExtent l="0" t="0" r="0" b="0"/>
                  <wp:docPr id="268166106" name="Picture 15">
                    <a:extLst xmlns:a="http://schemas.openxmlformats.org/drawingml/2006/main">
                      <a:ext uri="{FF2B5EF4-FFF2-40B4-BE49-F238E27FC236}">
                        <a16:creationId xmlns:a16="http://schemas.microsoft.com/office/drawing/2014/main" id="{8E84EFB3-18B2-80DC-37F1-785E4A195E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8E84EFB3-18B2-80DC-37F1-785E4A195EF0}"/>
                              </a:ext>
                            </a:extLst>
                          </pic:cNvPr>
                          <pic:cNvPicPr>
                            <a:picLocks noChangeAspect="1"/>
                          </pic:cNvPicPr>
                        </pic:nvPicPr>
                        <pic:blipFill rotWithShape="1">
                          <a:blip r:embed="rId29"/>
                          <a:srcRect l="13238" t="10850" r="13526" b="15915"/>
                          <a:stretch/>
                        </pic:blipFill>
                        <pic:spPr>
                          <a:xfrm>
                            <a:off x="0" y="0"/>
                            <a:ext cx="515426" cy="515426"/>
                          </a:xfrm>
                          <a:prstGeom prst="rect">
                            <a:avLst/>
                          </a:prstGeom>
                        </pic:spPr>
                      </pic:pic>
                    </a:graphicData>
                  </a:graphic>
                </wp:inline>
              </w:drawing>
            </w:r>
          </w:p>
        </w:tc>
        <w:tc>
          <w:tcPr>
            <w:tcW w:w="5953" w:type="dxa"/>
            <w:shd w:val="clear" w:color="auto" w:fill="auto"/>
          </w:tcPr>
          <w:p w14:paraId="6498732B" w14:textId="77777777" w:rsidR="00B626FB" w:rsidRPr="008E6CDC" w:rsidRDefault="00B626FB">
            <w:pPr>
              <w:pStyle w:val="Quote"/>
              <w:spacing w:before="120" w:after="120"/>
              <w:ind w:left="0" w:right="0"/>
            </w:pPr>
            <w:r w:rsidRPr="008E6CDC">
              <w:t>“[Showing ponds the child had made outside in the sand pit] Animals could live in here – frogs, tadpoles, little fishes.”</w:t>
            </w:r>
          </w:p>
        </w:tc>
      </w:tr>
    </w:tbl>
    <w:p w14:paraId="1CCBBBFB" w14:textId="4C39B3AC" w:rsidR="00C26EE4" w:rsidRDefault="00C26EE4" w:rsidP="00C26EE4">
      <w:r>
        <w:t xml:space="preserve">A less prominent, but still noticeable, environment-related theme spoke to children’s often well-developed sense of the broader world in which they live. Several children spoke about having travelled (or wanting to travel) interstate or </w:t>
      </w:r>
      <w:r w:rsidR="00506E79">
        <w:t xml:space="preserve">to </w:t>
      </w:r>
      <w:r>
        <w:t xml:space="preserve">overseas places. Highlighting once again the multi-layered ways in which children view the world, many such references were twinned with other themes discussed in this report, such as the specific people they travelled with, or the recollection of certain animals or outdoors activities they engaged with in these places. </w:t>
      </w:r>
    </w:p>
    <w:p w14:paraId="46EA8CB2" w14:textId="77777777" w:rsidR="00C26EE4" w:rsidRDefault="00C26EE4" w:rsidP="00C26EE4"/>
    <w:tbl>
      <w:tblPr>
        <w:tblStyle w:val="TableGrid"/>
        <w:tblW w:w="8085" w:type="dxa"/>
        <w:tblInd w:w="-147" w:type="dxa"/>
        <w:tblBorders>
          <w:top w:val="none" w:sz="0" w:space="0" w:color="auto"/>
          <w:left w:val="none" w:sz="0" w:space="0" w:color="auto"/>
          <w:bottom w:val="none" w:sz="0" w:space="0" w:color="auto"/>
          <w:right w:val="none" w:sz="0" w:space="0" w:color="auto"/>
          <w:insideH w:val="single" w:sz="8" w:space="0" w:color="FFFFFF" w:themeColor="background1"/>
          <w:insideV w:val="none" w:sz="0" w:space="0" w:color="auto"/>
        </w:tblBorders>
        <w:shd w:val="clear" w:color="auto" w:fill="D0CECE" w:themeFill="background2" w:themeFillShade="E6"/>
        <w:tblLayout w:type="fixed"/>
        <w:tblLook w:val="04A0" w:firstRow="1" w:lastRow="0" w:firstColumn="1" w:lastColumn="0" w:noHBand="0" w:noVBand="1"/>
      </w:tblPr>
      <w:tblGrid>
        <w:gridCol w:w="1276"/>
        <w:gridCol w:w="6809"/>
      </w:tblGrid>
      <w:tr w:rsidR="00193512" w:rsidRPr="008E6CDC" w14:paraId="17736BD0" w14:textId="77777777" w:rsidTr="00A41A0B">
        <w:tc>
          <w:tcPr>
            <w:tcW w:w="1276" w:type="dxa"/>
            <w:shd w:val="clear" w:color="auto" w:fill="auto"/>
          </w:tcPr>
          <w:p w14:paraId="62284BDD" w14:textId="1EB157C1" w:rsidR="00905519" w:rsidRPr="007D09D3" w:rsidRDefault="00722D04">
            <w:pPr>
              <w:pStyle w:val="Quote"/>
              <w:spacing w:before="120" w:after="120"/>
              <w:ind w:left="0" w:right="0"/>
            </w:pPr>
            <w:r w:rsidRPr="007D09D3">
              <w:rPr>
                <w:noProof/>
              </w:rPr>
              <w:drawing>
                <wp:inline distT="0" distB="0" distL="0" distR="0" wp14:anchorId="14805A5D" wp14:editId="3BB88A3F">
                  <wp:extent cx="513080" cy="513080"/>
                  <wp:effectExtent l="0" t="0" r="1270" b="1270"/>
                  <wp:docPr id="701701959" name="Picture 15">
                    <a:extLst xmlns:a="http://schemas.openxmlformats.org/drawingml/2006/main">
                      <a:ext uri="{FF2B5EF4-FFF2-40B4-BE49-F238E27FC236}">
                        <a16:creationId xmlns:a16="http://schemas.microsoft.com/office/drawing/2014/main" id="{8E84EFB3-18B2-80DC-37F1-785E4A195EF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701959" name="Picture 15">
                            <a:extLst>
                              <a:ext uri="{FF2B5EF4-FFF2-40B4-BE49-F238E27FC236}">
                                <a16:creationId xmlns:a16="http://schemas.microsoft.com/office/drawing/2014/main" id="{8E84EFB3-18B2-80DC-37F1-785E4A195EF0}"/>
                              </a:ext>
                              <a:ext uri="{C183D7F6-B498-43B3-948B-1728B52AA6E4}">
                                <adec:decorative xmlns:adec="http://schemas.microsoft.com/office/drawing/2017/decorative" val="1"/>
                              </a:ext>
                            </a:extLst>
                          </pic:cNvPr>
                          <pic:cNvPicPr>
                            <a:picLocks noChangeAspect="1"/>
                          </pic:cNvPicPr>
                        </pic:nvPicPr>
                        <pic:blipFill rotWithShape="1">
                          <a:blip r:embed="rId29"/>
                          <a:srcRect l="13238" t="10850" r="13526" b="15915"/>
                          <a:stretch/>
                        </pic:blipFill>
                        <pic:spPr>
                          <a:xfrm>
                            <a:off x="0" y="0"/>
                            <a:ext cx="515426" cy="515426"/>
                          </a:xfrm>
                          <a:prstGeom prst="rect">
                            <a:avLst/>
                          </a:prstGeom>
                        </pic:spPr>
                      </pic:pic>
                    </a:graphicData>
                  </a:graphic>
                </wp:inline>
              </w:drawing>
            </w:r>
          </w:p>
        </w:tc>
        <w:tc>
          <w:tcPr>
            <w:tcW w:w="6809" w:type="dxa"/>
            <w:tcBorders>
              <w:top w:val="nil"/>
              <w:bottom w:val="single" w:sz="8" w:space="0" w:color="E7E6E6" w:themeColor="background2"/>
            </w:tcBorders>
            <w:shd w:val="clear" w:color="auto" w:fill="auto"/>
          </w:tcPr>
          <w:p w14:paraId="3EF350E6" w14:textId="63972CC2" w:rsidR="00905519" w:rsidRPr="008E6CDC" w:rsidRDefault="00905519">
            <w:pPr>
              <w:pStyle w:val="Quote"/>
              <w:spacing w:before="120" w:after="120"/>
              <w:ind w:left="0" w:right="0"/>
            </w:pPr>
            <w:r w:rsidRPr="008E6CDC">
              <w:t>“When we went down to the creek [from the ECEC service] – we saw a big moon and loving a giant shadow.”</w:t>
            </w:r>
          </w:p>
        </w:tc>
      </w:tr>
      <w:tr w:rsidR="00722D04" w:rsidRPr="008E6CDC" w14:paraId="3EAB6267" w14:textId="77777777" w:rsidTr="00A41A0B">
        <w:tc>
          <w:tcPr>
            <w:tcW w:w="1276" w:type="dxa"/>
            <w:shd w:val="clear" w:color="auto" w:fill="auto"/>
          </w:tcPr>
          <w:p w14:paraId="7DE0971A" w14:textId="057A9FAC" w:rsidR="000362BB" w:rsidRPr="008E6CDC" w:rsidRDefault="000362BB">
            <w:pPr>
              <w:pStyle w:val="Quote"/>
              <w:spacing w:before="120" w:after="120"/>
              <w:ind w:left="0" w:right="0"/>
            </w:pPr>
          </w:p>
        </w:tc>
        <w:tc>
          <w:tcPr>
            <w:tcW w:w="6809" w:type="dxa"/>
            <w:tcBorders>
              <w:top w:val="single" w:sz="8" w:space="0" w:color="E7E6E6" w:themeColor="background2"/>
              <w:bottom w:val="single" w:sz="8" w:space="0" w:color="E7E6E6" w:themeColor="background2"/>
            </w:tcBorders>
            <w:shd w:val="clear" w:color="auto" w:fill="auto"/>
          </w:tcPr>
          <w:p w14:paraId="2C11B722" w14:textId="77777777" w:rsidR="000362BB" w:rsidRPr="008E6CDC" w:rsidRDefault="000362BB">
            <w:pPr>
              <w:pStyle w:val="Quote"/>
              <w:spacing w:before="120" w:after="120"/>
              <w:ind w:left="0" w:right="0"/>
            </w:pPr>
            <w:r w:rsidRPr="008E6CDC">
              <w:t xml:space="preserve">“Swimming pool, and a sucking thing, and you go there and it sucks you in and it’s scary.” </w:t>
            </w:r>
          </w:p>
        </w:tc>
      </w:tr>
      <w:tr w:rsidR="00722D04" w:rsidRPr="008E6CDC" w14:paraId="6D4A885B" w14:textId="77777777" w:rsidTr="00A41A0B">
        <w:tc>
          <w:tcPr>
            <w:tcW w:w="1276" w:type="dxa"/>
            <w:shd w:val="clear" w:color="auto" w:fill="auto"/>
          </w:tcPr>
          <w:p w14:paraId="4FEAD518" w14:textId="4C4C41FB" w:rsidR="000362BB" w:rsidRPr="008E6CDC" w:rsidRDefault="000362BB">
            <w:pPr>
              <w:pStyle w:val="Quote"/>
              <w:spacing w:before="120" w:after="120"/>
              <w:ind w:left="0" w:right="0"/>
            </w:pPr>
          </w:p>
        </w:tc>
        <w:tc>
          <w:tcPr>
            <w:tcW w:w="6809" w:type="dxa"/>
            <w:tcBorders>
              <w:top w:val="single" w:sz="8" w:space="0" w:color="E7E6E6" w:themeColor="background2"/>
              <w:bottom w:val="single" w:sz="8" w:space="0" w:color="E7E6E6" w:themeColor="background2"/>
            </w:tcBorders>
            <w:shd w:val="clear" w:color="auto" w:fill="auto"/>
          </w:tcPr>
          <w:p w14:paraId="7EFDE516" w14:textId="77777777" w:rsidR="000362BB" w:rsidRPr="008E6CDC" w:rsidRDefault="000362BB">
            <w:pPr>
              <w:pStyle w:val="Quote"/>
              <w:spacing w:before="120" w:after="120"/>
              <w:ind w:left="0" w:right="0"/>
            </w:pPr>
            <w:r w:rsidRPr="008E6CDC">
              <w:t xml:space="preserve">“Even I saw these guys who do cool things in the </w:t>
            </w:r>
            <w:proofErr w:type="gramStart"/>
            <w:r w:rsidRPr="008E6CDC">
              <w:t>bush;</w:t>
            </w:r>
            <w:proofErr w:type="gramEnd"/>
            <w:r w:rsidRPr="008E6CDC">
              <w:t xml:space="preserve"> who built things and stamped on things.” </w:t>
            </w:r>
          </w:p>
        </w:tc>
      </w:tr>
      <w:tr w:rsidR="00722D04" w:rsidRPr="008E6CDC" w14:paraId="1E144BA9" w14:textId="77777777" w:rsidTr="00A41A0B">
        <w:tc>
          <w:tcPr>
            <w:tcW w:w="1276" w:type="dxa"/>
            <w:shd w:val="clear" w:color="auto" w:fill="auto"/>
          </w:tcPr>
          <w:p w14:paraId="5F5E0591" w14:textId="248C1260" w:rsidR="000362BB" w:rsidRPr="008E6CDC" w:rsidRDefault="000362BB">
            <w:pPr>
              <w:pStyle w:val="Quote"/>
              <w:spacing w:before="120" w:after="120"/>
              <w:ind w:left="0" w:right="0"/>
            </w:pPr>
          </w:p>
        </w:tc>
        <w:tc>
          <w:tcPr>
            <w:tcW w:w="6809" w:type="dxa"/>
            <w:tcBorders>
              <w:top w:val="single" w:sz="8" w:space="0" w:color="E7E6E6" w:themeColor="background2"/>
              <w:bottom w:val="single" w:sz="8" w:space="0" w:color="E7E6E6" w:themeColor="background2"/>
            </w:tcBorders>
            <w:shd w:val="clear" w:color="auto" w:fill="auto"/>
          </w:tcPr>
          <w:p w14:paraId="350864EB" w14:textId="77777777" w:rsidR="000362BB" w:rsidRPr="008E6CDC" w:rsidRDefault="000362BB">
            <w:pPr>
              <w:pStyle w:val="Quote"/>
              <w:spacing w:before="120" w:after="120"/>
              <w:ind w:left="0" w:right="0"/>
            </w:pPr>
            <w:r w:rsidRPr="008E6CDC">
              <w:t>“When we go to the beach we see two men fishing. We go with my Mum and brother. My favourite place to go is the playground because playgrounds have lots of things to play.”</w:t>
            </w:r>
          </w:p>
        </w:tc>
      </w:tr>
      <w:tr w:rsidR="00722D04" w:rsidRPr="008E6CDC" w14:paraId="6A809082" w14:textId="77777777" w:rsidTr="00A41A0B">
        <w:tc>
          <w:tcPr>
            <w:tcW w:w="1276" w:type="dxa"/>
            <w:shd w:val="clear" w:color="auto" w:fill="auto"/>
          </w:tcPr>
          <w:p w14:paraId="0BA76665" w14:textId="2CA9BEB3" w:rsidR="000362BB" w:rsidRPr="008E6CDC" w:rsidRDefault="000362BB">
            <w:pPr>
              <w:pStyle w:val="Quote"/>
              <w:spacing w:before="120" w:after="120"/>
              <w:ind w:left="0" w:right="0"/>
            </w:pPr>
          </w:p>
        </w:tc>
        <w:tc>
          <w:tcPr>
            <w:tcW w:w="6809" w:type="dxa"/>
            <w:tcBorders>
              <w:top w:val="single" w:sz="8" w:space="0" w:color="E7E6E6" w:themeColor="background2"/>
              <w:bottom w:val="single" w:sz="8" w:space="0" w:color="E7E6E6" w:themeColor="background2"/>
            </w:tcBorders>
            <w:shd w:val="clear" w:color="auto" w:fill="auto"/>
          </w:tcPr>
          <w:p w14:paraId="300FD58F" w14:textId="3958E2F1" w:rsidR="000362BB" w:rsidRPr="008E6CDC" w:rsidRDefault="000362BB">
            <w:pPr>
              <w:pStyle w:val="Quote"/>
              <w:spacing w:before="120" w:after="120"/>
              <w:ind w:left="0" w:right="0"/>
            </w:pPr>
            <w:r w:rsidRPr="008E6CDC">
              <w:t xml:space="preserve">“Skipping at the playground.” </w:t>
            </w:r>
          </w:p>
        </w:tc>
      </w:tr>
      <w:tr w:rsidR="00722D04" w:rsidRPr="008E6CDC" w14:paraId="5FEBC479" w14:textId="77777777" w:rsidTr="00A41A0B">
        <w:tc>
          <w:tcPr>
            <w:tcW w:w="1276" w:type="dxa"/>
            <w:shd w:val="clear" w:color="auto" w:fill="auto"/>
          </w:tcPr>
          <w:p w14:paraId="3E4E6589" w14:textId="070599FE" w:rsidR="00B1580D" w:rsidRPr="008E6CDC" w:rsidRDefault="00B1580D" w:rsidP="00B1580D">
            <w:pPr>
              <w:pStyle w:val="Quote"/>
              <w:spacing w:before="120" w:after="120"/>
              <w:ind w:left="0" w:right="0"/>
            </w:pPr>
          </w:p>
        </w:tc>
        <w:tc>
          <w:tcPr>
            <w:tcW w:w="6809" w:type="dxa"/>
            <w:tcBorders>
              <w:top w:val="single" w:sz="8" w:space="0" w:color="E7E6E6" w:themeColor="background2"/>
              <w:bottom w:val="single" w:sz="8" w:space="0" w:color="E7E6E6" w:themeColor="background2"/>
            </w:tcBorders>
            <w:shd w:val="clear" w:color="auto" w:fill="auto"/>
          </w:tcPr>
          <w:p w14:paraId="76601AA9" w14:textId="5D3E68FC" w:rsidR="00B1580D" w:rsidRPr="008E6CDC" w:rsidRDefault="00B1580D" w:rsidP="00B1580D">
            <w:pPr>
              <w:pStyle w:val="Quote"/>
              <w:spacing w:before="120" w:after="120"/>
              <w:ind w:left="0" w:right="0"/>
            </w:pPr>
            <w:r w:rsidRPr="008E6CDC">
              <w:t>“I have a sister and we play ‘duck, duck, goose.’”</w:t>
            </w:r>
          </w:p>
        </w:tc>
      </w:tr>
      <w:tr w:rsidR="00722D04" w:rsidRPr="008E6CDC" w14:paraId="2ADB72A5" w14:textId="77777777" w:rsidTr="00A41A0B">
        <w:tc>
          <w:tcPr>
            <w:tcW w:w="1276" w:type="dxa"/>
            <w:shd w:val="clear" w:color="auto" w:fill="auto"/>
          </w:tcPr>
          <w:p w14:paraId="3C419843" w14:textId="7CF16B41" w:rsidR="00B1580D" w:rsidRPr="008E6CDC" w:rsidRDefault="00B1580D" w:rsidP="00B1580D">
            <w:pPr>
              <w:pStyle w:val="Quote"/>
              <w:spacing w:before="120" w:after="120"/>
              <w:ind w:left="0" w:right="0"/>
            </w:pPr>
          </w:p>
        </w:tc>
        <w:tc>
          <w:tcPr>
            <w:tcW w:w="6809" w:type="dxa"/>
            <w:tcBorders>
              <w:top w:val="single" w:sz="8" w:space="0" w:color="E7E6E6" w:themeColor="background2"/>
              <w:bottom w:val="single" w:sz="8" w:space="0" w:color="E7E6E6" w:themeColor="background2"/>
            </w:tcBorders>
            <w:shd w:val="clear" w:color="auto" w:fill="auto"/>
          </w:tcPr>
          <w:p w14:paraId="72DD3231" w14:textId="081C2EF1" w:rsidR="00B1580D" w:rsidRPr="008E6CDC" w:rsidRDefault="00B1580D" w:rsidP="00B1580D">
            <w:pPr>
              <w:pStyle w:val="Quote"/>
              <w:spacing w:before="120" w:after="120"/>
              <w:ind w:left="0" w:right="0"/>
            </w:pPr>
            <w:r w:rsidRPr="008E6CDC">
              <w:t>“I love playing in the rain. I love playing with my iPad. I love the water park and the big, big slide – the green one. Going to [a wildlife park] with the fish, crocs, and stingrays.”</w:t>
            </w:r>
          </w:p>
        </w:tc>
      </w:tr>
      <w:tr w:rsidR="00722D04" w:rsidRPr="008E6CDC" w14:paraId="40849113" w14:textId="77777777" w:rsidTr="00A41A0B">
        <w:tc>
          <w:tcPr>
            <w:tcW w:w="1276" w:type="dxa"/>
            <w:shd w:val="clear" w:color="auto" w:fill="auto"/>
          </w:tcPr>
          <w:p w14:paraId="3008DB48" w14:textId="54AC8F7A" w:rsidR="00B1580D" w:rsidRPr="008E6CDC" w:rsidRDefault="00B1580D" w:rsidP="00B1580D">
            <w:pPr>
              <w:pStyle w:val="Quote"/>
              <w:spacing w:before="120" w:after="120"/>
              <w:ind w:left="0" w:right="0"/>
            </w:pPr>
          </w:p>
        </w:tc>
        <w:tc>
          <w:tcPr>
            <w:tcW w:w="6809" w:type="dxa"/>
            <w:tcBorders>
              <w:top w:val="single" w:sz="8" w:space="0" w:color="E7E6E6" w:themeColor="background2"/>
              <w:bottom w:val="single" w:sz="8" w:space="0" w:color="E7E6E6" w:themeColor="background2"/>
            </w:tcBorders>
            <w:shd w:val="clear" w:color="auto" w:fill="auto"/>
          </w:tcPr>
          <w:p w14:paraId="3FC9EC8C" w14:textId="4A47655F" w:rsidR="00B1580D" w:rsidRPr="008E6CDC" w:rsidRDefault="00B1580D" w:rsidP="00B1580D">
            <w:pPr>
              <w:pStyle w:val="Quote"/>
              <w:spacing w:before="120" w:after="120"/>
              <w:ind w:left="0" w:right="0"/>
            </w:pPr>
            <w:r w:rsidRPr="008E6CDC">
              <w:t>“A holiday house in Ireland. Playing with Nanny and Grandad in Ireland. We would watch sharks from the balcony.”</w:t>
            </w:r>
          </w:p>
        </w:tc>
      </w:tr>
      <w:tr w:rsidR="00AD7D9E" w:rsidRPr="008E6CDC" w14:paraId="025B323E" w14:textId="77777777" w:rsidTr="00AD7D9E">
        <w:tc>
          <w:tcPr>
            <w:tcW w:w="1276" w:type="dxa"/>
            <w:shd w:val="clear" w:color="auto" w:fill="auto"/>
          </w:tcPr>
          <w:p w14:paraId="4A1591F0" w14:textId="77777777" w:rsidR="00AD7D9E" w:rsidRPr="008E6CDC" w:rsidRDefault="00AD7D9E" w:rsidP="00AD7D9E">
            <w:pPr>
              <w:pStyle w:val="Quote"/>
              <w:spacing w:before="120" w:after="120"/>
              <w:ind w:left="0" w:right="0"/>
            </w:pPr>
          </w:p>
        </w:tc>
        <w:tc>
          <w:tcPr>
            <w:tcW w:w="6809" w:type="dxa"/>
            <w:tcBorders>
              <w:top w:val="single" w:sz="8" w:space="0" w:color="E7E6E6" w:themeColor="background2"/>
              <w:bottom w:val="single" w:sz="8" w:space="0" w:color="E7E6E6" w:themeColor="background2"/>
            </w:tcBorders>
            <w:shd w:val="clear" w:color="auto" w:fill="auto"/>
          </w:tcPr>
          <w:p w14:paraId="388C8871" w14:textId="77777777" w:rsidR="00AD7D9E" w:rsidRPr="008E6CDC" w:rsidRDefault="00AD7D9E" w:rsidP="00AD7D9E">
            <w:pPr>
              <w:pStyle w:val="Quote"/>
              <w:spacing w:before="120" w:after="120"/>
              <w:ind w:left="0" w:right="0"/>
            </w:pPr>
            <w:r w:rsidRPr="008E6CDC">
              <w:t>“I like to go to India. I saw big red crabs on the beach with Daddy.”</w:t>
            </w:r>
          </w:p>
        </w:tc>
      </w:tr>
      <w:tr w:rsidR="00722D04" w:rsidRPr="008E6CDC" w14:paraId="78AB61DE" w14:textId="77777777" w:rsidTr="00A41A0B">
        <w:tc>
          <w:tcPr>
            <w:tcW w:w="1276" w:type="dxa"/>
            <w:shd w:val="clear" w:color="auto" w:fill="auto"/>
          </w:tcPr>
          <w:p w14:paraId="4B140D54" w14:textId="7B0926B0" w:rsidR="00B1580D" w:rsidRPr="008E6CDC" w:rsidRDefault="00B1580D" w:rsidP="00B1580D">
            <w:pPr>
              <w:pStyle w:val="Quote"/>
              <w:spacing w:before="120" w:after="120"/>
              <w:ind w:left="0" w:right="0"/>
            </w:pPr>
          </w:p>
        </w:tc>
        <w:tc>
          <w:tcPr>
            <w:tcW w:w="6809" w:type="dxa"/>
            <w:tcBorders>
              <w:top w:val="single" w:sz="8" w:space="0" w:color="E7E6E6" w:themeColor="background2"/>
              <w:bottom w:val="single" w:sz="8" w:space="0" w:color="E7E6E6" w:themeColor="background2"/>
            </w:tcBorders>
            <w:shd w:val="clear" w:color="auto" w:fill="auto"/>
          </w:tcPr>
          <w:p w14:paraId="38BE540E" w14:textId="47D80293" w:rsidR="00B1580D" w:rsidRPr="008E6CDC" w:rsidRDefault="00AD7D9E" w:rsidP="00B1580D">
            <w:pPr>
              <w:pStyle w:val="Quote"/>
              <w:spacing w:before="120" w:after="120"/>
              <w:ind w:left="0" w:right="0"/>
            </w:pPr>
            <w:r>
              <w:t>“Have fun climbing on the ropes in the park.”</w:t>
            </w:r>
          </w:p>
        </w:tc>
      </w:tr>
      <w:tr w:rsidR="00722D04" w:rsidRPr="008E6CDC" w14:paraId="7BCAAAC0" w14:textId="77777777" w:rsidTr="00A41A0B">
        <w:tc>
          <w:tcPr>
            <w:tcW w:w="1276" w:type="dxa"/>
            <w:shd w:val="clear" w:color="auto" w:fill="auto"/>
          </w:tcPr>
          <w:p w14:paraId="1094DA40" w14:textId="291E394E" w:rsidR="00B1580D" w:rsidRPr="008E6CDC" w:rsidRDefault="00B1580D" w:rsidP="00B1580D">
            <w:pPr>
              <w:pStyle w:val="Quote"/>
              <w:spacing w:before="120" w:after="120"/>
              <w:ind w:left="0" w:right="0"/>
            </w:pPr>
          </w:p>
        </w:tc>
        <w:tc>
          <w:tcPr>
            <w:tcW w:w="6809" w:type="dxa"/>
            <w:tcBorders>
              <w:top w:val="single" w:sz="8" w:space="0" w:color="E7E6E6" w:themeColor="background2"/>
              <w:bottom w:val="single" w:sz="8" w:space="0" w:color="E7E6E6" w:themeColor="background2"/>
            </w:tcBorders>
            <w:shd w:val="clear" w:color="auto" w:fill="auto"/>
          </w:tcPr>
          <w:p w14:paraId="61D6781C" w14:textId="5899B227" w:rsidR="00B1580D" w:rsidRPr="008E6CDC" w:rsidRDefault="00B1580D" w:rsidP="00B1580D">
            <w:pPr>
              <w:pStyle w:val="Quote"/>
              <w:spacing w:before="120" w:after="120"/>
              <w:ind w:left="0" w:right="0"/>
            </w:pPr>
            <w:r w:rsidRPr="008E6CDC">
              <w:t>“Outdoor day [a scavenger hunt at the centre]. Finding the things in the morning. Birds!”</w:t>
            </w:r>
            <w:r w:rsidR="00EF2419" w:rsidRPr="008E6CDC">
              <w:t xml:space="preserve"> </w:t>
            </w:r>
          </w:p>
        </w:tc>
      </w:tr>
      <w:tr w:rsidR="00722D04" w:rsidRPr="008E6CDC" w14:paraId="5503C463" w14:textId="77777777" w:rsidTr="00A41A0B">
        <w:tc>
          <w:tcPr>
            <w:tcW w:w="1276" w:type="dxa"/>
            <w:shd w:val="clear" w:color="auto" w:fill="auto"/>
          </w:tcPr>
          <w:p w14:paraId="707D4505" w14:textId="0789397C" w:rsidR="00B1580D" w:rsidRPr="008E6CDC" w:rsidRDefault="00B1580D" w:rsidP="00B1580D">
            <w:pPr>
              <w:pStyle w:val="Quote"/>
              <w:spacing w:before="120" w:after="120"/>
              <w:ind w:left="0" w:right="0"/>
            </w:pPr>
          </w:p>
        </w:tc>
        <w:tc>
          <w:tcPr>
            <w:tcW w:w="6809" w:type="dxa"/>
            <w:tcBorders>
              <w:top w:val="single" w:sz="8" w:space="0" w:color="E7E6E6" w:themeColor="background2"/>
              <w:bottom w:val="single" w:sz="8" w:space="0" w:color="E7E6E6" w:themeColor="background2"/>
            </w:tcBorders>
            <w:shd w:val="clear" w:color="auto" w:fill="auto"/>
          </w:tcPr>
          <w:p w14:paraId="29058D20" w14:textId="01E2AFC2" w:rsidR="00B1580D" w:rsidRPr="008E6CDC" w:rsidRDefault="00B1580D" w:rsidP="00B1580D">
            <w:pPr>
              <w:pStyle w:val="Quote"/>
              <w:spacing w:before="120" w:after="120"/>
              <w:ind w:left="0" w:right="0"/>
            </w:pPr>
            <w:r w:rsidRPr="008E6CDC">
              <w:t>“My best day ever was when it was my number 5 birthday and I got a plane, Lego monster truck, and also a basketball, and we went to the park and there was lots of lollies and a piñata and I got to hit it first. We went on top of the playground and ate the lollies.”</w:t>
            </w:r>
          </w:p>
        </w:tc>
      </w:tr>
      <w:tr w:rsidR="00722D04" w:rsidRPr="008E6CDC" w14:paraId="572D215B" w14:textId="77777777" w:rsidTr="00A41A0B">
        <w:tc>
          <w:tcPr>
            <w:tcW w:w="1276" w:type="dxa"/>
            <w:shd w:val="clear" w:color="auto" w:fill="auto"/>
          </w:tcPr>
          <w:p w14:paraId="4AFEE44A" w14:textId="366EFCD9" w:rsidR="00B1580D" w:rsidRPr="008E6CDC" w:rsidRDefault="00B1580D" w:rsidP="00B1580D">
            <w:pPr>
              <w:pStyle w:val="Quote"/>
              <w:spacing w:before="120" w:after="120"/>
              <w:ind w:left="0" w:right="0"/>
            </w:pPr>
          </w:p>
        </w:tc>
        <w:tc>
          <w:tcPr>
            <w:tcW w:w="6809" w:type="dxa"/>
            <w:tcBorders>
              <w:top w:val="single" w:sz="8" w:space="0" w:color="E7E6E6" w:themeColor="background2"/>
              <w:bottom w:val="nil"/>
            </w:tcBorders>
            <w:shd w:val="clear" w:color="auto" w:fill="auto"/>
          </w:tcPr>
          <w:p w14:paraId="0C91F9E9" w14:textId="4D5EDADB" w:rsidR="00B1580D" w:rsidRPr="008E6CDC" w:rsidRDefault="00B1580D" w:rsidP="00B1580D">
            <w:pPr>
              <w:pStyle w:val="Quote"/>
              <w:spacing w:before="120" w:after="120"/>
              <w:ind w:left="0" w:right="0"/>
            </w:pPr>
            <w:r w:rsidRPr="008E6CDC">
              <w:t>“I love to play here [at the ECEC service] at the playground and play with my friends and run around.”</w:t>
            </w:r>
          </w:p>
        </w:tc>
      </w:tr>
    </w:tbl>
    <w:p w14:paraId="02C3506A" w14:textId="77777777" w:rsidR="008E6CDC" w:rsidRPr="008E6CDC" w:rsidRDefault="008E6CDC" w:rsidP="008E6CDC"/>
    <w:tbl>
      <w:tblPr>
        <w:tblStyle w:val="TableGrid"/>
        <w:tblW w:w="92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19"/>
        <w:gridCol w:w="140"/>
        <w:gridCol w:w="851"/>
        <w:gridCol w:w="144"/>
        <w:gridCol w:w="140"/>
        <w:gridCol w:w="566"/>
        <w:gridCol w:w="718"/>
        <w:gridCol w:w="1410"/>
        <w:gridCol w:w="284"/>
        <w:gridCol w:w="140"/>
        <w:gridCol w:w="426"/>
        <w:gridCol w:w="2272"/>
      </w:tblGrid>
      <w:tr w:rsidR="00734284" w14:paraId="191517DF" w14:textId="77777777" w:rsidTr="00AC37F4">
        <w:tc>
          <w:tcPr>
            <w:tcW w:w="6088" w:type="dxa"/>
            <w:gridSpan w:val="8"/>
            <w:tcBorders>
              <w:bottom w:val="single" w:sz="8" w:space="0" w:color="E7E6E6" w:themeColor="background2"/>
            </w:tcBorders>
          </w:tcPr>
          <w:p w14:paraId="41B6B763" w14:textId="0F217873" w:rsidR="00E922DF" w:rsidRDefault="00E922DF" w:rsidP="00E922DF">
            <w:r>
              <w:fldChar w:fldCharType="begin"/>
            </w:r>
            <w:r>
              <w:instrText xml:space="preserve"> INCLUDEPICTURE "/Users/danielhanningtonpinto/Library/Group Containers/UBF8T346G9.ms/WebArchiveCopyPasteTempFiles/com.microsoft.Word/6b155ae0-c49a-4541-9dec-bf2583641f28" \* MERGEFORMATINET </w:instrText>
            </w:r>
            <w:r>
              <w:fldChar w:fldCharType="separate"/>
            </w:r>
            <w:r>
              <w:rPr>
                <w:noProof/>
              </w:rPr>
              <w:drawing>
                <wp:inline distT="0" distB="0" distL="0" distR="0" wp14:anchorId="12168276" wp14:editId="66A502C4">
                  <wp:extent cx="3455240" cy="2592000"/>
                  <wp:effectExtent l="0" t="0" r="0" b="0"/>
                  <wp:docPr id="14799716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971635"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55240" cy="2592000"/>
                          </a:xfrm>
                          <a:prstGeom prst="rect">
                            <a:avLst/>
                          </a:prstGeom>
                          <a:noFill/>
                          <a:ln>
                            <a:noFill/>
                          </a:ln>
                        </pic:spPr>
                      </pic:pic>
                    </a:graphicData>
                  </a:graphic>
                </wp:inline>
              </w:drawing>
            </w:r>
            <w:r>
              <w:fldChar w:fldCharType="end"/>
            </w:r>
          </w:p>
        </w:tc>
        <w:tc>
          <w:tcPr>
            <w:tcW w:w="3122" w:type="dxa"/>
            <w:gridSpan w:val="4"/>
            <w:tcBorders>
              <w:bottom w:val="single" w:sz="8" w:space="0" w:color="E7E6E6" w:themeColor="background2"/>
            </w:tcBorders>
            <w:vAlign w:val="center"/>
          </w:tcPr>
          <w:p w14:paraId="19A63A3E" w14:textId="710584F4" w:rsidR="00E922DF" w:rsidRPr="00E922DF" w:rsidRDefault="00E922DF" w:rsidP="00E922DF">
            <w:pPr>
              <w:jc w:val="center"/>
              <w:rPr>
                <w:rStyle w:val="QuoteChar"/>
              </w:rPr>
            </w:pPr>
            <w:r w:rsidRPr="00E922DF">
              <w:rPr>
                <w:rStyle w:val="QuoteChar"/>
              </w:rPr>
              <w:t xml:space="preserve">“A barra fish! I love barra fish because my Mum said. I love sleeping in the tent with my </w:t>
            </w:r>
            <w:proofErr w:type="gramStart"/>
            <w:r w:rsidRPr="00E922DF">
              <w:rPr>
                <w:rStyle w:val="QuoteChar"/>
              </w:rPr>
              <w:t>Dad</w:t>
            </w:r>
            <w:proofErr w:type="gramEnd"/>
            <w:r w:rsidRPr="00E922DF">
              <w:rPr>
                <w:rStyle w:val="QuoteChar"/>
              </w:rPr>
              <w:t xml:space="preserve"> and my Mum.”</w:t>
            </w:r>
          </w:p>
        </w:tc>
      </w:tr>
      <w:tr w:rsidR="00734284" w14:paraId="526370E4" w14:textId="77777777" w:rsidTr="00AC37F4">
        <w:tc>
          <w:tcPr>
            <w:tcW w:w="3110" w:type="dxa"/>
            <w:gridSpan w:val="3"/>
            <w:tcBorders>
              <w:top w:val="single" w:sz="8" w:space="0" w:color="E7E6E6" w:themeColor="background2"/>
              <w:bottom w:val="single" w:sz="8" w:space="0" w:color="E7E6E6" w:themeColor="background2"/>
            </w:tcBorders>
            <w:vAlign w:val="center"/>
          </w:tcPr>
          <w:p w14:paraId="59417417" w14:textId="51CABE6F" w:rsidR="00E922DF" w:rsidRDefault="00E922DF" w:rsidP="00E922DF">
            <w:pPr>
              <w:jc w:val="center"/>
            </w:pPr>
            <w:r w:rsidRPr="00E922DF">
              <w:rPr>
                <w:rStyle w:val="QuoteChar"/>
              </w:rPr>
              <w:t>“My happy daycare, me, Mummy and Daddy.”</w:t>
            </w:r>
          </w:p>
        </w:tc>
        <w:tc>
          <w:tcPr>
            <w:tcW w:w="6100" w:type="dxa"/>
            <w:gridSpan w:val="9"/>
            <w:tcBorders>
              <w:top w:val="single" w:sz="8" w:space="0" w:color="E7E6E6" w:themeColor="background2"/>
              <w:bottom w:val="single" w:sz="8" w:space="0" w:color="E7E6E6" w:themeColor="background2"/>
            </w:tcBorders>
          </w:tcPr>
          <w:p w14:paraId="3F0F8B65" w14:textId="6EB39AF6" w:rsidR="00E922DF" w:rsidRDefault="00E922DF" w:rsidP="00E922DF">
            <w:r>
              <w:fldChar w:fldCharType="begin"/>
            </w:r>
            <w:r>
              <w:instrText xml:space="preserve"> INCLUDEPICTURE "/Users/danielhanningtonpinto/Library/Group Containers/UBF8T346G9.ms/WebArchiveCopyPasteTempFiles/com.microsoft.Word/1f20f350-635a-4ab0-9ba9-d4722528e87f" \* MERGEFORMATINET </w:instrText>
            </w:r>
            <w:r>
              <w:fldChar w:fldCharType="separate"/>
            </w:r>
            <w:r>
              <w:rPr>
                <w:noProof/>
              </w:rPr>
              <w:drawing>
                <wp:inline distT="0" distB="0" distL="0" distR="0" wp14:anchorId="7B4CB69D" wp14:editId="0875B486">
                  <wp:extent cx="3622992" cy="2328122"/>
                  <wp:effectExtent l="0" t="0" r="0" b="0"/>
                  <wp:docPr id="183928535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3686" r="4520" b="4199"/>
                          <a:stretch/>
                        </pic:blipFill>
                        <pic:spPr bwMode="auto">
                          <a:xfrm>
                            <a:off x="0" y="0"/>
                            <a:ext cx="3651623" cy="234652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734284" w14:paraId="07646878" w14:textId="77777777" w:rsidTr="00AC37F4">
        <w:tc>
          <w:tcPr>
            <w:tcW w:w="6512" w:type="dxa"/>
            <w:gridSpan w:val="10"/>
            <w:tcBorders>
              <w:top w:val="single" w:sz="8" w:space="0" w:color="E7E6E6" w:themeColor="background2"/>
            </w:tcBorders>
          </w:tcPr>
          <w:p w14:paraId="4BEEB471" w14:textId="5900DF74" w:rsidR="00E922DF" w:rsidRDefault="00E922DF" w:rsidP="00E922DF">
            <w:r>
              <w:lastRenderedPageBreak/>
              <w:fldChar w:fldCharType="begin"/>
            </w:r>
            <w:r>
              <w:instrText xml:space="preserve"> INCLUDEPICTURE "/Users/danielhanningtonpinto/Library/Group Containers/UBF8T346G9.ms/WebArchiveCopyPasteTempFiles/com.microsoft.Word/e7d60c4a-7f6c-44da-b083-a75e5432e29f" \* MERGEFORMATINET </w:instrText>
            </w:r>
            <w:r>
              <w:fldChar w:fldCharType="separate"/>
            </w:r>
            <w:r>
              <w:rPr>
                <w:noProof/>
              </w:rPr>
              <w:drawing>
                <wp:inline distT="0" distB="0" distL="0" distR="0" wp14:anchorId="11894979" wp14:editId="4ED4AC1C">
                  <wp:extent cx="3695991" cy="2370455"/>
                  <wp:effectExtent l="0" t="0" r="0" b="4445"/>
                  <wp:docPr id="21999897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3960" b="7493"/>
                          <a:stretch/>
                        </pic:blipFill>
                        <pic:spPr bwMode="auto">
                          <a:xfrm>
                            <a:off x="0" y="0"/>
                            <a:ext cx="3799429" cy="2436796"/>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2698" w:type="dxa"/>
            <w:gridSpan w:val="2"/>
            <w:tcBorders>
              <w:top w:val="single" w:sz="8" w:space="0" w:color="E7E6E6" w:themeColor="background2"/>
            </w:tcBorders>
            <w:vAlign w:val="center"/>
          </w:tcPr>
          <w:p w14:paraId="1F8D362F" w14:textId="318169E9" w:rsidR="00E922DF" w:rsidRDefault="00E922DF" w:rsidP="00E922DF">
            <w:pPr>
              <w:jc w:val="center"/>
            </w:pPr>
            <w:r w:rsidRPr="00E922DF">
              <w:rPr>
                <w:rStyle w:val="QuoteChar"/>
              </w:rPr>
              <w:t>“A rainbow and a spider web.”</w:t>
            </w:r>
          </w:p>
        </w:tc>
      </w:tr>
      <w:tr w:rsidR="00734284" w14:paraId="540E0298" w14:textId="77777777" w:rsidTr="00AC37F4">
        <w:tc>
          <w:tcPr>
            <w:tcW w:w="2119" w:type="dxa"/>
            <w:tcBorders>
              <w:bottom w:val="single" w:sz="8" w:space="0" w:color="E7E6E6" w:themeColor="background2"/>
            </w:tcBorders>
            <w:vAlign w:val="center"/>
          </w:tcPr>
          <w:p w14:paraId="32086A55" w14:textId="7CB5C003" w:rsidR="00E922DF" w:rsidRDefault="00E922DF" w:rsidP="00AD7D9E">
            <w:pPr>
              <w:jc w:val="center"/>
            </w:pPr>
            <w:r w:rsidRPr="00E922DF">
              <w:rPr>
                <w:rStyle w:val="QuoteChar"/>
              </w:rPr>
              <w:t>“This is the kindy and this is the obstacle course [actually located in one of the service’s outdoors areas]. You jump over this and climb and go over there.”</w:t>
            </w:r>
          </w:p>
        </w:tc>
        <w:tc>
          <w:tcPr>
            <w:tcW w:w="7091" w:type="dxa"/>
            <w:gridSpan w:val="11"/>
            <w:tcBorders>
              <w:bottom w:val="single" w:sz="8" w:space="0" w:color="E7E6E6" w:themeColor="background2"/>
            </w:tcBorders>
          </w:tcPr>
          <w:p w14:paraId="07E41533" w14:textId="035529AE" w:rsidR="00E922DF" w:rsidRDefault="00E922DF" w:rsidP="00E922DF">
            <w:r>
              <w:fldChar w:fldCharType="begin"/>
            </w:r>
            <w:r>
              <w:instrText xml:space="preserve"> INCLUDEPICTURE "/Users/danielhanningtonpinto/Library/Group Containers/UBF8T346G9.ms/WebArchiveCopyPasteTempFiles/com.microsoft.Word/d9b8fae1-63f9-4dbf-8374-de949979d16d" \* MERGEFORMATINET </w:instrText>
            </w:r>
            <w:r>
              <w:fldChar w:fldCharType="separate"/>
            </w:r>
            <w:r>
              <w:rPr>
                <w:noProof/>
              </w:rPr>
              <w:drawing>
                <wp:inline distT="0" distB="0" distL="0" distR="0" wp14:anchorId="752CBCEB" wp14:editId="505872DE">
                  <wp:extent cx="3994954" cy="2032000"/>
                  <wp:effectExtent l="0" t="0" r="5715" b="0"/>
                  <wp:docPr id="44319994" name="Picture 44319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194630" cy="2133564"/>
                          </a:xfrm>
                          <a:prstGeom prst="rect">
                            <a:avLst/>
                          </a:prstGeom>
                          <a:noFill/>
                          <a:ln>
                            <a:noFill/>
                          </a:ln>
                        </pic:spPr>
                      </pic:pic>
                    </a:graphicData>
                  </a:graphic>
                </wp:inline>
              </w:drawing>
            </w:r>
            <w:r>
              <w:fldChar w:fldCharType="end"/>
            </w:r>
          </w:p>
        </w:tc>
      </w:tr>
      <w:tr w:rsidR="00734284" w14:paraId="52F6FA93" w14:textId="77777777" w:rsidTr="00AC37F4">
        <w:tc>
          <w:tcPr>
            <w:tcW w:w="6088" w:type="dxa"/>
            <w:gridSpan w:val="8"/>
            <w:tcBorders>
              <w:top w:val="single" w:sz="8" w:space="0" w:color="E7E6E6" w:themeColor="background2"/>
              <w:bottom w:val="single" w:sz="8" w:space="0" w:color="E7E6E6" w:themeColor="background2"/>
            </w:tcBorders>
          </w:tcPr>
          <w:p w14:paraId="38865C7B" w14:textId="360BC7F6" w:rsidR="00E922DF" w:rsidRDefault="00E922DF" w:rsidP="00E922DF">
            <w:r>
              <w:fldChar w:fldCharType="begin"/>
            </w:r>
            <w:r>
              <w:instrText xml:space="preserve"> INCLUDEPICTURE "/Users/danielhanningtonpinto/Library/Group Containers/UBF8T346G9.ms/WebArchiveCopyPasteTempFiles/com.microsoft.Word/34fa727b-36d1-43f2-8e9e-cf3db2931af7" \* MERGEFORMATINET </w:instrText>
            </w:r>
            <w:r>
              <w:fldChar w:fldCharType="separate"/>
            </w:r>
            <w:r>
              <w:rPr>
                <w:noProof/>
              </w:rPr>
              <w:drawing>
                <wp:inline distT="0" distB="0" distL="0" distR="0" wp14:anchorId="7D02F2B1" wp14:editId="1D636065">
                  <wp:extent cx="2470467" cy="3293957"/>
                  <wp:effectExtent l="0" t="5398" r="953" b="952"/>
                  <wp:docPr id="16384225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alphaModFix amt="90000"/>
                            <a:extLst>
                              <a:ext uri="{BEBA8EAE-BF5A-486C-A8C5-ECC9F3942E4B}">
                                <a14:imgProps xmlns:a14="http://schemas.microsoft.com/office/drawing/2010/main">
                                  <a14:imgLayer r:embed="rId56">
                                    <a14:imgEffect>
                                      <a14:colorTemperature colorTemp="8314"/>
                                    </a14:imgEffect>
                                    <a14:imgEffect>
                                      <a14:saturation sat="93000"/>
                                    </a14:imgEffect>
                                    <a14:imgEffect>
                                      <a14:brightnessContrast bright="4000" contrast="18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2508361" cy="3344482"/>
                          </a:xfrm>
                          <a:prstGeom prst="rect">
                            <a:avLst/>
                          </a:prstGeom>
                          <a:noFill/>
                          <a:ln>
                            <a:noFill/>
                          </a:ln>
                        </pic:spPr>
                      </pic:pic>
                    </a:graphicData>
                  </a:graphic>
                </wp:inline>
              </w:drawing>
            </w:r>
            <w:r>
              <w:fldChar w:fldCharType="end"/>
            </w:r>
          </w:p>
        </w:tc>
        <w:tc>
          <w:tcPr>
            <w:tcW w:w="3122" w:type="dxa"/>
            <w:gridSpan w:val="4"/>
            <w:tcBorders>
              <w:top w:val="single" w:sz="8" w:space="0" w:color="E7E6E6" w:themeColor="background2"/>
              <w:bottom w:val="single" w:sz="8" w:space="0" w:color="E7E6E6" w:themeColor="background2"/>
            </w:tcBorders>
            <w:vAlign w:val="center"/>
          </w:tcPr>
          <w:p w14:paraId="1596BDAB" w14:textId="6D523E07" w:rsidR="00E922DF" w:rsidRPr="00E922DF" w:rsidRDefault="00E922DF" w:rsidP="00AD7D9E">
            <w:pPr>
              <w:jc w:val="center"/>
              <w:rPr>
                <w:rStyle w:val="QuoteChar"/>
              </w:rPr>
            </w:pPr>
            <w:r w:rsidRPr="00E922DF">
              <w:rPr>
                <w:rStyle w:val="QuoteChar"/>
              </w:rPr>
              <w:t>"Preschool! The gates, the rock, the rainbow, the cars. That’s part of the gate.”</w:t>
            </w:r>
          </w:p>
        </w:tc>
      </w:tr>
      <w:tr w:rsidR="00E922DF" w14:paraId="2966E8F8" w14:textId="77777777" w:rsidTr="00AC37F4">
        <w:tc>
          <w:tcPr>
            <w:tcW w:w="3394" w:type="dxa"/>
            <w:gridSpan w:val="5"/>
            <w:tcBorders>
              <w:top w:val="single" w:sz="8" w:space="0" w:color="E7E6E6" w:themeColor="background2"/>
            </w:tcBorders>
            <w:vAlign w:val="center"/>
          </w:tcPr>
          <w:p w14:paraId="75932459" w14:textId="3FAD313F" w:rsidR="00E922DF" w:rsidRDefault="00E922DF" w:rsidP="00AD7D9E">
            <w:pPr>
              <w:jc w:val="center"/>
            </w:pPr>
            <w:r w:rsidRPr="00E922DF">
              <w:rPr>
                <w:rStyle w:val="QuoteChar"/>
              </w:rPr>
              <w:lastRenderedPageBreak/>
              <w:t>"This is a rainbow. This is what my baby brother looks like."</w:t>
            </w:r>
          </w:p>
        </w:tc>
        <w:tc>
          <w:tcPr>
            <w:tcW w:w="5816" w:type="dxa"/>
            <w:gridSpan w:val="7"/>
            <w:tcBorders>
              <w:top w:val="single" w:sz="8" w:space="0" w:color="E7E6E6" w:themeColor="background2"/>
            </w:tcBorders>
            <w:vAlign w:val="center"/>
          </w:tcPr>
          <w:p w14:paraId="28E662BE" w14:textId="76D95156" w:rsidR="00E922DF" w:rsidRPr="00E922DF" w:rsidRDefault="00E922DF" w:rsidP="00E922DF">
            <w:pPr>
              <w:jc w:val="right"/>
              <w:rPr>
                <w:rStyle w:val="QuoteChar"/>
              </w:rPr>
            </w:pPr>
            <w:r>
              <w:fldChar w:fldCharType="begin"/>
            </w:r>
            <w:r>
              <w:instrText xml:space="preserve"> INCLUDEPICTURE "/Users/danielhanningtonpinto/Library/Group Containers/UBF8T346G9.ms/WebArchiveCopyPasteTempFiles/com.microsoft.Word/4bf9f633-19b7-439e-80af-8a3b0a857040" \* MERGEFORMATINET </w:instrText>
            </w:r>
            <w:r>
              <w:fldChar w:fldCharType="separate"/>
            </w:r>
            <w:r>
              <w:rPr>
                <w:noProof/>
              </w:rPr>
              <w:drawing>
                <wp:inline distT="0" distB="0" distL="0" distR="0" wp14:anchorId="0A124E46" wp14:editId="5B245F28">
                  <wp:extent cx="2404060" cy="3205414"/>
                  <wp:effectExtent l="5715" t="0" r="2540" b="2540"/>
                  <wp:docPr id="11803226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6200000">
                            <a:off x="0" y="0"/>
                            <a:ext cx="2439749" cy="3252999"/>
                          </a:xfrm>
                          <a:prstGeom prst="rect">
                            <a:avLst/>
                          </a:prstGeom>
                          <a:noFill/>
                          <a:ln>
                            <a:noFill/>
                          </a:ln>
                        </pic:spPr>
                      </pic:pic>
                    </a:graphicData>
                  </a:graphic>
                </wp:inline>
              </w:drawing>
            </w:r>
            <w:r>
              <w:fldChar w:fldCharType="end"/>
            </w:r>
          </w:p>
        </w:tc>
      </w:tr>
      <w:tr w:rsidR="00E922DF" w14:paraId="6FEEC2D3" w14:textId="77777777" w:rsidTr="00AC37F4">
        <w:tc>
          <w:tcPr>
            <w:tcW w:w="6938" w:type="dxa"/>
            <w:gridSpan w:val="11"/>
            <w:tcBorders>
              <w:bottom w:val="single" w:sz="8" w:space="0" w:color="E7E6E6" w:themeColor="background2"/>
            </w:tcBorders>
            <w:vAlign w:val="center"/>
          </w:tcPr>
          <w:p w14:paraId="1EB0588D" w14:textId="447E83C5" w:rsidR="00E922DF" w:rsidRPr="00E922DF" w:rsidRDefault="00E922DF" w:rsidP="00E922DF">
            <w:pPr>
              <w:rPr>
                <w:rStyle w:val="QuoteChar"/>
              </w:rPr>
            </w:pPr>
            <w:r>
              <w:fldChar w:fldCharType="begin"/>
            </w:r>
            <w:r>
              <w:instrText xml:space="preserve"> INCLUDEPICTURE "/Users/danielhanningtonpinto/Library/Group Containers/UBF8T346G9.ms/WebArchiveCopyPasteTempFiles/com.microsoft.Word/3bcb8664-c93e-4663-8861-b24ffeb7e0bb" \* MERGEFORMATINET </w:instrText>
            </w:r>
            <w:r>
              <w:fldChar w:fldCharType="separate"/>
            </w:r>
            <w:r>
              <w:rPr>
                <w:noProof/>
              </w:rPr>
              <w:drawing>
                <wp:inline distT="0" distB="0" distL="0" distR="0" wp14:anchorId="4491F296" wp14:editId="2E142C0D">
                  <wp:extent cx="4623165" cy="2908300"/>
                  <wp:effectExtent l="0" t="0" r="0" b="0"/>
                  <wp:docPr id="231483950" name="Picture 231483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83950" name="Picture 2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31828" cy="2913749"/>
                          </a:xfrm>
                          <a:prstGeom prst="rect">
                            <a:avLst/>
                          </a:prstGeom>
                          <a:noFill/>
                          <a:ln>
                            <a:noFill/>
                          </a:ln>
                        </pic:spPr>
                      </pic:pic>
                    </a:graphicData>
                  </a:graphic>
                </wp:inline>
              </w:drawing>
            </w:r>
            <w:r>
              <w:fldChar w:fldCharType="end"/>
            </w:r>
          </w:p>
        </w:tc>
        <w:tc>
          <w:tcPr>
            <w:tcW w:w="2272" w:type="dxa"/>
            <w:tcBorders>
              <w:bottom w:val="single" w:sz="8" w:space="0" w:color="E7E6E6" w:themeColor="background2"/>
            </w:tcBorders>
            <w:vAlign w:val="center"/>
          </w:tcPr>
          <w:p w14:paraId="6E41DE01" w14:textId="039638DC" w:rsidR="00E922DF" w:rsidRPr="00E922DF" w:rsidRDefault="00E922DF" w:rsidP="00AD7D9E">
            <w:pPr>
              <w:jc w:val="center"/>
              <w:rPr>
                <w:rStyle w:val="QuoteChar"/>
              </w:rPr>
            </w:pPr>
            <w:r w:rsidRPr="00E922DF">
              <w:rPr>
                <w:rStyle w:val="QuoteChar"/>
              </w:rPr>
              <w:t>“This is the big river and there are the fishes. And there is the ice-cream thing. And this is a hermit crab and this is a sea urchin.”</w:t>
            </w:r>
          </w:p>
        </w:tc>
      </w:tr>
      <w:tr w:rsidR="00E922DF" w14:paraId="477B235B" w14:textId="77777777" w:rsidTr="00AC37F4">
        <w:tc>
          <w:tcPr>
            <w:tcW w:w="2259" w:type="dxa"/>
            <w:gridSpan w:val="2"/>
            <w:tcBorders>
              <w:top w:val="single" w:sz="8" w:space="0" w:color="E7E6E6" w:themeColor="background2"/>
            </w:tcBorders>
            <w:vAlign w:val="center"/>
          </w:tcPr>
          <w:p w14:paraId="21B7F65F" w14:textId="096BD918" w:rsidR="00E922DF" w:rsidRDefault="00E922DF" w:rsidP="00AD7D9E">
            <w:pPr>
              <w:jc w:val="center"/>
            </w:pPr>
            <w:r w:rsidRPr="00E922DF">
              <w:rPr>
                <w:rStyle w:val="QuoteChar"/>
              </w:rPr>
              <w:lastRenderedPageBreak/>
              <w:t>“This is my dog. I love him because he is cute.”</w:t>
            </w:r>
          </w:p>
        </w:tc>
        <w:tc>
          <w:tcPr>
            <w:tcW w:w="6951" w:type="dxa"/>
            <w:gridSpan w:val="10"/>
            <w:tcBorders>
              <w:top w:val="single" w:sz="8" w:space="0" w:color="E7E6E6" w:themeColor="background2"/>
            </w:tcBorders>
            <w:vAlign w:val="center"/>
          </w:tcPr>
          <w:p w14:paraId="29734DC4" w14:textId="3606C49D" w:rsidR="00E922DF" w:rsidRPr="00E922DF" w:rsidRDefault="00E922DF" w:rsidP="00E922DF">
            <w:pPr>
              <w:jc w:val="right"/>
              <w:rPr>
                <w:rStyle w:val="QuoteChar"/>
              </w:rPr>
            </w:pPr>
            <w:r>
              <w:fldChar w:fldCharType="begin"/>
            </w:r>
            <w:r>
              <w:instrText xml:space="preserve"> INCLUDEPICTURE "/Users/danielhanningtonpinto/Library/Group Containers/UBF8T346G9.ms/WebArchiveCopyPasteTempFiles/com.microsoft.Word/9be9f605-9830-4ed6-9af4-8de157cb2ad1" \* MERGEFORMATINET </w:instrText>
            </w:r>
            <w:r>
              <w:fldChar w:fldCharType="separate"/>
            </w:r>
            <w:r>
              <w:rPr>
                <w:noProof/>
              </w:rPr>
              <w:drawing>
                <wp:inline distT="0" distB="0" distL="0" distR="0" wp14:anchorId="3CB1873D" wp14:editId="019DFE97">
                  <wp:extent cx="3040704" cy="4787457"/>
                  <wp:effectExtent l="2857" t="0" r="0" b="0"/>
                  <wp:docPr id="1946299414" name="Picture 11" descr="A drawing of a c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99414" name="Picture 11" descr="A drawing of a cow&#10;&#10;Description automatically generated"/>
                          <pic:cNvPicPr>
                            <a:picLocks noChangeAspect="1" noChangeArrowheads="1"/>
                          </pic:cNvPicPr>
                        </pic:nvPicPr>
                        <pic:blipFill rotWithShape="1">
                          <a:blip r:embed="rId59">
                            <a:extLst>
                              <a:ext uri="{28A0092B-C50C-407E-A947-70E740481C1C}">
                                <a14:useLocalDpi xmlns:a14="http://schemas.microsoft.com/office/drawing/2010/main" val="0"/>
                              </a:ext>
                            </a:extLst>
                          </a:blip>
                          <a:srcRect l="363" t="17132" r="22592" b="953"/>
                          <a:stretch/>
                        </pic:blipFill>
                        <pic:spPr bwMode="auto">
                          <a:xfrm rot="16200000">
                            <a:off x="0" y="0"/>
                            <a:ext cx="3051176" cy="4803945"/>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CB6426" w14:paraId="171A2500" w14:textId="77777777" w:rsidTr="00CB6426">
        <w:tc>
          <w:tcPr>
            <w:tcW w:w="4678" w:type="dxa"/>
            <w:gridSpan w:val="7"/>
            <w:tcBorders>
              <w:right w:val="single" w:sz="2" w:space="0" w:color="D0CECE" w:themeColor="background2" w:themeShade="E6"/>
            </w:tcBorders>
            <w:vAlign w:val="center"/>
          </w:tcPr>
          <w:p w14:paraId="4F298FBC" w14:textId="70CF1901" w:rsidR="00E922DF" w:rsidRPr="00E922DF" w:rsidRDefault="00E922DF" w:rsidP="00734284">
            <w:pPr>
              <w:spacing w:before="0" w:after="0"/>
              <w:rPr>
                <w:rStyle w:val="QuoteChar"/>
              </w:rPr>
            </w:pPr>
            <w:r>
              <w:fldChar w:fldCharType="begin"/>
            </w:r>
            <w:r>
              <w:instrText xml:space="preserve"> INCLUDEPICTURE "/Users/danielhanningtonpinto/Library/Group Containers/UBF8T346G9.ms/WebArchiveCopyPasteTempFiles/com.microsoft.Word/1bef7d59-9d7f-4455-a654-e3256aed6a88" \* MERGEFORMATINET </w:instrText>
            </w:r>
            <w:r>
              <w:fldChar w:fldCharType="separate"/>
            </w:r>
            <w:r>
              <w:rPr>
                <w:noProof/>
              </w:rPr>
              <w:drawing>
                <wp:inline distT="0" distB="0" distL="0" distR="0" wp14:anchorId="53FF2A08" wp14:editId="40A027D1">
                  <wp:extent cx="2635136" cy="3005455"/>
                  <wp:effectExtent l="0" t="0" r="0" b="4445"/>
                  <wp:docPr id="82536920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503" t="15768"/>
                          <a:stretch/>
                        </pic:blipFill>
                        <pic:spPr bwMode="auto">
                          <a:xfrm>
                            <a:off x="0" y="0"/>
                            <a:ext cx="2697499" cy="3076582"/>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4532" w:type="dxa"/>
            <w:gridSpan w:val="5"/>
            <w:tcBorders>
              <w:left w:val="single" w:sz="2" w:space="0" w:color="D0CECE" w:themeColor="background2" w:themeShade="E6"/>
            </w:tcBorders>
            <w:vAlign w:val="center"/>
          </w:tcPr>
          <w:p w14:paraId="087BF95D" w14:textId="756B83EF" w:rsidR="00E922DF" w:rsidRPr="00E922DF" w:rsidRDefault="00734284" w:rsidP="00734284">
            <w:pPr>
              <w:spacing w:before="0" w:after="0"/>
              <w:jc w:val="right"/>
              <w:rPr>
                <w:rStyle w:val="QuoteChar"/>
              </w:rPr>
            </w:pPr>
            <w:r>
              <w:fldChar w:fldCharType="begin"/>
            </w:r>
            <w:r>
              <w:instrText xml:space="preserve"> INCLUDEPICTURE "/Users/danielhanningtonpinto/Library/Group Containers/UBF8T346G9.ms/WebArchiveCopyPasteTempFiles/com.microsoft.Word/da7f57e6-768d-4048-8a2d-8fff73e0dae5" \* MERGEFORMATINET </w:instrText>
            </w:r>
            <w:r>
              <w:fldChar w:fldCharType="separate"/>
            </w:r>
            <w:r>
              <w:rPr>
                <w:noProof/>
              </w:rPr>
              <w:drawing>
                <wp:inline distT="0" distB="0" distL="0" distR="0" wp14:anchorId="38B15D63" wp14:editId="75B94F9D">
                  <wp:extent cx="2353733" cy="3064510"/>
                  <wp:effectExtent l="0" t="0" r="0" b="0"/>
                  <wp:docPr id="979025389" name="Picture 22" descr="A drawing of grass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025389" name="Picture 22" descr="A drawing of grass and grass&#10;&#10;Description automatically generated"/>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390" t="4193" r="2701" b="6508"/>
                          <a:stretch/>
                        </pic:blipFill>
                        <pic:spPr bwMode="auto">
                          <a:xfrm>
                            <a:off x="0" y="0"/>
                            <a:ext cx="2354707" cy="306577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734284" w14:paraId="1D0B78A5" w14:textId="77777777" w:rsidTr="00CB6426">
        <w:tc>
          <w:tcPr>
            <w:tcW w:w="4678" w:type="dxa"/>
            <w:gridSpan w:val="7"/>
            <w:tcBorders>
              <w:right w:val="single" w:sz="2" w:space="0" w:color="D0CECE" w:themeColor="background2" w:themeShade="E6"/>
            </w:tcBorders>
            <w:vAlign w:val="center"/>
          </w:tcPr>
          <w:p w14:paraId="25D20951" w14:textId="01812BA6" w:rsidR="00734284" w:rsidRDefault="00734284" w:rsidP="00734284">
            <w:pPr>
              <w:jc w:val="center"/>
            </w:pPr>
            <w:r w:rsidRPr="00E922DF">
              <w:rPr>
                <w:rStyle w:val="QuoteChar"/>
              </w:rPr>
              <w:t>“A bug house. Lots of holes. Digging. They can play in the holes. Lots of different bugs.”</w:t>
            </w:r>
          </w:p>
        </w:tc>
        <w:tc>
          <w:tcPr>
            <w:tcW w:w="4532" w:type="dxa"/>
            <w:gridSpan w:val="5"/>
            <w:tcBorders>
              <w:left w:val="single" w:sz="2" w:space="0" w:color="D0CECE" w:themeColor="background2" w:themeShade="E6"/>
            </w:tcBorders>
            <w:vAlign w:val="center"/>
          </w:tcPr>
          <w:p w14:paraId="05BC1F5A" w14:textId="4B68F61B" w:rsidR="00734284" w:rsidRPr="00E922DF" w:rsidRDefault="00734284" w:rsidP="00734284">
            <w:pPr>
              <w:jc w:val="center"/>
              <w:rPr>
                <w:rStyle w:val="QuoteChar"/>
              </w:rPr>
            </w:pPr>
            <w:r w:rsidRPr="00E922DF">
              <w:rPr>
                <w:rStyle w:val="QuoteChar"/>
              </w:rPr>
              <w:t>“A scooter and a bike.”</w:t>
            </w:r>
          </w:p>
        </w:tc>
      </w:tr>
      <w:tr w:rsidR="00734284" w14:paraId="22F48CD6" w14:textId="77777777" w:rsidTr="00CB6426">
        <w:tc>
          <w:tcPr>
            <w:tcW w:w="4678" w:type="dxa"/>
            <w:gridSpan w:val="7"/>
            <w:tcBorders>
              <w:right w:val="single" w:sz="2" w:space="0" w:color="D0CECE" w:themeColor="background2" w:themeShade="E6"/>
            </w:tcBorders>
            <w:vAlign w:val="center"/>
          </w:tcPr>
          <w:p w14:paraId="6F5B69C9" w14:textId="6346EE5A" w:rsidR="00734284" w:rsidRPr="00E922DF" w:rsidRDefault="00734284" w:rsidP="00E922DF">
            <w:pPr>
              <w:rPr>
                <w:rStyle w:val="QuoteChar"/>
              </w:rPr>
            </w:pPr>
            <w:r>
              <w:lastRenderedPageBreak/>
              <w:fldChar w:fldCharType="begin"/>
            </w:r>
            <w:r>
              <w:instrText xml:space="preserve"> INCLUDEPICTURE "/Users/danielhanningtonpinto/Library/Group Containers/UBF8T346G9.ms/WebArchiveCopyPasteTempFiles/com.microsoft.Word/93cf2998-d53f-4d03-8fb3-9a8558e29ac0" \* MERGEFORMATINET </w:instrText>
            </w:r>
            <w:r>
              <w:fldChar w:fldCharType="separate"/>
            </w:r>
            <w:r>
              <w:rPr>
                <w:noProof/>
              </w:rPr>
              <w:drawing>
                <wp:inline distT="0" distB="0" distL="0" distR="0" wp14:anchorId="3332D527" wp14:editId="5E372823">
                  <wp:extent cx="2998100" cy="2250459"/>
                  <wp:effectExtent l="5398" t="0" r="4762" b="4763"/>
                  <wp:docPr id="1346800218" name="Picture 134680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6200000">
                            <a:off x="0" y="0"/>
                            <a:ext cx="3049861" cy="2289312"/>
                          </a:xfrm>
                          <a:prstGeom prst="rect">
                            <a:avLst/>
                          </a:prstGeom>
                          <a:noFill/>
                          <a:ln>
                            <a:noFill/>
                          </a:ln>
                        </pic:spPr>
                      </pic:pic>
                    </a:graphicData>
                  </a:graphic>
                </wp:inline>
              </w:drawing>
            </w:r>
            <w:r>
              <w:fldChar w:fldCharType="end"/>
            </w:r>
          </w:p>
        </w:tc>
        <w:tc>
          <w:tcPr>
            <w:tcW w:w="4532" w:type="dxa"/>
            <w:gridSpan w:val="5"/>
            <w:tcBorders>
              <w:left w:val="single" w:sz="2" w:space="0" w:color="D0CECE" w:themeColor="background2" w:themeShade="E6"/>
            </w:tcBorders>
            <w:vAlign w:val="center"/>
          </w:tcPr>
          <w:p w14:paraId="20F64652" w14:textId="6974E94B" w:rsidR="00734284" w:rsidRPr="00734284" w:rsidRDefault="00734284" w:rsidP="00734284">
            <w:pPr>
              <w:jc w:val="right"/>
              <w:rPr>
                <w:rStyle w:val="QuoteChar"/>
              </w:rPr>
            </w:pPr>
            <w:r w:rsidRPr="00734284">
              <w:rPr>
                <w:rStyle w:val="QuoteChar"/>
              </w:rPr>
              <w:fldChar w:fldCharType="begin"/>
            </w:r>
            <w:r w:rsidRPr="00734284">
              <w:rPr>
                <w:rStyle w:val="QuoteChar"/>
              </w:rPr>
              <w:instrText xml:space="preserve"> INCLUDEPICTURE "/Users/danielhanningtonpinto/Library/Group Containers/UBF8T346G9.ms/WebArchiveCopyPasteTempFiles/com.microsoft.Word/c008da6e-18ed-4b52-896f-2c99ab91fbfa" \* MERGEFORMATINET </w:instrText>
            </w:r>
            <w:r w:rsidRPr="00734284">
              <w:rPr>
                <w:rStyle w:val="QuoteChar"/>
              </w:rPr>
              <w:fldChar w:fldCharType="separate"/>
            </w:r>
            <w:r w:rsidRPr="00734284">
              <w:rPr>
                <w:rStyle w:val="QuoteChar"/>
                <w:noProof/>
              </w:rPr>
              <w:drawing>
                <wp:inline distT="0" distB="0" distL="0" distR="0" wp14:anchorId="4526E033" wp14:editId="6F0F7FA1">
                  <wp:extent cx="2209800" cy="2937934"/>
                  <wp:effectExtent l="0" t="0" r="0" b="0"/>
                  <wp:docPr id="949148417" name="Picture 949148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5634" t="7949" r="7856" b="15406"/>
                          <a:stretch/>
                        </pic:blipFill>
                        <pic:spPr bwMode="auto">
                          <a:xfrm>
                            <a:off x="0" y="0"/>
                            <a:ext cx="2232126" cy="2967616"/>
                          </a:xfrm>
                          <a:prstGeom prst="rect">
                            <a:avLst/>
                          </a:prstGeom>
                          <a:noFill/>
                          <a:ln>
                            <a:noFill/>
                          </a:ln>
                          <a:extLst>
                            <a:ext uri="{53640926-AAD7-44D8-BBD7-CCE9431645EC}">
                              <a14:shadowObscured xmlns:a14="http://schemas.microsoft.com/office/drawing/2010/main"/>
                            </a:ext>
                          </a:extLst>
                        </pic:spPr>
                      </pic:pic>
                    </a:graphicData>
                  </a:graphic>
                </wp:inline>
              </w:drawing>
            </w:r>
            <w:r w:rsidRPr="00734284">
              <w:rPr>
                <w:rStyle w:val="QuoteChar"/>
              </w:rPr>
              <w:fldChar w:fldCharType="end"/>
            </w:r>
          </w:p>
        </w:tc>
      </w:tr>
      <w:tr w:rsidR="00734284" w14:paraId="2D5A810E" w14:textId="77777777" w:rsidTr="00CB6426">
        <w:tc>
          <w:tcPr>
            <w:tcW w:w="4678" w:type="dxa"/>
            <w:gridSpan w:val="7"/>
            <w:tcBorders>
              <w:right w:val="single" w:sz="2" w:space="0" w:color="D0CECE" w:themeColor="background2" w:themeShade="E6"/>
            </w:tcBorders>
            <w:vAlign w:val="center"/>
          </w:tcPr>
          <w:p w14:paraId="7C97FD86" w14:textId="6FB69990" w:rsidR="00734284" w:rsidRDefault="00734284" w:rsidP="00734284">
            <w:r w:rsidRPr="00734284">
              <w:rPr>
                <w:rStyle w:val="QuoteChar"/>
              </w:rPr>
              <w:t>“Beach – and my Mummy is here.”</w:t>
            </w:r>
          </w:p>
        </w:tc>
        <w:tc>
          <w:tcPr>
            <w:tcW w:w="4532" w:type="dxa"/>
            <w:gridSpan w:val="5"/>
            <w:tcBorders>
              <w:left w:val="single" w:sz="2" w:space="0" w:color="D0CECE" w:themeColor="background2" w:themeShade="E6"/>
            </w:tcBorders>
            <w:vAlign w:val="center"/>
          </w:tcPr>
          <w:p w14:paraId="6DE60BAB" w14:textId="1BCB9BF4" w:rsidR="00734284" w:rsidRPr="00734284" w:rsidRDefault="00734284" w:rsidP="00734284">
            <w:pPr>
              <w:jc w:val="center"/>
              <w:rPr>
                <w:rStyle w:val="QuoteChar"/>
              </w:rPr>
            </w:pPr>
            <w:r w:rsidRPr="00734284">
              <w:rPr>
                <w:rStyle w:val="QuoteChar"/>
              </w:rPr>
              <w:t xml:space="preserve">“I did a frog and he’s jumping into brown water, and once when my cousin was </w:t>
            </w:r>
            <w:proofErr w:type="gramStart"/>
            <w:r w:rsidRPr="00734284">
              <w:rPr>
                <w:rStyle w:val="QuoteChar"/>
              </w:rPr>
              <w:t>over</w:t>
            </w:r>
            <w:proofErr w:type="gramEnd"/>
            <w:r w:rsidRPr="00734284">
              <w:rPr>
                <w:rStyle w:val="QuoteChar"/>
              </w:rPr>
              <w:t xml:space="preserve"> we saw a tail [of a snake]. And it’s raining and the brown river is getting deeper because of the rain.”</w:t>
            </w:r>
          </w:p>
        </w:tc>
      </w:tr>
      <w:tr w:rsidR="00734284" w14:paraId="2B77BA63" w14:textId="77777777" w:rsidTr="00A41A0B">
        <w:tc>
          <w:tcPr>
            <w:tcW w:w="3960" w:type="dxa"/>
            <w:gridSpan w:val="6"/>
            <w:vAlign w:val="center"/>
          </w:tcPr>
          <w:p w14:paraId="04F928FC" w14:textId="0D8AAAEA" w:rsidR="00734284" w:rsidRDefault="00734284" w:rsidP="00734284"/>
        </w:tc>
        <w:tc>
          <w:tcPr>
            <w:tcW w:w="5250" w:type="dxa"/>
            <w:gridSpan w:val="6"/>
            <w:vAlign w:val="center"/>
          </w:tcPr>
          <w:p w14:paraId="65A5FA14" w14:textId="3DB525B8" w:rsidR="00734284" w:rsidRPr="00734284" w:rsidRDefault="00734284" w:rsidP="00734284">
            <w:pPr>
              <w:jc w:val="right"/>
              <w:rPr>
                <w:rStyle w:val="QuoteChar"/>
              </w:rPr>
            </w:pPr>
          </w:p>
        </w:tc>
      </w:tr>
      <w:tr w:rsidR="00734284" w14:paraId="21C5A38C" w14:textId="77777777" w:rsidTr="00A41A0B">
        <w:tc>
          <w:tcPr>
            <w:tcW w:w="6372" w:type="dxa"/>
            <w:gridSpan w:val="9"/>
            <w:tcBorders>
              <w:bottom w:val="single" w:sz="8" w:space="0" w:color="E7E6E6" w:themeColor="background2"/>
            </w:tcBorders>
            <w:vAlign w:val="center"/>
          </w:tcPr>
          <w:p w14:paraId="760C9C97" w14:textId="4A6A81B0" w:rsidR="00734284" w:rsidRPr="00734284" w:rsidRDefault="00734284" w:rsidP="00734284">
            <w:pPr>
              <w:rPr>
                <w:rStyle w:val="QuoteChar"/>
              </w:rPr>
            </w:pPr>
            <w:r>
              <w:fldChar w:fldCharType="begin"/>
            </w:r>
            <w:r>
              <w:instrText xml:space="preserve"> INCLUDEPICTURE "/Users/danielhanningtonpinto/Library/Group Containers/UBF8T346G9.ms/WebArchiveCopyPasteTempFiles/com.microsoft.Word/d8783a18-b0ce-4e89-b433-06ff1f28b0f2" \* MERGEFORMATINET </w:instrText>
            </w:r>
            <w:r>
              <w:fldChar w:fldCharType="separate"/>
            </w:r>
            <w:r>
              <w:rPr>
                <w:noProof/>
              </w:rPr>
              <w:drawing>
                <wp:inline distT="0" distB="0" distL="0" distR="0" wp14:anchorId="72FE131A" wp14:editId="74D373D4">
                  <wp:extent cx="2802937" cy="3736077"/>
                  <wp:effectExtent l="3492" t="0" r="0" b="0"/>
                  <wp:docPr id="443513715" name="Picture 44351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6200000">
                            <a:off x="0" y="0"/>
                            <a:ext cx="2949452" cy="3931368"/>
                          </a:xfrm>
                          <a:prstGeom prst="rect">
                            <a:avLst/>
                          </a:prstGeom>
                          <a:noFill/>
                          <a:ln>
                            <a:noFill/>
                          </a:ln>
                        </pic:spPr>
                      </pic:pic>
                    </a:graphicData>
                  </a:graphic>
                </wp:inline>
              </w:drawing>
            </w:r>
            <w:r>
              <w:fldChar w:fldCharType="end"/>
            </w:r>
          </w:p>
        </w:tc>
        <w:tc>
          <w:tcPr>
            <w:tcW w:w="2838" w:type="dxa"/>
            <w:gridSpan w:val="3"/>
            <w:tcBorders>
              <w:bottom w:val="single" w:sz="8" w:space="0" w:color="E7E6E6" w:themeColor="background2"/>
            </w:tcBorders>
            <w:vAlign w:val="center"/>
          </w:tcPr>
          <w:p w14:paraId="5CE03E5F" w14:textId="4FA05442" w:rsidR="00734284" w:rsidRPr="00734284" w:rsidRDefault="00734284" w:rsidP="00AD7D9E">
            <w:pPr>
              <w:jc w:val="center"/>
              <w:rPr>
                <w:rStyle w:val="QuoteChar"/>
              </w:rPr>
            </w:pPr>
            <w:r w:rsidRPr="00734284">
              <w:rPr>
                <w:rStyle w:val="QuoteChar"/>
              </w:rPr>
              <w:t>“Swimming pool. This is the sky.”</w:t>
            </w:r>
          </w:p>
        </w:tc>
      </w:tr>
      <w:tr w:rsidR="00734284" w14:paraId="1464D50F" w14:textId="77777777" w:rsidTr="00A41A0B">
        <w:tc>
          <w:tcPr>
            <w:tcW w:w="4678" w:type="dxa"/>
            <w:gridSpan w:val="7"/>
            <w:tcBorders>
              <w:top w:val="single" w:sz="8" w:space="0" w:color="E7E6E6" w:themeColor="background2"/>
              <w:right w:val="single" w:sz="8" w:space="0" w:color="E7E6E6" w:themeColor="background2"/>
            </w:tcBorders>
            <w:vAlign w:val="center"/>
          </w:tcPr>
          <w:p w14:paraId="40E751CC" w14:textId="1F64361A" w:rsidR="00734284" w:rsidRDefault="00734284" w:rsidP="00734284">
            <w:r>
              <w:lastRenderedPageBreak/>
              <w:fldChar w:fldCharType="begin"/>
            </w:r>
            <w:r>
              <w:instrText xml:space="preserve"> INCLUDEPICTURE "/Users/danielhanningtonpinto/Library/Group Containers/UBF8T346G9.ms/WebArchiveCopyPasteTempFiles/com.microsoft.Word/834bc455-5299-4dc2-90f8-9e2910298902" \* MERGEFORMATINET </w:instrText>
            </w:r>
            <w:r>
              <w:fldChar w:fldCharType="separate"/>
            </w:r>
            <w:r>
              <w:rPr>
                <w:noProof/>
              </w:rPr>
              <w:drawing>
                <wp:inline distT="0" distB="0" distL="0" distR="0" wp14:anchorId="627C46F4" wp14:editId="75951F02">
                  <wp:extent cx="2566948" cy="3361267"/>
                  <wp:effectExtent l="0" t="0" r="0" b="4445"/>
                  <wp:docPr id="1119338412" name="Picture 1119338412" descr="A drawing on a white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338412" name="Picture 28" descr="A drawing on a white paper&#10;&#10;Description automatically generated"/>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3275" b="3838"/>
                          <a:stretch/>
                        </pic:blipFill>
                        <pic:spPr bwMode="auto">
                          <a:xfrm>
                            <a:off x="0" y="0"/>
                            <a:ext cx="2708328" cy="3546396"/>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4532" w:type="dxa"/>
            <w:gridSpan w:val="5"/>
            <w:tcBorders>
              <w:top w:val="single" w:sz="8" w:space="0" w:color="E7E6E6" w:themeColor="background2"/>
              <w:left w:val="single" w:sz="8" w:space="0" w:color="E7E6E6" w:themeColor="background2"/>
            </w:tcBorders>
            <w:vAlign w:val="center"/>
          </w:tcPr>
          <w:p w14:paraId="0539C5C5" w14:textId="1997B045" w:rsidR="00734284" w:rsidRPr="00734284" w:rsidRDefault="00734284" w:rsidP="00734284">
            <w:pPr>
              <w:jc w:val="right"/>
              <w:rPr>
                <w:rStyle w:val="QuoteChar"/>
              </w:rPr>
            </w:pPr>
            <w:r>
              <w:fldChar w:fldCharType="begin"/>
            </w:r>
            <w:r>
              <w:instrText xml:space="preserve"> INCLUDEPICTURE "/Users/danielhanningtonpinto/Library/Group Containers/UBF8T346G9.ms/WebArchiveCopyPasteTempFiles/com.microsoft.Word/f6fc0520-3094-4af3-8c3d-d427905b2b9a" \* MERGEFORMATINET </w:instrText>
            </w:r>
            <w:r>
              <w:fldChar w:fldCharType="separate"/>
            </w:r>
            <w:r>
              <w:rPr>
                <w:noProof/>
              </w:rPr>
              <w:drawing>
                <wp:inline distT="0" distB="0" distL="0" distR="0" wp14:anchorId="6B520002" wp14:editId="6A710370">
                  <wp:extent cx="3502285" cy="2576195"/>
                  <wp:effectExtent l="5715" t="0" r="0" b="0"/>
                  <wp:docPr id="3031504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3082" b="4947"/>
                          <a:stretch/>
                        </pic:blipFill>
                        <pic:spPr bwMode="auto">
                          <a:xfrm rot="16200000">
                            <a:off x="0" y="0"/>
                            <a:ext cx="3636959" cy="267525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734284" w:rsidRPr="00734284" w14:paraId="65A192A3" w14:textId="77777777" w:rsidTr="00AC37F4">
        <w:tc>
          <w:tcPr>
            <w:tcW w:w="4678" w:type="dxa"/>
            <w:gridSpan w:val="7"/>
            <w:tcBorders>
              <w:right w:val="single" w:sz="8" w:space="0" w:color="E7E6E6" w:themeColor="background2"/>
            </w:tcBorders>
            <w:vAlign w:val="center"/>
          </w:tcPr>
          <w:p w14:paraId="59CAB910" w14:textId="042574B2" w:rsidR="00734284" w:rsidRPr="00734284" w:rsidRDefault="00734284" w:rsidP="00734284">
            <w:pPr>
              <w:jc w:val="center"/>
              <w:rPr>
                <w:rStyle w:val="QuoteChar"/>
              </w:rPr>
            </w:pPr>
            <w:r w:rsidRPr="00734284">
              <w:rPr>
                <w:rStyle w:val="QuoteChar"/>
              </w:rPr>
              <w:t>“It’s a worm. I care for worms because I don’t want them to die.”</w:t>
            </w:r>
          </w:p>
        </w:tc>
        <w:tc>
          <w:tcPr>
            <w:tcW w:w="4532" w:type="dxa"/>
            <w:gridSpan w:val="5"/>
            <w:tcBorders>
              <w:left w:val="single" w:sz="8" w:space="0" w:color="E7E6E6" w:themeColor="background2"/>
            </w:tcBorders>
            <w:vAlign w:val="center"/>
          </w:tcPr>
          <w:p w14:paraId="512A7A45" w14:textId="24592676" w:rsidR="00734284" w:rsidRPr="00734284" w:rsidRDefault="00734284" w:rsidP="00734284">
            <w:pPr>
              <w:jc w:val="center"/>
              <w:rPr>
                <w:rStyle w:val="QuoteChar"/>
              </w:rPr>
            </w:pPr>
            <w:r w:rsidRPr="00734284">
              <w:rPr>
                <w:rStyle w:val="QuoteChar"/>
              </w:rPr>
              <w:t>“I’m drawing a penguin. My Dad likes penguins. It’s raining.”</w:t>
            </w:r>
          </w:p>
        </w:tc>
      </w:tr>
      <w:tr w:rsidR="00734284" w:rsidRPr="00734284" w14:paraId="3A6C7D09" w14:textId="77777777" w:rsidTr="00AC37F4">
        <w:tc>
          <w:tcPr>
            <w:tcW w:w="6088" w:type="dxa"/>
            <w:gridSpan w:val="8"/>
            <w:tcBorders>
              <w:bottom w:val="single" w:sz="8" w:space="0" w:color="E7E6E6" w:themeColor="background2"/>
            </w:tcBorders>
          </w:tcPr>
          <w:p w14:paraId="020C1057" w14:textId="4B823CB5" w:rsidR="00734284" w:rsidRPr="00734284" w:rsidRDefault="00734284" w:rsidP="00734284">
            <w:pPr>
              <w:rPr>
                <w:rStyle w:val="QuoteChar"/>
              </w:rPr>
            </w:pPr>
            <w:r>
              <w:fldChar w:fldCharType="begin"/>
            </w:r>
            <w:r>
              <w:instrText xml:space="preserve"> INCLUDEPICTURE "/Users/danielhanningtonpinto/Library/Group Containers/UBF8T346G9.ms/WebArchiveCopyPasteTempFiles/com.microsoft.Word/09bf3bd8-0adc-4b67-b84e-c840b6daca76" \* MERGEFORMATINET </w:instrText>
            </w:r>
            <w:r>
              <w:fldChar w:fldCharType="separate"/>
            </w:r>
            <w:r>
              <w:rPr>
                <w:noProof/>
              </w:rPr>
              <w:drawing>
                <wp:inline distT="0" distB="0" distL="0" distR="0" wp14:anchorId="5E5FC30B" wp14:editId="7CA8BB22">
                  <wp:extent cx="3632200" cy="2822944"/>
                  <wp:effectExtent l="0" t="0" r="0" b="0"/>
                  <wp:docPr id="69910922" name="Picture 6991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939204" cy="3061547"/>
                          </a:xfrm>
                          <a:prstGeom prst="rect">
                            <a:avLst/>
                          </a:prstGeom>
                          <a:noFill/>
                          <a:ln>
                            <a:noFill/>
                          </a:ln>
                        </pic:spPr>
                      </pic:pic>
                    </a:graphicData>
                  </a:graphic>
                </wp:inline>
              </w:drawing>
            </w:r>
            <w:r>
              <w:fldChar w:fldCharType="end"/>
            </w:r>
          </w:p>
        </w:tc>
        <w:tc>
          <w:tcPr>
            <w:tcW w:w="3122" w:type="dxa"/>
            <w:gridSpan w:val="4"/>
            <w:tcBorders>
              <w:bottom w:val="single" w:sz="8" w:space="0" w:color="E7E6E6" w:themeColor="background2"/>
            </w:tcBorders>
            <w:vAlign w:val="center"/>
          </w:tcPr>
          <w:p w14:paraId="23DB983F" w14:textId="021F4CF3" w:rsidR="00734284" w:rsidRPr="00734284" w:rsidRDefault="00734284" w:rsidP="00AD7D9E">
            <w:pPr>
              <w:jc w:val="center"/>
              <w:rPr>
                <w:rStyle w:val="QuoteChar"/>
              </w:rPr>
            </w:pPr>
            <w:r w:rsidRPr="00734284">
              <w:rPr>
                <w:rStyle w:val="QuoteChar"/>
              </w:rPr>
              <w:t>“Some duck foots, the ocean, the sun, and a pink snake.”</w:t>
            </w:r>
          </w:p>
        </w:tc>
      </w:tr>
      <w:tr w:rsidR="00734284" w:rsidRPr="00734284" w14:paraId="08B2EF43" w14:textId="77777777" w:rsidTr="00AC37F4">
        <w:tc>
          <w:tcPr>
            <w:tcW w:w="3254" w:type="dxa"/>
            <w:gridSpan w:val="4"/>
            <w:tcBorders>
              <w:top w:val="single" w:sz="8" w:space="0" w:color="E7E6E6" w:themeColor="background2"/>
              <w:bottom w:val="single" w:sz="8" w:space="0" w:color="E7E6E6" w:themeColor="background2"/>
            </w:tcBorders>
            <w:vAlign w:val="center"/>
          </w:tcPr>
          <w:p w14:paraId="787C52A1" w14:textId="08DD6E96" w:rsidR="00734284" w:rsidRDefault="00734284" w:rsidP="00AD7D9E">
            <w:pPr>
              <w:jc w:val="center"/>
            </w:pPr>
            <w:r w:rsidRPr="00734284">
              <w:rPr>
                <w:rStyle w:val="QuoteChar"/>
              </w:rPr>
              <w:lastRenderedPageBreak/>
              <w:t>“Well, that’s some sea and that’s the sun, and that’s some more sea.”</w:t>
            </w:r>
          </w:p>
        </w:tc>
        <w:tc>
          <w:tcPr>
            <w:tcW w:w="5956" w:type="dxa"/>
            <w:gridSpan w:val="8"/>
            <w:tcBorders>
              <w:top w:val="single" w:sz="8" w:space="0" w:color="E7E6E6" w:themeColor="background2"/>
              <w:bottom w:val="single" w:sz="8" w:space="0" w:color="E7E6E6" w:themeColor="background2"/>
            </w:tcBorders>
            <w:vAlign w:val="center"/>
          </w:tcPr>
          <w:p w14:paraId="547ADE67" w14:textId="049FCE9A" w:rsidR="00734284" w:rsidRPr="00734284" w:rsidRDefault="00734284" w:rsidP="00734284">
            <w:pPr>
              <w:jc w:val="right"/>
              <w:rPr>
                <w:rStyle w:val="QuoteChar"/>
              </w:rPr>
            </w:pPr>
            <w:r>
              <w:fldChar w:fldCharType="begin"/>
            </w:r>
            <w:r>
              <w:instrText xml:space="preserve"> INCLUDEPICTURE "/Users/danielhanningtonpinto/Library/Group Containers/UBF8T346G9.ms/WebArchiveCopyPasteTempFiles/com.microsoft.Word/41ff0d12-6b34-4cd4-98ab-015c647a32fd" \* MERGEFORMATINET </w:instrText>
            </w:r>
            <w:r>
              <w:fldChar w:fldCharType="separate"/>
            </w:r>
            <w:r>
              <w:rPr>
                <w:noProof/>
              </w:rPr>
              <w:drawing>
                <wp:inline distT="0" distB="0" distL="0" distR="0" wp14:anchorId="01C5982E" wp14:editId="146BD2F6">
                  <wp:extent cx="3429000" cy="2284355"/>
                  <wp:effectExtent l="0" t="0" r="0" b="1905"/>
                  <wp:docPr id="1243459183" name="Picture 17" descr="A painting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459183" name="Picture 17" descr="A painting on a white surface&#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92892" cy="2326919"/>
                          </a:xfrm>
                          <a:prstGeom prst="rect">
                            <a:avLst/>
                          </a:prstGeom>
                          <a:noFill/>
                          <a:ln>
                            <a:noFill/>
                          </a:ln>
                        </pic:spPr>
                      </pic:pic>
                    </a:graphicData>
                  </a:graphic>
                </wp:inline>
              </w:drawing>
            </w:r>
            <w:r>
              <w:fldChar w:fldCharType="end"/>
            </w:r>
          </w:p>
        </w:tc>
      </w:tr>
      <w:tr w:rsidR="00734284" w:rsidRPr="00734284" w14:paraId="272FC3F1" w14:textId="77777777" w:rsidTr="00A41A0B">
        <w:tc>
          <w:tcPr>
            <w:tcW w:w="6372" w:type="dxa"/>
            <w:gridSpan w:val="9"/>
            <w:tcBorders>
              <w:top w:val="single" w:sz="8" w:space="0" w:color="E7E6E6" w:themeColor="background2"/>
            </w:tcBorders>
            <w:vAlign w:val="center"/>
          </w:tcPr>
          <w:p w14:paraId="2E0CCF4F" w14:textId="6F31D097" w:rsidR="00734284" w:rsidRPr="00734284" w:rsidRDefault="00734284" w:rsidP="00734284">
            <w:pPr>
              <w:rPr>
                <w:rStyle w:val="QuoteChar"/>
              </w:rPr>
            </w:pPr>
            <w:r>
              <w:fldChar w:fldCharType="begin"/>
            </w:r>
            <w:r>
              <w:instrText xml:space="preserve"> INCLUDEPICTURE "/Users/danielhanningtonpinto/Library/Group Containers/UBF8T346G9.ms/WebArchiveCopyPasteTempFiles/com.microsoft.Word/e423c1bc-68bd-4e31-a54c-34260ddf9e58" \* MERGEFORMATINET </w:instrText>
            </w:r>
            <w:r>
              <w:fldChar w:fldCharType="separate"/>
            </w:r>
            <w:r>
              <w:rPr>
                <w:noProof/>
              </w:rPr>
              <w:drawing>
                <wp:inline distT="0" distB="0" distL="0" distR="0" wp14:anchorId="651C35B4" wp14:editId="0645162E">
                  <wp:extent cx="3695700" cy="2462025"/>
                  <wp:effectExtent l="0" t="0" r="0" b="1905"/>
                  <wp:docPr id="11974622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27882" cy="2483464"/>
                          </a:xfrm>
                          <a:prstGeom prst="rect">
                            <a:avLst/>
                          </a:prstGeom>
                          <a:noFill/>
                          <a:ln>
                            <a:noFill/>
                          </a:ln>
                        </pic:spPr>
                      </pic:pic>
                    </a:graphicData>
                  </a:graphic>
                </wp:inline>
              </w:drawing>
            </w:r>
            <w:r>
              <w:fldChar w:fldCharType="end"/>
            </w:r>
          </w:p>
        </w:tc>
        <w:tc>
          <w:tcPr>
            <w:tcW w:w="2838" w:type="dxa"/>
            <w:gridSpan w:val="3"/>
            <w:tcBorders>
              <w:top w:val="single" w:sz="8" w:space="0" w:color="E7E6E6" w:themeColor="background2"/>
            </w:tcBorders>
            <w:vAlign w:val="center"/>
          </w:tcPr>
          <w:p w14:paraId="3C79C964" w14:textId="1143C0C8" w:rsidR="00734284" w:rsidRPr="00734284" w:rsidRDefault="00734284" w:rsidP="00AD7D9E">
            <w:pPr>
              <w:jc w:val="center"/>
              <w:rPr>
                <w:rStyle w:val="QuoteChar"/>
              </w:rPr>
            </w:pPr>
            <w:r w:rsidRPr="00734284">
              <w:rPr>
                <w:rStyle w:val="QuoteChar"/>
              </w:rPr>
              <w:t xml:space="preserve">“I’m making a road and this is a house – the horsey house. The </w:t>
            </w:r>
            <w:proofErr w:type="spellStart"/>
            <w:r w:rsidRPr="00734284">
              <w:rPr>
                <w:rStyle w:val="QuoteChar"/>
              </w:rPr>
              <w:t>horsies</w:t>
            </w:r>
            <w:proofErr w:type="spellEnd"/>
            <w:r w:rsidRPr="00734284">
              <w:rPr>
                <w:rStyle w:val="QuoteChar"/>
              </w:rPr>
              <w:t xml:space="preserve"> sleep in it. Wee-</w:t>
            </w:r>
            <w:proofErr w:type="spellStart"/>
            <w:r w:rsidRPr="00734284">
              <w:rPr>
                <w:rStyle w:val="QuoteChar"/>
              </w:rPr>
              <w:t>awww</w:t>
            </w:r>
            <w:proofErr w:type="spellEnd"/>
            <w:r w:rsidRPr="00734284">
              <w:rPr>
                <w:rStyle w:val="QuoteChar"/>
              </w:rPr>
              <w:t>, wee-</w:t>
            </w:r>
            <w:proofErr w:type="spellStart"/>
            <w:r w:rsidRPr="00734284">
              <w:rPr>
                <w:rStyle w:val="QuoteChar"/>
              </w:rPr>
              <w:t>awwww</w:t>
            </w:r>
            <w:proofErr w:type="spellEnd"/>
            <w:r w:rsidRPr="00734284">
              <w:rPr>
                <w:rStyle w:val="QuoteChar"/>
              </w:rPr>
              <w:t xml:space="preserve"> – police and ambulance.”</w:t>
            </w:r>
          </w:p>
        </w:tc>
      </w:tr>
      <w:tr w:rsidR="00734284" w:rsidRPr="00734284" w14:paraId="10E1C51B" w14:textId="77777777" w:rsidTr="00734284">
        <w:tc>
          <w:tcPr>
            <w:tcW w:w="3254" w:type="dxa"/>
            <w:gridSpan w:val="4"/>
            <w:vAlign w:val="center"/>
          </w:tcPr>
          <w:p w14:paraId="125B94D6" w14:textId="26DF401C" w:rsidR="00734284" w:rsidRDefault="00734284" w:rsidP="00AD7D9E">
            <w:pPr>
              <w:jc w:val="center"/>
            </w:pPr>
            <w:r w:rsidRPr="00734284">
              <w:rPr>
                <w:rStyle w:val="QuoteChar"/>
              </w:rPr>
              <w:t>“A rock creek, a sign, a playground, and a bridge.”</w:t>
            </w:r>
          </w:p>
        </w:tc>
        <w:tc>
          <w:tcPr>
            <w:tcW w:w="5956" w:type="dxa"/>
            <w:gridSpan w:val="8"/>
            <w:vAlign w:val="center"/>
          </w:tcPr>
          <w:p w14:paraId="5E69835F" w14:textId="2273A74C" w:rsidR="00734284" w:rsidRPr="00734284" w:rsidRDefault="00734284" w:rsidP="00734284">
            <w:pPr>
              <w:jc w:val="right"/>
              <w:rPr>
                <w:rStyle w:val="QuoteChar"/>
              </w:rPr>
            </w:pPr>
            <w:r>
              <w:fldChar w:fldCharType="begin"/>
            </w:r>
            <w:r>
              <w:instrText xml:space="preserve"> INCLUDEPICTURE "/Users/danielhanningtonpinto/Library/Group Containers/UBF8T346G9.ms/WebArchiveCopyPasteTempFiles/com.microsoft.Word/e5ace927-4218-4fb3-b706-96f3763ca6c4" \* MERGEFORMATINET </w:instrText>
            </w:r>
            <w:r>
              <w:fldChar w:fldCharType="separate"/>
            </w:r>
            <w:r>
              <w:rPr>
                <w:noProof/>
              </w:rPr>
              <w:drawing>
                <wp:inline distT="0" distB="0" distL="0" distR="0" wp14:anchorId="49E5D052" wp14:editId="1075BF18">
                  <wp:extent cx="3423683" cy="2385123"/>
                  <wp:effectExtent l="0" t="0" r="5715" b="2540"/>
                  <wp:docPr id="137976457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456031" cy="2407658"/>
                          </a:xfrm>
                          <a:prstGeom prst="rect">
                            <a:avLst/>
                          </a:prstGeom>
                          <a:noFill/>
                          <a:ln>
                            <a:noFill/>
                          </a:ln>
                        </pic:spPr>
                      </pic:pic>
                    </a:graphicData>
                  </a:graphic>
                </wp:inline>
              </w:drawing>
            </w:r>
            <w:r>
              <w:fldChar w:fldCharType="end"/>
            </w:r>
          </w:p>
        </w:tc>
      </w:tr>
    </w:tbl>
    <w:p w14:paraId="0CBC403A" w14:textId="77777777" w:rsidR="00BB0495" w:rsidRDefault="00BB0495" w:rsidP="006D3D1E">
      <w:bookmarkStart w:id="63" w:name="_Toc158731053"/>
    </w:p>
    <w:p w14:paraId="6FC6ACAA" w14:textId="77777777" w:rsidR="00BB0495" w:rsidRPr="00BB0495" w:rsidRDefault="00BB0495" w:rsidP="00BB0495"/>
    <w:tbl>
      <w:tblPr>
        <w:tblStyle w:val="TableGrid"/>
        <w:tblW w:w="0" w:type="auto"/>
        <w:tblLook w:val="04A0" w:firstRow="1" w:lastRow="0" w:firstColumn="1" w:lastColumn="0" w:noHBand="0" w:noVBand="1"/>
      </w:tblPr>
      <w:tblGrid>
        <w:gridCol w:w="9016"/>
      </w:tblGrid>
      <w:tr w:rsidR="00BB0495" w14:paraId="5767C068" w14:textId="77777777" w:rsidTr="00BB0495">
        <w:tc>
          <w:tcPr>
            <w:tcW w:w="9016" w:type="dxa"/>
          </w:tcPr>
          <w:p w14:paraId="1360AE11" w14:textId="77777777" w:rsidR="00BB0495" w:rsidRPr="00FD7E85" w:rsidRDefault="00BB0495" w:rsidP="00BB0495">
            <w:pPr>
              <w:widowControl w:val="0"/>
              <w:jc w:val="center"/>
              <w:rPr>
                <w:u w:val="single"/>
              </w:rPr>
            </w:pPr>
            <w:r w:rsidRPr="00FD7E85">
              <w:rPr>
                <w:u w:val="single"/>
              </w:rPr>
              <w:lastRenderedPageBreak/>
              <w:t>Researchers’ interpretation and implications for policy</w:t>
            </w:r>
          </w:p>
          <w:p w14:paraId="7F028E00" w14:textId="77777777" w:rsidR="00BB0495" w:rsidRPr="00FD7E85" w:rsidRDefault="00BB0495" w:rsidP="00BB0495">
            <w:pPr>
              <w:widowControl w:val="0"/>
            </w:pPr>
            <w:r>
              <w:t xml:space="preserve">Children’s interest and enjoyment of the natural world as represented in the data points to expressed desire by children to have access to and engagement with natural elements in the early childhood experiences. </w:t>
            </w:r>
            <w:r w:rsidRPr="00FD7E85">
              <w:t xml:space="preserve">A particularly interesting observation around the use of natural settings was made at one service. When offered to play in the spacious outdoor environment at the back of the </w:t>
            </w:r>
            <w:r>
              <w:t>service</w:t>
            </w:r>
            <w:r w:rsidRPr="00FD7E85">
              <w:t xml:space="preserve">, children were discouraged from bringing any of the toys, resources, or materials from other parts of the service; instead, being urged to immerse themselves fully in the setting itself. In effect, the natural space at this service has become a ‘prop’ for play-based learning in its own right – rather than simply a type of setting in which learning takes place. Although a correlation cannot be determined with any real confidence, it was nonetheless noted that children’s capacity to solve problems and make complex observations about many different aspects of their lives, may have been enhanced by such activities. </w:t>
            </w:r>
          </w:p>
          <w:p w14:paraId="24EDF1F3" w14:textId="42470D03" w:rsidR="00BB0495" w:rsidRDefault="00BB0495" w:rsidP="00BB0495">
            <w:pPr>
              <w:widowControl w:val="0"/>
            </w:pPr>
            <w:r w:rsidRPr="00FD7E85">
              <w:t xml:space="preserve">More broadly, the findings noted in this section arguably highlight </w:t>
            </w:r>
            <w:r>
              <w:t xml:space="preserve">children’s </w:t>
            </w:r>
            <w:r w:rsidRPr="00FD7E85">
              <w:t xml:space="preserve">profound </w:t>
            </w:r>
            <w:r>
              <w:t>desire for</w:t>
            </w:r>
            <w:r w:rsidRPr="00FD7E85">
              <w:t xml:space="preserve"> natural spaces and physical activity</w:t>
            </w:r>
            <w:r>
              <w:t xml:space="preserve">. </w:t>
            </w:r>
            <w:r w:rsidRPr="00FD7E85">
              <w:t xml:space="preserve">In this context, </w:t>
            </w:r>
            <w:r>
              <w:t xml:space="preserve">children are expressing their enjoyment of and interest in </w:t>
            </w:r>
            <w:r w:rsidRPr="00FD7E85">
              <w:t>outdoor environments, natural materials, and opportunities to explore the local community – which all provide stimulating opportunities for children</w:t>
            </w:r>
            <w:r>
              <w:t>’s learning, development and wellbeing</w:t>
            </w:r>
            <w:r w:rsidRPr="00FD7E85">
              <w:t>.</w:t>
            </w:r>
          </w:p>
        </w:tc>
      </w:tr>
    </w:tbl>
    <w:p w14:paraId="2570D1AB" w14:textId="77777777" w:rsidR="00C26EE4" w:rsidRPr="00CB1EC6" w:rsidRDefault="00C26EE4" w:rsidP="00C26EE4">
      <w:pPr>
        <w:pStyle w:val="Heading2"/>
        <w:widowControl w:val="0"/>
      </w:pPr>
      <w:bookmarkStart w:id="64" w:name="_Toc177135996"/>
      <w:r>
        <w:t>Agency, boundaries, emotional wellbeing, and self-awareness</w:t>
      </w:r>
      <w:bookmarkEnd w:id="63"/>
      <w:bookmarkEnd w:id="64"/>
    </w:p>
    <w:p w14:paraId="742848C3" w14:textId="39D99EE3" w:rsidR="00C26EE4" w:rsidRDefault="00C26EE4" w:rsidP="00C26EE4">
      <w:r>
        <w:t xml:space="preserve">The data highlighted an emerging, and in some cases already developed, set of intrapersonal skills among many of the children. Such capabilities associated with the self, </w:t>
      </w:r>
      <w:r w:rsidR="007D0C94">
        <w:t>including</w:t>
      </w:r>
      <w:r>
        <w:t xml:space="preserve"> resilience, adaptability, boundary-setting, the ability to plan and think of the future, and other emotional skills – are honed across all environments children grow up in. While the home is no doubt a key setting in this context, time spent in settings such as ECEC services are undoubtedly important, providing opportunities to engage with others, children and adults alike, in a broad range of situations and scenarios – including ones where things don’t always go to plan. Some responses, for instance, suggested that navigating the social and environmental parameters of their ECEC services</w:t>
      </w:r>
      <w:r w:rsidR="003E1217">
        <w:t xml:space="preserve"> (as well as the other ‘worlds’ they inhabit at different times, including at home)</w:t>
      </w:r>
      <w:r>
        <w:t xml:space="preserve"> had helped develop in children a sense of agency, or the ability to respectfully express ownership over the world around them, while other responses portrayed an understanding of risk and safety.</w:t>
      </w:r>
    </w:p>
    <w:p w14:paraId="487C5128" w14:textId="661F1699" w:rsidR="00C26EE4" w:rsidRDefault="00C26EE4" w:rsidP="00C26EE4">
      <w:r>
        <w:t>Relatedly, many of the responses during the consultations suggested children in these early years acknowledge, and welcome the opportunity to express</w:t>
      </w:r>
      <w:r w:rsidDel="002A2380">
        <w:t>,</w:t>
      </w:r>
      <w:r>
        <w:t xml:space="preserve"> their emotions and feelings. Moreover, it is clear in many cases that children can identify the feelings of others. In some cases, this sense of intersubjectivity and empathy extended not just to those with whom children engage with daily, but also to those around the world, who some children acknowledge need support and assistance because of the situation in which they find themselves. This showed an understanding, on the part of some children participants, that their own set of experiences are not shared by all their peers</w:t>
      </w:r>
      <w:r w:rsidR="007D0C94">
        <w:t xml:space="preserve">, </w:t>
      </w:r>
      <w:r>
        <w:t xml:space="preserve">and </w:t>
      </w:r>
      <w:r w:rsidR="007D0C94">
        <w:t xml:space="preserve">that </w:t>
      </w:r>
      <w:r>
        <w:t xml:space="preserve">the experience of disadvantage, for example, was other or separate to them. While this may speak to the benefit of high quality ECEC in expanding children’s awareness – it may also prompt questions in relation to who is </w:t>
      </w:r>
      <w:r w:rsidR="007D0C94">
        <w:t xml:space="preserve">or is not </w:t>
      </w:r>
      <w:r>
        <w:t>accessing ECEC services</w:t>
      </w:r>
      <w:r w:rsidR="007D0C94">
        <w:t>,</w:t>
      </w:r>
      <w:r>
        <w:t xml:space="preserve"> and how ‘disadvantage’ is understood in society. </w:t>
      </w:r>
    </w:p>
    <w:p w14:paraId="5F0A0C8F" w14:textId="259E0CC3" w:rsidR="00C26EE4" w:rsidRDefault="00C26EE4" w:rsidP="00C26EE4">
      <w:r>
        <w:t xml:space="preserve">Interpersonal skills too, as already discussed in the Relationships and Connections section above, were clear among children’s responses and artworks. In addition to the observations noted earlier, these capacities were seen in the way that many children, for instance, understood the landscape creation activity as one that could best be pursued collaboratively – despite the </w:t>
      </w:r>
      <w:r>
        <w:lastRenderedPageBreak/>
        <w:t>task being introduced and framed in individualistic terms. On one of the several occasions this was observed, a conversation with the educator revealed that many of the children had built on friendships developed within the service to spend time together outside of the formal ECEC environment – for instance, attending each other’s birthday parties or other gatherings on weekends. Such developments point, once again, to the central role played by ECEC services in children’s lives, in this case in a socio-emotional context.</w:t>
      </w:r>
    </w:p>
    <w:tbl>
      <w:tblPr>
        <w:tblStyle w:val="TableGrid"/>
        <w:tblW w:w="921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7938"/>
      </w:tblGrid>
      <w:tr w:rsidR="00D169E0" w:rsidRPr="00A41A0B" w14:paraId="19DDB226" w14:textId="77777777" w:rsidTr="00D169E0">
        <w:tc>
          <w:tcPr>
            <w:tcW w:w="1276" w:type="dxa"/>
            <w:vMerge w:val="restart"/>
          </w:tcPr>
          <w:p w14:paraId="3783049B" w14:textId="415E2993" w:rsidR="00A41A0B" w:rsidRPr="00A41A0B" w:rsidRDefault="00A41A0B" w:rsidP="00D169E0">
            <w:pPr>
              <w:pStyle w:val="Quote"/>
              <w:spacing w:before="120" w:after="120"/>
              <w:ind w:left="0" w:right="0"/>
            </w:pPr>
            <w:r w:rsidRPr="007D09D3">
              <w:rPr>
                <w:noProof/>
              </w:rPr>
              <w:drawing>
                <wp:inline distT="0" distB="0" distL="0" distR="0" wp14:anchorId="546DD17B" wp14:editId="5A45DEC2">
                  <wp:extent cx="513080" cy="513080"/>
                  <wp:effectExtent l="0" t="0" r="1270" b="1270"/>
                  <wp:docPr id="451984886" name="Picture 15">
                    <a:extLst xmlns:a="http://schemas.openxmlformats.org/drawingml/2006/main">
                      <a:ext uri="{FF2B5EF4-FFF2-40B4-BE49-F238E27FC236}">
                        <a16:creationId xmlns:a16="http://schemas.microsoft.com/office/drawing/2014/main" id="{8E84EFB3-18B2-80DC-37F1-785E4A195EF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984886" name="Picture 15">
                            <a:extLst>
                              <a:ext uri="{FF2B5EF4-FFF2-40B4-BE49-F238E27FC236}">
                                <a16:creationId xmlns:a16="http://schemas.microsoft.com/office/drawing/2014/main" id="{8E84EFB3-18B2-80DC-37F1-785E4A195EF0}"/>
                              </a:ext>
                              <a:ext uri="{C183D7F6-B498-43B3-948B-1728B52AA6E4}">
                                <adec:decorative xmlns:adec="http://schemas.microsoft.com/office/drawing/2017/decorative" val="1"/>
                              </a:ext>
                            </a:extLst>
                          </pic:cNvPr>
                          <pic:cNvPicPr>
                            <a:picLocks noChangeAspect="1"/>
                          </pic:cNvPicPr>
                        </pic:nvPicPr>
                        <pic:blipFill rotWithShape="1">
                          <a:blip r:embed="rId29"/>
                          <a:srcRect l="13238" t="10850" r="13526" b="15915"/>
                          <a:stretch/>
                        </pic:blipFill>
                        <pic:spPr>
                          <a:xfrm>
                            <a:off x="0" y="0"/>
                            <a:ext cx="515426" cy="515426"/>
                          </a:xfrm>
                          <a:prstGeom prst="rect">
                            <a:avLst/>
                          </a:prstGeom>
                        </pic:spPr>
                      </pic:pic>
                    </a:graphicData>
                  </a:graphic>
                </wp:inline>
              </w:drawing>
            </w:r>
          </w:p>
        </w:tc>
        <w:tc>
          <w:tcPr>
            <w:tcW w:w="7938" w:type="dxa"/>
            <w:tcBorders>
              <w:bottom w:val="single" w:sz="8" w:space="0" w:color="E7E6E6" w:themeColor="background2"/>
            </w:tcBorders>
          </w:tcPr>
          <w:p w14:paraId="26A81942" w14:textId="64FC20CB" w:rsidR="00A41A0B" w:rsidRPr="00A41A0B" w:rsidRDefault="00A41A0B" w:rsidP="00D169E0">
            <w:pPr>
              <w:pStyle w:val="Quote"/>
              <w:spacing w:before="120" w:after="120"/>
              <w:ind w:left="0" w:right="0"/>
            </w:pPr>
            <w:r w:rsidRPr="00A41A0B">
              <w:t>“When I go to big school, [friend’s name] won’t be there. He will go to another school.”</w:t>
            </w:r>
          </w:p>
        </w:tc>
      </w:tr>
      <w:tr w:rsidR="00D169E0" w:rsidRPr="00A41A0B" w14:paraId="78A607A4" w14:textId="77777777" w:rsidTr="00D169E0">
        <w:tc>
          <w:tcPr>
            <w:tcW w:w="1276" w:type="dxa"/>
            <w:vMerge/>
          </w:tcPr>
          <w:p w14:paraId="626D62EC" w14:textId="77777777" w:rsidR="00A41A0B" w:rsidRPr="00A41A0B" w:rsidRDefault="00A41A0B" w:rsidP="00D169E0">
            <w:pPr>
              <w:pStyle w:val="Quote"/>
              <w:spacing w:before="120" w:after="120"/>
              <w:ind w:left="0" w:right="0"/>
            </w:pPr>
          </w:p>
        </w:tc>
        <w:tc>
          <w:tcPr>
            <w:tcW w:w="7938" w:type="dxa"/>
            <w:tcBorders>
              <w:top w:val="single" w:sz="8" w:space="0" w:color="E7E6E6" w:themeColor="background2"/>
              <w:bottom w:val="single" w:sz="8" w:space="0" w:color="E7E6E6" w:themeColor="background2"/>
            </w:tcBorders>
          </w:tcPr>
          <w:p w14:paraId="690825FB" w14:textId="47249B7A" w:rsidR="00A41A0B" w:rsidRPr="00A41A0B" w:rsidRDefault="00A41A0B" w:rsidP="00D169E0">
            <w:pPr>
              <w:pStyle w:val="Quote"/>
              <w:spacing w:before="120" w:after="120"/>
              <w:ind w:left="0" w:right="0"/>
            </w:pPr>
            <w:r w:rsidRPr="00A41A0B">
              <w:t>“A holiday house, because there’s lots of bedrooms and we get to pick our bedrooms.”</w:t>
            </w:r>
          </w:p>
        </w:tc>
      </w:tr>
      <w:tr w:rsidR="00D169E0" w:rsidRPr="00A41A0B" w14:paraId="0EF0B573" w14:textId="77777777" w:rsidTr="00D169E0">
        <w:tc>
          <w:tcPr>
            <w:tcW w:w="1276" w:type="dxa"/>
          </w:tcPr>
          <w:p w14:paraId="2A755810" w14:textId="77777777" w:rsidR="00A41A0B" w:rsidRPr="00A41A0B" w:rsidRDefault="00A41A0B" w:rsidP="00D169E0">
            <w:pPr>
              <w:pStyle w:val="Quote"/>
              <w:spacing w:before="120" w:after="120"/>
              <w:ind w:left="0" w:right="0"/>
            </w:pPr>
          </w:p>
        </w:tc>
        <w:tc>
          <w:tcPr>
            <w:tcW w:w="7938" w:type="dxa"/>
            <w:tcBorders>
              <w:top w:val="single" w:sz="8" w:space="0" w:color="E7E6E6" w:themeColor="background2"/>
              <w:bottom w:val="single" w:sz="8" w:space="0" w:color="E7E6E6" w:themeColor="background2"/>
            </w:tcBorders>
          </w:tcPr>
          <w:p w14:paraId="14800947" w14:textId="00DFF2E1" w:rsidR="00A41A0B" w:rsidRPr="00A41A0B" w:rsidRDefault="00A41A0B" w:rsidP="00D169E0">
            <w:pPr>
              <w:pStyle w:val="Quote"/>
              <w:spacing w:before="120" w:after="120"/>
              <w:ind w:left="0" w:right="0"/>
            </w:pPr>
            <w:r w:rsidRPr="00A41A0B">
              <w:t>“Obstacle course. You run through here and then you don’t get caught, and this is a bomb and it’s a trap.”</w:t>
            </w:r>
          </w:p>
        </w:tc>
      </w:tr>
      <w:tr w:rsidR="00D169E0" w:rsidRPr="00A41A0B" w14:paraId="61042B50" w14:textId="77777777" w:rsidTr="00D169E0">
        <w:tc>
          <w:tcPr>
            <w:tcW w:w="1276" w:type="dxa"/>
          </w:tcPr>
          <w:p w14:paraId="04DF07E8" w14:textId="77777777" w:rsidR="00A41A0B" w:rsidRPr="00A41A0B" w:rsidRDefault="00A41A0B" w:rsidP="00D169E0">
            <w:pPr>
              <w:pStyle w:val="Quote"/>
              <w:spacing w:before="120" w:after="120"/>
              <w:ind w:left="0" w:right="0"/>
            </w:pPr>
          </w:p>
        </w:tc>
        <w:tc>
          <w:tcPr>
            <w:tcW w:w="7938" w:type="dxa"/>
            <w:tcBorders>
              <w:top w:val="single" w:sz="8" w:space="0" w:color="E7E6E6" w:themeColor="background2"/>
              <w:bottom w:val="single" w:sz="8" w:space="0" w:color="E7E6E6" w:themeColor="background2"/>
            </w:tcBorders>
          </w:tcPr>
          <w:p w14:paraId="436DA949" w14:textId="246D017E" w:rsidR="00A41A0B" w:rsidRPr="00A41A0B" w:rsidRDefault="00A41A0B" w:rsidP="00D169E0">
            <w:pPr>
              <w:pStyle w:val="Quote"/>
              <w:spacing w:before="120" w:after="120"/>
              <w:ind w:left="0" w:right="0"/>
            </w:pPr>
            <w:r w:rsidRPr="00A41A0B">
              <w:t>“I’m building my house. I like it because it has high stairs on it. I have my own kitchen that is fun for me. At my house lives Mummy, Daddy and [pet’s name]. [Pet’s name] is my brother but he is a cat. I have my own garden at my house with broccoli, carrots, and peas, but the peas aren’t alive anymore.”</w:t>
            </w:r>
          </w:p>
        </w:tc>
      </w:tr>
      <w:tr w:rsidR="00D169E0" w:rsidRPr="00A41A0B" w14:paraId="77DE5202" w14:textId="77777777" w:rsidTr="00AC37F4">
        <w:tc>
          <w:tcPr>
            <w:tcW w:w="1276" w:type="dxa"/>
          </w:tcPr>
          <w:p w14:paraId="3162F697" w14:textId="77777777" w:rsidR="00A41A0B" w:rsidRPr="00A41A0B" w:rsidRDefault="00A41A0B" w:rsidP="00D169E0">
            <w:pPr>
              <w:pStyle w:val="Quote"/>
              <w:spacing w:before="120" w:after="120"/>
              <w:ind w:left="0" w:right="0"/>
            </w:pPr>
          </w:p>
        </w:tc>
        <w:tc>
          <w:tcPr>
            <w:tcW w:w="7938" w:type="dxa"/>
            <w:tcBorders>
              <w:top w:val="single" w:sz="8" w:space="0" w:color="E7E6E6" w:themeColor="background2"/>
              <w:bottom w:val="single" w:sz="8" w:space="0" w:color="E7E6E6" w:themeColor="background2"/>
            </w:tcBorders>
          </w:tcPr>
          <w:p w14:paraId="77FE7513" w14:textId="7FB08172" w:rsidR="00A41A0B" w:rsidRPr="00A41A0B" w:rsidRDefault="00A41A0B" w:rsidP="00D169E0">
            <w:pPr>
              <w:pStyle w:val="Quote"/>
              <w:spacing w:before="120" w:after="120"/>
              <w:ind w:left="0" w:right="0"/>
            </w:pPr>
            <w:r w:rsidRPr="00A41A0B">
              <w:t xml:space="preserve">“We have to park our </w:t>
            </w:r>
            <w:proofErr w:type="gramStart"/>
            <w:r w:rsidRPr="00A41A0B">
              <w:t>wheely-gigs</w:t>
            </w:r>
            <w:proofErr w:type="gramEnd"/>
            <w:r w:rsidRPr="00A41A0B">
              <w:t xml:space="preserve"> [here] because it’s not safe [if we leave them elsewhere].”</w:t>
            </w:r>
          </w:p>
        </w:tc>
      </w:tr>
      <w:tr w:rsidR="00D169E0" w:rsidRPr="00A41A0B" w14:paraId="57626ED3" w14:textId="77777777" w:rsidTr="00AC37F4">
        <w:tc>
          <w:tcPr>
            <w:tcW w:w="1276" w:type="dxa"/>
          </w:tcPr>
          <w:p w14:paraId="13C68A40" w14:textId="77777777" w:rsidR="00A41A0B" w:rsidRPr="00A41A0B" w:rsidRDefault="00A41A0B" w:rsidP="00D169E0">
            <w:pPr>
              <w:pStyle w:val="Quote"/>
              <w:spacing w:before="120" w:after="120"/>
              <w:ind w:left="0" w:right="0"/>
            </w:pPr>
          </w:p>
        </w:tc>
        <w:tc>
          <w:tcPr>
            <w:tcW w:w="7938" w:type="dxa"/>
            <w:tcBorders>
              <w:top w:val="single" w:sz="8" w:space="0" w:color="E7E6E6" w:themeColor="background2"/>
              <w:bottom w:val="single" w:sz="8" w:space="0" w:color="E7E6E6" w:themeColor="background2"/>
            </w:tcBorders>
          </w:tcPr>
          <w:p w14:paraId="26FD1D86" w14:textId="29AE036F" w:rsidR="00A41A0B" w:rsidRPr="00A41A0B" w:rsidRDefault="00A41A0B" w:rsidP="00D169E0">
            <w:pPr>
              <w:pStyle w:val="Quote"/>
              <w:spacing w:before="120" w:after="120"/>
              <w:ind w:left="0" w:right="0"/>
            </w:pPr>
            <w:r w:rsidRPr="00A41A0B">
              <w:t>“Making cement [out of sand and water]. I use it for building. [The house I’m building] has three levels – my bed on the top; my playroom on the bottom floor.”</w:t>
            </w:r>
          </w:p>
        </w:tc>
      </w:tr>
      <w:tr w:rsidR="00D169E0" w:rsidRPr="00A41A0B" w14:paraId="18D836AE" w14:textId="77777777" w:rsidTr="00AC37F4">
        <w:tc>
          <w:tcPr>
            <w:tcW w:w="1276" w:type="dxa"/>
          </w:tcPr>
          <w:p w14:paraId="18BF6DE7" w14:textId="6CDC656E" w:rsidR="00A41A0B" w:rsidRPr="00A41A0B" w:rsidRDefault="00A41A0B" w:rsidP="00D169E0">
            <w:pPr>
              <w:pStyle w:val="Quote"/>
              <w:spacing w:before="120" w:after="120"/>
              <w:ind w:left="0" w:right="0"/>
            </w:pPr>
          </w:p>
        </w:tc>
        <w:tc>
          <w:tcPr>
            <w:tcW w:w="7938" w:type="dxa"/>
            <w:tcBorders>
              <w:top w:val="single" w:sz="8" w:space="0" w:color="E7E6E6" w:themeColor="background2"/>
            </w:tcBorders>
          </w:tcPr>
          <w:p w14:paraId="02E7FCC1" w14:textId="77777777" w:rsidR="00A41A0B" w:rsidRPr="00A41A0B" w:rsidRDefault="00A41A0B" w:rsidP="00D169E0">
            <w:pPr>
              <w:pStyle w:val="Quote"/>
              <w:spacing w:before="120" w:after="120"/>
              <w:ind w:left="0" w:right="0"/>
            </w:pPr>
            <w:r w:rsidRPr="00A41A0B">
              <w:t>“I love to play at the playground with the fireman pole and play on the trikes, but not at the beach, because it’s December and it’s hot and there are crocs and sharks.”</w:t>
            </w:r>
          </w:p>
        </w:tc>
      </w:tr>
    </w:tbl>
    <w:p w14:paraId="52A615CB" w14:textId="77777777" w:rsidR="00A41A0B" w:rsidRDefault="00A41A0B" w:rsidP="00C26EE4">
      <w:pPr>
        <w:widowControl w:val="0"/>
        <w:jc w:val="center"/>
        <w:rPr>
          <w:sz w:val="10"/>
          <w:szCs w:val="1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567"/>
        <w:gridCol w:w="1842"/>
        <w:gridCol w:w="137"/>
        <w:gridCol w:w="3209"/>
      </w:tblGrid>
      <w:tr w:rsidR="003B1C6C" w:rsidRPr="003B1C6C" w14:paraId="1AF42784" w14:textId="77777777" w:rsidTr="00AC37F4">
        <w:tc>
          <w:tcPr>
            <w:tcW w:w="5807" w:type="dxa"/>
            <w:gridSpan w:val="4"/>
            <w:tcBorders>
              <w:bottom w:val="single" w:sz="8" w:space="0" w:color="E7E6E6" w:themeColor="background2"/>
            </w:tcBorders>
            <w:vAlign w:val="center"/>
          </w:tcPr>
          <w:p w14:paraId="2DC4875A" w14:textId="76A7DA13" w:rsidR="003B1C6C" w:rsidRPr="003B1C6C" w:rsidRDefault="003B1C6C" w:rsidP="003B1C6C">
            <w:pPr>
              <w:widowControl w:val="0"/>
              <w:jc w:val="center"/>
              <w:rPr>
                <w:i/>
                <w:color w:val="404040" w:themeColor="text1" w:themeTint="BF"/>
              </w:rPr>
            </w:pPr>
            <w:r w:rsidRPr="003B1C6C">
              <w:rPr>
                <w:i/>
                <w:color w:val="404040" w:themeColor="text1" w:themeTint="BF"/>
              </w:rPr>
              <w:fldChar w:fldCharType="begin"/>
            </w:r>
            <w:r w:rsidRPr="003B1C6C">
              <w:rPr>
                <w:i/>
                <w:color w:val="404040" w:themeColor="text1" w:themeTint="BF"/>
              </w:rPr>
              <w:instrText xml:space="preserve"> INCLUDEPICTURE "/Users/danielhanningtonpinto/Library/Group Containers/UBF8T346G9.ms/WebArchiveCopyPasteTempFiles/com.microsoft.Word/da9d3a00-86d5-40e0-ba9a-d2aab5dde0c3" \* MERGEFORMATINET </w:instrText>
            </w:r>
            <w:r w:rsidRPr="003B1C6C">
              <w:rPr>
                <w:i/>
                <w:color w:val="404040" w:themeColor="text1" w:themeTint="BF"/>
              </w:rPr>
              <w:fldChar w:fldCharType="separate"/>
            </w:r>
            <w:r w:rsidRPr="003B1C6C">
              <w:rPr>
                <w:i/>
                <w:noProof/>
                <w:color w:val="404040" w:themeColor="text1" w:themeTint="BF"/>
              </w:rPr>
              <w:drawing>
                <wp:inline distT="0" distB="0" distL="0" distR="0" wp14:anchorId="20660C4E" wp14:editId="3DB644B1">
                  <wp:extent cx="3191934" cy="2128546"/>
                  <wp:effectExtent l="0" t="0" r="0" b="5080"/>
                  <wp:docPr id="447464302" name="Picture 44746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464302"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17967" cy="2212591"/>
                          </a:xfrm>
                          <a:prstGeom prst="rect">
                            <a:avLst/>
                          </a:prstGeom>
                          <a:noFill/>
                          <a:ln>
                            <a:noFill/>
                          </a:ln>
                        </pic:spPr>
                      </pic:pic>
                    </a:graphicData>
                  </a:graphic>
                </wp:inline>
              </w:drawing>
            </w:r>
            <w:r w:rsidRPr="003B1C6C">
              <w:rPr>
                <w:i/>
                <w:color w:val="404040" w:themeColor="text1" w:themeTint="BF"/>
              </w:rPr>
              <w:fldChar w:fldCharType="end"/>
            </w:r>
          </w:p>
        </w:tc>
        <w:tc>
          <w:tcPr>
            <w:tcW w:w="3209" w:type="dxa"/>
            <w:tcBorders>
              <w:bottom w:val="single" w:sz="8" w:space="0" w:color="E7E6E6" w:themeColor="background2"/>
            </w:tcBorders>
            <w:vAlign w:val="center"/>
          </w:tcPr>
          <w:p w14:paraId="678957A4" w14:textId="635B273A" w:rsidR="003B1C6C" w:rsidRPr="003B1C6C" w:rsidRDefault="003B1C6C" w:rsidP="003B1C6C">
            <w:pPr>
              <w:widowControl w:val="0"/>
              <w:jc w:val="center"/>
              <w:rPr>
                <w:i/>
                <w:color w:val="404040" w:themeColor="text1" w:themeTint="BF"/>
              </w:rPr>
            </w:pPr>
            <w:r w:rsidRPr="003B1C6C">
              <w:rPr>
                <w:i/>
                <w:color w:val="404040" w:themeColor="text1" w:themeTint="BF"/>
              </w:rPr>
              <w:t>“These are all the emotions – angry, sad, happy, and frustrated.”</w:t>
            </w:r>
          </w:p>
        </w:tc>
      </w:tr>
      <w:tr w:rsidR="003B1C6C" w:rsidRPr="003B1C6C" w14:paraId="50AAEE6D" w14:textId="77777777" w:rsidTr="00AC37F4">
        <w:tc>
          <w:tcPr>
            <w:tcW w:w="9016" w:type="dxa"/>
            <w:gridSpan w:val="5"/>
            <w:tcBorders>
              <w:top w:val="single" w:sz="8" w:space="0" w:color="E7E6E6" w:themeColor="background2"/>
            </w:tcBorders>
            <w:vAlign w:val="center"/>
          </w:tcPr>
          <w:p w14:paraId="7A921134" w14:textId="1FCA8A8A" w:rsidR="003B1C6C" w:rsidRPr="003B1C6C" w:rsidRDefault="003B1C6C" w:rsidP="003B1C6C">
            <w:pPr>
              <w:widowControl w:val="0"/>
              <w:jc w:val="center"/>
              <w:rPr>
                <w:i/>
                <w:color w:val="404040" w:themeColor="text1" w:themeTint="BF"/>
              </w:rPr>
            </w:pPr>
            <w:r w:rsidRPr="003B1C6C">
              <w:rPr>
                <w:i/>
                <w:color w:val="404040" w:themeColor="text1" w:themeTint="BF"/>
              </w:rPr>
              <w:lastRenderedPageBreak/>
              <w:fldChar w:fldCharType="begin"/>
            </w:r>
            <w:r w:rsidRPr="003B1C6C">
              <w:rPr>
                <w:i/>
                <w:color w:val="404040" w:themeColor="text1" w:themeTint="BF"/>
              </w:rPr>
              <w:instrText xml:space="preserve"> INCLUDEPICTURE "/Users/danielhanningtonpinto/Library/Group Containers/UBF8T346G9.ms/WebArchiveCopyPasteTempFiles/com.microsoft.Word/10a340e4-32f5-4711-87d0-134351ad7274" \* MERGEFORMATINET </w:instrText>
            </w:r>
            <w:r w:rsidRPr="003B1C6C">
              <w:rPr>
                <w:i/>
                <w:color w:val="404040" w:themeColor="text1" w:themeTint="BF"/>
              </w:rPr>
              <w:fldChar w:fldCharType="separate"/>
            </w:r>
            <w:r w:rsidRPr="003B1C6C">
              <w:rPr>
                <w:i/>
                <w:noProof/>
                <w:color w:val="404040" w:themeColor="text1" w:themeTint="BF"/>
              </w:rPr>
              <w:drawing>
                <wp:inline distT="0" distB="0" distL="0" distR="0" wp14:anchorId="383186C2" wp14:editId="4E38D6CC">
                  <wp:extent cx="5014383" cy="1683312"/>
                  <wp:effectExtent l="0" t="0" r="2540" b="6350"/>
                  <wp:docPr id="1895812852" name="Picture 189581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180535" cy="1739089"/>
                          </a:xfrm>
                          <a:prstGeom prst="rect">
                            <a:avLst/>
                          </a:prstGeom>
                          <a:noFill/>
                          <a:ln>
                            <a:noFill/>
                          </a:ln>
                        </pic:spPr>
                      </pic:pic>
                    </a:graphicData>
                  </a:graphic>
                </wp:inline>
              </w:drawing>
            </w:r>
            <w:r w:rsidRPr="003B1C6C">
              <w:rPr>
                <w:i/>
                <w:color w:val="404040" w:themeColor="text1" w:themeTint="BF"/>
              </w:rPr>
              <w:fldChar w:fldCharType="end"/>
            </w:r>
          </w:p>
        </w:tc>
      </w:tr>
      <w:tr w:rsidR="003B1C6C" w:rsidRPr="003B1C6C" w14:paraId="26843BEB" w14:textId="77777777" w:rsidTr="00AC37F4">
        <w:tc>
          <w:tcPr>
            <w:tcW w:w="9016" w:type="dxa"/>
            <w:gridSpan w:val="5"/>
            <w:tcBorders>
              <w:bottom w:val="single" w:sz="8" w:space="0" w:color="E7E6E6" w:themeColor="background2"/>
            </w:tcBorders>
            <w:vAlign w:val="center"/>
          </w:tcPr>
          <w:p w14:paraId="3FEA9C8A" w14:textId="7E22E6B7" w:rsidR="003B1C6C" w:rsidRPr="003B1C6C" w:rsidRDefault="003B1C6C" w:rsidP="003B1C6C">
            <w:pPr>
              <w:widowControl w:val="0"/>
              <w:jc w:val="center"/>
              <w:rPr>
                <w:i/>
                <w:color w:val="404040" w:themeColor="text1" w:themeTint="BF"/>
              </w:rPr>
            </w:pPr>
            <w:r w:rsidRPr="003B1C6C">
              <w:rPr>
                <w:i/>
                <w:color w:val="404040" w:themeColor="text1" w:themeTint="BF"/>
              </w:rPr>
              <w:t>Example of collaborative landscape building; a ‘town’ constructed by multiple children.</w:t>
            </w:r>
          </w:p>
        </w:tc>
      </w:tr>
      <w:tr w:rsidR="003B1C6C" w:rsidRPr="003B1C6C" w14:paraId="52E9B2B9" w14:textId="77777777" w:rsidTr="00AC37F4">
        <w:tc>
          <w:tcPr>
            <w:tcW w:w="3828" w:type="dxa"/>
            <w:gridSpan w:val="2"/>
            <w:tcBorders>
              <w:top w:val="single" w:sz="8" w:space="0" w:color="E7E6E6" w:themeColor="background2"/>
              <w:right w:val="single" w:sz="8" w:space="0" w:color="E7E6E6" w:themeColor="background2"/>
            </w:tcBorders>
            <w:vAlign w:val="center"/>
          </w:tcPr>
          <w:p w14:paraId="4C7BB5DA" w14:textId="6FC2CFE9" w:rsidR="003B1C6C" w:rsidRPr="003B1C6C" w:rsidRDefault="003B1C6C" w:rsidP="003B1C6C">
            <w:pPr>
              <w:widowControl w:val="0"/>
              <w:jc w:val="center"/>
              <w:rPr>
                <w:i/>
                <w:color w:val="404040" w:themeColor="text1" w:themeTint="BF"/>
              </w:rPr>
            </w:pPr>
            <w:r w:rsidRPr="003B1C6C">
              <w:rPr>
                <w:i/>
                <w:color w:val="404040" w:themeColor="text1" w:themeTint="BF"/>
              </w:rPr>
              <w:fldChar w:fldCharType="begin"/>
            </w:r>
            <w:r w:rsidRPr="003B1C6C">
              <w:rPr>
                <w:i/>
                <w:color w:val="404040" w:themeColor="text1" w:themeTint="BF"/>
              </w:rPr>
              <w:instrText xml:space="preserve"> INCLUDEPICTURE "/Users/danielhanningtonpinto/Library/Group Containers/UBF8T346G9.ms/WebArchiveCopyPasteTempFiles/com.microsoft.Word/9e1c55f9-0d7d-4249-8e29-79efc0161577" \* MERGEFORMATINET </w:instrText>
            </w:r>
            <w:r w:rsidRPr="003B1C6C">
              <w:rPr>
                <w:i/>
                <w:color w:val="404040" w:themeColor="text1" w:themeTint="BF"/>
              </w:rPr>
              <w:fldChar w:fldCharType="separate"/>
            </w:r>
            <w:r w:rsidRPr="003B1C6C">
              <w:rPr>
                <w:i/>
                <w:noProof/>
                <w:color w:val="404040" w:themeColor="text1" w:themeTint="BF"/>
              </w:rPr>
              <w:drawing>
                <wp:inline distT="0" distB="0" distL="0" distR="0" wp14:anchorId="1FAF002D" wp14:editId="7882D52B">
                  <wp:extent cx="2184168" cy="2806995"/>
                  <wp:effectExtent l="0" t="0" r="635" b="0"/>
                  <wp:docPr id="96059799" name="Picture 96059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59799" name="Picture 7"/>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14424"/>
                          <a:stretch/>
                        </pic:blipFill>
                        <pic:spPr bwMode="auto">
                          <a:xfrm>
                            <a:off x="0" y="0"/>
                            <a:ext cx="2361311" cy="3034651"/>
                          </a:xfrm>
                          <a:prstGeom prst="rect">
                            <a:avLst/>
                          </a:prstGeom>
                          <a:noFill/>
                          <a:ln>
                            <a:noFill/>
                          </a:ln>
                          <a:extLst>
                            <a:ext uri="{53640926-AAD7-44D8-BBD7-CCE9431645EC}">
                              <a14:shadowObscured xmlns:a14="http://schemas.microsoft.com/office/drawing/2010/main"/>
                            </a:ext>
                          </a:extLst>
                        </pic:spPr>
                      </pic:pic>
                    </a:graphicData>
                  </a:graphic>
                </wp:inline>
              </w:drawing>
            </w:r>
            <w:r w:rsidRPr="003B1C6C">
              <w:rPr>
                <w:i/>
                <w:color w:val="404040" w:themeColor="text1" w:themeTint="BF"/>
              </w:rPr>
              <w:fldChar w:fldCharType="end"/>
            </w:r>
          </w:p>
        </w:tc>
        <w:tc>
          <w:tcPr>
            <w:tcW w:w="5188" w:type="dxa"/>
            <w:gridSpan w:val="3"/>
            <w:tcBorders>
              <w:top w:val="single" w:sz="8" w:space="0" w:color="E7E6E6" w:themeColor="background2"/>
              <w:left w:val="single" w:sz="8" w:space="0" w:color="E7E6E6" w:themeColor="background2"/>
            </w:tcBorders>
            <w:vAlign w:val="center"/>
          </w:tcPr>
          <w:p w14:paraId="5EB14D27" w14:textId="71A8A492" w:rsidR="003B1C6C" w:rsidRPr="003B1C6C" w:rsidRDefault="003B1C6C" w:rsidP="003B1C6C">
            <w:pPr>
              <w:widowControl w:val="0"/>
              <w:jc w:val="center"/>
              <w:rPr>
                <w:i/>
                <w:color w:val="404040" w:themeColor="text1" w:themeTint="BF"/>
              </w:rPr>
            </w:pPr>
            <w:r w:rsidRPr="003B1C6C">
              <w:rPr>
                <w:i/>
                <w:color w:val="404040" w:themeColor="text1" w:themeTint="BF"/>
              </w:rPr>
              <w:fldChar w:fldCharType="begin"/>
            </w:r>
            <w:r w:rsidRPr="003B1C6C">
              <w:rPr>
                <w:i/>
                <w:color w:val="404040" w:themeColor="text1" w:themeTint="BF"/>
              </w:rPr>
              <w:instrText xml:space="preserve"> INCLUDEPICTURE "/Users/danielhanningtonpinto/Library/Group Containers/UBF8T346G9.ms/WebArchiveCopyPasteTempFiles/com.microsoft.Word/1c8cecd8-bd8d-43af-b6c6-04db78ecb329" \* MERGEFORMATINET </w:instrText>
            </w:r>
            <w:r w:rsidRPr="003B1C6C">
              <w:rPr>
                <w:i/>
                <w:color w:val="404040" w:themeColor="text1" w:themeTint="BF"/>
              </w:rPr>
              <w:fldChar w:fldCharType="separate"/>
            </w:r>
            <w:r w:rsidRPr="003B1C6C">
              <w:rPr>
                <w:i/>
                <w:noProof/>
                <w:color w:val="404040" w:themeColor="text1" w:themeTint="BF"/>
              </w:rPr>
              <w:drawing>
                <wp:inline distT="0" distB="0" distL="0" distR="0" wp14:anchorId="6DBE638E" wp14:editId="01216095">
                  <wp:extent cx="2003027" cy="2989958"/>
                  <wp:effectExtent l="1905" t="0" r="5715" b="5715"/>
                  <wp:docPr id="11459650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6706" t="13058" r="8259" b="2950"/>
                          <a:stretch/>
                        </pic:blipFill>
                        <pic:spPr bwMode="auto">
                          <a:xfrm rot="16200000">
                            <a:off x="0" y="0"/>
                            <a:ext cx="2029622" cy="3029657"/>
                          </a:xfrm>
                          <a:prstGeom prst="rect">
                            <a:avLst/>
                          </a:prstGeom>
                          <a:noFill/>
                          <a:ln>
                            <a:noFill/>
                          </a:ln>
                          <a:extLst>
                            <a:ext uri="{53640926-AAD7-44D8-BBD7-CCE9431645EC}">
                              <a14:shadowObscured xmlns:a14="http://schemas.microsoft.com/office/drawing/2010/main"/>
                            </a:ext>
                          </a:extLst>
                        </pic:spPr>
                      </pic:pic>
                    </a:graphicData>
                  </a:graphic>
                </wp:inline>
              </w:drawing>
            </w:r>
            <w:r w:rsidRPr="003B1C6C">
              <w:rPr>
                <w:i/>
                <w:color w:val="404040" w:themeColor="text1" w:themeTint="BF"/>
              </w:rPr>
              <w:fldChar w:fldCharType="end"/>
            </w:r>
          </w:p>
        </w:tc>
      </w:tr>
      <w:tr w:rsidR="003B1C6C" w:rsidRPr="003B1C6C" w14:paraId="06747A3C" w14:textId="77777777" w:rsidTr="00AC37F4">
        <w:tc>
          <w:tcPr>
            <w:tcW w:w="3828" w:type="dxa"/>
            <w:gridSpan w:val="2"/>
            <w:tcBorders>
              <w:right w:val="single" w:sz="8" w:space="0" w:color="E7E6E6" w:themeColor="background2"/>
            </w:tcBorders>
            <w:vAlign w:val="center"/>
          </w:tcPr>
          <w:p w14:paraId="3CEC0CB8" w14:textId="312804A8" w:rsidR="003B1C6C" w:rsidRPr="003B1C6C" w:rsidRDefault="003B1C6C" w:rsidP="003B1C6C">
            <w:pPr>
              <w:widowControl w:val="0"/>
              <w:jc w:val="center"/>
              <w:rPr>
                <w:i/>
                <w:color w:val="404040" w:themeColor="text1" w:themeTint="BF"/>
              </w:rPr>
            </w:pPr>
            <w:r w:rsidRPr="003B1C6C">
              <w:rPr>
                <w:i/>
                <w:color w:val="404040" w:themeColor="text1" w:themeTint="BF"/>
              </w:rPr>
              <w:t>This is about poor people in different countries. I’ve seen [a creator] on YouTube Kids and they help the poor people [with philanthropic projects].”</w:t>
            </w:r>
          </w:p>
        </w:tc>
        <w:tc>
          <w:tcPr>
            <w:tcW w:w="5188" w:type="dxa"/>
            <w:gridSpan w:val="3"/>
            <w:tcBorders>
              <w:left w:val="single" w:sz="8" w:space="0" w:color="E7E6E6" w:themeColor="background2"/>
            </w:tcBorders>
            <w:vAlign w:val="center"/>
          </w:tcPr>
          <w:p w14:paraId="46B0C4A3" w14:textId="0E77C1A4" w:rsidR="003B1C6C" w:rsidRPr="003B1C6C" w:rsidRDefault="003B1C6C" w:rsidP="003B1C6C">
            <w:pPr>
              <w:widowControl w:val="0"/>
              <w:jc w:val="center"/>
              <w:rPr>
                <w:i/>
                <w:color w:val="404040" w:themeColor="text1" w:themeTint="BF"/>
              </w:rPr>
            </w:pPr>
            <w:r w:rsidRPr="003B1C6C">
              <w:rPr>
                <w:i/>
                <w:color w:val="404040" w:themeColor="text1" w:themeTint="BF"/>
              </w:rPr>
              <w:t>“I like to play in the bush. Daddy takes me. There’s snakes and lizards. Snakes are dangerous. Feathers from birds. My Dad loves, loves, loves taking me bush.”</w:t>
            </w:r>
          </w:p>
        </w:tc>
      </w:tr>
      <w:tr w:rsidR="003B1C6C" w:rsidRPr="003B1C6C" w14:paraId="7EE265FA" w14:textId="77777777" w:rsidTr="00AC37F4">
        <w:tc>
          <w:tcPr>
            <w:tcW w:w="5670" w:type="dxa"/>
            <w:gridSpan w:val="3"/>
            <w:tcBorders>
              <w:bottom w:val="single" w:sz="8" w:space="0" w:color="E7E6E6" w:themeColor="background2"/>
            </w:tcBorders>
            <w:vAlign w:val="center"/>
          </w:tcPr>
          <w:p w14:paraId="2F0B0FAC" w14:textId="3D20D902" w:rsidR="003B1C6C" w:rsidRPr="003B1C6C" w:rsidRDefault="003B1C6C" w:rsidP="003B1C6C">
            <w:pPr>
              <w:widowControl w:val="0"/>
              <w:jc w:val="center"/>
              <w:rPr>
                <w:i/>
                <w:color w:val="404040" w:themeColor="text1" w:themeTint="BF"/>
              </w:rPr>
            </w:pPr>
            <w:r w:rsidRPr="003B1C6C">
              <w:rPr>
                <w:i/>
                <w:noProof/>
                <w:color w:val="404040" w:themeColor="text1" w:themeTint="BF"/>
              </w:rPr>
              <w:drawing>
                <wp:inline distT="0" distB="0" distL="0" distR="0" wp14:anchorId="30320888" wp14:editId="0A7E04FA">
                  <wp:extent cx="3040911" cy="2027162"/>
                  <wp:effectExtent l="0" t="0" r="0" b="5080"/>
                  <wp:docPr id="789894439" name="Picture 789894439" descr="A lego blocks on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894439" name="Picture 29" descr="A lego blocks on a grey surface&#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157140" cy="2104644"/>
                          </a:xfrm>
                          <a:prstGeom prst="rect">
                            <a:avLst/>
                          </a:prstGeom>
                        </pic:spPr>
                      </pic:pic>
                    </a:graphicData>
                  </a:graphic>
                </wp:inline>
              </w:drawing>
            </w:r>
          </w:p>
        </w:tc>
        <w:tc>
          <w:tcPr>
            <w:tcW w:w="3346" w:type="dxa"/>
            <w:gridSpan w:val="2"/>
            <w:tcBorders>
              <w:bottom w:val="single" w:sz="8" w:space="0" w:color="E7E6E6" w:themeColor="background2"/>
            </w:tcBorders>
            <w:vAlign w:val="center"/>
          </w:tcPr>
          <w:p w14:paraId="566514F9" w14:textId="7F6066A6" w:rsidR="003B1C6C" w:rsidRPr="003B1C6C" w:rsidRDefault="003B1C6C" w:rsidP="003B1C6C">
            <w:pPr>
              <w:widowControl w:val="0"/>
              <w:jc w:val="center"/>
              <w:rPr>
                <w:i/>
                <w:color w:val="404040" w:themeColor="text1" w:themeTint="BF"/>
              </w:rPr>
            </w:pPr>
            <w:r w:rsidRPr="003B1C6C">
              <w:rPr>
                <w:i/>
                <w:color w:val="404040" w:themeColor="text1" w:themeTint="BF"/>
              </w:rPr>
              <w:t>“I made a house and this is [my dog’s] land. And this is my bedroom. And I’m making a bridge.”</w:t>
            </w:r>
          </w:p>
        </w:tc>
      </w:tr>
      <w:tr w:rsidR="003B1C6C" w:rsidRPr="003B1C6C" w14:paraId="00992EF5" w14:textId="77777777" w:rsidTr="00AC37F4">
        <w:tc>
          <w:tcPr>
            <w:tcW w:w="3261" w:type="dxa"/>
            <w:tcBorders>
              <w:top w:val="single" w:sz="8" w:space="0" w:color="E7E6E6" w:themeColor="background2"/>
            </w:tcBorders>
            <w:vAlign w:val="center"/>
          </w:tcPr>
          <w:p w14:paraId="4154DC73" w14:textId="5AA35205" w:rsidR="003B1C6C" w:rsidRPr="003B1C6C" w:rsidRDefault="003B1C6C" w:rsidP="003B1C6C">
            <w:pPr>
              <w:widowControl w:val="0"/>
              <w:jc w:val="center"/>
              <w:rPr>
                <w:i/>
                <w:color w:val="404040" w:themeColor="text1" w:themeTint="BF"/>
              </w:rPr>
            </w:pPr>
            <w:r w:rsidRPr="003B1C6C">
              <w:rPr>
                <w:i/>
                <w:color w:val="404040" w:themeColor="text1" w:themeTint="BF"/>
              </w:rPr>
              <w:lastRenderedPageBreak/>
              <w:t xml:space="preserve">“Look at my </w:t>
            </w:r>
            <w:proofErr w:type="gramStart"/>
            <w:r w:rsidRPr="003B1C6C">
              <w:rPr>
                <w:i/>
                <w:color w:val="404040" w:themeColor="text1" w:themeTint="BF"/>
              </w:rPr>
              <w:t>Dad</w:t>
            </w:r>
            <w:proofErr w:type="gramEnd"/>
            <w:r w:rsidRPr="003B1C6C">
              <w:rPr>
                <w:i/>
                <w:color w:val="404040" w:themeColor="text1" w:themeTint="BF"/>
              </w:rPr>
              <w:t>. He’s sad face, and happy, and angry.”</w:t>
            </w:r>
          </w:p>
        </w:tc>
        <w:tc>
          <w:tcPr>
            <w:tcW w:w="5755" w:type="dxa"/>
            <w:gridSpan w:val="4"/>
            <w:tcBorders>
              <w:top w:val="single" w:sz="8" w:space="0" w:color="E7E6E6" w:themeColor="background2"/>
            </w:tcBorders>
            <w:vAlign w:val="center"/>
          </w:tcPr>
          <w:p w14:paraId="6F99F6AD" w14:textId="1775F5DE" w:rsidR="003B1C6C" w:rsidRPr="003B1C6C" w:rsidRDefault="003B1C6C" w:rsidP="003B1C6C">
            <w:pPr>
              <w:widowControl w:val="0"/>
              <w:jc w:val="center"/>
              <w:rPr>
                <w:i/>
                <w:color w:val="404040" w:themeColor="text1" w:themeTint="BF"/>
              </w:rPr>
            </w:pPr>
            <w:r w:rsidRPr="003B1C6C">
              <w:rPr>
                <w:i/>
                <w:color w:val="404040" w:themeColor="text1" w:themeTint="BF"/>
              </w:rPr>
              <w:fldChar w:fldCharType="begin"/>
            </w:r>
            <w:r w:rsidRPr="003B1C6C">
              <w:rPr>
                <w:i/>
                <w:color w:val="404040" w:themeColor="text1" w:themeTint="BF"/>
              </w:rPr>
              <w:instrText xml:space="preserve"> INCLUDEPICTURE "/Users/danielhanningtonpinto/Library/Group Containers/UBF8T346G9.ms/WebArchiveCopyPasteTempFiles/com.microsoft.Word/20685150-11b6-4976-be00-6538c926dbae" \* MERGEFORMATINET </w:instrText>
            </w:r>
            <w:r w:rsidRPr="003B1C6C">
              <w:rPr>
                <w:i/>
                <w:color w:val="404040" w:themeColor="text1" w:themeTint="BF"/>
              </w:rPr>
              <w:fldChar w:fldCharType="separate"/>
            </w:r>
            <w:r w:rsidRPr="003B1C6C">
              <w:rPr>
                <w:i/>
                <w:noProof/>
                <w:color w:val="404040" w:themeColor="text1" w:themeTint="BF"/>
              </w:rPr>
              <w:drawing>
                <wp:inline distT="0" distB="0" distL="0" distR="0" wp14:anchorId="2365F3E2" wp14:editId="1949DB5A">
                  <wp:extent cx="3150952" cy="2101215"/>
                  <wp:effectExtent l="0" t="0" r="0" b="0"/>
                  <wp:docPr id="310673293" name="Picture 310673293" descr="A drawing of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73293" name="Picture 8" descr="A drawing of a dog&#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87095" cy="2192002"/>
                          </a:xfrm>
                          <a:prstGeom prst="rect">
                            <a:avLst/>
                          </a:prstGeom>
                          <a:noFill/>
                          <a:ln>
                            <a:noFill/>
                          </a:ln>
                        </pic:spPr>
                      </pic:pic>
                    </a:graphicData>
                  </a:graphic>
                </wp:inline>
              </w:drawing>
            </w:r>
            <w:r w:rsidRPr="003B1C6C">
              <w:rPr>
                <w:i/>
                <w:color w:val="404040" w:themeColor="text1" w:themeTint="BF"/>
              </w:rPr>
              <w:fldChar w:fldCharType="end"/>
            </w:r>
          </w:p>
        </w:tc>
      </w:tr>
      <w:tr w:rsidR="00C26EE4" w14:paraId="20B63189" w14:textId="77777777" w:rsidTr="00A32A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016" w:type="dxa"/>
            <w:gridSpan w:val="5"/>
          </w:tcPr>
          <w:p w14:paraId="2798DD0C" w14:textId="77777777" w:rsidR="00C26EE4" w:rsidRPr="00C60324" w:rsidRDefault="00C26EE4" w:rsidP="00A32A46">
            <w:pPr>
              <w:widowControl w:val="0"/>
              <w:jc w:val="center"/>
              <w:rPr>
                <w:u w:val="single"/>
              </w:rPr>
            </w:pPr>
            <w:r w:rsidRPr="00C60324">
              <w:rPr>
                <w:u w:val="single"/>
              </w:rPr>
              <w:t>Researchers’ interpretation and implications for policy</w:t>
            </w:r>
          </w:p>
          <w:p w14:paraId="2E64DA38" w14:textId="73A9E825" w:rsidR="00C26EE4" w:rsidRDefault="00C26EE4" w:rsidP="00A32A46">
            <w:pPr>
              <w:widowControl w:val="0"/>
            </w:pPr>
            <w:r>
              <w:t>The significant role that the ECEC setting plays in</w:t>
            </w:r>
            <w:r w:rsidR="007D0C94">
              <w:t xml:space="preserve"> a child’s</w:t>
            </w:r>
            <w:r>
              <w:t xml:space="preserve"> social and emotional development</w:t>
            </w:r>
            <w:r w:rsidDel="007D0C94">
              <w:t xml:space="preserve"> </w:t>
            </w:r>
            <w:r w:rsidR="00AF046F">
              <w:t>is evident throughout the</w:t>
            </w:r>
            <w:r w:rsidR="00383D47">
              <w:t xml:space="preserve"> data</w:t>
            </w:r>
            <w:r>
              <w:t xml:space="preserve">. The children themselves recognise the opportunities afforded them in coming together in a setting that provides a safe and secure environment to develop crucial life skills. A policy landscape that understands the importance of the social environment in contributing to peer relationships, cooperation and collaboration is one that </w:t>
            </w:r>
            <w:r w:rsidR="23D77936">
              <w:t>listens to the importance that children place on secure and predictable relationships</w:t>
            </w:r>
            <w:r>
              <w:t xml:space="preserve">. The implication of system design on children’s attendance patterns and enabling a predictable staffing environment are all key to promoting a safe place and quality experiences for children to develop holistically. These factors speak to the PC’s focus on workforce-related issues, including the attraction, retention, mentoring, and support of workers, along with the provision of opportunities for professional development. </w:t>
            </w:r>
          </w:p>
          <w:p w14:paraId="6E146D68" w14:textId="043CADF6" w:rsidR="00C26EE4" w:rsidRDefault="00C26EE4" w:rsidP="00A32A46">
            <w:pPr>
              <w:widowControl w:val="0"/>
            </w:pPr>
            <w:r>
              <w:t xml:space="preserve">The enactment of agency is also very evident in children’s responses as they confidently share their ideas, innovations, imaginings and visions. The importance of a rich play-based learning environment built around the Early Years Learning Framework is </w:t>
            </w:r>
            <w:r w:rsidR="00602FEA">
              <w:t>evident across these settings providing</w:t>
            </w:r>
            <w:r w:rsidDel="009D17F8">
              <w:t xml:space="preserve"> </w:t>
            </w:r>
            <w:r>
              <w:t xml:space="preserve">children </w:t>
            </w:r>
            <w:r w:rsidR="00602FEA">
              <w:t xml:space="preserve">with </w:t>
            </w:r>
            <w:r>
              <w:t>opportunities to take carriage of their own learning agendas. These children demonstrate the valuable knowledge that they bring to their ECEC setting, enriching their own and others</w:t>
            </w:r>
            <w:r w:rsidR="0078495B">
              <w:t>’</w:t>
            </w:r>
            <w:r>
              <w:t xml:space="preserve"> learning as they are supported by insightful and qualified teachers and educators who </w:t>
            </w:r>
            <w:r w:rsidR="00602FEA">
              <w:t>demonstrate</w:t>
            </w:r>
            <w:r>
              <w:t xml:space="preserve"> </w:t>
            </w:r>
            <w:r w:rsidR="00F750B7">
              <w:t xml:space="preserve">balance between </w:t>
            </w:r>
            <w:r>
              <w:t>teacher-led and child-led play and learning.</w:t>
            </w:r>
          </w:p>
        </w:tc>
      </w:tr>
    </w:tbl>
    <w:p w14:paraId="089706E6" w14:textId="77777777" w:rsidR="00C26EE4" w:rsidRPr="00CB1EC6" w:rsidRDefault="00C26EE4" w:rsidP="00C26EE4">
      <w:pPr>
        <w:pStyle w:val="Heading2"/>
        <w:widowControl w:val="0"/>
      </w:pPr>
      <w:bookmarkStart w:id="65" w:name="_Toc158731054"/>
      <w:bookmarkStart w:id="66" w:name="_Toc177135997"/>
      <w:r>
        <w:t>Access to new/different learning opportunities and skills development</w:t>
      </w:r>
      <w:bookmarkEnd w:id="65"/>
      <w:bookmarkEnd w:id="66"/>
    </w:p>
    <w:p w14:paraId="24F06CE3" w14:textId="58E6C103" w:rsidR="00C26EE4" w:rsidRDefault="00C26EE4" w:rsidP="00C26EE4">
      <w:r>
        <w:t>ECEC services’ role as sources of educational development was evident throughout the consultations. Many of the children’s responses and artworks spoke to concepts such as imagination and creativity, boundaryless thinking (for example, ‘big picture’ ideas), and emerging complex language usage, such as metaphors and similes.</w:t>
      </w:r>
      <w:r w:rsidR="001D6B34">
        <w:t xml:space="preserve"> The development and application of problem-solving skills was also evident in the consultations, as was children’s capacity to think creatively about how to use materials and resources to express themselves.</w:t>
      </w:r>
      <w:r>
        <w:t xml:space="preserve"> It is suggested that the diversity of children, topics, and activities engaged with in ECEC services, alongside their focus on play-based learning, is key in these developments. Echoing earlier themes, it was also clear that relationships between children within the settings played an important role in the development of such skills. This was seen, for instance, in conversations such as the following, which evolved and grew out of a certain theme, inspiring imaginative and complex shared conceptualisations.</w:t>
      </w:r>
    </w:p>
    <w:tbl>
      <w:tblPr>
        <w:tblStyle w:val="TableGrid"/>
        <w:tblW w:w="8511" w:type="dxa"/>
        <w:tblInd w:w="-147" w:type="dxa"/>
        <w:tblBorders>
          <w:top w:val="none" w:sz="0" w:space="0" w:color="auto"/>
          <w:left w:val="none" w:sz="0" w:space="0" w:color="auto"/>
          <w:bottom w:val="none" w:sz="0" w:space="0" w:color="auto"/>
          <w:right w:val="none" w:sz="0" w:space="0" w:color="auto"/>
          <w:insideH w:val="single" w:sz="8" w:space="0" w:color="FFFFFF" w:themeColor="background1"/>
          <w:insideV w:val="none" w:sz="0" w:space="0" w:color="auto"/>
        </w:tblBorders>
        <w:shd w:val="clear" w:color="auto" w:fill="D0CECE" w:themeFill="background2" w:themeFillShade="E6"/>
        <w:tblLayout w:type="fixed"/>
        <w:tblLook w:val="04A0" w:firstRow="1" w:lastRow="0" w:firstColumn="1" w:lastColumn="0" w:noHBand="0" w:noVBand="1"/>
      </w:tblPr>
      <w:tblGrid>
        <w:gridCol w:w="1702"/>
        <w:gridCol w:w="6809"/>
      </w:tblGrid>
      <w:tr w:rsidR="00D169E0" w:rsidRPr="008E6CDC" w14:paraId="44BF6E95" w14:textId="77777777">
        <w:tc>
          <w:tcPr>
            <w:tcW w:w="1702" w:type="dxa"/>
            <w:shd w:val="clear" w:color="auto" w:fill="auto"/>
          </w:tcPr>
          <w:p w14:paraId="734EDA01" w14:textId="77777777" w:rsidR="00D169E0" w:rsidRPr="007D09D3" w:rsidRDefault="00D169E0">
            <w:pPr>
              <w:pStyle w:val="Quote"/>
              <w:spacing w:before="120" w:after="120"/>
              <w:ind w:left="0" w:right="0"/>
            </w:pPr>
            <w:r w:rsidRPr="007D09D3">
              <w:rPr>
                <w:noProof/>
              </w:rPr>
              <w:lastRenderedPageBreak/>
              <w:drawing>
                <wp:inline distT="0" distB="0" distL="0" distR="0" wp14:anchorId="7F022B3C" wp14:editId="00B40203">
                  <wp:extent cx="513080" cy="513080"/>
                  <wp:effectExtent l="0" t="0" r="1270" b="1270"/>
                  <wp:docPr id="2059138708" name="Picture 15">
                    <a:extLst xmlns:a="http://schemas.openxmlformats.org/drawingml/2006/main">
                      <a:ext uri="{FF2B5EF4-FFF2-40B4-BE49-F238E27FC236}">
                        <a16:creationId xmlns:a16="http://schemas.microsoft.com/office/drawing/2014/main" id="{8E84EFB3-18B2-80DC-37F1-785E4A195EF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138708" name="Picture 15">
                            <a:extLst>
                              <a:ext uri="{FF2B5EF4-FFF2-40B4-BE49-F238E27FC236}">
                                <a16:creationId xmlns:a16="http://schemas.microsoft.com/office/drawing/2014/main" id="{8E84EFB3-18B2-80DC-37F1-785E4A195EF0}"/>
                              </a:ext>
                              <a:ext uri="{C183D7F6-B498-43B3-948B-1728B52AA6E4}">
                                <adec:decorative xmlns:adec="http://schemas.microsoft.com/office/drawing/2017/decorative" val="1"/>
                              </a:ext>
                            </a:extLst>
                          </pic:cNvPr>
                          <pic:cNvPicPr>
                            <a:picLocks noChangeAspect="1"/>
                          </pic:cNvPicPr>
                        </pic:nvPicPr>
                        <pic:blipFill rotWithShape="1">
                          <a:blip r:embed="rId29"/>
                          <a:srcRect l="13238" t="10850" r="13526" b="15915"/>
                          <a:stretch/>
                        </pic:blipFill>
                        <pic:spPr>
                          <a:xfrm>
                            <a:off x="0" y="0"/>
                            <a:ext cx="515426" cy="515426"/>
                          </a:xfrm>
                          <a:prstGeom prst="rect">
                            <a:avLst/>
                          </a:prstGeom>
                        </pic:spPr>
                      </pic:pic>
                    </a:graphicData>
                  </a:graphic>
                </wp:inline>
              </w:drawing>
            </w:r>
          </w:p>
        </w:tc>
        <w:tc>
          <w:tcPr>
            <w:tcW w:w="6809" w:type="dxa"/>
            <w:tcBorders>
              <w:top w:val="nil"/>
              <w:bottom w:val="single" w:sz="8" w:space="0" w:color="E7E6E6" w:themeColor="background2"/>
            </w:tcBorders>
            <w:shd w:val="clear" w:color="auto" w:fill="auto"/>
          </w:tcPr>
          <w:p w14:paraId="44F81B64" w14:textId="77777777" w:rsidR="00D169E0" w:rsidRPr="003B1C6C" w:rsidRDefault="00D169E0" w:rsidP="00D169E0">
            <w:pPr>
              <w:widowControl w:val="0"/>
              <w:snapToGrid w:val="0"/>
              <w:rPr>
                <w:i/>
                <w:color w:val="404040" w:themeColor="text1" w:themeTint="BF"/>
              </w:rPr>
            </w:pPr>
            <w:r w:rsidRPr="00D13762">
              <w:rPr>
                <w:b/>
                <w:bCs/>
              </w:rPr>
              <w:t xml:space="preserve">Child </w:t>
            </w:r>
            <w:r>
              <w:rPr>
                <w:b/>
                <w:bCs/>
              </w:rPr>
              <w:t>1</w:t>
            </w:r>
            <w:r w:rsidRPr="00D13762">
              <w:rPr>
                <w:b/>
                <w:bCs/>
              </w:rPr>
              <w:t>:</w:t>
            </w:r>
            <w:r w:rsidRPr="00D13762">
              <w:t xml:space="preserve"> </w:t>
            </w:r>
            <w:r w:rsidRPr="003B1C6C">
              <w:rPr>
                <w:i/>
                <w:color w:val="404040" w:themeColor="text1" w:themeTint="BF"/>
              </w:rPr>
              <w:t>“Playing outside in the sandpit. [Referring to a hole they had dug in it] It never ends – it goes to China.”</w:t>
            </w:r>
          </w:p>
          <w:p w14:paraId="7D3FAF0E" w14:textId="77777777" w:rsidR="00D169E0" w:rsidRPr="003B1C6C" w:rsidRDefault="00D169E0" w:rsidP="00D169E0">
            <w:pPr>
              <w:widowControl w:val="0"/>
              <w:snapToGrid w:val="0"/>
              <w:rPr>
                <w:i/>
                <w:color w:val="404040" w:themeColor="text1" w:themeTint="BF"/>
              </w:rPr>
            </w:pPr>
            <w:r>
              <w:rPr>
                <w:b/>
                <w:bCs/>
              </w:rPr>
              <w:t xml:space="preserve">Child 2: </w:t>
            </w:r>
            <w:r w:rsidRPr="003B1C6C">
              <w:rPr>
                <w:i/>
                <w:color w:val="404040" w:themeColor="text1" w:themeTint="BF"/>
              </w:rPr>
              <w:t>“You would have to make stairs when you dig, to get back out.”</w:t>
            </w:r>
          </w:p>
          <w:p w14:paraId="0F2BA33A" w14:textId="77777777" w:rsidR="00D169E0" w:rsidRPr="003B1C6C" w:rsidRDefault="00D169E0" w:rsidP="00D169E0">
            <w:pPr>
              <w:widowControl w:val="0"/>
              <w:rPr>
                <w:i/>
                <w:color w:val="404040" w:themeColor="text1" w:themeTint="BF"/>
              </w:rPr>
            </w:pPr>
            <w:r w:rsidRPr="00D13762">
              <w:rPr>
                <w:b/>
                <w:bCs/>
              </w:rPr>
              <w:t>Child 3:</w:t>
            </w:r>
            <w:r w:rsidRPr="00D13762">
              <w:t xml:space="preserve"> </w:t>
            </w:r>
            <w:r w:rsidRPr="003B1C6C">
              <w:rPr>
                <w:i/>
                <w:color w:val="404040" w:themeColor="text1" w:themeTint="BF"/>
              </w:rPr>
              <w:t>“[Friend’s name] dug to China and got a cactus.”</w:t>
            </w:r>
          </w:p>
          <w:p w14:paraId="330E4024" w14:textId="4A5028DD" w:rsidR="00D169E0" w:rsidRPr="008E6CDC" w:rsidRDefault="00D169E0" w:rsidP="00D169E0">
            <w:pPr>
              <w:widowControl w:val="0"/>
            </w:pPr>
            <w:r w:rsidRPr="00D13762">
              <w:rPr>
                <w:b/>
                <w:bCs/>
              </w:rPr>
              <w:t>Child 2:</w:t>
            </w:r>
            <w:r w:rsidRPr="00D13762">
              <w:t xml:space="preserve"> </w:t>
            </w:r>
            <w:r w:rsidRPr="003B1C6C">
              <w:rPr>
                <w:i/>
                <w:color w:val="404040" w:themeColor="text1" w:themeTint="BF"/>
              </w:rPr>
              <w:t>“Some cactuses talk [referring to a fictional character in a film].”</w:t>
            </w:r>
          </w:p>
        </w:tc>
      </w:tr>
    </w:tbl>
    <w:p w14:paraId="14E5CA9E" w14:textId="77777777" w:rsidR="005C7BE6" w:rsidRDefault="00C26EE4" w:rsidP="00C26EE4">
      <w:r>
        <w:t>Elsewhere, several children spoke enthusiastically about big concepts such as outer space, geology, botany, or other STEM-inspired topics, stating in several cases that they had learned about these ideas at their ECEC service. Such findings once again point to the critical importance of children having access to ECEC settings and environments, which serve to complement and build on the development opportunities children have within their homes</w:t>
      </w:r>
      <w:r w:rsidR="002A2380">
        <w:t>, extended family units, and communities</w:t>
      </w:r>
      <w:r>
        <w:t xml:space="preserve">. </w:t>
      </w:r>
    </w:p>
    <w:p w14:paraId="212C9E97" w14:textId="78E128C7" w:rsidR="00D169E0" w:rsidRDefault="008710B7" w:rsidP="00C26EE4">
      <w:r>
        <w:t xml:space="preserve">On a </w:t>
      </w:r>
      <w:r w:rsidR="005C7BE6">
        <w:t xml:space="preserve">somewhat </w:t>
      </w:r>
      <w:r>
        <w:t xml:space="preserve">related topic, engagement with the </w:t>
      </w:r>
      <w:r w:rsidR="00F750B7">
        <w:t>research</w:t>
      </w:r>
      <w:r>
        <w:t xml:space="preserve"> activities highlighted the intensity of children’s creative, non-linear thinking and modes of expression.</w:t>
      </w:r>
      <w:r w:rsidR="00ED1349">
        <w:t xml:space="preserve"> This was evident not only in the </w:t>
      </w:r>
      <w:r w:rsidR="00ED1349" w:rsidRPr="00C065AB">
        <w:t>content</w:t>
      </w:r>
      <w:r w:rsidR="00ED1349">
        <w:t xml:space="preserve"> of children's responses, artworks, and creations, but also in the actual ways these references were</w:t>
      </w:r>
      <w:r w:rsidR="00E62198">
        <w:t xml:space="preserve"> created or</w:t>
      </w:r>
      <w:r w:rsidR="00ED1349">
        <w:t xml:space="preserve"> actualised in the first place.</w:t>
      </w:r>
      <w:r w:rsidR="005C7BE6">
        <w:t xml:space="preserve"> On many oc</w:t>
      </w:r>
      <w:r w:rsidR="00E62198">
        <w:t>c</w:t>
      </w:r>
      <w:r w:rsidR="005C7BE6">
        <w:t>asions</w:t>
      </w:r>
      <w:r w:rsidR="00E62198">
        <w:t>, for instance,</w:t>
      </w:r>
      <w:r w:rsidR="005C7BE6">
        <w:t xml:space="preserve"> children</w:t>
      </w:r>
      <w:r w:rsidR="00E62198">
        <w:t xml:space="preserve"> were observed to elaborate on or add to their own works as they moved between </w:t>
      </w:r>
      <w:proofErr w:type="gramStart"/>
      <w:r w:rsidR="00E62198">
        <w:t>activities, or</w:t>
      </w:r>
      <w:proofErr w:type="gramEnd"/>
      <w:r w:rsidR="00E62198">
        <w:t xml:space="preserve"> made mental and emotional connections – based on discussions with educators, researchers, or peers – that would </w:t>
      </w:r>
      <w:r w:rsidR="00C065AB">
        <w:t xml:space="preserve">come to </w:t>
      </w:r>
      <w:r w:rsidR="00E62198">
        <w:t xml:space="preserve">be reflected in their artworks and creations. </w:t>
      </w:r>
      <w:r w:rsidR="005C7BE6">
        <w:t>As noted in this report’s methodological section, this indeed j</w:t>
      </w:r>
      <w:r w:rsidR="00ED1349">
        <w:t>ustif</w:t>
      </w:r>
      <w:r w:rsidR="005C7BE6">
        <w:t>ied</w:t>
      </w:r>
      <w:r w:rsidR="00ED1349">
        <w:t xml:space="preserve"> the </w:t>
      </w:r>
      <w:r w:rsidR="00E62198">
        <w:t xml:space="preserve">relatively </w:t>
      </w:r>
      <w:r w:rsidR="00ED1349">
        <w:t>loose framing and mapping of research questions to the activities</w:t>
      </w:r>
      <w:r w:rsidR="00E62198">
        <w:t>. Such developments also point to the rich and complex interaction</w:t>
      </w:r>
      <w:r w:rsidR="00C065AB">
        <w:t>s</w:t>
      </w:r>
      <w:r w:rsidR="00E62198">
        <w:t xml:space="preserve"> between children’s use of creative expression, engagement of imagination and hypothetical scenarios,</w:t>
      </w:r>
      <w:r w:rsidR="00C065AB">
        <w:t xml:space="preserve"> and the</w:t>
      </w:r>
      <w:r w:rsidR="00E62198">
        <w:t xml:space="preserve"> interpersonal and cognitive skill development reinforced through attendance at formal ECEC settings</w:t>
      </w:r>
      <w:r w:rsidR="00C065AB">
        <w:t xml:space="preserve"> – highlighting</w:t>
      </w:r>
      <w:r w:rsidR="001D25EE">
        <w:t xml:space="preserve"> and drawing from</w:t>
      </w:r>
      <w:r w:rsidR="00C065AB">
        <w:t>, especially, the diverse range of backgrounds, cultures, resources, materials, and learning opportunities therein.</w:t>
      </w:r>
    </w:p>
    <w:tbl>
      <w:tblPr>
        <w:tblStyle w:val="TableGrid"/>
        <w:tblW w:w="8511" w:type="dxa"/>
        <w:tblInd w:w="-147" w:type="dxa"/>
        <w:tblBorders>
          <w:top w:val="none" w:sz="0" w:space="0" w:color="auto"/>
          <w:left w:val="none" w:sz="0" w:space="0" w:color="auto"/>
          <w:bottom w:val="none" w:sz="0" w:space="0" w:color="auto"/>
          <w:right w:val="none" w:sz="0" w:space="0" w:color="auto"/>
          <w:insideH w:val="single" w:sz="8" w:space="0" w:color="FFFFFF" w:themeColor="background1"/>
          <w:insideV w:val="none" w:sz="0" w:space="0" w:color="auto"/>
        </w:tblBorders>
        <w:shd w:val="clear" w:color="auto" w:fill="D0CECE" w:themeFill="background2" w:themeFillShade="E6"/>
        <w:tblLayout w:type="fixed"/>
        <w:tblLook w:val="04A0" w:firstRow="1" w:lastRow="0" w:firstColumn="1" w:lastColumn="0" w:noHBand="0" w:noVBand="1"/>
      </w:tblPr>
      <w:tblGrid>
        <w:gridCol w:w="1702"/>
        <w:gridCol w:w="6809"/>
      </w:tblGrid>
      <w:tr w:rsidR="00D169E0" w:rsidRPr="008E6CDC" w14:paraId="3E84218B" w14:textId="77777777" w:rsidTr="00D169E0">
        <w:tc>
          <w:tcPr>
            <w:tcW w:w="1702" w:type="dxa"/>
            <w:shd w:val="clear" w:color="auto" w:fill="auto"/>
          </w:tcPr>
          <w:p w14:paraId="20B04F06" w14:textId="77777777" w:rsidR="00D169E0" w:rsidRPr="007D09D3" w:rsidRDefault="00D169E0" w:rsidP="00D169E0">
            <w:pPr>
              <w:pStyle w:val="Quote"/>
              <w:spacing w:before="120" w:after="120"/>
              <w:ind w:left="0" w:right="0"/>
            </w:pPr>
            <w:r w:rsidRPr="007D09D3">
              <w:rPr>
                <w:noProof/>
              </w:rPr>
              <w:drawing>
                <wp:inline distT="0" distB="0" distL="0" distR="0" wp14:anchorId="6E079873" wp14:editId="53E12666">
                  <wp:extent cx="513080" cy="513080"/>
                  <wp:effectExtent l="0" t="0" r="1270" b="1270"/>
                  <wp:docPr id="1956985548" name="Picture 15">
                    <a:extLst xmlns:a="http://schemas.openxmlformats.org/drawingml/2006/main">
                      <a:ext uri="{FF2B5EF4-FFF2-40B4-BE49-F238E27FC236}">
                        <a16:creationId xmlns:a16="http://schemas.microsoft.com/office/drawing/2014/main" id="{8E84EFB3-18B2-80DC-37F1-785E4A195EF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985548" name="Picture 15">
                            <a:extLst>
                              <a:ext uri="{FF2B5EF4-FFF2-40B4-BE49-F238E27FC236}">
                                <a16:creationId xmlns:a16="http://schemas.microsoft.com/office/drawing/2014/main" id="{8E84EFB3-18B2-80DC-37F1-785E4A195EF0}"/>
                              </a:ext>
                              <a:ext uri="{C183D7F6-B498-43B3-948B-1728B52AA6E4}">
                                <adec:decorative xmlns:adec="http://schemas.microsoft.com/office/drawing/2017/decorative" val="1"/>
                              </a:ext>
                            </a:extLst>
                          </pic:cNvPr>
                          <pic:cNvPicPr>
                            <a:picLocks noChangeAspect="1"/>
                          </pic:cNvPicPr>
                        </pic:nvPicPr>
                        <pic:blipFill rotWithShape="1">
                          <a:blip r:embed="rId29"/>
                          <a:srcRect l="13238" t="10850" r="13526" b="15915"/>
                          <a:stretch/>
                        </pic:blipFill>
                        <pic:spPr>
                          <a:xfrm>
                            <a:off x="0" y="0"/>
                            <a:ext cx="515426" cy="515426"/>
                          </a:xfrm>
                          <a:prstGeom prst="rect">
                            <a:avLst/>
                          </a:prstGeom>
                        </pic:spPr>
                      </pic:pic>
                    </a:graphicData>
                  </a:graphic>
                </wp:inline>
              </w:drawing>
            </w:r>
          </w:p>
        </w:tc>
        <w:tc>
          <w:tcPr>
            <w:tcW w:w="6809" w:type="dxa"/>
            <w:tcBorders>
              <w:top w:val="nil"/>
              <w:bottom w:val="single" w:sz="8" w:space="0" w:color="E7E6E6" w:themeColor="background2"/>
            </w:tcBorders>
            <w:shd w:val="clear" w:color="auto" w:fill="auto"/>
          </w:tcPr>
          <w:p w14:paraId="26D46DC7" w14:textId="0A512DF6" w:rsidR="00D169E0" w:rsidRPr="008E6CDC" w:rsidRDefault="00D169E0" w:rsidP="00D169E0">
            <w:pPr>
              <w:pStyle w:val="Quote"/>
              <w:spacing w:before="120" w:after="120"/>
            </w:pPr>
            <w:r>
              <w:t xml:space="preserve">“It was when I was playing and all my clothes were covered in slime. It was green and </w:t>
            </w:r>
            <w:proofErr w:type="gramStart"/>
            <w:r>
              <w:t>it’s</w:t>
            </w:r>
            <w:proofErr w:type="gramEnd"/>
            <w:r>
              <w:t xml:space="preserve"> sticky.”</w:t>
            </w:r>
          </w:p>
        </w:tc>
      </w:tr>
      <w:tr w:rsidR="00D169E0" w:rsidRPr="008E6CDC" w14:paraId="090C5C98" w14:textId="77777777" w:rsidTr="00D169E0">
        <w:tc>
          <w:tcPr>
            <w:tcW w:w="1702" w:type="dxa"/>
            <w:shd w:val="clear" w:color="auto" w:fill="auto"/>
          </w:tcPr>
          <w:p w14:paraId="29F2C8EC" w14:textId="77777777" w:rsidR="00D169E0" w:rsidRPr="007D09D3" w:rsidRDefault="00D169E0" w:rsidP="00D169E0">
            <w:pPr>
              <w:pStyle w:val="Quote"/>
              <w:spacing w:before="120" w:after="120"/>
              <w:ind w:left="0" w:right="0"/>
            </w:pPr>
          </w:p>
        </w:tc>
        <w:tc>
          <w:tcPr>
            <w:tcW w:w="6809" w:type="dxa"/>
            <w:tcBorders>
              <w:top w:val="single" w:sz="8" w:space="0" w:color="E7E6E6" w:themeColor="background2"/>
              <w:bottom w:val="single" w:sz="8" w:space="0" w:color="E7E6E6" w:themeColor="background2"/>
            </w:tcBorders>
            <w:shd w:val="clear" w:color="auto" w:fill="auto"/>
          </w:tcPr>
          <w:p w14:paraId="6212DF46" w14:textId="75625655" w:rsidR="00D169E0" w:rsidRPr="008E6CDC" w:rsidRDefault="00D169E0" w:rsidP="00D169E0">
            <w:pPr>
              <w:pStyle w:val="Quote"/>
              <w:spacing w:before="120" w:after="120"/>
            </w:pPr>
            <w:r>
              <w:t>“My home would be terrible if it was in Antarctica.”</w:t>
            </w:r>
          </w:p>
        </w:tc>
      </w:tr>
      <w:tr w:rsidR="00D169E0" w:rsidRPr="008E6CDC" w14:paraId="1CB3AF25" w14:textId="77777777" w:rsidTr="00D169E0">
        <w:tc>
          <w:tcPr>
            <w:tcW w:w="1702" w:type="dxa"/>
            <w:shd w:val="clear" w:color="auto" w:fill="auto"/>
          </w:tcPr>
          <w:p w14:paraId="69C99178" w14:textId="77777777" w:rsidR="00D169E0" w:rsidRPr="007D09D3" w:rsidRDefault="00D169E0" w:rsidP="00D169E0">
            <w:pPr>
              <w:pStyle w:val="Quote"/>
              <w:spacing w:before="120" w:after="120"/>
              <w:ind w:left="0" w:right="0"/>
            </w:pPr>
          </w:p>
        </w:tc>
        <w:tc>
          <w:tcPr>
            <w:tcW w:w="6809" w:type="dxa"/>
            <w:tcBorders>
              <w:top w:val="single" w:sz="8" w:space="0" w:color="E7E6E6" w:themeColor="background2"/>
              <w:bottom w:val="single" w:sz="8" w:space="0" w:color="E7E6E6" w:themeColor="background2"/>
            </w:tcBorders>
            <w:shd w:val="clear" w:color="auto" w:fill="auto"/>
          </w:tcPr>
          <w:p w14:paraId="74DEA6D8" w14:textId="3691C02E" w:rsidR="00D169E0" w:rsidRDefault="00D169E0" w:rsidP="00D169E0">
            <w:pPr>
              <w:pStyle w:val="Quote"/>
              <w:spacing w:before="120" w:after="120"/>
            </w:pPr>
            <w:r>
              <w:t>“Watching on TV. A puppet show. I watch with Daddy – Daddy and me are stuck in the TV.”</w:t>
            </w:r>
          </w:p>
        </w:tc>
      </w:tr>
      <w:tr w:rsidR="00D169E0" w:rsidRPr="008E6CDC" w14:paraId="4C22624C" w14:textId="77777777" w:rsidTr="00D169E0">
        <w:tc>
          <w:tcPr>
            <w:tcW w:w="1702" w:type="dxa"/>
            <w:shd w:val="clear" w:color="auto" w:fill="auto"/>
          </w:tcPr>
          <w:p w14:paraId="21F32C84" w14:textId="77777777" w:rsidR="00D169E0" w:rsidRPr="007D09D3" w:rsidRDefault="00D169E0" w:rsidP="00D169E0">
            <w:pPr>
              <w:pStyle w:val="Quote"/>
              <w:spacing w:before="120" w:after="120"/>
              <w:ind w:left="0" w:right="0"/>
            </w:pPr>
          </w:p>
        </w:tc>
        <w:tc>
          <w:tcPr>
            <w:tcW w:w="6809" w:type="dxa"/>
            <w:tcBorders>
              <w:top w:val="single" w:sz="8" w:space="0" w:color="E7E6E6" w:themeColor="background2"/>
              <w:bottom w:val="single" w:sz="8" w:space="0" w:color="E7E6E6" w:themeColor="background2"/>
            </w:tcBorders>
            <w:shd w:val="clear" w:color="auto" w:fill="auto"/>
          </w:tcPr>
          <w:p w14:paraId="08FF7B1B" w14:textId="1CF3EC3F" w:rsidR="00D169E0" w:rsidRDefault="00D169E0" w:rsidP="00D169E0">
            <w:pPr>
              <w:pStyle w:val="Quote"/>
              <w:spacing w:before="120" w:after="120"/>
            </w:pPr>
            <w:r>
              <w:t>“I know a mushroom that you can kick and it goes all fluffy, like a bomb.”</w:t>
            </w:r>
          </w:p>
        </w:tc>
      </w:tr>
      <w:tr w:rsidR="00D169E0" w:rsidRPr="008E6CDC" w14:paraId="61BC6080" w14:textId="77777777" w:rsidTr="00D169E0">
        <w:tc>
          <w:tcPr>
            <w:tcW w:w="1702" w:type="dxa"/>
            <w:shd w:val="clear" w:color="auto" w:fill="auto"/>
          </w:tcPr>
          <w:p w14:paraId="4D135DAB" w14:textId="77777777" w:rsidR="00D169E0" w:rsidRPr="007D09D3" w:rsidRDefault="00D169E0" w:rsidP="00D169E0">
            <w:pPr>
              <w:pStyle w:val="Quote"/>
              <w:spacing w:before="120" w:after="120"/>
              <w:ind w:left="0" w:right="0"/>
            </w:pPr>
          </w:p>
        </w:tc>
        <w:tc>
          <w:tcPr>
            <w:tcW w:w="6809" w:type="dxa"/>
            <w:tcBorders>
              <w:top w:val="single" w:sz="8" w:space="0" w:color="E7E6E6" w:themeColor="background2"/>
              <w:bottom w:val="nil"/>
            </w:tcBorders>
            <w:shd w:val="clear" w:color="auto" w:fill="auto"/>
          </w:tcPr>
          <w:p w14:paraId="7AFD47E7" w14:textId="4E435DE0" w:rsidR="00D169E0" w:rsidRDefault="00D169E0" w:rsidP="00D169E0">
            <w:pPr>
              <w:pStyle w:val="Quote"/>
              <w:spacing w:before="120" w:after="120"/>
            </w:pPr>
            <w:r>
              <w:t>“My Daddy has spiky hair like a bird.”</w:t>
            </w:r>
          </w:p>
        </w:tc>
      </w:tr>
    </w:tbl>
    <w:p w14:paraId="184B6D64" w14:textId="77777777" w:rsidR="00D169E0" w:rsidRPr="00BA5165" w:rsidRDefault="00D169E0" w:rsidP="00C26EE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869"/>
        <w:gridCol w:w="1386"/>
        <w:gridCol w:w="2094"/>
        <w:gridCol w:w="2427"/>
      </w:tblGrid>
      <w:tr w:rsidR="00FF4EA7" w:rsidRPr="00FF4EA7" w14:paraId="639D6FB4" w14:textId="77777777" w:rsidTr="001F13EA">
        <w:tc>
          <w:tcPr>
            <w:tcW w:w="3119" w:type="dxa"/>
            <w:gridSpan w:val="2"/>
            <w:tcBorders>
              <w:bottom w:val="single" w:sz="8" w:space="0" w:color="E7E6E6" w:themeColor="background2"/>
            </w:tcBorders>
            <w:vAlign w:val="center"/>
          </w:tcPr>
          <w:p w14:paraId="299F9AE5" w14:textId="4597902C" w:rsidR="00CD3677" w:rsidRPr="00FF4EA7" w:rsidRDefault="00CD3677" w:rsidP="00FF4EA7">
            <w:pPr>
              <w:jc w:val="center"/>
              <w:rPr>
                <w:i/>
                <w:color w:val="404040" w:themeColor="text1" w:themeTint="BF"/>
              </w:rPr>
            </w:pPr>
            <w:r w:rsidRPr="00FF4EA7">
              <w:rPr>
                <w:i/>
                <w:color w:val="404040" w:themeColor="text1" w:themeTint="BF"/>
              </w:rPr>
              <w:lastRenderedPageBreak/>
              <w:t xml:space="preserve">“This is a </w:t>
            </w:r>
            <w:proofErr w:type="gramStart"/>
            <w:r w:rsidRPr="00FF4EA7">
              <w:rPr>
                <w:i/>
                <w:color w:val="404040" w:themeColor="text1" w:themeTint="BF"/>
              </w:rPr>
              <w:t>blue black</w:t>
            </w:r>
            <w:proofErr w:type="gramEnd"/>
            <w:r w:rsidRPr="00FF4EA7">
              <w:rPr>
                <w:i/>
                <w:color w:val="404040" w:themeColor="text1" w:themeTint="BF"/>
              </w:rPr>
              <w:t xml:space="preserve"> hole and this is trails that’s going in it, and it’s night-time and it’s sunny.”</w:t>
            </w:r>
          </w:p>
        </w:tc>
        <w:tc>
          <w:tcPr>
            <w:tcW w:w="5907" w:type="dxa"/>
            <w:gridSpan w:val="3"/>
            <w:tcBorders>
              <w:bottom w:val="single" w:sz="8" w:space="0" w:color="E7E6E6" w:themeColor="background2"/>
            </w:tcBorders>
            <w:vAlign w:val="center"/>
          </w:tcPr>
          <w:p w14:paraId="6B061696" w14:textId="1EF7EB11" w:rsidR="00CD3677" w:rsidRPr="00FF4EA7" w:rsidRDefault="00CD3677" w:rsidP="00FF4EA7">
            <w:pPr>
              <w:jc w:val="center"/>
              <w:rPr>
                <w:i/>
                <w:color w:val="404040" w:themeColor="text1" w:themeTint="BF"/>
              </w:rPr>
            </w:pPr>
            <w:r w:rsidRPr="00FF4EA7">
              <w:rPr>
                <w:i/>
                <w:color w:val="404040" w:themeColor="text1" w:themeTint="BF"/>
              </w:rPr>
              <w:fldChar w:fldCharType="begin"/>
            </w:r>
            <w:r w:rsidRPr="00FF4EA7">
              <w:rPr>
                <w:i/>
                <w:color w:val="404040" w:themeColor="text1" w:themeTint="BF"/>
              </w:rPr>
              <w:instrText xml:space="preserve"> INCLUDEPICTURE "/Users/danielhanningtonpinto/Library/Group Containers/UBF8T346G9.ms/WebArchiveCopyPasteTempFiles/com.microsoft.Word/26d6fe82-010b-42ba-98d7-5c0dc9d9fa33" \* MERGEFORMATINET </w:instrText>
            </w:r>
            <w:r w:rsidRPr="00FF4EA7">
              <w:rPr>
                <w:i/>
                <w:color w:val="404040" w:themeColor="text1" w:themeTint="BF"/>
              </w:rPr>
              <w:fldChar w:fldCharType="separate"/>
            </w:r>
            <w:r w:rsidRPr="00FF4EA7">
              <w:rPr>
                <w:i/>
                <w:noProof/>
                <w:color w:val="404040" w:themeColor="text1" w:themeTint="BF"/>
              </w:rPr>
              <w:drawing>
                <wp:inline distT="0" distB="0" distL="0" distR="0" wp14:anchorId="2801A685" wp14:editId="4AD2F7A0">
                  <wp:extent cx="3420745" cy="2359201"/>
                  <wp:effectExtent l="0" t="0" r="0" b="3175"/>
                  <wp:docPr id="1764989365" name="Picture 1764989365" descr="A white paper with colorful pain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989365" name="Picture 27" descr="A white paper with colorful paint on it&#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522396" cy="2429307"/>
                          </a:xfrm>
                          <a:prstGeom prst="rect">
                            <a:avLst/>
                          </a:prstGeom>
                          <a:noFill/>
                          <a:ln>
                            <a:noFill/>
                          </a:ln>
                        </pic:spPr>
                      </pic:pic>
                    </a:graphicData>
                  </a:graphic>
                </wp:inline>
              </w:drawing>
            </w:r>
            <w:r w:rsidRPr="00FF4EA7">
              <w:rPr>
                <w:i/>
                <w:color w:val="404040" w:themeColor="text1" w:themeTint="BF"/>
              </w:rPr>
              <w:fldChar w:fldCharType="end"/>
            </w:r>
          </w:p>
        </w:tc>
      </w:tr>
      <w:tr w:rsidR="00D169E0" w:rsidRPr="00FF4EA7" w14:paraId="7DFA049A" w14:textId="77777777" w:rsidTr="00D54BA0">
        <w:tc>
          <w:tcPr>
            <w:tcW w:w="3119" w:type="dxa"/>
            <w:gridSpan w:val="2"/>
            <w:tcBorders>
              <w:top w:val="single" w:sz="8" w:space="0" w:color="E7E6E6" w:themeColor="background2"/>
            </w:tcBorders>
            <w:vAlign w:val="center"/>
          </w:tcPr>
          <w:p w14:paraId="3D04F166" w14:textId="77777777" w:rsidR="00D169E0" w:rsidRPr="00FF4EA7" w:rsidRDefault="00D169E0">
            <w:pPr>
              <w:jc w:val="center"/>
              <w:rPr>
                <w:i/>
                <w:color w:val="404040" w:themeColor="text1" w:themeTint="BF"/>
              </w:rPr>
            </w:pPr>
            <w:r w:rsidRPr="00FF4EA7">
              <w:rPr>
                <w:i/>
                <w:color w:val="404040" w:themeColor="text1" w:themeTint="BF"/>
              </w:rPr>
              <w:t>“TV that can walk.”</w:t>
            </w:r>
          </w:p>
        </w:tc>
        <w:tc>
          <w:tcPr>
            <w:tcW w:w="5907" w:type="dxa"/>
            <w:gridSpan w:val="3"/>
            <w:tcBorders>
              <w:top w:val="single" w:sz="8" w:space="0" w:color="E7E6E6" w:themeColor="background2"/>
            </w:tcBorders>
            <w:vAlign w:val="center"/>
          </w:tcPr>
          <w:p w14:paraId="01ADA75B" w14:textId="1052822E" w:rsidR="00D169E0" w:rsidRPr="00FF4EA7" w:rsidRDefault="00D169E0">
            <w:pPr>
              <w:jc w:val="center"/>
              <w:rPr>
                <w:i/>
                <w:color w:val="404040" w:themeColor="text1" w:themeTint="BF"/>
              </w:rPr>
            </w:pPr>
            <w:r w:rsidRPr="00FF4EA7">
              <w:rPr>
                <w:i/>
                <w:color w:val="404040" w:themeColor="text1" w:themeTint="BF"/>
              </w:rPr>
              <w:fldChar w:fldCharType="begin"/>
            </w:r>
            <w:r w:rsidRPr="00FF4EA7">
              <w:rPr>
                <w:i/>
                <w:color w:val="404040" w:themeColor="text1" w:themeTint="BF"/>
              </w:rPr>
              <w:instrText xml:space="preserve"> INCLUDEPICTURE "/Users/danielhanningtonpinto/Library/Group Containers/UBF8T346G9.ms/WebArchiveCopyPasteTempFiles/com.microsoft.Word/056484db-cda3-468d-aa3e-753cf074c284" \* MERGEFORMATINET </w:instrText>
            </w:r>
            <w:r w:rsidRPr="00FF4EA7">
              <w:rPr>
                <w:i/>
                <w:color w:val="404040" w:themeColor="text1" w:themeTint="BF"/>
              </w:rPr>
              <w:fldChar w:fldCharType="separate"/>
            </w:r>
            <w:r w:rsidRPr="00FF4EA7">
              <w:rPr>
                <w:i/>
                <w:noProof/>
                <w:color w:val="404040" w:themeColor="text1" w:themeTint="BF"/>
              </w:rPr>
              <w:drawing>
                <wp:inline distT="0" distB="0" distL="0" distR="0" wp14:anchorId="7B8F9123" wp14:editId="679E9BFC">
                  <wp:extent cx="3384413" cy="2540000"/>
                  <wp:effectExtent l="0" t="0" r="0" b="0"/>
                  <wp:docPr id="603288638" name="Picture 603288638" descr="A child's drawing on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995381" name="Picture 1998995381" descr="A child's drawing on a piece of paper&#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34996" cy="2653013"/>
                          </a:xfrm>
                          <a:prstGeom prst="rect">
                            <a:avLst/>
                          </a:prstGeom>
                          <a:noFill/>
                          <a:ln>
                            <a:noFill/>
                          </a:ln>
                        </pic:spPr>
                      </pic:pic>
                    </a:graphicData>
                  </a:graphic>
                </wp:inline>
              </w:drawing>
            </w:r>
            <w:r w:rsidRPr="00FF4EA7">
              <w:rPr>
                <w:i/>
                <w:color w:val="404040" w:themeColor="text1" w:themeTint="BF"/>
              </w:rPr>
              <w:fldChar w:fldCharType="end"/>
            </w:r>
          </w:p>
        </w:tc>
      </w:tr>
      <w:tr w:rsidR="00FF4EA7" w:rsidRPr="00FF4EA7" w14:paraId="03C278A4" w14:textId="77777777" w:rsidTr="00D54BA0">
        <w:tc>
          <w:tcPr>
            <w:tcW w:w="4505" w:type="dxa"/>
            <w:gridSpan w:val="3"/>
            <w:tcBorders>
              <w:right w:val="single" w:sz="8" w:space="0" w:color="E7E6E6" w:themeColor="background2"/>
            </w:tcBorders>
            <w:vAlign w:val="center"/>
          </w:tcPr>
          <w:p w14:paraId="29D325EE" w14:textId="37DE45E0" w:rsidR="00CD3677" w:rsidRPr="00FF4EA7" w:rsidRDefault="00CD3677" w:rsidP="00FF4EA7">
            <w:pPr>
              <w:jc w:val="center"/>
              <w:rPr>
                <w:i/>
                <w:color w:val="404040" w:themeColor="text1" w:themeTint="BF"/>
              </w:rPr>
            </w:pPr>
            <w:r w:rsidRPr="00FF4EA7">
              <w:rPr>
                <w:i/>
                <w:color w:val="404040" w:themeColor="text1" w:themeTint="BF"/>
              </w:rPr>
              <w:lastRenderedPageBreak/>
              <w:fldChar w:fldCharType="begin"/>
            </w:r>
            <w:r w:rsidRPr="00FF4EA7">
              <w:rPr>
                <w:i/>
                <w:color w:val="404040" w:themeColor="text1" w:themeTint="BF"/>
              </w:rPr>
              <w:instrText xml:space="preserve"> INCLUDEPICTURE "/Users/danielhanningtonpinto/Library/Group Containers/UBF8T346G9.ms/WebArchiveCopyPasteTempFiles/com.microsoft.Word/dd73dc15-99a1-45ea-8d34-257618d96591" \* MERGEFORMATINET </w:instrText>
            </w:r>
            <w:r w:rsidRPr="00FF4EA7">
              <w:rPr>
                <w:i/>
                <w:color w:val="404040" w:themeColor="text1" w:themeTint="BF"/>
              </w:rPr>
              <w:fldChar w:fldCharType="separate"/>
            </w:r>
            <w:r w:rsidRPr="00FF4EA7">
              <w:rPr>
                <w:i/>
                <w:noProof/>
                <w:color w:val="404040" w:themeColor="text1" w:themeTint="BF"/>
              </w:rPr>
              <w:drawing>
                <wp:inline distT="0" distB="0" distL="0" distR="0" wp14:anchorId="652B661C" wp14:editId="4CF921CE">
                  <wp:extent cx="2673985" cy="3299377"/>
                  <wp:effectExtent l="0" t="0" r="5715" b="3175"/>
                  <wp:docPr id="624785958" name="Picture 15" descr="A drawing of a monster and a su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85958" name="Picture 15" descr="A drawing of a monster and a sun&#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26784" cy="3364525"/>
                          </a:xfrm>
                          <a:prstGeom prst="rect">
                            <a:avLst/>
                          </a:prstGeom>
                          <a:noFill/>
                          <a:ln>
                            <a:noFill/>
                          </a:ln>
                        </pic:spPr>
                      </pic:pic>
                    </a:graphicData>
                  </a:graphic>
                </wp:inline>
              </w:drawing>
            </w:r>
            <w:r w:rsidRPr="00FF4EA7">
              <w:rPr>
                <w:i/>
                <w:color w:val="404040" w:themeColor="text1" w:themeTint="BF"/>
              </w:rPr>
              <w:fldChar w:fldCharType="end"/>
            </w:r>
          </w:p>
        </w:tc>
        <w:tc>
          <w:tcPr>
            <w:tcW w:w="4521" w:type="dxa"/>
            <w:gridSpan w:val="2"/>
            <w:tcBorders>
              <w:left w:val="single" w:sz="8" w:space="0" w:color="E7E6E6" w:themeColor="background2"/>
            </w:tcBorders>
            <w:vAlign w:val="center"/>
          </w:tcPr>
          <w:p w14:paraId="2462F7A0" w14:textId="6D0696F4" w:rsidR="00CD3677" w:rsidRPr="00FF4EA7" w:rsidRDefault="00FF4EA7" w:rsidP="00FF4EA7">
            <w:pPr>
              <w:jc w:val="center"/>
              <w:rPr>
                <w:i/>
                <w:color w:val="404040" w:themeColor="text1" w:themeTint="BF"/>
              </w:rPr>
            </w:pPr>
            <w:r w:rsidRPr="00FF4EA7">
              <w:rPr>
                <w:i/>
                <w:color w:val="404040" w:themeColor="text1" w:themeTint="BF"/>
              </w:rPr>
              <w:fldChar w:fldCharType="begin"/>
            </w:r>
            <w:r w:rsidRPr="00FF4EA7">
              <w:rPr>
                <w:i/>
                <w:color w:val="404040" w:themeColor="text1" w:themeTint="BF"/>
              </w:rPr>
              <w:instrText xml:space="preserve"> INCLUDEPICTURE "/Users/danielhanningtonpinto/Library/Group Containers/UBF8T346G9.ms/WebArchiveCopyPasteTempFiles/com.microsoft.Word/dee5e4b8-5cef-4aab-8624-783af99b24c2" \* MERGEFORMATINET </w:instrText>
            </w:r>
            <w:r w:rsidRPr="00FF4EA7">
              <w:rPr>
                <w:i/>
                <w:color w:val="404040" w:themeColor="text1" w:themeTint="BF"/>
              </w:rPr>
              <w:fldChar w:fldCharType="separate"/>
            </w:r>
            <w:r w:rsidRPr="00FF4EA7">
              <w:rPr>
                <w:i/>
                <w:noProof/>
                <w:color w:val="404040" w:themeColor="text1" w:themeTint="BF"/>
              </w:rPr>
              <w:drawing>
                <wp:inline distT="0" distB="0" distL="0" distR="0" wp14:anchorId="30D9F033" wp14:editId="33E09B09">
                  <wp:extent cx="2208179" cy="3313983"/>
                  <wp:effectExtent l="0" t="0" r="1905" b="1270"/>
                  <wp:docPr id="12854052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74007" cy="3412775"/>
                          </a:xfrm>
                          <a:prstGeom prst="rect">
                            <a:avLst/>
                          </a:prstGeom>
                          <a:noFill/>
                          <a:ln>
                            <a:noFill/>
                          </a:ln>
                        </pic:spPr>
                      </pic:pic>
                    </a:graphicData>
                  </a:graphic>
                </wp:inline>
              </w:drawing>
            </w:r>
            <w:r w:rsidRPr="00FF4EA7">
              <w:rPr>
                <w:i/>
                <w:color w:val="404040" w:themeColor="text1" w:themeTint="BF"/>
              </w:rPr>
              <w:fldChar w:fldCharType="end"/>
            </w:r>
          </w:p>
        </w:tc>
      </w:tr>
      <w:tr w:rsidR="00FF4EA7" w:rsidRPr="00FF4EA7" w14:paraId="3DC0F05F" w14:textId="77777777" w:rsidTr="00D54BA0">
        <w:tc>
          <w:tcPr>
            <w:tcW w:w="4505" w:type="dxa"/>
            <w:gridSpan w:val="3"/>
            <w:tcBorders>
              <w:right w:val="single" w:sz="8" w:space="0" w:color="E7E6E6" w:themeColor="background2"/>
            </w:tcBorders>
            <w:vAlign w:val="center"/>
          </w:tcPr>
          <w:p w14:paraId="70DB46D0" w14:textId="2DD22F80" w:rsidR="00FF4EA7" w:rsidRPr="00FF4EA7" w:rsidRDefault="00FF4EA7" w:rsidP="00FF4EA7">
            <w:pPr>
              <w:jc w:val="center"/>
              <w:rPr>
                <w:i/>
                <w:color w:val="404040" w:themeColor="text1" w:themeTint="BF"/>
              </w:rPr>
            </w:pPr>
            <w:r w:rsidRPr="00FF4EA7">
              <w:rPr>
                <w:i/>
                <w:color w:val="404040" w:themeColor="text1" w:themeTint="BF"/>
              </w:rPr>
              <w:t>“I did ghosts. This one is creepy, with spikes and fireballs.”</w:t>
            </w:r>
          </w:p>
        </w:tc>
        <w:tc>
          <w:tcPr>
            <w:tcW w:w="4521" w:type="dxa"/>
            <w:gridSpan w:val="2"/>
            <w:tcBorders>
              <w:left w:val="single" w:sz="8" w:space="0" w:color="E7E6E6" w:themeColor="background2"/>
            </w:tcBorders>
            <w:vAlign w:val="center"/>
          </w:tcPr>
          <w:p w14:paraId="27388131" w14:textId="0261C5AA" w:rsidR="00FF4EA7" w:rsidRPr="00FF4EA7" w:rsidRDefault="00FF4EA7" w:rsidP="00FF4EA7">
            <w:pPr>
              <w:jc w:val="center"/>
              <w:rPr>
                <w:i/>
                <w:color w:val="404040" w:themeColor="text1" w:themeTint="BF"/>
              </w:rPr>
            </w:pPr>
            <w:r w:rsidRPr="00FF4EA7">
              <w:rPr>
                <w:i/>
                <w:color w:val="404040" w:themeColor="text1" w:themeTint="BF"/>
              </w:rPr>
              <w:t>“I used the tip of the paintbrush to do this.”</w:t>
            </w:r>
          </w:p>
        </w:tc>
      </w:tr>
      <w:tr w:rsidR="00FF4EA7" w:rsidRPr="00FF4EA7" w14:paraId="2A3A4F6A" w14:textId="77777777" w:rsidTr="00D54BA0">
        <w:tc>
          <w:tcPr>
            <w:tcW w:w="6599" w:type="dxa"/>
            <w:gridSpan w:val="4"/>
            <w:vAlign w:val="center"/>
          </w:tcPr>
          <w:p w14:paraId="48E57A33" w14:textId="296408AD" w:rsidR="00FF4EA7" w:rsidRPr="00FF4EA7" w:rsidRDefault="00FF4EA7" w:rsidP="00FF4EA7">
            <w:pPr>
              <w:jc w:val="center"/>
              <w:rPr>
                <w:i/>
                <w:color w:val="404040" w:themeColor="text1" w:themeTint="BF"/>
              </w:rPr>
            </w:pPr>
            <w:r w:rsidRPr="00FF4EA7">
              <w:rPr>
                <w:i/>
                <w:color w:val="404040" w:themeColor="text1" w:themeTint="BF"/>
              </w:rPr>
              <w:fldChar w:fldCharType="begin"/>
            </w:r>
            <w:r w:rsidRPr="00FF4EA7">
              <w:rPr>
                <w:i/>
                <w:color w:val="404040" w:themeColor="text1" w:themeTint="BF"/>
              </w:rPr>
              <w:instrText xml:space="preserve"> INCLUDEPICTURE "/Users/danielhanningtonpinto/Library/Group Containers/UBF8T346G9.ms/WebArchiveCopyPasteTempFiles/com.microsoft.Word/39c4329a-1ca1-466a-8fef-a4721387f7c1" \* MERGEFORMATINET </w:instrText>
            </w:r>
            <w:r w:rsidRPr="00FF4EA7">
              <w:rPr>
                <w:i/>
                <w:color w:val="404040" w:themeColor="text1" w:themeTint="BF"/>
              </w:rPr>
              <w:fldChar w:fldCharType="separate"/>
            </w:r>
            <w:r w:rsidRPr="00FF4EA7">
              <w:rPr>
                <w:i/>
                <w:noProof/>
                <w:color w:val="404040" w:themeColor="text1" w:themeTint="BF"/>
              </w:rPr>
              <w:drawing>
                <wp:inline distT="0" distB="0" distL="0" distR="0" wp14:anchorId="7DADA8D7" wp14:editId="490C8C91">
                  <wp:extent cx="3433864" cy="2288355"/>
                  <wp:effectExtent l="0" t="0" r="0" b="0"/>
                  <wp:docPr id="8375404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456090" cy="2303167"/>
                          </a:xfrm>
                          <a:prstGeom prst="rect">
                            <a:avLst/>
                          </a:prstGeom>
                          <a:noFill/>
                          <a:ln>
                            <a:noFill/>
                          </a:ln>
                        </pic:spPr>
                      </pic:pic>
                    </a:graphicData>
                  </a:graphic>
                </wp:inline>
              </w:drawing>
            </w:r>
            <w:r w:rsidRPr="00FF4EA7">
              <w:rPr>
                <w:i/>
                <w:color w:val="404040" w:themeColor="text1" w:themeTint="BF"/>
              </w:rPr>
              <w:fldChar w:fldCharType="end"/>
            </w:r>
          </w:p>
        </w:tc>
        <w:tc>
          <w:tcPr>
            <w:tcW w:w="2427" w:type="dxa"/>
            <w:vAlign w:val="center"/>
          </w:tcPr>
          <w:p w14:paraId="268DD53D" w14:textId="71D7D917" w:rsidR="00FF4EA7" w:rsidRPr="00FF4EA7" w:rsidRDefault="00FF4EA7" w:rsidP="00FF4EA7">
            <w:pPr>
              <w:jc w:val="center"/>
              <w:rPr>
                <w:i/>
                <w:color w:val="404040" w:themeColor="text1" w:themeTint="BF"/>
              </w:rPr>
            </w:pPr>
            <w:r w:rsidRPr="00FF4EA7">
              <w:rPr>
                <w:i/>
                <w:color w:val="404040" w:themeColor="text1" w:themeTint="BF"/>
              </w:rPr>
              <w:t>“I found gold in the sand!”</w:t>
            </w:r>
          </w:p>
        </w:tc>
      </w:tr>
      <w:tr w:rsidR="00FF4EA7" w:rsidRPr="00FF4EA7" w14:paraId="5F50FC5D" w14:textId="77777777" w:rsidTr="00D54BA0">
        <w:tc>
          <w:tcPr>
            <w:tcW w:w="2250" w:type="dxa"/>
            <w:tcBorders>
              <w:bottom w:val="single" w:sz="8" w:space="0" w:color="E7E6E6" w:themeColor="background2"/>
            </w:tcBorders>
            <w:vAlign w:val="center"/>
          </w:tcPr>
          <w:p w14:paraId="25027A32" w14:textId="05A56B11" w:rsidR="00FF4EA7" w:rsidRPr="00FF4EA7" w:rsidRDefault="00FF4EA7" w:rsidP="00FF4EA7">
            <w:pPr>
              <w:jc w:val="center"/>
              <w:rPr>
                <w:i/>
                <w:color w:val="404040" w:themeColor="text1" w:themeTint="BF"/>
              </w:rPr>
            </w:pPr>
            <w:r w:rsidRPr="00FF4EA7">
              <w:rPr>
                <w:i/>
                <w:color w:val="404040" w:themeColor="text1" w:themeTint="BF"/>
              </w:rPr>
              <w:lastRenderedPageBreak/>
              <w:t xml:space="preserve">“A fireball that’s </w:t>
            </w:r>
            <w:proofErr w:type="gramStart"/>
            <w:r w:rsidRPr="00FF4EA7">
              <w:rPr>
                <w:i/>
                <w:color w:val="404040" w:themeColor="text1" w:themeTint="BF"/>
              </w:rPr>
              <w:t>all different</w:t>
            </w:r>
            <w:proofErr w:type="gramEnd"/>
            <w:r w:rsidRPr="00FF4EA7">
              <w:rPr>
                <w:i/>
                <w:color w:val="404040" w:themeColor="text1" w:themeTint="BF"/>
              </w:rPr>
              <w:t xml:space="preserve"> colours in space, and that’s my eye poking out, and it’s a rainbow eye.”</w:t>
            </w:r>
          </w:p>
        </w:tc>
        <w:tc>
          <w:tcPr>
            <w:tcW w:w="6776" w:type="dxa"/>
            <w:gridSpan w:val="4"/>
            <w:tcBorders>
              <w:bottom w:val="single" w:sz="8" w:space="0" w:color="E7E6E6" w:themeColor="background2"/>
            </w:tcBorders>
            <w:vAlign w:val="center"/>
          </w:tcPr>
          <w:p w14:paraId="6B16A8A7" w14:textId="711B9C40" w:rsidR="00FF4EA7" w:rsidRPr="00FF4EA7" w:rsidRDefault="00FF4EA7" w:rsidP="00FF4EA7">
            <w:pPr>
              <w:jc w:val="center"/>
              <w:rPr>
                <w:i/>
                <w:color w:val="404040" w:themeColor="text1" w:themeTint="BF"/>
              </w:rPr>
            </w:pPr>
            <w:r w:rsidRPr="00FF4EA7">
              <w:rPr>
                <w:i/>
                <w:color w:val="404040" w:themeColor="text1" w:themeTint="BF"/>
              </w:rPr>
              <w:fldChar w:fldCharType="begin"/>
            </w:r>
            <w:r w:rsidRPr="00FF4EA7">
              <w:rPr>
                <w:i/>
                <w:color w:val="404040" w:themeColor="text1" w:themeTint="BF"/>
              </w:rPr>
              <w:instrText xml:space="preserve"> INCLUDEPICTURE "/Users/danielhanningtonpinto/Library/Group Containers/UBF8T346G9.ms/WebArchiveCopyPasteTempFiles/com.microsoft.Word/6903fb82-892c-4cdf-85c3-84514a999bf6" \* MERGEFORMATINET </w:instrText>
            </w:r>
            <w:r w:rsidRPr="00FF4EA7">
              <w:rPr>
                <w:i/>
                <w:color w:val="404040" w:themeColor="text1" w:themeTint="BF"/>
              </w:rPr>
              <w:fldChar w:fldCharType="separate"/>
            </w:r>
            <w:r w:rsidRPr="00FF4EA7">
              <w:rPr>
                <w:i/>
                <w:noProof/>
                <w:color w:val="404040" w:themeColor="text1" w:themeTint="BF"/>
              </w:rPr>
              <w:drawing>
                <wp:inline distT="0" distB="0" distL="0" distR="0" wp14:anchorId="4B463956" wp14:editId="60127C45">
                  <wp:extent cx="3433864" cy="2296345"/>
                  <wp:effectExtent l="0" t="0" r="0" b="2540"/>
                  <wp:docPr id="13372846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284626" name="Picture 1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474168" cy="2323298"/>
                          </a:xfrm>
                          <a:prstGeom prst="rect">
                            <a:avLst/>
                          </a:prstGeom>
                          <a:noFill/>
                          <a:ln>
                            <a:noFill/>
                          </a:ln>
                        </pic:spPr>
                      </pic:pic>
                    </a:graphicData>
                  </a:graphic>
                </wp:inline>
              </w:drawing>
            </w:r>
            <w:r w:rsidRPr="00FF4EA7">
              <w:rPr>
                <w:i/>
                <w:color w:val="404040" w:themeColor="text1" w:themeTint="BF"/>
              </w:rPr>
              <w:fldChar w:fldCharType="end"/>
            </w:r>
          </w:p>
        </w:tc>
      </w:tr>
      <w:tr w:rsidR="00FF4EA7" w:rsidRPr="00FF4EA7" w14:paraId="0239EF91" w14:textId="77777777" w:rsidTr="00D54BA0">
        <w:tc>
          <w:tcPr>
            <w:tcW w:w="6599" w:type="dxa"/>
            <w:gridSpan w:val="4"/>
            <w:tcBorders>
              <w:top w:val="single" w:sz="8" w:space="0" w:color="E7E6E6" w:themeColor="background2"/>
              <w:bottom w:val="single" w:sz="8" w:space="0" w:color="E7E6E6" w:themeColor="background2"/>
            </w:tcBorders>
            <w:vAlign w:val="center"/>
          </w:tcPr>
          <w:p w14:paraId="0D8C5BE0" w14:textId="1CC5E2DD" w:rsidR="00FF4EA7" w:rsidRPr="00FF4EA7" w:rsidRDefault="00FF4EA7" w:rsidP="00FF4EA7">
            <w:pPr>
              <w:jc w:val="center"/>
              <w:rPr>
                <w:i/>
                <w:color w:val="404040" w:themeColor="text1" w:themeTint="BF"/>
              </w:rPr>
            </w:pPr>
            <w:r w:rsidRPr="00FF4EA7">
              <w:rPr>
                <w:i/>
                <w:color w:val="404040" w:themeColor="text1" w:themeTint="BF"/>
              </w:rPr>
              <w:fldChar w:fldCharType="begin"/>
            </w:r>
            <w:r w:rsidRPr="00FF4EA7">
              <w:rPr>
                <w:i/>
                <w:color w:val="404040" w:themeColor="text1" w:themeTint="BF"/>
              </w:rPr>
              <w:instrText xml:space="preserve"> INCLUDEPICTURE "/Users/danielhanningtonpinto/Library/Group Containers/UBF8T346G9.ms/WebArchiveCopyPasteTempFiles/com.microsoft.Word/b1493432-9ae8-47e5-9334-3715093908aa" \* MERGEFORMATINET </w:instrText>
            </w:r>
            <w:r w:rsidRPr="00FF4EA7">
              <w:rPr>
                <w:i/>
                <w:color w:val="404040" w:themeColor="text1" w:themeTint="BF"/>
              </w:rPr>
              <w:fldChar w:fldCharType="separate"/>
            </w:r>
            <w:r w:rsidRPr="00FF4EA7">
              <w:rPr>
                <w:i/>
                <w:noProof/>
                <w:color w:val="404040" w:themeColor="text1" w:themeTint="BF"/>
              </w:rPr>
              <w:drawing>
                <wp:inline distT="0" distB="0" distL="0" distR="0" wp14:anchorId="6E9D0323" wp14:editId="4F27E86D">
                  <wp:extent cx="3482502" cy="2320768"/>
                  <wp:effectExtent l="0" t="0" r="0" b="3810"/>
                  <wp:docPr id="199122666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506027" cy="2336445"/>
                          </a:xfrm>
                          <a:prstGeom prst="rect">
                            <a:avLst/>
                          </a:prstGeom>
                          <a:noFill/>
                          <a:ln>
                            <a:noFill/>
                          </a:ln>
                        </pic:spPr>
                      </pic:pic>
                    </a:graphicData>
                  </a:graphic>
                </wp:inline>
              </w:drawing>
            </w:r>
            <w:r w:rsidRPr="00FF4EA7">
              <w:rPr>
                <w:i/>
                <w:color w:val="404040" w:themeColor="text1" w:themeTint="BF"/>
              </w:rPr>
              <w:fldChar w:fldCharType="end"/>
            </w:r>
          </w:p>
        </w:tc>
        <w:tc>
          <w:tcPr>
            <w:tcW w:w="2427" w:type="dxa"/>
            <w:tcBorders>
              <w:top w:val="single" w:sz="8" w:space="0" w:color="E7E6E6" w:themeColor="background2"/>
              <w:bottom w:val="single" w:sz="8" w:space="0" w:color="E7E6E6" w:themeColor="background2"/>
            </w:tcBorders>
            <w:vAlign w:val="center"/>
          </w:tcPr>
          <w:p w14:paraId="5CAD5F9D" w14:textId="2FEC1510" w:rsidR="00FF4EA7" w:rsidRPr="00FF4EA7" w:rsidRDefault="00FF4EA7" w:rsidP="00FF4EA7">
            <w:pPr>
              <w:jc w:val="center"/>
              <w:rPr>
                <w:i/>
                <w:color w:val="404040" w:themeColor="text1" w:themeTint="BF"/>
              </w:rPr>
            </w:pPr>
            <w:r w:rsidRPr="00FF4EA7">
              <w:rPr>
                <w:i/>
                <w:color w:val="404040" w:themeColor="text1" w:themeTint="BF"/>
              </w:rPr>
              <w:t>“A waterfall. An ant fell in. I used a leaf to get it out!”</w:t>
            </w:r>
          </w:p>
        </w:tc>
      </w:tr>
      <w:tr w:rsidR="00FF4EA7" w:rsidRPr="00FF4EA7" w14:paraId="08693CA1" w14:textId="77777777" w:rsidTr="00D54BA0">
        <w:tc>
          <w:tcPr>
            <w:tcW w:w="2250" w:type="dxa"/>
            <w:tcBorders>
              <w:top w:val="single" w:sz="8" w:space="0" w:color="E7E6E6" w:themeColor="background2"/>
            </w:tcBorders>
            <w:vAlign w:val="center"/>
          </w:tcPr>
          <w:p w14:paraId="6F76A59A" w14:textId="5112652C" w:rsidR="00FF4EA7" w:rsidRPr="00FF4EA7" w:rsidRDefault="00FF4EA7" w:rsidP="00FF4EA7">
            <w:pPr>
              <w:jc w:val="center"/>
              <w:rPr>
                <w:i/>
                <w:color w:val="404040" w:themeColor="text1" w:themeTint="BF"/>
              </w:rPr>
            </w:pPr>
            <w:r w:rsidRPr="00FF4EA7">
              <w:rPr>
                <w:i/>
                <w:color w:val="404040" w:themeColor="text1" w:themeTint="BF"/>
              </w:rPr>
              <w:t xml:space="preserve">“This is a sun cake, and if we eat </w:t>
            </w:r>
            <w:proofErr w:type="gramStart"/>
            <w:r w:rsidRPr="00FF4EA7">
              <w:rPr>
                <w:i/>
                <w:color w:val="404040" w:themeColor="text1" w:themeTint="BF"/>
              </w:rPr>
              <w:t>it</w:t>
            </w:r>
            <w:proofErr w:type="gramEnd"/>
            <w:r w:rsidRPr="00FF4EA7">
              <w:rPr>
                <w:i/>
                <w:color w:val="404040" w:themeColor="text1" w:themeTint="BF"/>
              </w:rPr>
              <w:t xml:space="preserve"> we can shine like the sun.”</w:t>
            </w:r>
          </w:p>
        </w:tc>
        <w:tc>
          <w:tcPr>
            <w:tcW w:w="6776" w:type="dxa"/>
            <w:gridSpan w:val="4"/>
            <w:tcBorders>
              <w:top w:val="single" w:sz="8" w:space="0" w:color="E7E6E6" w:themeColor="background2"/>
            </w:tcBorders>
            <w:vAlign w:val="center"/>
          </w:tcPr>
          <w:p w14:paraId="35BC006E" w14:textId="5E7AD6DA" w:rsidR="00FF4EA7" w:rsidRPr="00FF4EA7" w:rsidRDefault="00FF4EA7" w:rsidP="00FF4EA7">
            <w:pPr>
              <w:jc w:val="center"/>
              <w:rPr>
                <w:i/>
                <w:color w:val="404040" w:themeColor="text1" w:themeTint="BF"/>
              </w:rPr>
            </w:pPr>
            <w:r w:rsidRPr="00FF4EA7">
              <w:rPr>
                <w:i/>
                <w:color w:val="404040" w:themeColor="text1" w:themeTint="BF"/>
              </w:rPr>
              <w:fldChar w:fldCharType="begin"/>
            </w:r>
            <w:r w:rsidRPr="00FF4EA7">
              <w:rPr>
                <w:i/>
                <w:color w:val="404040" w:themeColor="text1" w:themeTint="BF"/>
              </w:rPr>
              <w:instrText xml:space="preserve"> INCLUDEPICTURE "/Users/danielhanningtonpinto/Library/Group Containers/UBF8T346G9.ms/WebArchiveCopyPasteTempFiles/com.microsoft.Word/2eee0b56-5c31-499d-90f2-d6983accc8c9" \* MERGEFORMATINET </w:instrText>
            </w:r>
            <w:r w:rsidRPr="00FF4EA7">
              <w:rPr>
                <w:i/>
                <w:color w:val="404040" w:themeColor="text1" w:themeTint="BF"/>
              </w:rPr>
              <w:fldChar w:fldCharType="separate"/>
            </w:r>
            <w:r w:rsidRPr="00FF4EA7">
              <w:rPr>
                <w:i/>
                <w:noProof/>
                <w:color w:val="404040" w:themeColor="text1" w:themeTint="BF"/>
              </w:rPr>
              <w:drawing>
                <wp:inline distT="0" distB="0" distL="0" distR="0" wp14:anchorId="29915BFD" wp14:editId="4BA12BFD">
                  <wp:extent cx="4167963" cy="2776179"/>
                  <wp:effectExtent l="0" t="0" r="0" b="5715"/>
                  <wp:docPr id="23632816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183046" cy="2786225"/>
                          </a:xfrm>
                          <a:prstGeom prst="rect">
                            <a:avLst/>
                          </a:prstGeom>
                          <a:noFill/>
                          <a:ln>
                            <a:noFill/>
                          </a:ln>
                        </pic:spPr>
                      </pic:pic>
                    </a:graphicData>
                  </a:graphic>
                </wp:inline>
              </w:drawing>
            </w:r>
            <w:r w:rsidRPr="00FF4EA7">
              <w:rPr>
                <w:i/>
                <w:color w:val="404040" w:themeColor="text1" w:themeTint="BF"/>
              </w:rPr>
              <w:fldChar w:fldCharType="end"/>
            </w:r>
          </w:p>
        </w:tc>
      </w:tr>
    </w:tbl>
    <w:p w14:paraId="40EC4223" w14:textId="77777777" w:rsidR="001D6B34" w:rsidRPr="00FF4EA7" w:rsidRDefault="001D6B34" w:rsidP="00C53FF2">
      <w:pPr>
        <w:widowControl w:val="0"/>
        <w:jc w:val="center"/>
        <w:rPr>
          <w:sz w:val="22"/>
          <w:szCs w:val="22"/>
        </w:rPr>
      </w:pPr>
    </w:p>
    <w:tbl>
      <w:tblPr>
        <w:tblStyle w:val="TableGrid"/>
        <w:tblW w:w="0" w:type="auto"/>
        <w:tblLook w:val="04A0" w:firstRow="1" w:lastRow="0" w:firstColumn="1" w:lastColumn="0" w:noHBand="0" w:noVBand="1"/>
      </w:tblPr>
      <w:tblGrid>
        <w:gridCol w:w="9016"/>
      </w:tblGrid>
      <w:tr w:rsidR="00C26EE4" w14:paraId="7B50D47D" w14:textId="77777777" w:rsidTr="652E6B4E">
        <w:trPr>
          <w:cantSplit/>
        </w:trPr>
        <w:tc>
          <w:tcPr>
            <w:tcW w:w="9016" w:type="dxa"/>
          </w:tcPr>
          <w:p w14:paraId="2D240527" w14:textId="77777777" w:rsidR="00C26EE4" w:rsidRPr="00FD7E85" w:rsidRDefault="00C26EE4" w:rsidP="00A32A46">
            <w:pPr>
              <w:widowControl w:val="0"/>
              <w:jc w:val="center"/>
              <w:rPr>
                <w:u w:val="single"/>
              </w:rPr>
            </w:pPr>
            <w:r w:rsidRPr="00FD7E85">
              <w:rPr>
                <w:u w:val="single"/>
              </w:rPr>
              <w:lastRenderedPageBreak/>
              <w:t>Researchers’ interpretation and implications for policy</w:t>
            </w:r>
          </w:p>
          <w:p w14:paraId="59E68388" w14:textId="3C0784CF" w:rsidR="00C26EE4" w:rsidRDefault="00C26EE4" w:rsidP="00A32A46">
            <w:pPr>
              <w:widowControl w:val="0"/>
              <w:spacing w:before="0"/>
            </w:pPr>
            <w:r w:rsidRPr="00FD7E85">
              <w:t xml:space="preserve">The children’s engagement </w:t>
            </w:r>
            <w:r w:rsidR="005A5ED1">
              <w:t>with</w:t>
            </w:r>
            <w:r w:rsidRPr="00FD7E85">
              <w:t xml:space="preserve"> a broad range of topics is evidence of the richness of curriculum that is offered </w:t>
            </w:r>
            <w:r w:rsidR="00DD79C5">
              <w:t xml:space="preserve">within </w:t>
            </w:r>
            <w:r w:rsidR="00F750B7">
              <w:t>these</w:t>
            </w:r>
            <w:r w:rsidR="00DD79C5">
              <w:t xml:space="preserve"> ECEC </w:t>
            </w:r>
            <w:r w:rsidRPr="00FD7E85">
              <w:t xml:space="preserve">settings. The inclusion of fundamental skills experiences is important for foundational learning, however the opportunity for children to engage in big ideas </w:t>
            </w:r>
            <w:r w:rsidR="008123AB">
              <w:t xml:space="preserve">and </w:t>
            </w:r>
            <w:r w:rsidRPr="00FD7E85">
              <w:t>be exposed to experience and thinking beyond their immediate world</w:t>
            </w:r>
            <w:r w:rsidR="008123AB">
              <w:t>,</w:t>
            </w:r>
            <w:r w:rsidRPr="00FD7E85">
              <w:t xml:space="preserve"> </w:t>
            </w:r>
            <w:r w:rsidR="00250430">
              <w:t>was also seen as building</w:t>
            </w:r>
            <w:r w:rsidRPr="00FD7E85">
              <w:t xml:space="preserve"> creativity, innovation</w:t>
            </w:r>
            <w:r w:rsidR="005A5ED1">
              <w:t>,</w:t>
            </w:r>
            <w:r w:rsidRPr="00FD7E85">
              <w:t xml:space="preserve"> and problem solving. The balance of experience to build mastery along with those that offer novelty or stretch to thinking is seen by the children as an important component of the ECEC experience. </w:t>
            </w:r>
            <w:r w:rsidR="00250430">
              <w:t>The v</w:t>
            </w:r>
            <w:r w:rsidR="000B5595">
              <w:t xml:space="preserve">ast array of topics and materials that were available to children across the setting was evidence of a rich emergent approach to curriculum where children’s ideas and solutions were prominent. </w:t>
            </w:r>
            <w:r w:rsidR="14CCA5A5">
              <w:t>T</w:t>
            </w:r>
            <w:r>
              <w:t>his</w:t>
            </w:r>
            <w:r w:rsidRPr="00FD7E85">
              <w:t xml:space="preserve"> supports the</w:t>
            </w:r>
            <w:r w:rsidR="6270E06D">
              <w:t xml:space="preserve"> vision of the Early Years Learning Framework that relies on</w:t>
            </w:r>
            <w:r w:rsidRPr="00FD7E85">
              <w:t xml:space="preserve"> highly </w:t>
            </w:r>
            <w:r w:rsidR="5EB43C14">
              <w:t xml:space="preserve">skilled and </w:t>
            </w:r>
            <w:r w:rsidRPr="00FD7E85">
              <w:t xml:space="preserve">qualified teachers and educators who are well supported to assess children’s learning and provide the right stretch to take them further on their learning journeys. </w:t>
            </w:r>
          </w:p>
        </w:tc>
      </w:tr>
    </w:tbl>
    <w:p w14:paraId="45436EDB" w14:textId="3E5C8C8A" w:rsidR="652E6B4E" w:rsidRPr="00970592" w:rsidRDefault="00AB6229" w:rsidP="00C53FF2">
      <w:pPr>
        <w:pStyle w:val="Heading2"/>
        <w:widowControl w:val="0"/>
      </w:pPr>
      <w:bookmarkStart w:id="67" w:name="_Toc177135998"/>
      <w:r w:rsidRPr="00970592">
        <w:t>I</w:t>
      </w:r>
      <w:r w:rsidR="00A97E9A" w:rsidRPr="00970592">
        <w:t>nclusion practices</w:t>
      </w:r>
      <w:bookmarkEnd w:id="67"/>
    </w:p>
    <w:p w14:paraId="101C19A6" w14:textId="77777777" w:rsidR="00FF4EA7" w:rsidRPr="00970592" w:rsidRDefault="00FF4EA7" w:rsidP="00FF4EA7">
      <w:bookmarkStart w:id="68" w:name="_Toc159497988"/>
      <w:r w:rsidRPr="00970592">
        <w:t xml:space="preserve">Children with additional needs participated in consultations alongside their peers. This was often integrated into the broader activities. </w:t>
      </w:r>
    </w:p>
    <w:p w14:paraId="2110B66B" w14:textId="77777777" w:rsidR="00FF4EA7" w:rsidRPr="00970592" w:rsidRDefault="00FF4EA7" w:rsidP="00FF4EA7">
      <w:r w:rsidRPr="00970592">
        <w:t>In one setting this occurred in the group discussion in which a child with limited verbal communication used gestures and key words to join the discussion. They shared their favourite activities at preschool affirming or correcting the researcher to clarify their meaning.</w:t>
      </w:r>
    </w:p>
    <w:p w14:paraId="1932FACB" w14:textId="18C42856" w:rsidR="00FF4EA7" w:rsidRPr="00970592" w:rsidRDefault="00FF4EA7" w:rsidP="00FF4EA7">
      <w:r w:rsidRPr="00970592">
        <w:t>In another example, a child joined the building and construction area where the 3D building activity was occurring. The child declined when invited to join the activity, however, they approached the researcher during the session to share a set of alphabet cards that they had been carrying. The child, alongside another child participating, then showed the researcher each card and labelled the associated object or asked the researcher to do the same. Throughout the session the child brought different objects to show the researcher. In these interactions they discussed context (</w:t>
      </w:r>
      <w:r w:rsidR="00FD25B7">
        <w:t>whether</w:t>
      </w:r>
      <w:r w:rsidR="00FD25B7" w:rsidRPr="00970592">
        <w:t xml:space="preserve"> </w:t>
      </w:r>
      <w:r w:rsidRPr="00970592">
        <w:t>the</w:t>
      </w:r>
      <w:r w:rsidR="00B0789A" w:rsidRPr="00970592">
        <w:t xml:space="preserve"> object</w:t>
      </w:r>
      <w:r w:rsidR="00FD25B7">
        <w:t xml:space="preserve"> was</w:t>
      </w:r>
      <w:r w:rsidRPr="00970592">
        <w:t xml:space="preserve"> ‘from home’ or ‘from preschool’), function (how each object worked), and what the child liked about each object through gesture and vocalisation. The child showed an interest in the interaction but did not assign significance or value to the objects shared – they could not be understood as ‘favourite’ objects. </w:t>
      </w:r>
    </w:p>
    <w:p w14:paraId="53CC0201" w14:textId="77777777" w:rsidR="00FF4EA7" w:rsidRDefault="00FF4EA7" w:rsidP="00FF4EA7">
      <w:r w:rsidRPr="00970592">
        <w:t>In these examples (and others like them), the environment supported the children to participate. Children took up the invitations that the space and program offered (a feature of an ECEC setting) and joined the activity in a way that worked for them. The setting and the practices within it normalised this approach.</w:t>
      </w:r>
      <w:r>
        <w:t xml:space="preserve"> </w:t>
      </w:r>
    </w:p>
    <w:bookmarkEnd w:id="68"/>
    <w:p w14:paraId="0DDD5D07" w14:textId="15901C4F" w:rsidR="652E6B4E" w:rsidRPr="00970592" w:rsidRDefault="00FF4EA7" w:rsidP="00991A34">
      <w:r w:rsidRPr="00970592">
        <w:t>Other e</w:t>
      </w:r>
      <w:r w:rsidR="00337591" w:rsidRPr="00970592">
        <w:t>xamples included:</w:t>
      </w:r>
    </w:p>
    <w:p w14:paraId="38AA29F8" w14:textId="2C354545" w:rsidR="00337591" w:rsidRPr="00970592" w:rsidRDefault="00FF4EA7" w:rsidP="00337591">
      <w:pPr>
        <w:pStyle w:val="ListParagraph"/>
        <w:numPr>
          <w:ilvl w:val="0"/>
          <w:numId w:val="29"/>
        </w:numPr>
      </w:pPr>
      <w:r w:rsidRPr="00970592">
        <w:t>Educators</w:t>
      </w:r>
      <w:r w:rsidR="00337591" w:rsidRPr="00970592">
        <w:t xml:space="preserve"> ensured the area in which both creative activities were being undertaken was in a part of the service easily accessible by a ramp</w:t>
      </w:r>
      <w:r w:rsidRPr="00970592">
        <w:t xml:space="preserve"> </w:t>
      </w:r>
      <w:r w:rsidR="00CA1CC7" w:rsidRPr="00970592">
        <w:t>to</w:t>
      </w:r>
      <w:r w:rsidRPr="00970592">
        <w:t xml:space="preserve"> allow full participation by a child with mobility issues, </w:t>
      </w:r>
      <w:proofErr w:type="gramStart"/>
      <w:r w:rsidRPr="00970592">
        <w:t>educators</w:t>
      </w:r>
      <w:r w:rsidR="00CF3DA4" w:rsidRPr="00970592">
        <w:t>;</w:t>
      </w:r>
      <w:proofErr w:type="gramEnd"/>
    </w:p>
    <w:p w14:paraId="132083FA" w14:textId="372D2A69" w:rsidR="00CF3DA4" w:rsidRPr="00970592" w:rsidRDefault="00CF3DA4" w:rsidP="00337591">
      <w:pPr>
        <w:pStyle w:val="ListParagraph"/>
        <w:numPr>
          <w:ilvl w:val="0"/>
          <w:numId w:val="29"/>
        </w:numPr>
      </w:pPr>
      <w:r w:rsidRPr="00970592">
        <w:t>An educator familiar with a child’s specific interests identified a particular object the child was referring to when attempting to get a message across to a researcher. This example of the ‘translator’ role educators/teachers between children and researchers was evident in many other examples throughout the consultations, including in confirming the nature of the relationship between the children and the certain individuals they referred to in their artworks, creations, or discussions; and</w:t>
      </w:r>
    </w:p>
    <w:p w14:paraId="490ABA92" w14:textId="17BCC115" w:rsidR="00A97E9A" w:rsidRPr="00970592" w:rsidRDefault="00CF3DA4" w:rsidP="00C53FF2">
      <w:pPr>
        <w:pStyle w:val="ListParagraph"/>
        <w:numPr>
          <w:ilvl w:val="0"/>
          <w:numId w:val="29"/>
        </w:numPr>
      </w:pPr>
      <w:r w:rsidRPr="00970592">
        <w:lastRenderedPageBreak/>
        <w:t>The cultures, languages, and religious backgrounds of children were on multiple occasions observed as being celebrated</w:t>
      </w:r>
      <w:r w:rsidR="008520E1" w:rsidRPr="00970592">
        <w:t xml:space="preserve"> and included in </w:t>
      </w:r>
      <w:r w:rsidR="006E3F08" w:rsidRPr="00970592">
        <w:t>discussions and during other elements of the activities. Examples of this included a discussion in which some children were talking about their excitement for the Christmas holidays, inspiring the raising of the topic of other cultural holidays, including Eid-al-Fitr.</w:t>
      </w:r>
    </w:p>
    <w:p w14:paraId="66F4C8AD" w14:textId="020B8CA2" w:rsidR="00C26EE4" w:rsidRPr="00970592" w:rsidRDefault="00C53FF2" w:rsidP="00C53FF2">
      <w:pPr>
        <w:pStyle w:val="Heading1"/>
        <w:widowControl w:val="0"/>
        <w:spacing w:after="240"/>
      </w:pPr>
      <w:bookmarkStart w:id="69" w:name="_Toc177135999"/>
      <w:r w:rsidRPr="00970592">
        <w:t>Findings and implications</w:t>
      </w:r>
      <w:bookmarkEnd w:id="69"/>
    </w:p>
    <w:p w14:paraId="6E9AE0DC" w14:textId="77777777" w:rsidR="00416542" w:rsidRPr="00970592" w:rsidRDefault="00416542" w:rsidP="00416542">
      <w:r w:rsidRPr="00970592">
        <w:t>This work has uncovered a range of rich themes that draw on children’s perspectives of what they value from their current ECEC experiences and what they would seek to include. The following section consolidates insights from these themes into three key findings and discusses their implications. The three key findings are:</w:t>
      </w:r>
    </w:p>
    <w:tbl>
      <w:tblPr>
        <w:tblStyle w:val="TableGrid"/>
        <w:tblW w:w="0" w:type="auto"/>
        <w:tbl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2" w:space="0" w:color="FFFFFF" w:themeColor="background1"/>
          <w:insideV w:val="single" w:sz="2" w:space="0" w:color="FFFFFF" w:themeColor="background1"/>
        </w:tblBorders>
        <w:tblCellMar>
          <w:top w:w="57" w:type="dxa"/>
          <w:left w:w="57" w:type="dxa"/>
          <w:bottom w:w="57" w:type="dxa"/>
          <w:right w:w="57" w:type="dxa"/>
        </w:tblCellMar>
        <w:tblLook w:val="04A0" w:firstRow="1" w:lastRow="0" w:firstColumn="1" w:lastColumn="0" w:noHBand="0" w:noVBand="1"/>
      </w:tblPr>
      <w:tblGrid>
        <w:gridCol w:w="3022"/>
        <w:gridCol w:w="3022"/>
        <w:gridCol w:w="3022"/>
      </w:tblGrid>
      <w:tr w:rsidR="00416542" w:rsidRPr="00FF4EA7" w14:paraId="3FE969B3" w14:textId="77777777">
        <w:tc>
          <w:tcPr>
            <w:tcW w:w="3322" w:type="dxa"/>
            <w:vAlign w:val="center"/>
          </w:tcPr>
          <w:p w14:paraId="46B15A26" w14:textId="77777777" w:rsidR="00416542" w:rsidRPr="00970592" w:rsidRDefault="00416542">
            <w:pPr>
              <w:jc w:val="center"/>
              <w:rPr>
                <w:rFonts w:ascii="Calibri" w:hAnsi="Calibri" w:cs="Calibri"/>
              </w:rPr>
            </w:pPr>
            <w:r w:rsidRPr="00970592">
              <w:rPr>
                <w:rFonts w:ascii="Calibri" w:hAnsi="Calibri" w:cs="Calibri"/>
                <w:noProof/>
              </w:rPr>
              <mc:AlternateContent>
                <mc:Choice Requires="wps">
                  <w:drawing>
                    <wp:inline distT="0" distB="0" distL="0" distR="0" wp14:anchorId="1BF31D83" wp14:editId="5831FBE9">
                      <wp:extent cx="1440000" cy="1080000"/>
                      <wp:effectExtent l="0" t="0" r="8255" b="12700"/>
                      <wp:docPr id="8" name="Rounded Rectangle 7">
                        <a:extLst xmlns:a="http://schemas.openxmlformats.org/drawingml/2006/main">
                          <a:ext uri="{FF2B5EF4-FFF2-40B4-BE49-F238E27FC236}">
                            <a16:creationId xmlns:a16="http://schemas.microsoft.com/office/drawing/2014/main" id="{6EBAFE06-D7A6-EEE8-70B3-AB9E5AA6CE26}"/>
                          </a:ext>
                        </a:extLst>
                      </wp:docPr>
                      <wp:cNvGraphicFramePr/>
                      <a:graphic xmlns:a="http://schemas.openxmlformats.org/drawingml/2006/main">
                        <a:graphicData uri="http://schemas.microsoft.com/office/word/2010/wordprocessingShape">
                          <wps:wsp>
                            <wps:cNvSpPr/>
                            <wps:spPr>
                              <a:xfrm>
                                <a:off x="0" y="0"/>
                                <a:ext cx="1440000" cy="1080000"/>
                              </a:xfrm>
                              <a:prstGeom prst="roundRect">
                                <a:avLst/>
                              </a:prstGeom>
                              <a:solidFill>
                                <a:schemeClr val="accent2"/>
                              </a:solidFill>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52EA7C44" w14:textId="77777777" w:rsidR="00416542" w:rsidRPr="00416542" w:rsidRDefault="00416542" w:rsidP="00416542">
                                  <w:pPr>
                                    <w:spacing w:after="244" w:line="216" w:lineRule="auto"/>
                                    <w:jc w:val="center"/>
                                    <w:rPr>
                                      <w:rFonts w:asciiTheme="minorHAnsi" w:hAnsiTheme="minorHAnsi" w:cstheme="minorHAnsi"/>
                                      <w:color w:val="FFFFFF" w:themeColor="light1"/>
                                      <w:kern w:val="24"/>
                                      <w:sz w:val="22"/>
                                      <w:szCs w:val="22"/>
                                    </w:rPr>
                                  </w:pPr>
                                  <w:r w:rsidRPr="00416542">
                                    <w:rPr>
                                      <w:rFonts w:asciiTheme="minorHAnsi" w:hAnsiTheme="minorHAnsi" w:cstheme="minorHAnsi"/>
                                      <w:color w:val="FFFFFF" w:themeColor="light1"/>
                                      <w:kern w:val="24"/>
                                      <w:sz w:val="22"/>
                                      <w:szCs w:val="22"/>
                                    </w:rPr>
                                    <w:t>Relationships and connections are central to children’s experience of ECEC</w:t>
                                  </w:r>
                                </w:p>
                              </w:txbxContent>
                            </wps:txbx>
                            <wps:bodyPr spcFirstLastPara="0" vert="horz" wrap="square" lIns="36000" tIns="36000" rIns="36000" bIns="36000" numCol="1" spcCol="1270" anchor="ctr" anchorCtr="0">
                              <a:noAutofit/>
                            </wps:bodyPr>
                          </wps:wsp>
                        </a:graphicData>
                      </a:graphic>
                    </wp:inline>
                  </w:drawing>
                </mc:Choice>
                <mc:Fallback>
                  <w:pict>
                    <v:roundrect w14:anchorId="1BF31D83" id="Rounded Rectangle 7" o:spid="_x0000_s1028" style="width:113.4pt;height:85.0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i+6RAIAAKYFAAAOAAAAZHJzL2Uyb0RvYy54bWy8VFFv2yAQfp+0/4B4X2xnVVdFcaopVaZJ&#10;1Va12w8gGGIk4BjgONmv34ETx+36NE3NA+GO8913Hx+3vD0YTfbCBwW2ptWspERYDo2yu5r+/LH5&#10;cENJiMw2TIMVNT2KQG9X798te7cQc2hBN8ITTGLDonc1bWN0i6IIvBWGhRk4YfFQgjcsoul3ReNZ&#10;j9mNLuZleV304BvngYsQ0Hs3HNJVzi+l4PG7lEFEomuK2GJefV63aS1WS7bYeeZaxU8w2D+gMExZ&#10;LDqmumORkc6rv1IZxT0EkHHGwRQgpeIi94DdVOWLbp5a5kTuBckJbqQp/L+0/Nv+yT14pKF3YRFw&#10;m7o4SG/SP+Ijh0zWcSRLHCLh6Kyurkr8UcLxrCpvsoF5isvnzof4RYAhaVNTD51tHvFKMlNsfx/i&#10;EH+OSyUDaNVslNbZSDIQa+3JnuEFMs6FjfN0aVhlEllcwOddPGqRvtf2UUiiGoQ7z0Wzri4Jdayy&#10;u+0EymQoctJEYEk5z1y6My9dTLuWPXcmZGfYGWcGkdBI7GrEMxQeI6cNvgGmE5SESuRXMuIqX+Np&#10;IP4NcI1gMl9g44jLKAv+NWzpDgdByCEeSZ+IIG3jYXtAFSQRYGTybKE5PngSHN8o1OY9C/GBeXz5&#10;qGecZijWFvxvSnqcDDUNvzrmBSX6q8Wn9/E6yz5ODT81tlPDdmYNqN0K56Djw3b+Ccswy7FGTXn0&#10;Z2Md82RKvVv43EWQKr+QC+JTbzgMsrROgytNm6mdoy7jdfUHAAD//wMAUEsDBBQABgAIAAAAIQAi&#10;ztym2wAAAAUBAAAPAAAAZHJzL2Rvd25yZXYueG1sTI/BTsMwEETvSPyDtUjcqNOAGhTiVAgJpBYu&#10;FA4c3XiJrcTryHbb8PcsXOCy0mhGs2+a9exHccSYXCAFy0UBAqkLxlGv4P3t8eoWRMqajB4DoYIv&#10;TLBuz88aXZtwolc87nIvuIRSrRXYnKdaytRZ9DotwoTE3meIXmeWsZcm6hOX+1GWRbGSXjviD1ZP&#10;+GCxG3YHryDizebZPvUf2xdXDW47xOtNVSl1eTHf34HIOOe/MPzgMzq0zLQPBzJJjAp4SP697JXl&#10;imfsOVQVS5BtI//Tt98AAAD//wMAUEsBAi0AFAAGAAgAAAAhALaDOJL+AAAA4QEAABMAAAAAAAAA&#10;AAAAAAAAAAAAAFtDb250ZW50X1R5cGVzXS54bWxQSwECLQAUAAYACAAAACEAOP0h/9YAAACUAQAA&#10;CwAAAAAAAAAAAAAAAAAvAQAAX3JlbHMvLnJlbHNQSwECLQAUAAYACAAAACEAO/YvukQCAACmBQAA&#10;DgAAAAAAAAAAAAAAAAAuAgAAZHJzL2Uyb0RvYy54bWxQSwECLQAUAAYACAAAACEAIs7cptsAAAAF&#10;AQAADwAAAAAAAAAAAAAAAACeBAAAZHJzL2Rvd25yZXYueG1sUEsFBgAAAAAEAAQA8wAAAKYFAAAA&#10;AA==&#10;" fillcolor="#1ebdc4 [3205]" strokecolor="white [3201]" strokeweight="1pt">
                      <v:stroke joinstyle="miter"/>
                      <v:textbox inset="1mm,1mm,1mm,1mm">
                        <w:txbxContent>
                          <w:p w14:paraId="52EA7C44" w14:textId="77777777" w:rsidR="00416542" w:rsidRPr="00416542" w:rsidRDefault="00416542" w:rsidP="00416542">
                            <w:pPr>
                              <w:spacing w:after="244" w:line="216" w:lineRule="auto"/>
                              <w:jc w:val="center"/>
                              <w:rPr>
                                <w:rFonts w:asciiTheme="minorHAnsi" w:hAnsiTheme="minorHAnsi" w:cstheme="minorHAnsi"/>
                                <w:color w:val="FFFFFF" w:themeColor="light1"/>
                                <w:kern w:val="24"/>
                                <w:sz w:val="22"/>
                                <w:szCs w:val="22"/>
                              </w:rPr>
                            </w:pPr>
                            <w:r w:rsidRPr="00416542">
                              <w:rPr>
                                <w:rFonts w:asciiTheme="minorHAnsi" w:hAnsiTheme="minorHAnsi" w:cstheme="minorHAnsi"/>
                                <w:color w:val="FFFFFF" w:themeColor="light1"/>
                                <w:kern w:val="24"/>
                                <w:sz w:val="22"/>
                                <w:szCs w:val="22"/>
                              </w:rPr>
                              <w:t>Relationships and connections are central to children’s experience of ECEC</w:t>
                            </w:r>
                          </w:p>
                        </w:txbxContent>
                      </v:textbox>
                      <w10:anchorlock/>
                    </v:roundrect>
                  </w:pict>
                </mc:Fallback>
              </mc:AlternateContent>
            </w:r>
          </w:p>
        </w:tc>
        <w:tc>
          <w:tcPr>
            <w:tcW w:w="3323" w:type="dxa"/>
            <w:vAlign w:val="center"/>
          </w:tcPr>
          <w:p w14:paraId="1CDC31CF" w14:textId="77777777" w:rsidR="00416542" w:rsidRPr="00970592" w:rsidRDefault="00416542">
            <w:pPr>
              <w:jc w:val="center"/>
              <w:rPr>
                <w:rFonts w:ascii="Calibri" w:hAnsi="Calibri" w:cs="Calibri"/>
              </w:rPr>
            </w:pPr>
            <w:r w:rsidRPr="00970592">
              <w:rPr>
                <w:rFonts w:ascii="Calibri" w:hAnsi="Calibri" w:cs="Calibri"/>
                <w:noProof/>
              </w:rPr>
              <mc:AlternateContent>
                <mc:Choice Requires="wps">
                  <w:drawing>
                    <wp:inline distT="0" distB="0" distL="0" distR="0" wp14:anchorId="5890CBFA" wp14:editId="4D4019BD">
                      <wp:extent cx="1440000" cy="1080000"/>
                      <wp:effectExtent l="0" t="0" r="8255" b="12700"/>
                      <wp:docPr id="9" name="Rounded Rectangle 8">
                        <a:extLst xmlns:a="http://schemas.openxmlformats.org/drawingml/2006/main">
                          <a:ext uri="{FF2B5EF4-FFF2-40B4-BE49-F238E27FC236}">
                            <a16:creationId xmlns:a16="http://schemas.microsoft.com/office/drawing/2014/main" id="{4863CC42-DABE-D073-FE6A-70ADAEAF2A1D}"/>
                          </a:ext>
                        </a:extLst>
                      </wp:docPr>
                      <wp:cNvGraphicFramePr/>
                      <a:graphic xmlns:a="http://schemas.openxmlformats.org/drawingml/2006/main">
                        <a:graphicData uri="http://schemas.microsoft.com/office/word/2010/wordprocessingShape">
                          <wps:wsp>
                            <wps:cNvSpPr/>
                            <wps:spPr>
                              <a:xfrm>
                                <a:off x="0" y="0"/>
                                <a:ext cx="1440000" cy="1080000"/>
                              </a:xfrm>
                              <a:prstGeom prst="roundRect">
                                <a:avLst/>
                              </a:prstGeom>
                              <a:solidFill>
                                <a:schemeClr val="accent2"/>
                              </a:solidFill>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19EE60CF" w14:textId="77777777" w:rsidR="00416542" w:rsidRPr="00416542" w:rsidRDefault="00416542" w:rsidP="00416542">
                                  <w:pPr>
                                    <w:spacing w:after="244" w:line="216" w:lineRule="auto"/>
                                    <w:jc w:val="center"/>
                                    <w:rPr>
                                      <w:rFonts w:ascii="Calibri" w:hAnsi="Calibri" w:cs="Calibri"/>
                                      <w:color w:val="FFFFFF" w:themeColor="light1"/>
                                      <w:kern w:val="24"/>
                                      <w:sz w:val="22"/>
                                      <w:szCs w:val="22"/>
                                    </w:rPr>
                                  </w:pPr>
                                  <w:r w:rsidRPr="00416542">
                                    <w:rPr>
                                      <w:rFonts w:ascii="Calibri" w:hAnsi="Calibri" w:cs="Calibri"/>
                                      <w:color w:val="FFFFFF" w:themeColor="light1"/>
                                      <w:kern w:val="24"/>
                                      <w:sz w:val="22"/>
                                      <w:szCs w:val="22"/>
                                    </w:rPr>
                                    <w:t>Access to ECEC is experienced by children</w:t>
                                  </w:r>
                                </w:p>
                              </w:txbxContent>
                            </wps:txbx>
                            <wps:bodyPr spcFirstLastPara="0" vert="horz" wrap="square" lIns="36000" tIns="36000" rIns="36000" bIns="36000" numCol="1" spcCol="1270" anchor="ctr" anchorCtr="0">
                              <a:noAutofit/>
                            </wps:bodyPr>
                          </wps:wsp>
                        </a:graphicData>
                      </a:graphic>
                    </wp:inline>
                  </w:drawing>
                </mc:Choice>
                <mc:Fallback>
                  <w:pict>
                    <v:roundrect w14:anchorId="5890CBFA" id="Rounded Rectangle 8" o:spid="_x0000_s1029" style="width:113.4pt;height:85.0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piFRQIAAKYFAAAOAAAAZHJzL2Uyb0RvYy54bWy8VFFv2yAQfp+0/4B4X2ynVVdFcaopVaZJ&#10;1Ra13Q8gGGIkzDHAsbNfvwMnjtv1aZqaB8Id57vvPj5uedc3mhyE8wpMSYtZTokwHCpl9iX9+bz5&#10;dEuJD8xUTIMRJT0KT+9WHz8sO7sQc6hBV8IRTGL8orMlrUOwiyzzvBYN8zOwwuChBNewgKbbZ5Vj&#10;HWZvdDbP85usA1dZB1x4j9774ZCuUn4pBQ8/pPQiEF1SxBbS6tK6i2u2WrLF3jFbK36Cwf4BRcOU&#10;waJjqnsWGGmd+itVo7gDDzLMODQZSKm4SD1gN0X+qpunmlmRekFyvB1p8v8vLf9+eLJbhzR01i88&#10;bmMXvXRN/Ed8pE9kHUeyRB8IR2dxfZ3jjxKOZ0V+mwzMk10+t86HrwIaEjclddCa6hGvJDHFDg8+&#10;DPHnuFjSg1bVRmmdjCgDsdaOHBheIONcmDCPl4ZVJpHZBXzahaMW8XttHoUkqkK481Q06eqSUIci&#10;uetWoEyGIidNeBaV88Kl2+a1i2lbs5fOiOwMO+FMICIaiV2NeIbCY+S0wXfAdIISUYn0SkZc+Vs8&#10;DcS/A64RTOILTBhxNcqAewtbvMNBEHKIR9InIojb0O96VEFJr2Jk9OygOm4d8ZZvFGrzgfmwZQ5f&#10;PuoZpxmKtQb3m5IOJ0NJ/a+WOUGJ/mbw6V3dJNmHqeGmxm5qmLZZA2q3wDlo+bCdf8YyzHCsUVIe&#10;3NlYhzSZYu8GvrQBpEov5IL41BsOgySt0+CK02Zqp6jLeF39AQAA//8DAFBLAwQUAAYACAAAACEA&#10;Is7cptsAAAAFAQAADwAAAGRycy9kb3ducmV2LnhtbEyPwU7DMBBE70j8g7VI3KjTgBoU4lQICaQW&#10;LhQOHN14ia3E68h22/D3LFzgstJoRrNvmvXsR3HEmFwgBctFAQKpC8ZRr+D97fHqFkTKmoweA6GC&#10;L0ywbs/PGl2bcKJXPO5yL7iEUq0V2JynWsrUWfQ6LcKExN5niF5nlrGXJuoTl/tRlkWxkl474g9W&#10;T/hgsRt2B68g4s3m2T71H9sXVw1uO8TrTVUpdXkx39+ByDjnvzD84DM6tMy0DwcySYwKeEj+veyV&#10;5Ypn7DlUFUuQbSP/07ffAAAA//8DAFBLAQItABQABgAIAAAAIQC2gziS/gAAAOEBAAATAAAAAAAA&#10;AAAAAAAAAAAAAABbQ29udGVudF9UeXBlc10ueG1sUEsBAi0AFAAGAAgAAAAhADj9If/WAAAAlAEA&#10;AAsAAAAAAAAAAAAAAAAALwEAAF9yZWxzLy5yZWxzUEsBAi0AFAAGAAgAAAAhAD2ymIVFAgAApgUA&#10;AA4AAAAAAAAAAAAAAAAALgIAAGRycy9lMm9Eb2MueG1sUEsBAi0AFAAGAAgAAAAhACLO3KbbAAAA&#10;BQEAAA8AAAAAAAAAAAAAAAAAnwQAAGRycy9kb3ducmV2LnhtbFBLBQYAAAAABAAEAPMAAACnBQAA&#10;AAA=&#10;" fillcolor="#1ebdc4 [3205]" strokecolor="white [3201]" strokeweight="1pt">
                      <v:stroke joinstyle="miter"/>
                      <v:textbox inset="1mm,1mm,1mm,1mm">
                        <w:txbxContent>
                          <w:p w14:paraId="19EE60CF" w14:textId="77777777" w:rsidR="00416542" w:rsidRPr="00416542" w:rsidRDefault="00416542" w:rsidP="00416542">
                            <w:pPr>
                              <w:spacing w:after="244" w:line="216" w:lineRule="auto"/>
                              <w:jc w:val="center"/>
                              <w:rPr>
                                <w:rFonts w:ascii="Calibri" w:hAnsi="Calibri" w:cs="Calibri"/>
                                <w:color w:val="FFFFFF" w:themeColor="light1"/>
                                <w:kern w:val="24"/>
                                <w:sz w:val="22"/>
                                <w:szCs w:val="22"/>
                              </w:rPr>
                            </w:pPr>
                            <w:r w:rsidRPr="00416542">
                              <w:rPr>
                                <w:rFonts w:ascii="Calibri" w:hAnsi="Calibri" w:cs="Calibri"/>
                                <w:color w:val="FFFFFF" w:themeColor="light1"/>
                                <w:kern w:val="24"/>
                                <w:sz w:val="22"/>
                                <w:szCs w:val="22"/>
                              </w:rPr>
                              <w:t>Access to ECEC is experienced by children</w:t>
                            </w:r>
                          </w:p>
                        </w:txbxContent>
                      </v:textbox>
                      <w10:anchorlock/>
                    </v:roundrect>
                  </w:pict>
                </mc:Fallback>
              </mc:AlternateContent>
            </w:r>
          </w:p>
        </w:tc>
        <w:tc>
          <w:tcPr>
            <w:tcW w:w="3323" w:type="dxa"/>
            <w:vAlign w:val="center"/>
          </w:tcPr>
          <w:p w14:paraId="466F890C" w14:textId="77777777" w:rsidR="00416542" w:rsidRPr="00970592" w:rsidRDefault="00416542">
            <w:pPr>
              <w:jc w:val="center"/>
              <w:rPr>
                <w:rFonts w:ascii="Calibri" w:hAnsi="Calibri" w:cs="Calibri"/>
              </w:rPr>
            </w:pPr>
            <w:r w:rsidRPr="00970592">
              <w:rPr>
                <w:rFonts w:ascii="Calibri" w:hAnsi="Calibri" w:cs="Calibri"/>
                <w:noProof/>
              </w:rPr>
              <mc:AlternateContent>
                <mc:Choice Requires="wps">
                  <w:drawing>
                    <wp:inline distT="0" distB="0" distL="0" distR="0" wp14:anchorId="5C343187" wp14:editId="6536B774">
                      <wp:extent cx="1440000" cy="1080000"/>
                      <wp:effectExtent l="0" t="0" r="8255" b="12700"/>
                      <wp:docPr id="1437667858" name="Rounded Rectangle 8"/>
                      <wp:cNvGraphicFramePr/>
                      <a:graphic xmlns:a="http://schemas.openxmlformats.org/drawingml/2006/main">
                        <a:graphicData uri="http://schemas.microsoft.com/office/word/2010/wordprocessingShape">
                          <wps:wsp>
                            <wps:cNvSpPr/>
                            <wps:spPr>
                              <a:xfrm>
                                <a:off x="0" y="0"/>
                                <a:ext cx="1440000" cy="1080000"/>
                              </a:xfrm>
                              <a:prstGeom prst="roundRect">
                                <a:avLst/>
                              </a:prstGeom>
                              <a:solidFill>
                                <a:schemeClr val="accent2"/>
                              </a:solidFill>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71816996" w14:textId="77777777" w:rsidR="00416542" w:rsidRPr="00416542" w:rsidRDefault="00416542" w:rsidP="00416542">
                                  <w:pPr>
                                    <w:spacing w:after="244" w:line="216" w:lineRule="auto"/>
                                    <w:jc w:val="center"/>
                                    <w:rPr>
                                      <w:rFonts w:ascii="Calibri" w:hAnsi="Calibri" w:cs="Calibri"/>
                                      <w:color w:val="FFFFFF" w:themeColor="light1"/>
                                      <w:kern w:val="24"/>
                                      <w:sz w:val="22"/>
                                      <w:szCs w:val="22"/>
                                    </w:rPr>
                                  </w:pPr>
                                  <w:r w:rsidRPr="00416542">
                                    <w:rPr>
                                      <w:rFonts w:ascii="Calibri" w:hAnsi="Calibri" w:cs="Calibri"/>
                                      <w:color w:val="FFFFFF" w:themeColor="light1"/>
                                      <w:kern w:val="24"/>
                                      <w:sz w:val="22"/>
                                      <w:szCs w:val="22"/>
                                    </w:rPr>
                                    <w:t>Children’s voices provide unique insights</w:t>
                                  </w:r>
                                </w:p>
                              </w:txbxContent>
                            </wps:txbx>
                            <wps:bodyPr spcFirstLastPara="0" vert="horz" wrap="square" lIns="36000" tIns="36000" rIns="36000" bIns="36000" numCol="1" spcCol="1270" anchor="ctr" anchorCtr="0">
                              <a:noAutofit/>
                            </wps:bodyPr>
                          </wps:wsp>
                        </a:graphicData>
                      </a:graphic>
                    </wp:inline>
                  </w:drawing>
                </mc:Choice>
                <mc:Fallback>
                  <w:pict>
                    <v:roundrect w14:anchorId="5C343187" id="_x0000_s1030" style="width:113.4pt;height:85.0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pw7RQIAAKYFAAAOAAAAZHJzL2Uyb0RvYy54bWy8VFFv2yAQfp+0/4B4X2xnUVdFcaopVaZJ&#10;1Ra12w8gGGIkzDHAsbNfvwMnjtv1aZqaB8Id57vvPj5uddc3mhyF8wpMSYtZTokwHCplDiX9+WP7&#10;4ZYSH5ipmAYjSnoSnt6t379bdXYp5lCDroQjmMT4ZWdLWodgl1nmeS0a5mdghcFDCa5hAU13yCrH&#10;Osze6Gye5zdZB66yDrjwHr33wyFdp/xSCh6+S+lFILqkiC2k1aV1H9dsvWLLg2O2VvwMg/0DioYp&#10;g0XHVPcsMNI69VeqRnEHHmSYcWgykFJxkXrAbor8RTdPNbMi9YLkeDvS5P9fWv7t+GR3DmnorF96&#10;3MYueuma+I/4SJ/IOo1kiT4Qjs5iscjxRwnHsyK/TQbmya6fW+fDFwENiZuSOmhN9YhXkphixwcf&#10;hvhLXCzpQatqq7RORpSB2GhHjgwvkHEuTJjHS8Mqk8jsCj7twkmL+L02j0ISVSHceSqadHVNqEOR&#10;3HUrUCZDkbMmPIvKeebSbfPSxbSt2XNnRHaBnXAmEBGNxK5GPEPhMXLa4BtgOkOJqER6JSOu/DWe&#10;BuLfANcIJvEFJoy4GmXAvYYt3uEgCDnEI+kTEcRt6Pc9qqCkixgZPXuoTjtHvOVbhdp8YD7smMOX&#10;j3rGaYZircH9pqTDyVBS/6tlTlCivxp8eh9vkuzD1HBTYz81TNtsALVb4By0fNjOP2EZZjjWKCkP&#10;7mJsQppMsXcDn9sAUqUXckV87g2HQZLWeXDFaTO1U9R1vK7/AAAA//8DAFBLAwQUAAYACAAAACEA&#10;Is7cptsAAAAFAQAADwAAAGRycy9kb3ducmV2LnhtbEyPwU7DMBBE70j8g7VI3KjTgBoU4lQICaQW&#10;LhQOHN14ia3E68h22/D3LFzgstJoRrNvmvXsR3HEmFwgBctFAQKpC8ZRr+D97fHqFkTKmoweA6GC&#10;L0ywbs/PGl2bcKJXPO5yL7iEUq0V2JynWsrUWfQ6LcKExN5niF5nlrGXJuoTl/tRlkWxkl474g9W&#10;T/hgsRt2B68g4s3m2T71H9sXVw1uO8TrTVUpdXkx39+ByDjnvzD84DM6tMy0DwcySYwKeEj+veyV&#10;5Ypn7DlUFUuQbSP/07ffAAAA//8DAFBLAQItABQABgAIAAAAIQC2gziS/gAAAOEBAAATAAAAAAAA&#10;AAAAAAAAAAAAAABbQ29udGVudF9UeXBlc10ueG1sUEsBAi0AFAAGAAgAAAAhADj9If/WAAAAlAEA&#10;AAsAAAAAAAAAAAAAAAAALwEAAF9yZWxzLy5yZWxzUEsBAi0AFAAGAAgAAAAhAC9unDtFAgAApgUA&#10;AA4AAAAAAAAAAAAAAAAALgIAAGRycy9lMm9Eb2MueG1sUEsBAi0AFAAGAAgAAAAhACLO3KbbAAAA&#10;BQEAAA8AAAAAAAAAAAAAAAAAnwQAAGRycy9kb3ducmV2LnhtbFBLBQYAAAAABAAEAPMAAACnBQAA&#10;AAA=&#10;" fillcolor="#1ebdc4 [3205]" strokecolor="white [3201]" strokeweight="1pt">
                      <v:stroke joinstyle="miter"/>
                      <v:textbox inset="1mm,1mm,1mm,1mm">
                        <w:txbxContent>
                          <w:p w14:paraId="71816996" w14:textId="77777777" w:rsidR="00416542" w:rsidRPr="00416542" w:rsidRDefault="00416542" w:rsidP="00416542">
                            <w:pPr>
                              <w:spacing w:after="244" w:line="216" w:lineRule="auto"/>
                              <w:jc w:val="center"/>
                              <w:rPr>
                                <w:rFonts w:ascii="Calibri" w:hAnsi="Calibri" w:cs="Calibri"/>
                                <w:color w:val="FFFFFF" w:themeColor="light1"/>
                                <w:kern w:val="24"/>
                                <w:sz w:val="22"/>
                                <w:szCs w:val="22"/>
                              </w:rPr>
                            </w:pPr>
                            <w:r w:rsidRPr="00416542">
                              <w:rPr>
                                <w:rFonts w:ascii="Calibri" w:hAnsi="Calibri" w:cs="Calibri"/>
                                <w:color w:val="FFFFFF" w:themeColor="light1"/>
                                <w:kern w:val="24"/>
                                <w:sz w:val="22"/>
                                <w:szCs w:val="22"/>
                              </w:rPr>
                              <w:t>Children’s voices provide unique insights</w:t>
                            </w:r>
                          </w:p>
                        </w:txbxContent>
                      </v:textbox>
                      <w10:anchorlock/>
                    </v:roundrect>
                  </w:pict>
                </mc:Fallback>
              </mc:AlternateContent>
            </w:r>
          </w:p>
        </w:tc>
      </w:tr>
    </w:tbl>
    <w:p w14:paraId="34CB191B" w14:textId="5F38009C" w:rsidR="00416542" w:rsidRPr="00970592" w:rsidRDefault="00416542" w:rsidP="00CA2C2D">
      <w:pPr>
        <w:pStyle w:val="Heading2"/>
      </w:pPr>
      <w:bookmarkStart w:id="70" w:name="_Toc177136000"/>
      <w:r w:rsidRPr="00FF4EA7">
        <w:rPr>
          <w:noProof/>
          <w:highlight w:val="yellow"/>
        </w:rPr>
        <mc:AlternateContent>
          <mc:Choice Requires="wps">
            <w:drawing>
              <wp:anchor distT="0" distB="0" distL="114300" distR="114300" simplePos="0" relativeHeight="251658242" behindDoc="0" locked="0" layoutInCell="1" allowOverlap="1" wp14:anchorId="5B2FEE53" wp14:editId="58D6CAA1">
                <wp:simplePos x="0" y="0"/>
                <wp:positionH relativeFrom="column">
                  <wp:posOffset>7366635</wp:posOffset>
                </wp:positionH>
                <wp:positionV relativeFrom="paragraph">
                  <wp:posOffset>-635</wp:posOffset>
                </wp:positionV>
                <wp:extent cx="3359727" cy="2305987"/>
                <wp:effectExtent l="0" t="0" r="19050" b="18415"/>
                <wp:wrapNone/>
                <wp:docPr id="10" name="Rounded Rectangle 9">
                  <a:extLst xmlns:a="http://schemas.openxmlformats.org/drawingml/2006/main">
                    <a:ext uri="{FF2B5EF4-FFF2-40B4-BE49-F238E27FC236}">
                      <a16:creationId xmlns:a16="http://schemas.microsoft.com/office/drawing/2014/main" id="{D6520D9F-C844-E46A-06B6-3A90D0C3C093}"/>
                    </a:ext>
                  </a:extLst>
                </wp:docPr>
                <wp:cNvGraphicFramePr/>
                <a:graphic xmlns:a="http://schemas.openxmlformats.org/drawingml/2006/main">
                  <a:graphicData uri="http://schemas.microsoft.com/office/word/2010/wordprocessingShape">
                    <wps:wsp>
                      <wps:cNvSpPr/>
                      <wps:spPr>
                        <a:xfrm>
                          <a:off x="0" y="0"/>
                          <a:ext cx="3359727" cy="2305987"/>
                        </a:xfrm>
                        <a:prstGeom prst="roundRect">
                          <a:avLst/>
                        </a:prstGeom>
                        <a:solidFill>
                          <a:schemeClr val="accent2"/>
                        </a:solidFill>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36F1B355" w14:textId="77777777" w:rsidR="00416542" w:rsidRDefault="00416542" w:rsidP="00416542">
                            <w:pPr>
                              <w:spacing w:after="244" w:line="216" w:lineRule="auto"/>
                              <w:jc w:val="center"/>
                              <w:rPr>
                                <w:rFonts w:asciiTheme="minorHAnsi" w:hAnsi="Calibri"/>
                                <w:color w:val="FFFFFF" w:themeColor="light1"/>
                                <w:kern w:val="24"/>
                                <w:sz w:val="58"/>
                                <w:szCs w:val="58"/>
                              </w:rPr>
                            </w:pPr>
                            <w:r>
                              <w:rPr>
                                <w:rFonts w:asciiTheme="minorHAnsi" w:hAnsi="Calibri"/>
                                <w:color w:val="FFFFFF" w:themeColor="light1"/>
                                <w:kern w:val="24"/>
                                <w:sz w:val="58"/>
                                <w:szCs w:val="58"/>
                              </w:rPr>
                              <w:t xml:space="preserve">Children’s voices provide unique insights </w:t>
                            </w:r>
                          </w:p>
                        </w:txbxContent>
                      </wps:txbx>
                      <wps:bodyPr spcFirstLastPara="0" vert="horz" wrap="square" lIns="36000" tIns="36000" rIns="36000" bIns="36000" numCol="1" spcCol="1270" anchor="ctr" anchorCtr="0">
                        <a:noAutofit/>
                      </wps:bodyPr>
                    </wps:wsp>
                  </a:graphicData>
                </a:graphic>
              </wp:anchor>
            </w:drawing>
          </mc:Choice>
          <mc:Fallback>
            <w:pict>
              <v:roundrect w14:anchorId="5B2FEE53" id="Rounded Rectangle 9" o:spid="_x0000_s1031" style="position:absolute;margin-left:580.05pt;margin-top:-.05pt;width:264.55pt;height:181.55pt;z-index:25165824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GEuSQIAAKYFAAAOAAAAZHJzL2Uyb0RvYy54bWy8VNtu2zAMfR+wfxD0vthxkKYN4hRDigwD&#10;iq1otw9QZCkWoNskOXb29aNk13G7Pg1DX2SRosjD4yNubjsl0Yk5L4wu8XyWY8Q0NZXQxxL//LH/&#10;dI2RD0RXRBrNSnxmHt9uP37YtHbNClMbWTGHIIn269aWuA7BrrPM05op4mfGMg2H3DhFApjumFWO&#10;tJBdyazI86usNa6yzlDmPXjv+kO8Tfk5ZzR859yzgGSJAVtIq0vrIa7ZdkPWR0dsLegAg/wDCkWE&#10;hqJjqjsSCGqc+CuVEtQZb3iYUaMyw7mgLPUA3czzV9081cSy1AuQ4+1Ik/9/aem305N9cEBDa/3a&#10;wzZ20XGn4hfwoS6RdR7JYl1AFJyLxfJmVawwonBWLPLlzfUq0pldrlvnwxdmFIqbEjvT6OoRfkli&#10;ipzufejjn+NiSW+kqPZCymREGbCddOhE4AcSSpkOxVBlEpldwKddOEsW70v9yDgSFcAtUtGkq0tC&#10;GebJXTcMZNIXGTThSVTOC5ds1GsXkbYmL53Q/1glsZFARDQcuhrx9IXHyGmD74BpgBJRsfRKRlz5&#10;Wzz1xL8DrhFM4svoMOJSQhv3Frb4D3sZ8T4eSJ+IIG5Dd+hABSVexsjoOZjq/OCQt3QvQJv3xIcH&#10;4uDlw4yAaQZirY37jVELk6HE/ldDHMNIftXw9BZXeR5HydRwU+MwNXSjdga0O4c5aGm/LVZwn2gK&#10;NUpMg3s2diFNpti7Np+bYLhIL+SCeOgNhkGS1jC44rSZ2inqMl63fwAAAP//AwBQSwMEFAAGAAgA&#10;AAAhAOv9m8XgAAAACwEAAA8AAABkcnMvZG93bnJldi54bWxMj8FOwzAMhu9IvENkJG5b0hW1ozSd&#10;EBJIG1wYHDhmjWmqNkmVZFt5e7wTnKxf/vT7c72Z7chOGGLvnYRsKYCha73uXSfh8+N5sQYWk3Ja&#10;jd6hhB+MsGmur2pVaX9273jap45RiYuVkmBSmirOY2vQqrj0EzrafftgVaIYOq6DOlO5HflKiIJb&#10;1Tu6YNSETwbbYX+0EgLebV/NS/e1e+vLod8NId+WpZS3N/PjA7CEc/qD4aJP6tCQ08EfnY5spJwV&#10;IiNWwoLGBSjW9ytgBwl5kQvgTc3//9D8AgAA//8DAFBLAQItABQABgAIAAAAIQC2gziS/gAAAOEB&#10;AAATAAAAAAAAAAAAAAAAAAAAAABbQ29udGVudF9UeXBlc10ueG1sUEsBAi0AFAAGAAgAAAAhADj9&#10;If/WAAAAlAEAAAsAAAAAAAAAAAAAAAAALwEAAF9yZWxzLy5yZWxzUEsBAi0AFAAGAAgAAAAhAAkw&#10;YS5JAgAApgUAAA4AAAAAAAAAAAAAAAAALgIAAGRycy9lMm9Eb2MueG1sUEsBAi0AFAAGAAgAAAAh&#10;AOv9m8XgAAAACwEAAA8AAAAAAAAAAAAAAAAAowQAAGRycy9kb3ducmV2LnhtbFBLBQYAAAAABAAE&#10;APMAAACwBQAAAAA=&#10;" fillcolor="#1ebdc4 [3205]" strokecolor="white [3201]" strokeweight="1pt">
                <v:stroke joinstyle="miter"/>
                <v:textbox inset="1mm,1mm,1mm,1mm">
                  <w:txbxContent>
                    <w:p w14:paraId="36F1B355" w14:textId="77777777" w:rsidR="00416542" w:rsidRDefault="00416542" w:rsidP="00416542">
                      <w:pPr>
                        <w:spacing w:after="244" w:line="216" w:lineRule="auto"/>
                        <w:jc w:val="center"/>
                        <w:rPr>
                          <w:rFonts w:asciiTheme="minorHAnsi" w:hAnsi="Calibri"/>
                          <w:color w:val="FFFFFF" w:themeColor="light1"/>
                          <w:kern w:val="24"/>
                          <w:sz w:val="58"/>
                          <w:szCs w:val="58"/>
                        </w:rPr>
                      </w:pPr>
                      <w:r>
                        <w:rPr>
                          <w:rFonts w:asciiTheme="minorHAnsi" w:hAnsi="Calibri"/>
                          <w:color w:val="FFFFFF" w:themeColor="light1"/>
                          <w:kern w:val="24"/>
                          <w:sz w:val="58"/>
                          <w:szCs w:val="58"/>
                        </w:rPr>
                        <w:t xml:space="preserve">Children’s voices provide unique insights </w:t>
                      </w:r>
                    </w:p>
                  </w:txbxContent>
                </v:textbox>
              </v:roundrect>
            </w:pict>
          </mc:Fallback>
        </mc:AlternateContent>
      </w:r>
      <w:r w:rsidRPr="00970592">
        <w:t>Relationships and connections are central to children’s experiences of ECEC</w:t>
      </w:r>
      <w:bookmarkEnd w:id="70"/>
    </w:p>
    <w:p w14:paraId="6E8EE79D" w14:textId="77777777" w:rsidR="00416542" w:rsidRPr="00970592" w:rsidRDefault="00416542" w:rsidP="00416542">
      <w:r w:rsidRPr="00970592">
        <w:t xml:space="preserve">The relationships and connections that were emphasised by children throughout the consultations related to those between people, within and across their ECEC setting, within their community and local environments. </w:t>
      </w:r>
    </w:p>
    <w:p w14:paraId="7B5864D2" w14:textId="77777777" w:rsidR="00416542" w:rsidRPr="00970592" w:rsidRDefault="00416542" w:rsidP="00416542">
      <w:r w:rsidRPr="00970592">
        <w:t xml:space="preserve">The relationships between people—their immediate and extended families, peers, age groups, community members, and educators and teachers—were significant to children individually and in relation to their setting. The ways that children brought the significance of their relationship and connection with their immediate and extended families into the ECEC setting was met by their educators and teachers who honoured this significance. This was observed in interactions in which teachers and educators weaved their knowledge of children’s families into the discussions and supported children’s intended meaning to be heard. Teachers and educators were familiar with children’s family members because the child spoke about them or because family members had participated in the program within the setting. The setting also enabled children to develop relationships with peers over time, which were significant in children’s depictions and descriptions of their setting. </w:t>
      </w:r>
    </w:p>
    <w:tbl>
      <w:tblPr>
        <w:tblStyle w:val="TableGrid"/>
        <w:tblW w:w="0" w:type="auto"/>
        <w:tblLook w:val="04A0" w:firstRow="1" w:lastRow="0" w:firstColumn="1" w:lastColumn="0" w:noHBand="0" w:noVBand="1"/>
      </w:tblPr>
      <w:tblGrid>
        <w:gridCol w:w="9062"/>
      </w:tblGrid>
      <w:tr w:rsidR="00416542" w:rsidRPr="00FF4EA7" w14:paraId="4BE43D6A" w14:textId="77777777" w:rsidTr="70AF9159">
        <w:tc>
          <w:tcPr>
            <w:tcW w:w="9968" w:type="dxa"/>
            <w:shd w:val="clear" w:color="auto" w:fill="A9E6FF"/>
          </w:tcPr>
          <w:p w14:paraId="0920D6FC" w14:textId="77777777" w:rsidR="00416542" w:rsidRPr="00970592" w:rsidRDefault="00416542">
            <w:pPr>
              <w:rPr>
                <w:i/>
              </w:rPr>
            </w:pPr>
            <w:r w:rsidRPr="00970592">
              <w:rPr>
                <w:i/>
              </w:rPr>
              <w:t xml:space="preserve">The impact of relationships between educators and children in implementing the consultations was extremely valuable – creating the conditions for children to be involved and bridging knowledge between the research team and the children. This led to more specific meaning being drawn from children’s comments. </w:t>
            </w:r>
          </w:p>
        </w:tc>
      </w:tr>
    </w:tbl>
    <w:p w14:paraId="08640B6E" w14:textId="0A227431" w:rsidR="00416542" w:rsidRPr="00970592" w:rsidRDefault="00416542" w:rsidP="00416542">
      <w:r w:rsidRPr="00970592">
        <w:t xml:space="preserve">The connections that ECEC settings developed with their community enabled children to explore places within their local area as well as explore the environment, history, and culture of their place. Children referenced the direct relationships and connections that they had with their teachers and educators with feelings of affection and in relation to the support they offered. </w:t>
      </w:r>
    </w:p>
    <w:p w14:paraId="01173BEE" w14:textId="77777777" w:rsidR="00416542" w:rsidRPr="00970592" w:rsidRDefault="00416542" w:rsidP="00416542">
      <w:r w:rsidRPr="00970592">
        <w:lastRenderedPageBreak/>
        <w:t xml:space="preserve">The connection between children and their teachers and educators were also important because of the way they reflected and fostered other significant relationships and connections – such as those with their family, peers, community, and place. Through this, ECEC settings became sites of relationships and connections as well and an enabler to them. This is depicted below to show the ways that children’s significant relationships and connections are both accommodated and supported by teachers and educators through ECEC settings as sites of deep engagement. </w:t>
      </w:r>
    </w:p>
    <w:p w14:paraId="7362B914" w14:textId="77777777" w:rsidR="00416542" w:rsidRPr="00970592" w:rsidRDefault="00416542" w:rsidP="00416542"/>
    <w:p w14:paraId="2D632722" w14:textId="0F9B45E6" w:rsidR="00416542" w:rsidRPr="00970592" w:rsidRDefault="00416542" w:rsidP="00416542">
      <w:pPr>
        <w:pStyle w:val="Caption"/>
        <w:keepNext/>
      </w:pPr>
      <w:r w:rsidRPr="00970592">
        <w:t xml:space="preserve">Figure </w:t>
      </w:r>
      <w:r w:rsidR="00623342" w:rsidRPr="00970592">
        <w:t xml:space="preserve">7 </w:t>
      </w:r>
      <w:r w:rsidRPr="00970592">
        <w:t>ECEC settings - sites of children's relationships and connections</w:t>
      </w:r>
    </w:p>
    <w:p w14:paraId="4FE113C0" w14:textId="77777777" w:rsidR="00416542" w:rsidRPr="00970592" w:rsidRDefault="00416542" w:rsidP="00416542">
      <w:pPr>
        <w:jc w:val="center"/>
      </w:pPr>
      <w:r w:rsidRPr="00970592">
        <w:rPr>
          <w:noProof/>
        </w:rPr>
        <w:drawing>
          <wp:inline distT="0" distB="0" distL="0" distR="0" wp14:anchorId="43287295" wp14:editId="01C08DC8">
            <wp:extent cx="5626100" cy="3436669"/>
            <wp:effectExtent l="0" t="0" r="0" b="5080"/>
            <wp:docPr id="66" name="Picture 65">
              <a:extLst xmlns:a="http://schemas.openxmlformats.org/drawingml/2006/main">
                <a:ext uri="{FF2B5EF4-FFF2-40B4-BE49-F238E27FC236}">
                  <a16:creationId xmlns:a16="http://schemas.microsoft.com/office/drawing/2014/main" id="{9275F71F-C177-17DC-B30A-16367718D1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5">
                      <a:extLst>
                        <a:ext uri="{FF2B5EF4-FFF2-40B4-BE49-F238E27FC236}">
                          <a16:creationId xmlns:a16="http://schemas.microsoft.com/office/drawing/2014/main" id="{9275F71F-C177-17DC-B30A-16367718D1DE}"/>
                        </a:ext>
                      </a:extLst>
                    </pic:cNvPr>
                    <pic:cNvPicPr>
                      <a:picLocks noChangeAspect="1"/>
                    </pic:cNvPicPr>
                  </pic:nvPicPr>
                  <pic:blipFill>
                    <a:blip r:embed="rId85"/>
                    <a:stretch>
                      <a:fillRect/>
                    </a:stretch>
                  </pic:blipFill>
                  <pic:spPr>
                    <a:xfrm>
                      <a:off x="0" y="0"/>
                      <a:ext cx="5627305" cy="3437405"/>
                    </a:xfrm>
                    <a:prstGeom prst="rect">
                      <a:avLst/>
                    </a:prstGeom>
                  </pic:spPr>
                </pic:pic>
              </a:graphicData>
            </a:graphic>
          </wp:inline>
        </w:drawing>
      </w:r>
    </w:p>
    <w:p w14:paraId="08BF82C5" w14:textId="77777777" w:rsidR="00416542" w:rsidRPr="00970592" w:rsidRDefault="00416542" w:rsidP="00416542"/>
    <w:p w14:paraId="36088720" w14:textId="77777777" w:rsidR="00416542" w:rsidRPr="00970592" w:rsidRDefault="00416542" w:rsidP="00416542">
      <w:pPr>
        <w:pStyle w:val="Heading2"/>
        <w:rPr>
          <w:b w:val="0"/>
        </w:rPr>
      </w:pPr>
      <w:bookmarkStart w:id="71" w:name="_Toc177136001"/>
      <w:r w:rsidRPr="00970592">
        <w:t xml:space="preserve">Access </w:t>
      </w:r>
      <w:r w:rsidRPr="00970592">
        <w:rPr>
          <w:b w:val="0"/>
        </w:rPr>
        <w:t xml:space="preserve">to ECEC </w:t>
      </w:r>
      <w:r w:rsidRPr="00970592">
        <w:t>is experienced by children</w:t>
      </w:r>
      <w:bookmarkEnd w:id="71"/>
    </w:p>
    <w:p w14:paraId="00349C03" w14:textId="77777777" w:rsidR="00416542" w:rsidRPr="00970592" w:rsidRDefault="00416542" w:rsidP="00416542">
      <w:pPr>
        <w:rPr>
          <w:lang w:val="en-US"/>
        </w:rPr>
      </w:pPr>
      <w:r w:rsidRPr="00970592">
        <w:rPr>
          <w:lang w:val="en-US"/>
        </w:rPr>
        <w:t xml:space="preserve">Whereas policy works to ensure access </w:t>
      </w:r>
      <w:r w:rsidRPr="00970592">
        <w:rPr>
          <w:i/>
          <w:lang w:val="en-US"/>
        </w:rPr>
        <w:t xml:space="preserve">to </w:t>
      </w:r>
      <w:r w:rsidRPr="00970592">
        <w:rPr>
          <w:lang w:val="en-US"/>
        </w:rPr>
        <w:t xml:space="preserve">and the outcomes </w:t>
      </w:r>
      <w:r w:rsidRPr="00970592">
        <w:rPr>
          <w:i/>
          <w:lang w:val="en-US"/>
        </w:rPr>
        <w:t xml:space="preserve">from, </w:t>
      </w:r>
      <w:r w:rsidRPr="00970592">
        <w:rPr>
          <w:lang w:val="en-US"/>
        </w:rPr>
        <w:t xml:space="preserve">children experience access </w:t>
      </w:r>
      <w:r w:rsidRPr="00970592">
        <w:rPr>
          <w:i/>
          <w:lang w:val="en-US"/>
        </w:rPr>
        <w:t>within</w:t>
      </w:r>
      <w:r w:rsidRPr="00970592">
        <w:rPr>
          <w:lang w:val="en-US"/>
        </w:rPr>
        <w:t xml:space="preserve"> ECEC settings. For example, the experiences children described resulting from relationships and connections enabled by their participation in ECEC. </w:t>
      </w:r>
    </w:p>
    <w:p w14:paraId="7D51DA34" w14:textId="07D5ED63" w:rsidR="00416542" w:rsidRPr="00970592" w:rsidRDefault="00416542" w:rsidP="00416542">
      <w:pPr>
        <w:rPr>
          <w:lang w:val="en-US"/>
        </w:rPr>
      </w:pPr>
      <w:r w:rsidRPr="00970592">
        <w:rPr>
          <w:lang w:val="en-US"/>
        </w:rPr>
        <w:t xml:space="preserve">Children have provided high-definition examples, through descriptions of their positive experiences, of the standards and practices of quality promoted through the NQF. While children use different words to describe it, they demonstrated both an appreciation for and understanding of quality in action. Some examples of this </w:t>
      </w:r>
      <w:r w:rsidR="00DD4995" w:rsidRPr="00970592">
        <w:rPr>
          <w:lang w:val="en-US"/>
        </w:rPr>
        <w:t>include</w:t>
      </w:r>
      <w:r w:rsidRPr="00970592">
        <w:rPr>
          <w:lang w:val="en-US"/>
        </w:rPr>
        <w:t xml:space="preserve"> opportunities to engage in exploration over time, the connections between their family and the service, their learning and deep engagements, the friendships that were fostered in ECEC settings, and connections to the community through incursions and excursions. </w:t>
      </w:r>
    </w:p>
    <w:p w14:paraId="482D0928" w14:textId="77777777" w:rsidR="00416542" w:rsidRPr="00970592" w:rsidRDefault="00416542" w:rsidP="00416542">
      <w:r w:rsidRPr="00970592">
        <w:rPr>
          <w:lang w:val="en-US"/>
        </w:rPr>
        <w:t xml:space="preserve">Observations drawn from implementing the consultation show the ways in which the environment supported children’s inclusion and participation. The consultation activities, which were informed by ECEC practice and pedagogy, were further supported by the environments in which they were facilitated. Existing structures for group-time, for example, supported the happiest memory group discussion – similarly, regular access to a range of materials along with space to build and </w:t>
      </w:r>
      <w:r w:rsidRPr="00970592">
        <w:rPr>
          <w:lang w:val="en-US"/>
        </w:rPr>
        <w:lastRenderedPageBreak/>
        <w:t xml:space="preserve">construct supported the 3D landscape buildings. The practices embedded in the environment enabled children to participate flexibly – this meant children’s physical, processing and communication needs were accommodated within the program, supported by teachers and educators, and </w:t>
      </w:r>
      <w:proofErr w:type="spellStart"/>
      <w:r w:rsidRPr="00970592">
        <w:rPr>
          <w:lang w:val="en-US"/>
        </w:rPr>
        <w:t>normalised</w:t>
      </w:r>
      <w:proofErr w:type="spellEnd"/>
      <w:r w:rsidRPr="00970592">
        <w:rPr>
          <w:lang w:val="en-US"/>
        </w:rPr>
        <w:t xml:space="preserve"> for other children participating. </w:t>
      </w:r>
    </w:p>
    <w:p w14:paraId="02C52CF6" w14:textId="77777777" w:rsidR="00416542" w:rsidRPr="00970592" w:rsidRDefault="00416542" w:rsidP="00416542">
      <w:r w:rsidRPr="00970592">
        <w:t xml:space="preserve">Conditions that support access to ECEC for children and families (for example the Productivity Commission’s conditions of availability, affordability, inclusivity, and flexibility) become preconditions for the type of ‘world-expanding’ access that was highly valued in children’s descriptions of their experiences of ECEC settings. This high-definition description of quality needs to be centred in the design of a universal system. </w:t>
      </w:r>
    </w:p>
    <w:p w14:paraId="615A7C48" w14:textId="0AFFEDB8" w:rsidR="00416542" w:rsidRPr="00970592" w:rsidRDefault="00416542" w:rsidP="00416542">
      <w:pPr>
        <w:pStyle w:val="Caption"/>
        <w:keepNext/>
      </w:pPr>
      <w:r w:rsidRPr="00970592">
        <w:t xml:space="preserve">Figure </w:t>
      </w:r>
      <w:r w:rsidR="00623342" w:rsidRPr="00970592">
        <w:t xml:space="preserve">8 </w:t>
      </w:r>
      <w:r w:rsidRPr="00970592">
        <w:t>Children's experience of access</w:t>
      </w:r>
    </w:p>
    <w:p w14:paraId="675EC8B9" w14:textId="77777777" w:rsidR="00416542" w:rsidRPr="00970592" w:rsidRDefault="00416542" w:rsidP="00416542">
      <w:pPr>
        <w:jc w:val="center"/>
      </w:pPr>
      <w:r w:rsidRPr="00970592">
        <w:rPr>
          <w:noProof/>
        </w:rPr>
        <w:drawing>
          <wp:inline distT="0" distB="0" distL="0" distR="0" wp14:anchorId="530BE85A" wp14:editId="0ADDB578">
            <wp:extent cx="2704289" cy="2697866"/>
            <wp:effectExtent l="0" t="0" r="1270" b="0"/>
            <wp:docPr id="89" name="Picture 88">
              <a:extLst xmlns:a="http://schemas.openxmlformats.org/drawingml/2006/main">
                <a:ext uri="{FF2B5EF4-FFF2-40B4-BE49-F238E27FC236}">
                  <a16:creationId xmlns:a16="http://schemas.microsoft.com/office/drawing/2014/main" id="{6006F97B-E80B-9A5E-8046-FD6FD9C50E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8">
                      <a:extLst>
                        <a:ext uri="{FF2B5EF4-FFF2-40B4-BE49-F238E27FC236}">
                          <a16:creationId xmlns:a16="http://schemas.microsoft.com/office/drawing/2014/main" id="{6006F97B-E80B-9A5E-8046-FD6FD9C50E91}"/>
                        </a:ext>
                      </a:extLst>
                    </pic:cNvPr>
                    <pic:cNvPicPr>
                      <a:picLocks noChangeAspect="1"/>
                    </pic:cNvPicPr>
                  </pic:nvPicPr>
                  <pic:blipFill>
                    <a:blip r:embed="rId86"/>
                    <a:stretch>
                      <a:fillRect/>
                    </a:stretch>
                  </pic:blipFill>
                  <pic:spPr>
                    <a:xfrm>
                      <a:off x="0" y="0"/>
                      <a:ext cx="2707676" cy="2701245"/>
                    </a:xfrm>
                    <a:prstGeom prst="rect">
                      <a:avLst/>
                    </a:prstGeom>
                  </pic:spPr>
                </pic:pic>
              </a:graphicData>
            </a:graphic>
          </wp:inline>
        </w:drawing>
      </w:r>
    </w:p>
    <w:p w14:paraId="568342ED" w14:textId="77777777" w:rsidR="00416542" w:rsidRPr="00970592" w:rsidRDefault="00416542" w:rsidP="00416542">
      <w:pPr>
        <w:pStyle w:val="Heading2"/>
      </w:pPr>
      <w:bookmarkStart w:id="72" w:name="_Toc177136002"/>
      <w:r w:rsidRPr="00970592">
        <w:t>Children’s voices provide unique insights</w:t>
      </w:r>
      <w:bookmarkEnd w:id="72"/>
    </w:p>
    <w:p w14:paraId="04AB64E7" w14:textId="77777777" w:rsidR="00416542" w:rsidRPr="00970592" w:rsidRDefault="00416542" w:rsidP="00416542">
      <w:r w:rsidRPr="00970592">
        <w:t xml:space="preserve">This consultation has surfaced unique insights into what children value about ECEC – covering both what they want from ECEC and what they like based on their current participation. </w:t>
      </w:r>
    </w:p>
    <w:p w14:paraId="3E4AAD7D" w14:textId="77777777" w:rsidR="00416542" w:rsidRPr="00970592" w:rsidRDefault="00416542" w:rsidP="00416542">
      <w:r w:rsidRPr="00970592">
        <w:t xml:space="preserve">Significantly, children have provided insights into their ECEC experiences that are not broadly considered in policy design. This includes rich descriptions of the types of experiences and relationships that they encounter in ECEC settings. While many of these descriptions align with policy intentions and conceptualisations of quality, children’s descriptions place considerable value on experiences that are under described as policy priorities. The invitation from this insight is to ensure that system design adequately emphasises the rich experience of quality and access that children shared. </w:t>
      </w:r>
    </w:p>
    <w:p w14:paraId="51EE5765" w14:textId="77777777" w:rsidR="00416542" w:rsidRPr="00970592" w:rsidRDefault="00416542" w:rsidP="00416542">
      <w:r w:rsidRPr="00970592">
        <w:t xml:space="preserve">Another important learning from this work is that there is an ongoing need to consult children in the design and evaluation of policies and programs that impact them. While the NQF is a vehicle for this at a local level – projects such as this, demonstrate that children are capable of providing perspectives that are not often considered in policy design. There is a current gap in processes that systematically consider the perspectives of children in the delivery and design of policy and programs intended for them. </w:t>
      </w:r>
    </w:p>
    <w:p w14:paraId="3F9BA65E" w14:textId="77777777" w:rsidR="00416542" w:rsidRPr="00970592" w:rsidRDefault="00416542" w:rsidP="00416542">
      <w:r w:rsidRPr="00970592">
        <w:t xml:space="preserve">More sophisticated structures and processes are needed to hear the voices of younger children and children with disabilities and additional communication needs. This work has also shown that, alongside ongoing effort to hear children’s voices in policy design, sustained effort is needed to </w:t>
      </w:r>
      <w:r w:rsidRPr="00970592">
        <w:lastRenderedPageBreak/>
        <w:t xml:space="preserve">develop and refine methods for consulting with younger children, children with disabilities and children with additional communication needs. While the methodologies adopted show promise and have accommodated flexibility to support broad participation, additional effort is needed to design and refine methods and structures to respond to diversly communicated perspectives. </w:t>
      </w:r>
    </w:p>
    <w:p w14:paraId="26CBD502" w14:textId="72E0E60F" w:rsidR="00416542" w:rsidRDefault="00416542" w:rsidP="00416542">
      <w:r w:rsidRPr="00970592">
        <w:t xml:space="preserve">Children’s perspectives have much to offer policy design and evaluation processes. This work will require sustained effort and commitment to developing and refining processes and conditions to support ethical engagement with children. </w:t>
      </w:r>
    </w:p>
    <w:p w14:paraId="5F74B685" w14:textId="24EE8D30" w:rsidR="009F4074" w:rsidRDefault="000268CF" w:rsidP="00416542">
      <w:r>
        <w:t xml:space="preserve">The themes drawn from children’s work have been </w:t>
      </w:r>
      <w:r w:rsidR="005504F8">
        <w:t>u</w:t>
      </w:r>
      <w:r w:rsidR="00B163C1">
        <w:t>s</w:t>
      </w:r>
      <w:r w:rsidR="005504F8">
        <w:t xml:space="preserve">ed </w:t>
      </w:r>
      <w:r w:rsidR="009C507F">
        <w:t xml:space="preserve">to </w:t>
      </w:r>
      <w:r w:rsidR="005504F8">
        <w:t xml:space="preserve">provide </w:t>
      </w:r>
      <w:r w:rsidR="00270445">
        <w:t xml:space="preserve">insights that map to </w:t>
      </w:r>
      <w:r w:rsidR="009C507F">
        <w:t xml:space="preserve">the </w:t>
      </w:r>
      <w:r w:rsidR="009F4074">
        <w:t xml:space="preserve">Productivity Commission’s </w:t>
      </w:r>
      <w:r w:rsidR="00172C48">
        <w:t>draft recommendations</w:t>
      </w:r>
      <w:r w:rsidR="009C507F">
        <w:t xml:space="preserve">. </w:t>
      </w:r>
    </w:p>
    <w:p w14:paraId="7524D487" w14:textId="01124F39" w:rsidR="00C82E29" w:rsidRDefault="00C82E29" w:rsidP="00C82E29">
      <w:pPr>
        <w:pStyle w:val="Caption"/>
        <w:keepNext/>
      </w:pPr>
      <w:r>
        <w:t xml:space="preserve">Figure 9 </w:t>
      </w:r>
      <w:r w:rsidRPr="008F0CDB">
        <w:t>Response to the Productivity Commission draft recommendations</w:t>
      </w:r>
    </w:p>
    <w:tbl>
      <w:tblPr>
        <w:tblStyle w:val="TableGrid"/>
        <w:tblW w:w="0" w:type="auto"/>
        <w:tbl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2" w:space="0" w:color="FFFFFF" w:themeColor="background1"/>
          <w:insideV w:val="single" w:sz="2" w:space="0" w:color="FFFFFF" w:themeColor="background1"/>
        </w:tblBorders>
        <w:shd w:val="clear" w:color="auto" w:fill="0178A7" w:themeFill="accent1"/>
        <w:tblLook w:val="04A0" w:firstRow="1" w:lastRow="0" w:firstColumn="1" w:lastColumn="0" w:noHBand="0" w:noVBand="1"/>
      </w:tblPr>
      <w:tblGrid>
        <w:gridCol w:w="9020"/>
      </w:tblGrid>
      <w:tr w:rsidR="002307B4" w:rsidRPr="002C42F4" w14:paraId="3DBE0012" w14:textId="77777777" w:rsidTr="00244A47">
        <w:tc>
          <w:tcPr>
            <w:tcW w:w="9020" w:type="dxa"/>
            <w:shd w:val="clear" w:color="auto" w:fill="A9E6FF" w:themeFill="text2" w:themeFillTint="33"/>
          </w:tcPr>
          <w:p w14:paraId="6EBF58C9" w14:textId="77777777" w:rsidR="002307B4" w:rsidRPr="002836F3" w:rsidRDefault="002307B4">
            <w:pPr>
              <w:spacing w:before="60" w:after="60"/>
              <w:ind w:right="108"/>
              <w:rPr>
                <w:rFonts w:eastAsia="Arial" w:cs="Calibri"/>
                <w:b/>
                <w:color w:val="000000" w:themeColor="text1"/>
                <w:sz w:val="24"/>
                <w:szCs w:val="24"/>
              </w:rPr>
            </w:pPr>
            <w:r w:rsidRPr="002836F3">
              <w:rPr>
                <w:rFonts w:eastAsia="Arial" w:cs="Calibri"/>
                <w:b/>
                <w:color w:val="000000" w:themeColor="text1"/>
                <w:sz w:val="24"/>
                <w:szCs w:val="24"/>
              </w:rPr>
              <w:t>Affordability and availability gaps need to be addressed to achieve universal access</w:t>
            </w:r>
          </w:p>
        </w:tc>
      </w:tr>
      <w:tr w:rsidR="002307B4" w:rsidRPr="002C42F4" w14:paraId="011916FB" w14:textId="77777777" w:rsidTr="00244A47">
        <w:trPr>
          <w:trHeight w:val="1598"/>
        </w:trPr>
        <w:tc>
          <w:tcPr>
            <w:tcW w:w="9020" w:type="dxa"/>
            <w:shd w:val="clear" w:color="auto" w:fill="A9E6FF" w:themeFill="text2" w:themeFillTint="33"/>
          </w:tcPr>
          <w:p w14:paraId="3D157F57" w14:textId="77777777" w:rsidR="002307B4" w:rsidRPr="002C42F4" w:rsidRDefault="002307B4">
            <w:pPr>
              <w:rPr>
                <w:b/>
                <w:bCs/>
                <w:sz w:val="22"/>
                <w:szCs w:val="22"/>
              </w:rPr>
            </w:pPr>
            <w:r w:rsidRPr="002C42F4">
              <w:rPr>
                <w:b/>
                <w:bCs/>
                <w:sz w:val="22"/>
                <w:szCs w:val="22"/>
              </w:rPr>
              <w:t xml:space="preserve">Recommendations </w:t>
            </w:r>
          </w:p>
          <w:p w14:paraId="7CC30D69" w14:textId="77777777" w:rsidR="002307B4" w:rsidRPr="008A11F6" w:rsidRDefault="002307B4" w:rsidP="008A11F6">
            <w:pPr>
              <w:pStyle w:val="TableListBullet"/>
              <w:numPr>
                <w:ilvl w:val="0"/>
                <w:numId w:val="33"/>
              </w:numPr>
              <w:rPr>
                <w:rFonts w:ascii="Helvetica" w:eastAsia="Arial" w:hAnsi="Helvetica" w:cs="Calibri"/>
                <w:color w:val="000000" w:themeColor="text1"/>
                <w:sz w:val="21"/>
                <w:szCs w:val="21"/>
              </w:rPr>
            </w:pPr>
            <w:r w:rsidRPr="008A11F6">
              <w:rPr>
                <w:rFonts w:ascii="Helvetica" w:eastAsia="Arial" w:hAnsi="Helvetica" w:cs="Calibri"/>
                <w:color w:val="000000" w:themeColor="text1"/>
                <w:sz w:val="21"/>
                <w:szCs w:val="21"/>
              </w:rPr>
              <w:t>Give all children an entitlement to up to 30 hours or 3 days a week of subsidised care without an activity requirement (DR 6.2)</w:t>
            </w:r>
          </w:p>
          <w:p w14:paraId="61E6690F" w14:textId="77777777" w:rsidR="002307B4" w:rsidRPr="008A11F6" w:rsidRDefault="002307B4" w:rsidP="008A11F6">
            <w:pPr>
              <w:pStyle w:val="TableListBullet"/>
              <w:numPr>
                <w:ilvl w:val="0"/>
                <w:numId w:val="33"/>
              </w:numPr>
              <w:rPr>
                <w:rFonts w:ascii="Helvetica" w:eastAsia="Arial" w:hAnsi="Helvetica" w:cs="Calibri"/>
                <w:color w:val="000000" w:themeColor="text1"/>
                <w:sz w:val="21"/>
                <w:szCs w:val="21"/>
              </w:rPr>
            </w:pPr>
            <w:r w:rsidRPr="008A11F6">
              <w:rPr>
                <w:rFonts w:ascii="Helvetica" w:eastAsia="Arial" w:hAnsi="Helvetica" w:cs="Calibri"/>
                <w:color w:val="000000" w:themeColor="text1"/>
                <w:sz w:val="21"/>
                <w:szCs w:val="21"/>
              </w:rPr>
              <w:t>Lift subsidy to 100% of the hourly rate cap if annual family income up to $80,000 (DR 6.2)</w:t>
            </w:r>
          </w:p>
          <w:p w14:paraId="5F593E49" w14:textId="77777777" w:rsidR="002307B4" w:rsidRPr="008A11F6" w:rsidRDefault="002307B4" w:rsidP="008A11F6">
            <w:pPr>
              <w:pStyle w:val="TableListBullet"/>
              <w:numPr>
                <w:ilvl w:val="0"/>
                <w:numId w:val="33"/>
              </w:numPr>
              <w:rPr>
                <w:rFonts w:ascii="Helvetica" w:eastAsia="Arial" w:hAnsi="Helvetica" w:cs="Calibri"/>
                <w:color w:val="000000" w:themeColor="text1"/>
                <w:sz w:val="21"/>
                <w:szCs w:val="21"/>
              </w:rPr>
            </w:pPr>
            <w:r w:rsidRPr="008A11F6">
              <w:rPr>
                <w:rFonts w:ascii="Helvetica" w:eastAsia="Arial" w:hAnsi="Helvetica" w:cs="Calibri"/>
                <w:color w:val="000000" w:themeColor="text1"/>
                <w:sz w:val="21"/>
                <w:szCs w:val="21"/>
              </w:rPr>
              <w:t>Provide additional support for persistently thin markets (DR 5.1)</w:t>
            </w:r>
          </w:p>
          <w:p w14:paraId="7DB76E8D" w14:textId="77777777" w:rsidR="002307B4" w:rsidRPr="002B6546" w:rsidRDefault="002307B4">
            <w:pPr>
              <w:pStyle w:val="TableListBullet"/>
              <w:numPr>
                <w:ilvl w:val="0"/>
                <w:numId w:val="33"/>
              </w:numPr>
              <w:rPr>
                <w:rFonts w:ascii="Calibri" w:hAnsi="Calibri" w:cs="Calibri"/>
                <w:color w:val="000000" w:themeColor="text1"/>
                <w:sz w:val="22"/>
                <w:szCs w:val="22"/>
              </w:rPr>
            </w:pPr>
            <w:r w:rsidRPr="008A11F6">
              <w:rPr>
                <w:rFonts w:ascii="Helvetica" w:eastAsia="Arial" w:hAnsi="Helvetica" w:cs="Calibri"/>
                <w:color w:val="000000" w:themeColor="text1"/>
                <w:sz w:val="21"/>
                <w:szCs w:val="21"/>
              </w:rPr>
              <w:t>Improve information about CCS for families (DR 6.3 – 6.6)</w:t>
            </w:r>
          </w:p>
        </w:tc>
      </w:tr>
      <w:tr w:rsidR="002307B4" w:rsidRPr="00375904" w14:paraId="579C59E3" w14:textId="77777777" w:rsidTr="00244A47">
        <w:tc>
          <w:tcPr>
            <w:tcW w:w="9020" w:type="dxa"/>
            <w:shd w:val="clear" w:color="auto" w:fill="BAEBFE" w:themeFill="accent1" w:themeFillTint="33"/>
          </w:tcPr>
          <w:p w14:paraId="3A93431F" w14:textId="77777777" w:rsidR="002307B4" w:rsidRDefault="002307B4">
            <w:pPr>
              <w:rPr>
                <w:b/>
                <w:bCs/>
                <w:sz w:val="22"/>
                <w:szCs w:val="22"/>
              </w:rPr>
            </w:pPr>
            <w:r w:rsidRPr="00375904">
              <w:rPr>
                <w:b/>
                <w:bCs/>
                <w:sz w:val="22"/>
                <w:szCs w:val="22"/>
              </w:rPr>
              <w:t xml:space="preserve">Insights from the consultation </w:t>
            </w:r>
          </w:p>
          <w:p w14:paraId="3E82CEFC" w14:textId="77777777" w:rsidR="002307B4" w:rsidRPr="008A11F6" w:rsidRDefault="002307B4">
            <w:r w:rsidRPr="008A11F6">
              <w:t xml:space="preserve">Children experience access in ECEC - when addressing affordability and availability gaps to achieve universal access, it is imperative to consider the conditions of ‘world-expanding’ access that children value – including their sense of belonging and agency within ECEC settings, deep engagement with learning and opportunities to develop relationships over time. </w:t>
            </w:r>
          </w:p>
          <w:p w14:paraId="3B4B6CDE" w14:textId="77777777" w:rsidR="002307B4" w:rsidRPr="00375904" w:rsidRDefault="002307B4">
            <w:pPr>
              <w:rPr>
                <w:sz w:val="22"/>
                <w:szCs w:val="22"/>
              </w:rPr>
            </w:pPr>
            <w:r w:rsidRPr="008A11F6">
              <w:t>A child level entitlement would ensure that the type of access that children value is not contingent on their parent’s circumstances.</w:t>
            </w:r>
          </w:p>
        </w:tc>
      </w:tr>
    </w:tbl>
    <w:p w14:paraId="4B0B004A" w14:textId="77777777" w:rsidR="00CE6D2C" w:rsidRDefault="00CE6D2C" w:rsidP="002307B4"/>
    <w:p w14:paraId="0DC9DC1A" w14:textId="77777777" w:rsidR="00CE6D2C" w:rsidRDefault="00CE6D2C" w:rsidP="002307B4"/>
    <w:p w14:paraId="681E1520" w14:textId="77777777" w:rsidR="00CE6D2C" w:rsidRDefault="00CE6D2C" w:rsidP="002307B4"/>
    <w:p w14:paraId="32D1C290" w14:textId="77777777" w:rsidR="00CE6D2C" w:rsidRDefault="00CE6D2C" w:rsidP="002307B4"/>
    <w:p w14:paraId="568A21E3" w14:textId="356E5BE8" w:rsidR="009030B2" w:rsidRDefault="009030B2" w:rsidP="002307B4">
      <w:r>
        <w:br w:type="page"/>
      </w:r>
    </w:p>
    <w:tbl>
      <w:tblPr>
        <w:tblStyle w:val="TableGrid"/>
        <w:tblW w:w="0" w:type="auto"/>
        <w:tblInd w:w="57" w:type="dxa"/>
        <w:tbl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2" w:space="0" w:color="FFFFFF" w:themeColor="background1"/>
          <w:insideV w:val="single" w:sz="2" w:space="0" w:color="FFFFFF" w:themeColor="background1"/>
        </w:tblBorders>
        <w:tblLook w:val="04A0" w:firstRow="1" w:lastRow="0" w:firstColumn="1" w:lastColumn="0" w:noHBand="0" w:noVBand="1"/>
      </w:tblPr>
      <w:tblGrid>
        <w:gridCol w:w="8963"/>
      </w:tblGrid>
      <w:tr w:rsidR="002307B4" w:rsidRPr="002C42F4" w14:paraId="0991266C" w14:textId="77777777" w:rsidTr="009030B2">
        <w:tc>
          <w:tcPr>
            <w:tcW w:w="8963" w:type="dxa"/>
            <w:shd w:val="clear" w:color="auto" w:fill="A9E6FF" w:themeFill="text2" w:themeFillTint="33"/>
          </w:tcPr>
          <w:p w14:paraId="107592E5" w14:textId="77777777" w:rsidR="002307B4" w:rsidRPr="002836F3" w:rsidRDefault="002307B4">
            <w:pPr>
              <w:spacing w:before="60" w:after="60"/>
              <w:ind w:right="108"/>
              <w:rPr>
                <w:rFonts w:eastAsia="Arial" w:cs="Calibri"/>
                <w:b/>
                <w:color w:val="000000" w:themeColor="text1"/>
                <w:sz w:val="24"/>
                <w:szCs w:val="24"/>
              </w:rPr>
            </w:pPr>
            <w:r w:rsidRPr="002836F3">
              <w:rPr>
                <w:rFonts w:eastAsia="Arial" w:cs="Calibri"/>
                <w:b/>
                <w:color w:val="000000" w:themeColor="text1"/>
                <w:sz w:val="24"/>
                <w:szCs w:val="24"/>
              </w:rPr>
              <w:lastRenderedPageBreak/>
              <w:t>Availability can only improve if workforce challenges are resolved</w:t>
            </w:r>
          </w:p>
        </w:tc>
      </w:tr>
      <w:tr w:rsidR="002307B4" w:rsidRPr="002C42F4" w14:paraId="772BD6EB" w14:textId="77777777" w:rsidTr="009030B2">
        <w:tblPrEx>
          <w:shd w:val="clear" w:color="auto" w:fill="0178A7" w:themeFill="accent1"/>
        </w:tblPrEx>
        <w:trPr>
          <w:trHeight w:val="2471"/>
        </w:trPr>
        <w:tc>
          <w:tcPr>
            <w:tcW w:w="8963" w:type="dxa"/>
            <w:shd w:val="clear" w:color="auto" w:fill="A9E6FF" w:themeFill="text2" w:themeFillTint="33"/>
          </w:tcPr>
          <w:p w14:paraId="207BBECD" w14:textId="77777777" w:rsidR="002307B4" w:rsidRPr="002C42F4" w:rsidRDefault="002307B4">
            <w:pPr>
              <w:rPr>
                <w:b/>
                <w:bCs/>
                <w:sz w:val="22"/>
                <w:szCs w:val="22"/>
              </w:rPr>
            </w:pPr>
            <w:r w:rsidRPr="002C42F4">
              <w:rPr>
                <w:b/>
                <w:bCs/>
                <w:sz w:val="22"/>
                <w:szCs w:val="22"/>
              </w:rPr>
              <w:t xml:space="preserve">Recommendations </w:t>
            </w:r>
          </w:p>
          <w:p w14:paraId="46536F7A" w14:textId="77777777" w:rsidR="002307B4" w:rsidRPr="008A11F6" w:rsidRDefault="002307B4">
            <w:pPr>
              <w:pStyle w:val="TableListBullet"/>
              <w:numPr>
                <w:ilvl w:val="0"/>
                <w:numId w:val="33"/>
              </w:numPr>
              <w:rPr>
                <w:rFonts w:ascii="Helvetica" w:eastAsia="Arial" w:hAnsi="Helvetica" w:cs="Calibri"/>
                <w:color w:val="000000" w:themeColor="text1"/>
                <w:sz w:val="21"/>
                <w:szCs w:val="21"/>
              </w:rPr>
            </w:pPr>
            <w:r w:rsidRPr="008A11F6">
              <w:rPr>
                <w:rFonts w:ascii="Helvetica" w:eastAsia="Arial" w:hAnsi="Helvetica" w:cs="Calibri"/>
                <w:color w:val="000000" w:themeColor="text1"/>
                <w:sz w:val="21"/>
                <w:szCs w:val="21"/>
              </w:rPr>
              <w:t>Fair Work Act processes addressing pay and conditions (DF 3.1)</w:t>
            </w:r>
          </w:p>
          <w:p w14:paraId="09E86D38" w14:textId="77777777" w:rsidR="002307B4" w:rsidRPr="008A11F6" w:rsidRDefault="002307B4">
            <w:pPr>
              <w:pStyle w:val="TableListBullet"/>
              <w:numPr>
                <w:ilvl w:val="0"/>
                <w:numId w:val="33"/>
              </w:numPr>
              <w:rPr>
                <w:rFonts w:ascii="Helvetica" w:eastAsia="Arial" w:hAnsi="Helvetica" w:cs="Calibri"/>
                <w:color w:val="000000" w:themeColor="text1"/>
                <w:sz w:val="21"/>
                <w:szCs w:val="21"/>
              </w:rPr>
            </w:pPr>
            <w:r w:rsidRPr="008A11F6">
              <w:rPr>
                <w:rFonts w:ascii="Helvetica" w:eastAsia="Arial" w:hAnsi="Helvetica" w:cs="Calibri"/>
                <w:color w:val="000000" w:themeColor="text1"/>
                <w:sz w:val="21"/>
                <w:szCs w:val="21"/>
              </w:rPr>
              <w:t>Reduce barriers to upskilling (DR 3.1)</w:t>
            </w:r>
          </w:p>
          <w:p w14:paraId="34B2C547" w14:textId="77777777" w:rsidR="002307B4" w:rsidRPr="008A11F6" w:rsidRDefault="002307B4">
            <w:pPr>
              <w:pStyle w:val="TableListBullet"/>
              <w:numPr>
                <w:ilvl w:val="0"/>
                <w:numId w:val="33"/>
              </w:numPr>
              <w:rPr>
                <w:rFonts w:ascii="Helvetica" w:eastAsia="Arial" w:hAnsi="Helvetica" w:cs="Calibri"/>
                <w:color w:val="000000" w:themeColor="text1"/>
                <w:sz w:val="21"/>
                <w:szCs w:val="21"/>
              </w:rPr>
            </w:pPr>
            <w:r w:rsidRPr="008A11F6">
              <w:rPr>
                <w:rFonts w:ascii="Helvetica" w:eastAsia="Arial" w:hAnsi="Helvetica" w:cs="Calibri"/>
                <w:color w:val="000000" w:themeColor="text1"/>
                <w:sz w:val="21"/>
                <w:szCs w:val="21"/>
              </w:rPr>
              <w:t>Support innovative delivery of teaching qualifications (DR 3.2)</w:t>
            </w:r>
          </w:p>
          <w:p w14:paraId="4946F6A8" w14:textId="77777777" w:rsidR="002307B4" w:rsidRPr="008A11F6" w:rsidRDefault="002307B4">
            <w:pPr>
              <w:pStyle w:val="TableListBullet"/>
              <w:numPr>
                <w:ilvl w:val="0"/>
                <w:numId w:val="33"/>
              </w:numPr>
              <w:rPr>
                <w:rFonts w:ascii="Helvetica" w:eastAsia="Arial" w:hAnsi="Helvetica" w:cs="Calibri"/>
                <w:color w:val="000000" w:themeColor="text1"/>
                <w:sz w:val="21"/>
                <w:szCs w:val="21"/>
              </w:rPr>
            </w:pPr>
            <w:r w:rsidRPr="008A11F6">
              <w:rPr>
                <w:rFonts w:ascii="Helvetica" w:eastAsia="Arial" w:hAnsi="Helvetica" w:cs="Calibri"/>
                <w:color w:val="000000" w:themeColor="text1"/>
                <w:sz w:val="21"/>
                <w:szCs w:val="21"/>
              </w:rPr>
              <w:t>Improve registration arrangements for early childhood teachers (DR 3.3)</w:t>
            </w:r>
          </w:p>
          <w:p w14:paraId="427157E8" w14:textId="77777777" w:rsidR="002307B4" w:rsidRPr="008A11F6" w:rsidRDefault="002307B4">
            <w:pPr>
              <w:pStyle w:val="TableListBullet"/>
              <w:numPr>
                <w:ilvl w:val="0"/>
                <w:numId w:val="33"/>
              </w:numPr>
              <w:rPr>
                <w:rFonts w:ascii="Helvetica" w:eastAsia="Arial" w:hAnsi="Helvetica" w:cs="Calibri"/>
                <w:color w:val="000000" w:themeColor="text1"/>
                <w:sz w:val="21"/>
                <w:szCs w:val="21"/>
              </w:rPr>
            </w:pPr>
            <w:r w:rsidRPr="008A11F6">
              <w:rPr>
                <w:rFonts w:ascii="Helvetica" w:eastAsia="Arial" w:hAnsi="Helvetica" w:cs="Calibri"/>
                <w:color w:val="000000" w:themeColor="text1"/>
                <w:sz w:val="21"/>
                <w:szCs w:val="21"/>
              </w:rPr>
              <w:t>Lift support and mentoring for new early childhood teachers (DR 3.4)</w:t>
            </w:r>
          </w:p>
          <w:p w14:paraId="1146470F" w14:textId="77777777" w:rsidR="002307B4" w:rsidRPr="008A11F6" w:rsidRDefault="002307B4">
            <w:pPr>
              <w:pStyle w:val="TableListBullet"/>
              <w:numPr>
                <w:ilvl w:val="0"/>
                <w:numId w:val="33"/>
              </w:numPr>
              <w:rPr>
                <w:rFonts w:ascii="Helvetica" w:eastAsia="Arial" w:hAnsi="Helvetica" w:cs="Calibri"/>
                <w:color w:val="000000" w:themeColor="text1"/>
                <w:sz w:val="21"/>
                <w:szCs w:val="21"/>
              </w:rPr>
            </w:pPr>
            <w:r w:rsidRPr="008A11F6">
              <w:rPr>
                <w:rFonts w:ascii="Helvetica" w:eastAsia="Arial" w:hAnsi="Helvetica" w:cs="Calibri"/>
                <w:color w:val="000000" w:themeColor="text1"/>
                <w:sz w:val="21"/>
                <w:szCs w:val="21"/>
              </w:rPr>
              <w:t>Improve pathways and support for Aboriginal and Torres Strait Islander people to obtain ECEC qualifications (DR 3.5)</w:t>
            </w:r>
          </w:p>
          <w:p w14:paraId="5020D3E1" w14:textId="77777777" w:rsidR="002307B4" w:rsidRPr="008A11F6" w:rsidRDefault="002307B4">
            <w:pPr>
              <w:pStyle w:val="TableListBullet"/>
              <w:numPr>
                <w:ilvl w:val="0"/>
                <w:numId w:val="33"/>
              </w:numPr>
              <w:rPr>
                <w:rFonts w:ascii="Helvetica" w:eastAsia="Arial" w:hAnsi="Helvetica" w:cs="Calibri"/>
                <w:color w:val="000000" w:themeColor="text1"/>
                <w:sz w:val="21"/>
                <w:szCs w:val="21"/>
              </w:rPr>
            </w:pPr>
            <w:r w:rsidRPr="008A11F6">
              <w:rPr>
                <w:rFonts w:ascii="Helvetica" w:eastAsia="Arial" w:hAnsi="Helvetica" w:cs="Calibri"/>
                <w:color w:val="000000" w:themeColor="text1"/>
                <w:sz w:val="21"/>
                <w:szCs w:val="21"/>
              </w:rPr>
              <w:t>Provide greater support for professional development (DR 3.6)</w:t>
            </w:r>
          </w:p>
          <w:p w14:paraId="166D38E1" w14:textId="77777777" w:rsidR="002307B4" w:rsidRPr="008A11F6" w:rsidRDefault="002307B4">
            <w:pPr>
              <w:pStyle w:val="TableListBullet"/>
              <w:numPr>
                <w:ilvl w:val="0"/>
                <w:numId w:val="33"/>
              </w:numPr>
              <w:rPr>
                <w:rFonts w:ascii="Helvetica" w:eastAsia="Arial" w:hAnsi="Helvetica" w:cs="Calibri"/>
                <w:color w:val="000000" w:themeColor="text1"/>
                <w:sz w:val="22"/>
                <w:szCs w:val="22"/>
              </w:rPr>
            </w:pPr>
            <w:r w:rsidRPr="008A11F6">
              <w:rPr>
                <w:rFonts w:ascii="Helvetica" w:eastAsia="Arial" w:hAnsi="Helvetica" w:cs="Calibri"/>
                <w:color w:val="000000" w:themeColor="text1"/>
                <w:sz w:val="21"/>
                <w:szCs w:val="21"/>
              </w:rPr>
              <w:t>Improved ECEC Workforce Strategy (DR 3.7)</w:t>
            </w:r>
          </w:p>
        </w:tc>
      </w:tr>
      <w:tr w:rsidR="002307B4" w:rsidRPr="00380AC5" w14:paraId="5EF91F85" w14:textId="77777777" w:rsidTr="009030B2">
        <w:tc>
          <w:tcPr>
            <w:tcW w:w="8963" w:type="dxa"/>
            <w:shd w:val="clear" w:color="auto" w:fill="BAEBFE" w:themeFill="accent1" w:themeFillTint="33"/>
          </w:tcPr>
          <w:p w14:paraId="67E0E4A3" w14:textId="77777777" w:rsidR="002307B4" w:rsidRDefault="002307B4">
            <w:pPr>
              <w:rPr>
                <w:b/>
                <w:bCs/>
                <w:sz w:val="22"/>
                <w:szCs w:val="22"/>
              </w:rPr>
            </w:pPr>
            <w:r w:rsidRPr="00375904">
              <w:rPr>
                <w:b/>
                <w:bCs/>
                <w:sz w:val="22"/>
                <w:szCs w:val="22"/>
              </w:rPr>
              <w:t xml:space="preserve">Insights from the consultation </w:t>
            </w:r>
          </w:p>
          <w:p w14:paraId="39B03761" w14:textId="77777777" w:rsidR="002307B4" w:rsidRPr="008A11F6" w:rsidRDefault="002307B4">
            <w:pPr>
              <w:pStyle w:val="TableListBullet"/>
              <w:ind w:left="0" w:firstLine="0"/>
              <w:rPr>
                <w:rFonts w:ascii="Helvetica" w:eastAsia="Arial" w:hAnsi="Helvetica" w:cs="Calibri"/>
                <w:color w:val="000000" w:themeColor="text1"/>
                <w:sz w:val="21"/>
                <w:szCs w:val="21"/>
              </w:rPr>
            </w:pPr>
            <w:r w:rsidRPr="008A11F6">
              <w:rPr>
                <w:rFonts w:ascii="Helvetica" w:eastAsia="Arial" w:hAnsi="Helvetica" w:cs="Calibri"/>
                <w:color w:val="000000" w:themeColor="text1"/>
                <w:sz w:val="21"/>
                <w:szCs w:val="21"/>
              </w:rPr>
              <w:t xml:space="preserve">The relationships between educators and children were regularly featured in children’s work. Children described support they received from teachers and educators and the affection they felt towards them. </w:t>
            </w:r>
          </w:p>
          <w:p w14:paraId="384948E0" w14:textId="77777777" w:rsidR="002307B4" w:rsidRPr="008A11F6" w:rsidRDefault="002307B4">
            <w:pPr>
              <w:pStyle w:val="TableListBullet"/>
              <w:ind w:left="0" w:firstLine="0"/>
              <w:rPr>
                <w:rFonts w:ascii="Helvetica" w:eastAsia="Arial" w:hAnsi="Helvetica" w:cs="Calibri"/>
                <w:color w:val="000000" w:themeColor="text1"/>
                <w:sz w:val="21"/>
                <w:szCs w:val="21"/>
              </w:rPr>
            </w:pPr>
            <w:r w:rsidRPr="008A11F6">
              <w:rPr>
                <w:rFonts w:ascii="Helvetica" w:eastAsia="Arial" w:hAnsi="Helvetica" w:cs="Calibri"/>
                <w:color w:val="000000" w:themeColor="text1"/>
                <w:sz w:val="21"/>
                <w:szCs w:val="21"/>
              </w:rPr>
              <w:t>Children also described experiences that they were able to revisit over time and the ways that continuity in the program supported this – this relies on the quality and continuity of teachers and educators available to support children’s learning.</w:t>
            </w:r>
          </w:p>
          <w:p w14:paraId="6E7D7B89" w14:textId="77777777" w:rsidR="002307B4" w:rsidRPr="008A11F6" w:rsidRDefault="002307B4">
            <w:pPr>
              <w:pStyle w:val="TableListBullet"/>
              <w:ind w:left="0" w:firstLine="0"/>
              <w:rPr>
                <w:rFonts w:ascii="Helvetica" w:eastAsia="Arial" w:hAnsi="Helvetica" w:cs="Calibri"/>
                <w:color w:val="000000" w:themeColor="text1"/>
                <w:sz w:val="22"/>
                <w:szCs w:val="22"/>
              </w:rPr>
            </w:pPr>
            <w:r w:rsidRPr="008A11F6">
              <w:rPr>
                <w:rFonts w:ascii="Helvetica" w:eastAsia="Arial" w:hAnsi="Helvetica" w:cs="Calibri"/>
                <w:color w:val="000000" w:themeColor="text1"/>
                <w:sz w:val="21"/>
                <w:szCs w:val="21"/>
              </w:rPr>
              <w:t>Workforce challenges impacted the consultation – sessions were rescheduled or delayed due to team shortages, groups were combined on days that activities were planned and casual educators supported consultations that were planned by the permanent team. While the impact on the project was minor, it provides a glimpse into the workforce challenges faced by the sector, families and children – particularly in relation to familiarity that children described in their settings, different staff meant a different program.</w:t>
            </w:r>
          </w:p>
        </w:tc>
      </w:tr>
    </w:tbl>
    <w:p w14:paraId="163B089C" w14:textId="77777777" w:rsidR="002307B4" w:rsidRDefault="002307B4" w:rsidP="002307B4">
      <w:pPr>
        <w:spacing w:before="60" w:after="60"/>
        <w:ind w:right="108"/>
        <w:rPr>
          <w:rFonts w:ascii="Calibri" w:eastAsia="Arial" w:hAnsi="Calibri" w:cs="Calibri"/>
          <w:b/>
          <w:bCs/>
          <w:color w:val="000000" w:themeColor="text1"/>
          <w:sz w:val="22"/>
          <w:szCs w:val="22"/>
        </w:rPr>
      </w:pPr>
    </w:p>
    <w:tbl>
      <w:tblPr>
        <w:tblStyle w:val="TableGrid"/>
        <w:tblW w:w="0" w:type="auto"/>
        <w:tblInd w:w="57" w:type="dxa"/>
        <w:tbl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2" w:space="0" w:color="FFFFFF" w:themeColor="background1"/>
          <w:insideV w:val="single" w:sz="2" w:space="0" w:color="FFFFFF" w:themeColor="background1"/>
        </w:tblBorders>
        <w:shd w:val="clear" w:color="auto" w:fill="BAEBFE" w:themeFill="accent1" w:themeFillTint="33"/>
        <w:tblLook w:val="04A0" w:firstRow="1" w:lastRow="0" w:firstColumn="1" w:lastColumn="0" w:noHBand="0" w:noVBand="1"/>
      </w:tblPr>
      <w:tblGrid>
        <w:gridCol w:w="8963"/>
      </w:tblGrid>
      <w:tr w:rsidR="002307B4" w:rsidRPr="00A371DE" w14:paraId="56EAC6FF" w14:textId="77777777" w:rsidTr="009D1545">
        <w:tc>
          <w:tcPr>
            <w:tcW w:w="8963" w:type="dxa"/>
            <w:shd w:val="clear" w:color="auto" w:fill="A9E6FF" w:themeFill="text2" w:themeFillTint="33"/>
          </w:tcPr>
          <w:p w14:paraId="71C61399" w14:textId="77777777" w:rsidR="002307B4" w:rsidRPr="002836F3" w:rsidRDefault="002307B4">
            <w:pPr>
              <w:spacing w:before="60" w:after="60"/>
              <w:ind w:right="108"/>
              <w:rPr>
                <w:rFonts w:eastAsia="Arial" w:cs="Calibri"/>
                <w:b/>
                <w:color w:val="000000" w:themeColor="text1"/>
                <w:sz w:val="24"/>
                <w:szCs w:val="24"/>
              </w:rPr>
            </w:pPr>
            <w:r w:rsidRPr="002836F3">
              <w:rPr>
                <w:rFonts w:eastAsia="Arial" w:cs="Calibri"/>
                <w:b/>
                <w:color w:val="000000" w:themeColor="text1"/>
                <w:sz w:val="24"/>
                <w:szCs w:val="24"/>
              </w:rPr>
              <w:t>A universal ECEC system has to be inclusive of all children</w:t>
            </w:r>
          </w:p>
        </w:tc>
      </w:tr>
      <w:tr w:rsidR="002307B4" w:rsidRPr="002B6546" w14:paraId="102E1F33" w14:textId="77777777" w:rsidTr="009D1545">
        <w:trPr>
          <w:trHeight w:val="1540"/>
        </w:trPr>
        <w:tc>
          <w:tcPr>
            <w:tcW w:w="8963" w:type="dxa"/>
            <w:shd w:val="clear" w:color="auto" w:fill="A9E6FF" w:themeFill="text2" w:themeFillTint="33"/>
          </w:tcPr>
          <w:p w14:paraId="07E10C91" w14:textId="77777777" w:rsidR="002307B4" w:rsidRPr="002C42F4" w:rsidRDefault="002307B4">
            <w:pPr>
              <w:rPr>
                <w:b/>
                <w:bCs/>
                <w:sz w:val="22"/>
                <w:szCs w:val="22"/>
              </w:rPr>
            </w:pPr>
            <w:r w:rsidRPr="002C42F4">
              <w:rPr>
                <w:b/>
                <w:bCs/>
                <w:sz w:val="22"/>
                <w:szCs w:val="22"/>
              </w:rPr>
              <w:t xml:space="preserve">Recommendations </w:t>
            </w:r>
          </w:p>
          <w:p w14:paraId="5FABC7AD" w14:textId="77777777" w:rsidR="002307B4" w:rsidRPr="008A11F6" w:rsidRDefault="002307B4">
            <w:pPr>
              <w:pStyle w:val="TableListBullet"/>
              <w:numPr>
                <w:ilvl w:val="0"/>
                <w:numId w:val="33"/>
              </w:numPr>
              <w:rPr>
                <w:rFonts w:ascii="Helvetica" w:eastAsia="Arial" w:hAnsi="Helvetica" w:cs="Calibri"/>
                <w:color w:val="000000" w:themeColor="text1"/>
                <w:sz w:val="21"/>
                <w:szCs w:val="21"/>
              </w:rPr>
            </w:pPr>
            <w:r w:rsidRPr="008A11F6">
              <w:rPr>
                <w:rFonts w:ascii="Helvetica" w:hAnsi="Helvetica" w:cs="Calibri"/>
                <w:color w:val="000000" w:themeColor="text1"/>
                <w:sz w:val="21"/>
                <w:szCs w:val="21"/>
              </w:rPr>
              <w:t>Amend the Disability Standards for Education (</w:t>
            </w:r>
            <w:r w:rsidRPr="008A11F6">
              <w:rPr>
                <w:rFonts w:ascii="Helvetica" w:eastAsia="Arial" w:hAnsi="Helvetica" w:cs="Calibri"/>
                <w:color w:val="000000" w:themeColor="text1"/>
                <w:sz w:val="21"/>
                <w:szCs w:val="21"/>
              </w:rPr>
              <w:t xml:space="preserve">DR </w:t>
            </w:r>
            <w:r w:rsidRPr="008A11F6">
              <w:rPr>
                <w:rFonts w:ascii="Helvetica" w:hAnsi="Helvetica" w:cs="Calibri"/>
                <w:color w:val="000000" w:themeColor="text1"/>
                <w:sz w:val="21"/>
                <w:szCs w:val="21"/>
              </w:rPr>
              <w:t>2.2)</w:t>
            </w:r>
          </w:p>
          <w:p w14:paraId="5C18301B" w14:textId="77777777" w:rsidR="002307B4" w:rsidRPr="008A11F6" w:rsidRDefault="002307B4">
            <w:pPr>
              <w:pStyle w:val="TableListBullet"/>
              <w:numPr>
                <w:ilvl w:val="0"/>
                <w:numId w:val="33"/>
              </w:numPr>
              <w:rPr>
                <w:rFonts w:ascii="Helvetica" w:eastAsia="Arial" w:hAnsi="Helvetica" w:cs="Calibri"/>
                <w:color w:val="000000" w:themeColor="text1"/>
                <w:sz w:val="21"/>
                <w:szCs w:val="21"/>
              </w:rPr>
            </w:pPr>
            <w:r w:rsidRPr="008A11F6">
              <w:rPr>
                <w:rFonts w:ascii="Helvetica" w:eastAsia="Arial" w:hAnsi="Helvetica" w:cs="Calibri"/>
                <w:color w:val="000000" w:themeColor="text1"/>
                <w:sz w:val="21"/>
                <w:szCs w:val="21"/>
              </w:rPr>
              <w:t>Amend eligibility requirements for inclusion funding (DR 2.3)</w:t>
            </w:r>
          </w:p>
          <w:p w14:paraId="26FA6A1B" w14:textId="77777777" w:rsidR="002307B4" w:rsidRPr="008A11F6" w:rsidRDefault="002307B4">
            <w:pPr>
              <w:pStyle w:val="TableListBullet"/>
              <w:numPr>
                <w:ilvl w:val="0"/>
                <w:numId w:val="33"/>
              </w:numPr>
              <w:rPr>
                <w:rFonts w:ascii="Helvetica" w:eastAsia="Arial" w:hAnsi="Helvetica" w:cs="Calibri"/>
                <w:color w:val="000000" w:themeColor="text1"/>
                <w:sz w:val="21"/>
                <w:szCs w:val="21"/>
              </w:rPr>
            </w:pPr>
            <w:r w:rsidRPr="008A11F6">
              <w:rPr>
                <w:rFonts w:ascii="Helvetica" w:eastAsia="Arial" w:hAnsi="Helvetica" w:cs="Calibri"/>
                <w:color w:val="000000" w:themeColor="text1"/>
                <w:sz w:val="21"/>
                <w:szCs w:val="21"/>
              </w:rPr>
              <w:t>Review and amend additional educator subsidies (DR 2.4)</w:t>
            </w:r>
          </w:p>
          <w:p w14:paraId="6FC54FAB" w14:textId="77777777" w:rsidR="002307B4" w:rsidRPr="008A11F6" w:rsidRDefault="002307B4">
            <w:pPr>
              <w:pStyle w:val="TableListBullet"/>
              <w:numPr>
                <w:ilvl w:val="0"/>
                <w:numId w:val="33"/>
              </w:numPr>
              <w:rPr>
                <w:rFonts w:ascii="Helvetica" w:eastAsia="Arial" w:hAnsi="Helvetica" w:cs="Calibri"/>
                <w:color w:val="000000" w:themeColor="text1"/>
                <w:sz w:val="21"/>
                <w:szCs w:val="21"/>
              </w:rPr>
            </w:pPr>
            <w:r w:rsidRPr="008A11F6">
              <w:rPr>
                <w:rFonts w:ascii="Helvetica" w:eastAsia="Arial" w:hAnsi="Helvetica" w:cs="Calibri"/>
                <w:color w:val="000000" w:themeColor="text1"/>
                <w:sz w:val="21"/>
                <w:szCs w:val="21"/>
              </w:rPr>
              <w:t>Reduce administrative burden of ISP applications (DR 2.5)</w:t>
            </w:r>
          </w:p>
          <w:p w14:paraId="7F8E465B" w14:textId="77777777" w:rsidR="002307B4" w:rsidRPr="008A11F6" w:rsidRDefault="002307B4">
            <w:pPr>
              <w:pStyle w:val="TableListBullet"/>
              <w:numPr>
                <w:ilvl w:val="0"/>
                <w:numId w:val="33"/>
              </w:numPr>
              <w:rPr>
                <w:rFonts w:ascii="Helvetica" w:eastAsia="Arial" w:hAnsi="Helvetica" w:cs="Calibri"/>
                <w:color w:val="000000" w:themeColor="text1"/>
                <w:sz w:val="22"/>
                <w:szCs w:val="22"/>
              </w:rPr>
            </w:pPr>
            <w:r w:rsidRPr="008A11F6">
              <w:rPr>
                <w:rFonts w:ascii="Helvetica" w:eastAsia="Arial" w:hAnsi="Helvetica" w:cs="Calibri"/>
                <w:color w:val="000000" w:themeColor="text1"/>
                <w:sz w:val="21"/>
                <w:szCs w:val="21"/>
              </w:rPr>
              <w:t>Improve coordination of inclusion funding (DR 2.6)</w:t>
            </w:r>
          </w:p>
        </w:tc>
      </w:tr>
      <w:tr w:rsidR="002307B4" w:rsidRPr="00380AC5" w14:paraId="56819983" w14:textId="77777777" w:rsidTr="009D1545">
        <w:tc>
          <w:tcPr>
            <w:tcW w:w="8963" w:type="dxa"/>
            <w:shd w:val="clear" w:color="auto" w:fill="BAEBFE" w:themeFill="accent1" w:themeFillTint="33"/>
          </w:tcPr>
          <w:p w14:paraId="546FB108" w14:textId="77777777" w:rsidR="002307B4" w:rsidRDefault="002307B4">
            <w:pPr>
              <w:rPr>
                <w:b/>
                <w:bCs/>
                <w:sz w:val="22"/>
                <w:szCs w:val="22"/>
              </w:rPr>
            </w:pPr>
            <w:r w:rsidRPr="00375904">
              <w:rPr>
                <w:b/>
                <w:bCs/>
                <w:sz w:val="22"/>
                <w:szCs w:val="22"/>
              </w:rPr>
              <w:t xml:space="preserve">Insights from the consultation </w:t>
            </w:r>
          </w:p>
          <w:p w14:paraId="5BE76103" w14:textId="77777777" w:rsidR="002307B4" w:rsidRPr="008A11F6" w:rsidRDefault="002307B4">
            <w:pPr>
              <w:pStyle w:val="TableListBullet"/>
              <w:ind w:left="0" w:firstLine="0"/>
              <w:rPr>
                <w:rFonts w:ascii="Helvetica" w:eastAsia="Arial" w:hAnsi="Helvetica" w:cs="Calibri"/>
                <w:color w:val="000000" w:themeColor="text1"/>
                <w:sz w:val="21"/>
                <w:szCs w:val="21"/>
              </w:rPr>
            </w:pPr>
            <w:r w:rsidRPr="008A11F6">
              <w:rPr>
                <w:rFonts w:ascii="Helvetica" w:eastAsia="Arial" w:hAnsi="Helvetica" w:cs="Calibri"/>
                <w:color w:val="000000" w:themeColor="text1"/>
                <w:sz w:val="21"/>
                <w:szCs w:val="21"/>
              </w:rPr>
              <w:t xml:space="preserve">Inclusive practices were observed to support children to participate in the consultation activities. Ensuring that structures are in place to support inclusive and quality practice, along with the removal of barriers, is an important element of designing a universal system. As previously noted, this consultation reached children attending ECEC and did not capture the experience of children outside of the ECEC system. </w:t>
            </w:r>
          </w:p>
        </w:tc>
      </w:tr>
    </w:tbl>
    <w:p w14:paraId="297F98CD" w14:textId="5C480782" w:rsidR="002307B4" w:rsidRDefault="00761427" w:rsidP="002836F3">
      <w:pPr>
        <w:keepNext/>
        <w:keepLines/>
        <w:spacing w:before="60" w:after="60"/>
        <w:ind w:right="108"/>
        <w:rPr>
          <w:rFonts w:ascii="Calibri" w:eastAsia="Arial" w:hAnsi="Calibri" w:cs="Calibri"/>
          <w:b/>
          <w:bCs/>
          <w:color w:val="000000" w:themeColor="text1"/>
          <w:sz w:val="22"/>
          <w:szCs w:val="22"/>
        </w:rPr>
      </w:pPr>
      <w:r>
        <w:rPr>
          <w:rFonts w:ascii="Calibri" w:eastAsia="Arial" w:hAnsi="Calibri" w:cs="Calibri"/>
          <w:b/>
          <w:bCs/>
          <w:color w:val="000000" w:themeColor="text1"/>
          <w:sz w:val="22"/>
          <w:szCs w:val="22"/>
        </w:rPr>
        <w:br w:type="page"/>
      </w:r>
    </w:p>
    <w:tbl>
      <w:tblPr>
        <w:tblStyle w:val="TableGrid"/>
        <w:tblW w:w="0" w:type="auto"/>
        <w:tblInd w:w="57" w:type="dxa"/>
        <w:tbl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2" w:space="0" w:color="FFFFFF" w:themeColor="background1"/>
          <w:insideV w:val="single" w:sz="2" w:space="0" w:color="FFFFFF" w:themeColor="background1"/>
        </w:tblBorders>
        <w:tblLook w:val="04A0" w:firstRow="1" w:lastRow="0" w:firstColumn="1" w:lastColumn="0" w:noHBand="0" w:noVBand="1"/>
      </w:tblPr>
      <w:tblGrid>
        <w:gridCol w:w="9009"/>
      </w:tblGrid>
      <w:tr w:rsidR="002307B4" w:rsidRPr="00A371DE" w14:paraId="3FA2076D" w14:textId="77777777">
        <w:tc>
          <w:tcPr>
            <w:tcW w:w="9911" w:type="dxa"/>
            <w:shd w:val="clear" w:color="auto" w:fill="A9E6FF" w:themeFill="text2" w:themeFillTint="33"/>
          </w:tcPr>
          <w:p w14:paraId="0C269801" w14:textId="77777777" w:rsidR="002307B4" w:rsidRPr="002836F3" w:rsidRDefault="002307B4">
            <w:pPr>
              <w:spacing w:before="60" w:after="60"/>
              <w:ind w:right="108"/>
              <w:rPr>
                <w:rFonts w:eastAsia="Arial" w:cs="Calibri"/>
                <w:b/>
                <w:color w:val="000000" w:themeColor="text1"/>
                <w:sz w:val="24"/>
                <w:szCs w:val="24"/>
              </w:rPr>
            </w:pPr>
            <w:r w:rsidRPr="002836F3">
              <w:rPr>
                <w:rFonts w:eastAsia="Arial" w:cs="Calibri"/>
                <w:b/>
                <w:color w:val="000000" w:themeColor="text1"/>
                <w:sz w:val="24"/>
                <w:szCs w:val="24"/>
              </w:rPr>
              <w:lastRenderedPageBreak/>
              <w:t>ECEC services do not consistently respond to family needs</w:t>
            </w:r>
          </w:p>
        </w:tc>
      </w:tr>
      <w:tr w:rsidR="002307B4" w:rsidRPr="002B6546" w14:paraId="0A49FCC8" w14:textId="77777777">
        <w:trPr>
          <w:trHeight w:val="2160"/>
        </w:trPr>
        <w:tc>
          <w:tcPr>
            <w:tcW w:w="9911" w:type="dxa"/>
            <w:shd w:val="clear" w:color="auto" w:fill="A9E6FF" w:themeFill="text2" w:themeFillTint="33"/>
          </w:tcPr>
          <w:p w14:paraId="4603A8C1" w14:textId="77777777" w:rsidR="002307B4" w:rsidRPr="002C42F4" w:rsidRDefault="002307B4">
            <w:pPr>
              <w:rPr>
                <w:b/>
                <w:bCs/>
                <w:sz w:val="22"/>
                <w:szCs w:val="22"/>
              </w:rPr>
            </w:pPr>
            <w:r w:rsidRPr="002C42F4">
              <w:rPr>
                <w:b/>
                <w:bCs/>
                <w:sz w:val="22"/>
                <w:szCs w:val="22"/>
              </w:rPr>
              <w:t xml:space="preserve">Recommendations </w:t>
            </w:r>
          </w:p>
          <w:p w14:paraId="156DCAE2" w14:textId="77777777" w:rsidR="002307B4" w:rsidRPr="008A11F6" w:rsidRDefault="002307B4">
            <w:pPr>
              <w:pStyle w:val="TableListBullet"/>
              <w:numPr>
                <w:ilvl w:val="0"/>
                <w:numId w:val="33"/>
              </w:numPr>
              <w:rPr>
                <w:rFonts w:ascii="Helvetica" w:hAnsi="Helvetica" w:cs="Calibri"/>
                <w:color w:val="000000" w:themeColor="text1"/>
                <w:sz w:val="21"/>
                <w:szCs w:val="21"/>
              </w:rPr>
            </w:pPr>
            <w:r w:rsidRPr="008A11F6">
              <w:rPr>
                <w:rFonts w:ascii="Helvetica" w:hAnsi="Helvetica" w:cs="Calibri"/>
                <w:color w:val="000000" w:themeColor="text1"/>
                <w:sz w:val="21"/>
                <w:szCs w:val="21"/>
              </w:rPr>
              <w:t>Ensure integrated services are available where needed (DR 7.1)</w:t>
            </w:r>
          </w:p>
          <w:p w14:paraId="300D009E" w14:textId="77777777" w:rsidR="002307B4" w:rsidRPr="008A11F6" w:rsidRDefault="002307B4">
            <w:pPr>
              <w:pStyle w:val="TableListBullet"/>
              <w:numPr>
                <w:ilvl w:val="0"/>
                <w:numId w:val="33"/>
              </w:numPr>
              <w:rPr>
                <w:rFonts w:ascii="Helvetica" w:hAnsi="Helvetica" w:cs="Calibri"/>
                <w:color w:val="000000" w:themeColor="text1"/>
                <w:sz w:val="21"/>
                <w:szCs w:val="21"/>
              </w:rPr>
            </w:pPr>
            <w:r w:rsidRPr="008A11F6">
              <w:rPr>
                <w:rFonts w:ascii="Helvetica" w:hAnsi="Helvetica" w:cs="Calibri"/>
                <w:color w:val="000000" w:themeColor="text1"/>
                <w:sz w:val="21"/>
                <w:szCs w:val="21"/>
              </w:rPr>
              <w:t>Support connections between ECEC and child and family services (DR 7.2)</w:t>
            </w:r>
          </w:p>
          <w:p w14:paraId="7DDD6FEE" w14:textId="77777777" w:rsidR="002307B4" w:rsidRPr="008A11F6" w:rsidRDefault="002307B4">
            <w:pPr>
              <w:pStyle w:val="TableListBullet"/>
              <w:numPr>
                <w:ilvl w:val="0"/>
                <w:numId w:val="33"/>
              </w:numPr>
              <w:rPr>
                <w:rFonts w:ascii="Helvetica" w:hAnsi="Helvetica" w:cs="Calibri"/>
                <w:color w:val="000000" w:themeColor="text1"/>
                <w:sz w:val="21"/>
                <w:szCs w:val="21"/>
              </w:rPr>
            </w:pPr>
            <w:r w:rsidRPr="008A11F6">
              <w:rPr>
                <w:rFonts w:ascii="Helvetica" w:hAnsi="Helvetica" w:cs="Calibri"/>
                <w:color w:val="000000" w:themeColor="text1"/>
                <w:sz w:val="21"/>
                <w:szCs w:val="21"/>
              </w:rPr>
              <w:t>Introduce a higher hourly rate cap for non-standard hours (DR 7.3)</w:t>
            </w:r>
          </w:p>
          <w:p w14:paraId="331C090E" w14:textId="77777777" w:rsidR="002307B4" w:rsidRPr="008A11F6" w:rsidRDefault="002307B4">
            <w:pPr>
              <w:pStyle w:val="TableListBullet"/>
              <w:numPr>
                <w:ilvl w:val="0"/>
                <w:numId w:val="33"/>
              </w:numPr>
              <w:rPr>
                <w:rFonts w:ascii="Helvetica" w:hAnsi="Helvetica" w:cs="Calibri"/>
                <w:color w:val="000000" w:themeColor="text1"/>
                <w:sz w:val="21"/>
                <w:szCs w:val="21"/>
              </w:rPr>
            </w:pPr>
            <w:r w:rsidRPr="008A11F6">
              <w:rPr>
                <w:rFonts w:ascii="Helvetica" w:hAnsi="Helvetica" w:cs="Calibri"/>
                <w:color w:val="000000" w:themeColor="text1"/>
                <w:sz w:val="21"/>
                <w:szCs w:val="21"/>
              </w:rPr>
              <w:t>Examine planning restrictions related to operating hours (DR 7.4)</w:t>
            </w:r>
          </w:p>
          <w:p w14:paraId="559420D9" w14:textId="77777777" w:rsidR="002307B4" w:rsidRPr="008A11F6" w:rsidRDefault="002307B4">
            <w:pPr>
              <w:pStyle w:val="TableListBullet"/>
              <w:numPr>
                <w:ilvl w:val="0"/>
                <w:numId w:val="33"/>
              </w:numPr>
              <w:rPr>
                <w:rFonts w:ascii="Helvetica" w:hAnsi="Helvetica" w:cs="Calibri"/>
                <w:color w:val="000000" w:themeColor="text1"/>
                <w:sz w:val="21"/>
                <w:szCs w:val="21"/>
              </w:rPr>
            </w:pPr>
            <w:r w:rsidRPr="008A11F6">
              <w:rPr>
                <w:rFonts w:ascii="Helvetica" w:hAnsi="Helvetica" w:cs="Calibri"/>
                <w:color w:val="000000" w:themeColor="text1"/>
                <w:sz w:val="21"/>
                <w:szCs w:val="21"/>
              </w:rPr>
              <w:t>Ensure occasional care is available where needed (DR 7.5)</w:t>
            </w:r>
          </w:p>
          <w:p w14:paraId="2EBCF89A" w14:textId="77777777" w:rsidR="002307B4" w:rsidRPr="008A11F6" w:rsidRDefault="002307B4">
            <w:pPr>
              <w:pStyle w:val="TableListBullet"/>
              <w:numPr>
                <w:ilvl w:val="0"/>
                <w:numId w:val="33"/>
              </w:numPr>
              <w:rPr>
                <w:rFonts w:ascii="Helvetica" w:eastAsia="Arial" w:hAnsi="Helvetica" w:cs="Calibri"/>
                <w:color w:val="000000" w:themeColor="text1"/>
                <w:sz w:val="21"/>
                <w:szCs w:val="21"/>
              </w:rPr>
            </w:pPr>
            <w:r w:rsidRPr="008A11F6">
              <w:rPr>
                <w:rFonts w:ascii="Helvetica" w:eastAsia="Arial" w:hAnsi="Helvetica" w:cs="Calibri"/>
                <w:color w:val="000000" w:themeColor="text1"/>
                <w:sz w:val="21"/>
                <w:szCs w:val="21"/>
              </w:rPr>
              <w:t>Ensure OSHC is available where required (DR 9.1)</w:t>
            </w:r>
          </w:p>
          <w:p w14:paraId="229A08A2" w14:textId="77777777" w:rsidR="002307B4" w:rsidRPr="008A11F6" w:rsidRDefault="002307B4">
            <w:pPr>
              <w:pStyle w:val="TableListBullet"/>
              <w:numPr>
                <w:ilvl w:val="0"/>
                <w:numId w:val="33"/>
              </w:numPr>
              <w:rPr>
                <w:rFonts w:ascii="Helvetica" w:eastAsia="Arial" w:hAnsi="Helvetica" w:cs="Calibri"/>
                <w:color w:val="000000" w:themeColor="text1"/>
                <w:sz w:val="22"/>
                <w:szCs w:val="22"/>
              </w:rPr>
            </w:pPr>
            <w:r w:rsidRPr="008A11F6">
              <w:rPr>
                <w:rFonts w:ascii="Helvetica" w:eastAsia="Arial" w:hAnsi="Helvetica" w:cs="Calibri"/>
                <w:color w:val="000000" w:themeColor="text1"/>
                <w:sz w:val="21"/>
                <w:szCs w:val="21"/>
              </w:rPr>
              <w:t>Support out of preschool hours ECEC</w:t>
            </w:r>
            <w:r w:rsidRPr="008A11F6" w:rsidDel="00513A12">
              <w:rPr>
                <w:rFonts w:ascii="Helvetica" w:eastAsia="Arial" w:hAnsi="Helvetica" w:cs="Calibri"/>
                <w:color w:val="000000" w:themeColor="text1"/>
                <w:sz w:val="21"/>
                <w:szCs w:val="21"/>
              </w:rPr>
              <w:t xml:space="preserve"> </w:t>
            </w:r>
            <w:r w:rsidRPr="008A11F6">
              <w:rPr>
                <w:rFonts w:ascii="Helvetica" w:eastAsia="Arial" w:hAnsi="Helvetica" w:cs="Calibri"/>
                <w:color w:val="000000" w:themeColor="text1"/>
                <w:sz w:val="21"/>
                <w:szCs w:val="21"/>
              </w:rPr>
              <w:t>(DR 7.6)</w:t>
            </w:r>
          </w:p>
        </w:tc>
      </w:tr>
      <w:tr w:rsidR="002307B4" w:rsidRPr="002B6546" w14:paraId="38FEDA88" w14:textId="77777777">
        <w:tc>
          <w:tcPr>
            <w:tcW w:w="9911" w:type="dxa"/>
            <w:shd w:val="clear" w:color="auto" w:fill="BAEBFE" w:themeFill="accent1" w:themeFillTint="33"/>
          </w:tcPr>
          <w:p w14:paraId="53733489" w14:textId="77777777" w:rsidR="002307B4" w:rsidRDefault="002307B4">
            <w:pPr>
              <w:rPr>
                <w:b/>
                <w:bCs/>
                <w:sz w:val="22"/>
                <w:szCs w:val="22"/>
              </w:rPr>
            </w:pPr>
            <w:r w:rsidRPr="00375904">
              <w:rPr>
                <w:b/>
                <w:bCs/>
                <w:sz w:val="22"/>
                <w:szCs w:val="22"/>
              </w:rPr>
              <w:t xml:space="preserve">Insights from the consultation </w:t>
            </w:r>
          </w:p>
          <w:p w14:paraId="05B3483C" w14:textId="77777777" w:rsidR="002307B4" w:rsidRPr="008A11F6" w:rsidRDefault="002307B4">
            <w:pPr>
              <w:pStyle w:val="TableListBullet"/>
              <w:ind w:left="0" w:firstLine="0"/>
              <w:rPr>
                <w:rFonts w:ascii="Helvetica" w:eastAsia="Arial" w:hAnsi="Helvetica" w:cs="Calibri"/>
                <w:color w:val="000000" w:themeColor="text1"/>
                <w:sz w:val="21"/>
                <w:szCs w:val="21"/>
              </w:rPr>
            </w:pPr>
            <w:r w:rsidRPr="008A11F6">
              <w:rPr>
                <w:rFonts w:ascii="Helvetica" w:eastAsia="Arial" w:hAnsi="Helvetica" w:cs="Calibri"/>
                <w:color w:val="000000" w:themeColor="text1"/>
                <w:sz w:val="21"/>
                <w:szCs w:val="21"/>
              </w:rPr>
              <w:t xml:space="preserve">This insight is important when considering findings and recommendations about ECEC being flexible and responsive to the needs of families. Children’s relationships with their families were significant to children – their interest in flexibility may relate more to the ways in which their family members can share in their ECEC settings and experiences. </w:t>
            </w:r>
          </w:p>
          <w:p w14:paraId="49E6DED1" w14:textId="640ACAED" w:rsidR="002307B4" w:rsidRPr="008A11F6" w:rsidRDefault="002307B4">
            <w:pPr>
              <w:pStyle w:val="TableListBullet"/>
              <w:ind w:left="0" w:firstLine="0"/>
              <w:rPr>
                <w:rFonts w:ascii="Helvetica" w:eastAsia="Arial" w:hAnsi="Helvetica" w:cs="Calibri"/>
                <w:color w:val="000000" w:themeColor="text1"/>
                <w:sz w:val="22"/>
                <w:szCs w:val="22"/>
              </w:rPr>
            </w:pPr>
            <w:r w:rsidRPr="008A11F6">
              <w:rPr>
                <w:rFonts w:ascii="Helvetica" w:eastAsia="Arial" w:hAnsi="Helvetica" w:cs="Calibri"/>
                <w:color w:val="000000" w:themeColor="text1"/>
                <w:sz w:val="21"/>
                <w:szCs w:val="21"/>
              </w:rPr>
              <w:t xml:space="preserve">Similarly, children’s experiences of ECEC as sites of relationships and connections gives weight to recommendations that relate to integrated ECEC settings and their value for families – integrated service delivery that attends to and extends children’s relationships and connections, including those that provide support children’s learning, development and wellbeing </w:t>
            </w:r>
            <w:r w:rsidR="00B35305">
              <w:rPr>
                <w:rFonts w:ascii="Helvetica" w:eastAsia="Arial" w:hAnsi="Helvetica" w:cs="Calibri"/>
                <w:color w:val="000000" w:themeColor="text1"/>
                <w:sz w:val="21"/>
                <w:szCs w:val="21"/>
              </w:rPr>
              <w:t>–</w:t>
            </w:r>
            <w:r w:rsidRPr="008A11F6">
              <w:rPr>
                <w:rFonts w:ascii="Helvetica" w:eastAsia="Arial" w:hAnsi="Helvetica" w:cs="Calibri"/>
                <w:color w:val="000000" w:themeColor="text1"/>
                <w:sz w:val="21"/>
                <w:szCs w:val="21"/>
              </w:rPr>
              <w:t xml:space="preserve"> while mirroring this for families has potential to act as a multiplier for developing supportive community connections that redress conditions of disadvantage.</w:t>
            </w:r>
          </w:p>
        </w:tc>
      </w:tr>
    </w:tbl>
    <w:p w14:paraId="24126EBF" w14:textId="77777777" w:rsidR="002307B4" w:rsidRPr="00341E39" w:rsidRDefault="002307B4" w:rsidP="002307B4">
      <w:pPr>
        <w:pStyle w:val="TableListBullet"/>
        <w:ind w:left="170" w:hanging="113"/>
        <w:rPr>
          <w:rFonts w:ascii="Calibri" w:eastAsia="Arial" w:hAnsi="Calibri" w:cs="Calibri"/>
          <w:color w:val="000000" w:themeColor="text1"/>
          <w:sz w:val="22"/>
          <w:szCs w:val="22"/>
        </w:rPr>
      </w:pPr>
    </w:p>
    <w:tbl>
      <w:tblPr>
        <w:tblStyle w:val="TableGrid"/>
        <w:tblW w:w="0" w:type="auto"/>
        <w:tblInd w:w="57" w:type="dxa"/>
        <w:tbl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2" w:space="0" w:color="FFFFFF" w:themeColor="background1"/>
          <w:insideV w:val="single" w:sz="2" w:space="0" w:color="FFFFFF" w:themeColor="background1"/>
        </w:tblBorders>
        <w:shd w:val="clear" w:color="auto" w:fill="BAEBFE" w:themeFill="accent1" w:themeFillTint="33"/>
        <w:tblLook w:val="04A0" w:firstRow="1" w:lastRow="0" w:firstColumn="1" w:lastColumn="0" w:noHBand="0" w:noVBand="1"/>
      </w:tblPr>
      <w:tblGrid>
        <w:gridCol w:w="9009"/>
      </w:tblGrid>
      <w:tr w:rsidR="002307B4" w:rsidRPr="00A371DE" w14:paraId="1D751C28" w14:textId="77777777">
        <w:tc>
          <w:tcPr>
            <w:tcW w:w="9915" w:type="dxa"/>
            <w:shd w:val="clear" w:color="auto" w:fill="A9E6FF" w:themeFill="text2" w:themeFillTint="33"/>
          </w:tcPr>
          <w:p w14:paraId="722F58F8" w14:textId="77777777" w:rsidR="002307B4" w:rsidRPr="002836F3" w:rsidRDefault="002307B4">
            <w:pPr>
              <w:spacing w:before="60" w:after="60"/>
              <w:ind w:right="108"/>
              <w:rPr>
                <w:rFonts w:eastAsia="Arial" w:cs="Calibri"/>
                <w:b/>
                <w:color w:val="000000" w:themeColor="text1"/>
                <w:sz w:val="24"/>
                <w:szCs w:val="24"/>
              </w:rPr>
            </w:pPr>
            <w:r w:rsidRPr="002836F3">
              <w:rPr>
                <w:rFonts w:eastAsia="Arial" w:cs="Calibri"/>
                <w:b/>
                <w:color w:val="000000" w:themeColor="text1"/>
                <w:sz w:val="24"/>
                <w:szCs w:val="24"/>
              </w:rPr>
              <w:t>Quality is paramount to achieving the benefits of ECEC</w:t>
            </w:r>
          </w:p>
        </w:tc>
      </w:tr>
      <w:tr w:rsidR="002307B4" w:rsidRPr="002B6546" w14:paraId="755DD7E8" w14:textId="77777777">
        <w:trPr>
          <w:trHeight w:val="1215"/>
        </w:trPr>
        <w:tc>
          <w:tcPr>
            <w:tcW w:w="9915" w:type="dxa"/>
            <w:shd w:val="clear" w:color="auto" w:fill="A9E6FF" w:themeFill="text2" w:themeFillTint="33"/>
          </w:tcPr>
          <w:p w14:paraId="30C5D9F6" w14:textId="77777777" w:rsidR="002307B4" w:rsidRPr="002C42F4" w:rsidRDefault="002307B4">
            <w:pPr>
              <w:rPr>
                <w:b/>
                <w:bCs/>
                <w:sz w:val="22"/>
                <w:szCs w:val="22"/>
              </w:rPr>
            </w:pPr>
            <w:r w:rsidRPr="002C42F4">
              <w:rPr>
                <w:b/>
                <w:bCs/>
                <w:sz w:val="22"/>
                <w:szCs w:val="22"/>
              </w:rPr>
              <w:t xml:space="preserve">Recommendations </w:t>
            </w:r>
          </w:p>
          <w:p w14:paraId="31478B62" w14:textId="77777777" w:rsidR="002307B4" w:rsidRPr="008A11F6" w:rsidRDefault="002307B4">
            <w:pPr>
              <w:pStyle w:val="TableListBullet"/>
              <w:numPr>
                <w:ilvl w:val="0"/>
                <w:numId w:val="33"/>
              </w:numPr>
              <w:rPr>
                <w:rFonts w:ascii="Helvetica" w:hAnsi="Helvetica" w:cs="Calibri"/>
                <w:color w:val="000000" w:themeColor="text1"/>
                <w:sz w:val="21"/>
                <w:szCs w:val="21"/>
              </w:rPr>
            </w:pPr>
            <w:r w:rsidRPr="008A11F6">
              <w:rPr>
                <w:rFonts w:ascii="Helvetica" w:hAnsi="Helvetica" w:cs="Calibri"/>
                <w:color w:val="000000" w:themeColor="text1"/>
                <w:sz w:val="21"/>
                <w:szCs w:val="21"/>
              </w:rPr>
              <w:t>Improve regulatory authorities’ performance reporting (DR 8.1)</w:t>
            </w:r>
          </w:p>
          <w:p w14:paraId="20BB005A" w14:textId="77777777" w:rsidR="002307B4" w:rsidRPr="008A11F6" w:rsidRDefault="002307B4">
            <w:pPr>
              <w:pStyle w:val="TableListBullet"/>
              <w:numPr>
                <w:ilvl w:val="0"/>
                <w:numId w:val="33"/>
              </w:numPr>
              <w:rPr>
                <w:rFonts w:ascii="Helvetica" w:hAnsi="Helvetica" w:cs="Calibri"/>
                <w:color w:val="000000" w:themeColor="text1"/>
                <w:sz w:val="21"/>
                <w:szCs w:val="21"/>
              </w:rPr>
            </w:pPr>
            <w:r w:rsidRPr="008A11F6">
              <w:rPr>
                <w:rFonts w:ascii="Helvetica" w:hAnsi="Helvetica" w:cs="Calibri"/>
                <w:color w:val="000000" w:themeColor="text1"/>
                <w:sz w:val="21"/>
                <w:szCs w:val="21"/>
              </w:rPr>
              <w:t>Review how services are assessed against NQF (DR 8.2)</w:t>
            </w:r>
          </w:p>
          <w:p w14:paraId="410936B1" w14:textId="77777777" w:rsidR="002307B4" w:rsidRPr="008A11F6" w:rsidRDefault="002307B4">
            <w:pPr>
              <w:pStyle w:val="TableListBullet"/>
              <w:numPr>
                <w:ilvl w:val="0"/>
                <w:numId w:val="33"/>
              </w:numPr>
              <w:rPr>
                <w:rFonts w:ascii="Helvetica" w:hAnsi="Helvetica" w:cs="Calibri"/>
                <w:color w:val="000000" w:themeColor="text1"/>
                <w:sz w:val="21"/>
                <w:szCs w:val="21"/>
              </w:rPr>
            </w:pPr>
            <w:r w:rsidRPr="008A11F6">
              <w:rPr>
                <w:rFonts w:ascii="Helvetica" w:hAnsi="Helvetica" w:cs="Calibri"/>
                <w:color w:val="000000" w:themeColor="text1"/>
                <w:sz w:val="21"/>
                <w:szCs w:val="21"/>
              </w:rPr>
              <w:t>Ensure regulatory authorities are adequately resourced (DR 8.3)</w:t>
            </w:r>
          </w:p>
          <w:p w14:paraId="1983EE68" w14:textId="77777777" w:rsidR="002307B4" w:rsidRPr="008A11F6" w:rsidRDefault="002307B4" w:rsidP="008A11F6">
            <w:pPr>
              <w:pStyle w:val="TableListBullet"/>
              <w:numPr>
                <w:ilvl w:val="0"/>
                <w:numId w:val="33"/>
              </w:numPr>
              <w:rPr>
                <w:rFonts w:ascii="Helvetica" w:hAnsi="Helvetica" w:cs="Calibri"/>
                <w:color w:val="000000" w:themeColor="text1"/>
                <w:sz w:val="22"/>
                <w:szCs w:val="22"/>
              </w:rPr>
            </w:pPr>
            <w:r w:rsidRPr="008A11F6">
              <w:rPr>
                <w:rFonts w:ascii="Helvetica" w:hAnsi="Helvetica" w:cs="Calibri"/>
                <w:color w:val="000000" w:themeColor="text1"/>
                <w:sz w:val="21"/>
                <w:szCs w:val="21"/>
              </w:rPr>
              <w:t>Incentivise quality provision in new ECEC services (DR 8.4)</w:t>
            </w:r>
          </w:p>
        </w:tc>
      </w:tr>
      <w:tr w:rsidR="002307B4" w:rsidRPr="002B6546" w14:paraId="56E97A78" w14:textId="77777777">
        <w:tc>
          <w:tcPr>
            <w:tcW w:w="9915" w:type="dxa"/>
            <w:shd w:val="clear" w:color="auto" w:fill="BAEBFE" w:themeFill="accent1" w:themeFillTint="33"/>
          </w:tcPr>
          <w:p w14:paraId="2C30CE1A" w14:textId="77777777" w:rsidR="002307B4" w:rsidRDefault="002307B4">
            <w:pPr>
              <w:rPr>
                <w:b/>
                <w:bCs/>
                <w:sz w:val="22"/>
                <w:szCs w:val="22"/>
              </w:rPr>
            </w:pPr>
            <w:r w:rsidRPr="00375904">
              <w:rPr>
                <w:b/>
                <w:bCs/>
                <w:sz w:val="22"/>
                <w:szCs w:val="22"/>
              </w:rPr>
              <w:t xml:space="preserve">Insights from the consultation </w:t>
            </w:r>
          </w:p>
          <w:p w14:paraId="675F87CC" w14:textId="77777777" w:rsidR="002307B4" w:rsidRPr="008A11F6" w:rsidRDefault="002307B4">
            <w:pPr>
              <w:pStyle w:val="TableListBullet"/>
              <w:ind w:left="0" w:firstLine="0"/>
              <w:rPr>
                <w:rFonts w:ascii="Helvetica" w:hAnsi="Helvetica"/>
                <w:sz w:val="21"/>
                <w:szCs w:val="21"/>
              </w:rPr>
            </w:pPr>
            <w:r w:rsidRPr="008A11F6">
              <w:rPr>
                <w:rFonts w:ascii="Helvetica" w:eastAsia="Arial" w:hAnsi="Helvetica" w:cs="Calibri"/>
                <w:color w:val="000000" w:themeColor="text1"/>
                <w:sz w:val="21"/>
                <w:szCs w:val="21"/>
              </w:rPr>
              <w:t>As previously noted, there is strong alignment between the elements of the ECEC program that children value and descriptions of quality, though described in different ways. Children demonstrated their understanding and experience of quality programs ranging from how services worked to keep them safe through to how their interactions and experiences supported their learning, development, and wellbeing. Relationships and connections were a central component of this for children.</w:t>
            </w:r>
            <w:r w:rsidRPr="008A11F6">
              <w:rPr>
                <w:rFonts w:ascii="Helvetica" w:hAnsi="Helvetica"/>
                <w:sz w:val="21"/>
                <w:szCs w:val="21"/>
              </w:rPr>
              <w:t xml:space="preserve"> </w:t>
            </w:r>
          </w:p>
        </w:tc>
      </w:tr>
    </w:tbl>
    <w:p w14:paraId="560C33DF" w14:textId="77777777" w:rsidR="002307B4" w:rsidRDefault="002307B4" w:rsidP="002307B4">
      <w:pPr>
        <w:pStyle w:val="TableListBullet"/>
        <w:ind w:left="170" w:hanging="113"/>
        <w:rPr>
          <w:rFonts w:ascii="Calibri" w:hAnsi="Calibri" w:cs="Calibri"/>
          <w:color w:val="000000" w:themeColor="text1"/>
          <w:sz w:val="22"/>
          <w:szCs w:val="22"/>
        </w:rPr>
      </w:pPr>
    </w:p>
    <w:p w14:paraId="21D8B251" w14:textId="288002C8" w:rsidR="00114584" w:rsidRDefault="00114584">
      <w:pPr>
        <w:spacing w:before="0" w:after="0" w:line="240" w:lineRule="auto"/>
        <w:rPr>
          <w:rFonts w:ascii="Calibri" w:hAnsi="Calibri" w:cs="Calibri"/>
          <w:color w:val="000000" w:themeColor="text1"/>
          <w:sz w:val="22"/>
          <w:szCs w:val="22"/>
        </w:rPr>
      </w:pPr>
      <w:r>
        <w:rPr>
          <w:rFonts w:ascii="Calibri" w:hAnsi="Calibri" w:cs="Calibri"/>
          <w:color w:val="000000" w:themeColor="text1"/>
          <w:sz w:val="22"/>
          <w:szCs w:val="22"/>
        </w:rPr>
        <w:br w:type="page"/>
      </w:r>
    </w:p>
    <w:tbl>
      <w:tblPr>
        <w:tblStyle w:val="TableGrid"/>
        <w:tblW w:w="0" w:type="auto"/>
        <w:tblInd w:w="57" w:type="dxa"/>
        <w:tbl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2" w:space="0" w:color="FFFFFF" w:themeColor="background1"/>
          <w:insideV w:val="single" w:sz="2" w:space="0" w:color="FFFFFF" w:themeColor="background1"/>
        </w:tblBorders>
        <w:tblLook w:val="04A0" w:firstRow="1" w:lastRow="0" w:firstColumn="1" w:lastColumn="0" w:noHBand="0" w:noVBand="1"/>
      </w:tblPr>
      <w:tblGrid>
        <w:gridCol w:w="8963"/>
      </w:tblGrid>
      <w:tr w:rsidR="002307B4" w:rsidRPr="00A371DE" w14:paraId="76F61FE0" w14:textId="77777777" w:rsidTr="00114584">
        <w:tc>
          <w:tcPr>
            <w:tcW w:w="8963" w:type="dxa"/>
            <w:shd w:val="clear" w:color="auto" w:fill="A9E6FF" w:themeFill="text2" w:themeFillTint="33"/>
          </w:tcPr>
          <w:p w14:paraId="2D2EC988" w14:textId="77777777" w:rsidR="002307B4" w:rsidRPr="002836F3" w:rsidRDefault="002307B4">
            <w:pPr>
              <w:spacing w:before="60" w:after="60"/>
              <w:ind w:right="108"/>
              <w:rPr>
                <w:rFonts w:eastAsia="Arial" w:cs="Calibri"/>
                <w:b/>
                <w:color w:val="000000" w:themeColor="text1"/>
                <w:sz w:val="24"/>
                <w:szCs w:val="24"/>
              </w:rPr>
            </w:pPr>
            <w:r w:rsidRPr="002836F3">
              <w:rPr>
                <w:rFonts w:eastAsia="Arial" w:cs="Calibri"/>
                <w:b/>
                <w:color w:val="000000" w:themeColor="text1"/>
                <w:sz w:val="24"/>
                <w:szCs w:val="24"/>
              </w:rPr>
              <w:lastRenderedPageBreak/>
              <w:t>New coordination mechanisms will support universal access</w:t>
            </w:r>
          </w:p>
        </w:tc>
      </w:tr>
      <w:tr w:rsidR="002307B4" w:rsidRPr="00A371DE" w14:paraId="332CABBA" w14:textId="77777777" w:rsidTr="00114584">
        <w:trPr>
          <w:trHeight w:val="331"/>
        </w:trPr>
        <w:tc>
          <w:tcPr>
            <w:tcW w:w="8963" w:type="dxa"/>
            <w:shd w:val="clear" w:color="auto" w:fill="A9E6FF" w:themeFill="text2" w:themeFillTint="33"/>
          </w:tcPr>
          <w:p w14:paraId="5B31BA6D" w14:textId="77777777" w:rsidR="002307B4" w:rsidRPr="002C42F4" w:rsidRDefault="002307B4">
            <w:pPr>
              <w:rPr>
                <w:b/>
                <w:bCs/>
                <w:sz w:val="22"/>
                <w:szCs w:val="22"/>
              </w:rPr>
            </w:pPr>
            <w:r w:rsidRPr="002C42F4">
              <w:rPr>
                <w:b/>
                <w:bCs/>
                <w:sz w:val="22"/>
                <w:szCs w:val="22"/>
              </w:rPr>
              <w:t xml:space="preserve">Recommendations </w:t>
            </w:r>
          </w:p>
          <w:p w14:paraId="1DC9D093" w14:textId="77777777" w:rsidR="002307B4" w:rsidRPr="008A11F6" w:rsidRDefault="002307B4">
            <w:pPr>
              <w:pStyle w:val="TableListBullet"/>
              <w:numPr>
                <w:ilvl w:val="0"/>
                <w:numId w:val="33"/>
              </w:numPr>
              <w:rPr>
                <w:rFonts w:ascii="Helvetica" w:eastAsia="Arial" w:hAnsi="Helvetica" w:cs="Calibri"/>
                <w:color w:val="000000" w:themeColor="text1"/>
                <w:sz w:val="21"/>
                <w:szCs w:val="21"/>
              </w:rPr>
            </w:pPr>
            <w:r w:rsidRPr="008A11F6">
              <w:rPr>
                <w:rFonts w:ascii="Helvetica" w:eastAsia="Arial" w:hAnsi="Helvetica" w:cs="Calibri"/>
                <w:color w:val="000000" w:themeColor="text1"/>
                <w:sz w:val="21"/>
                <w:szCs w:val="21"/>
              </w:rPr>
              <w:t>Form a National Partnership Agreement for ECEC (DR 9.1)</w:t>
            </w:r>
          </w:p>
          <w:p w14:paraId="62535D3C" w14:textId="77777777" w:rsidR="002307B4" w:rsidRPr="008A11F6" w:rsidRDefault="002307B4">
            <w:pPr>
              <w:pStyle w:val="TableListBullet"/>
              <w:numPr>
                <w:ilvl w:val="0"/>
                <w:numId w:val="33"/>
              </w:numPr>
              <w:rPr>
                <w:rFonts w:ascii="Helvetica" w:eastAsia="Arial" w:hAnsi="Helvetica" w:cs="Calibri"/>
                <w:color w:val="000000" w:themeColor="text1"/>
                <w:sz w:val="22"/>
                <w:szCs w:val="22"/>
              </w:rPr>
            </w:pPr>
            <w:r w:rsidRPr="008A11F6">
              <w:rPr>
                <w:rFonts w:ascii="Helvetica" w:eastAsia="Arial" w:hAnsi="Helvetica" w:cs="Calibri"/>
                <w:color w:val="000000" w:themeColor="text1"/>
                <w:sz w:val="21"/>
                <w:szCs w:val="21"/>
              </w:rPr>
              <w:t>Establish an independent ECEC Commission (DR 9.2)</w:t>
            </w:r>
          </w:p>
        </w:tc>
      </w:tr>
      <w:tr w:rsidR="002307B4" w:rsidRPr="00A371DE" w14:paraId="260314CC" w14:textId="77777777" w:rsidTr="00114584">
        <w:tc>
          <w:tcPr>
            <w:tcW w:w="8963" w:type="dxa"/>
            <w:shd w:val="clear" w:color="auto" w:fill="BAEBFE" w:themeFill="accent1" w:themeFillTint="33"/>
          </w:tcPr>
          <w:p w14:paraId="53C4CBBF" w14:textId="77777777" w:rsidR="002307B4" w:rsidRDefault="002307B4">
            <w:pPr>
              <w:rPr>
                <w:b/>
                <w:bCs/>
                <w:sz w:val="22"/>
                <w:szCs w:val="22"/>
              </w:rPr>
            </w:pPr>
            <w:r w:rsidRPr="00375904">
              <w:rPr>
                <w:b/>
                <w:bCs/>
                <w:sz w:val="22"/>
                <w:szCs w:val="22"/>
              </w:rPr>
              <w:t xml:space="preserve">Insights from the consultation </w:t>
            </w:r>
          </w:p>
          <w:p w14:paraId="3FC93BAC" w14:textId="77777777" w:rsidR="002307B4" w:rsidRPr="008A11F6" w:rsidRDefault="002307B4">
            <w:pPr>
              <w:pStyle w:val="TableListBullet"/>
              <w:ind w:left="0" w:firstLine="0"/>
              <w:rPr>
                <w:rFonts w:ascii="Helvetica" w:eastAsia="Arial" w:hAnsi="Helvetica" w:cs="Calibri"/>
                <w:color w:val="000000" w:themeColor="text1"/>
                <w:sz w:val="21"/>
                <w:szCs w:val="21"/>
              </w:rPr>
            </w:pPr>
            <w:r w:rsidRPr="008A11F6">
              <w:rPr>
                <w:rFonts w:ascii="Helvetica" w:eastAsia="Arial" w:hAnsi="Helvetica" w:cs="Calibri"/>
                <w:color w:val="000000" w:themeColor="text1"/>
                <w:sz w:val="21"/>
                <w:szCs w:val="21"/>
              </w:rPr>
              <w:t>Children provided rich insights into all aspects of the ECEC programs. There is an opportune moment for centring children’s voices and perspectives in the establishment and ongoing operation of National Partnership Agreements and an independent ECEC Commission.</w:t>
            </w:r>
          </w:p>
        </w:tc>
      </w:tr>
    </w:tbl>
    <w:p w14:paraId="76263EF4" w14:textId="77777777" w:rsidR="003B1A1E" w:rsidRDefault="003B1A1E" w:rsidP="003B1A1E"/>
    <w:p w14:paraId="74B77967" w14:textId="4F727CB0" w:rsidR="00416542" w:rsidRPr="00FF4EA7" w:rsidRDefault="00CA2C2D" w:rsidP="00CA2C2D">
      <w:pPr>
        <w:pStyle w:val="Heading1"/>
      </w:pPr>
      <w:bookmarkStart w:id="73" w:name="_Toc177136003"/>
      <w:r w:rsidRPr="00FF4EA7">
        <w:t>Conclusion</w:t>
      </w:r>
      <w:bookmarkEnd w:id="73"/>
    </w:p>
    <w:p w14:paraId="3BF29B21" w14:textId="77777777" w:rsidR="00CA2C2D" w:rsidRPr="00FF4EA7" w:rsidRDefault="00CA2C2D" w:rsidP="00CA2C2D">
      <w:r w:rsidRPr="00FF4EA7">
        <w:t xml:space="preserve">The Productivity Commission’s invitation of children’s perspectives into the Early Childhood Education and Care Inquiry, through this work, is a significant signal of intention to seriously consider what children value and prioritise in their ECEC settings. This report presents findings drawn from this research, which has been designed to honour this intention of including children’s insights in ethical and respectful ways. </w:t>
      </w:r>
    </w:p>
    <w:p w14:paraId="65360D90" w14:textId="052FC432" w:rsidR="00CA2C2D" w:rsidRPr="00FF4EA7" w:rsidRDefault="00CA2C2D" w:rsidP="00CA2C2D">
      <w:r w:rsidRPr="00FF4EA7">
        <w:t>The research questions, which were</w:t>
      </w:r>
      <w:r w:rsidRPr="00FF4EA7" w:rsidDel="0029537E">
        <w:t xml:space="preserve"> </w:t>
      </w:r>
      <w:r w:rsidR="0029537E">
        <w:t>woven</w:t>
      </w:r>
      <w:r w:rsidR="0029537E" w:rsidRPr="00FF4EA7">
        <w:t xml:space="preserve"> </w:t>
      </w:r>
      <w:r w:rsidRPr="00FF4EA7">
        <w:t xml:space="preserve">through activities designed to mirror experiences familiar in ECEC settings, sought to identify how children experience their time within ECEC and what matters most to them in their early years. Children’s engagement in the research activities has generated rich data providing insights into the value that children derive from their experiences in ECEC settings. Common themes were drawn from the diverse experiences of children from 16 ECEC settings across Australia including: the importance of their relationships and connections fostered and supported through ECEC settings, the significance of their environments and community in supporting their learning, development and wellbeing – as well as their sense of place, the role the ECEC settings play in supporting children emotional and relational development, and the opportunities for learning that are supported in ECEC settings. </w:t>
      </w:r>
    </w:p>
    <w:p w14:paraId="65B33F93" w14:textId="4F3FA31A" w:rsidR="00CA2C2D" w:rsidRDefault="00CA2C2D" w:rsidP="00CA2C2D">
      <w:r w:rsidRPr="00FF4EA7">
        <w:t xml:space="preserve">The report </w:t>
      </w:r>
      <w:r w:rsidR="0022110E" w:rsidRPr="00FF4EA7">
        <w:t xml:space="preserve">presents </w:t>
      </w:r>
      <w:r w:rsidRPr="00FF4EA7">
        <w:t>analysis of the connection between insights drawn from children’s perspectives and implications for policy – including those named within the scope of the Productivity Commission Inquiry into ECEC and recommendations made in the interim report. While some of these insights have implications for or reflect the daily practice of ECEC settings, they provoke consideration of the structures and enablers that support children’s detailed descriptions of quality ECEC and the access that it enables for them.</w:t>
      </w:r>
    </w:p>
    <w:p w14:paraId="15736CA1" w14:textId="2F526DA0" w:rsidR="003E3EEA" w:rsidRDefault="003E3EEA">
      <w:pPr>
        <w:spacing w:before="0" w:after="0" w:line="240" w:lineRule="auto"/>
      </w:pPr>
      <w:r>
        <w:br w:type="page"/>
      </w:r>
    </w:p>
    <w:p w14:paraId="404319CB" w14:textId="77777777" w:rsidR="00481DF9" w:rsidRPr="00791B5D" w:rsidRDefault="00481DF9" w:rsidP="00481DF9">
      <w:pPr>
        <w:pStyle w:val="Heading1"/>
        <w:widowControl w:val="0"/>
        <w:spacing w:after="240"/>
      </w:pPr>
      <w:bookmarkStart w:id="74" w:name="_Toc177136004"/>
      <w:r>
        <w:lastRenderedPageBreak/>
        <w:t>References</w:t>
      </w:r>
      <w:bookmarkEnd w:id="74"/>
    </w:p>
    <w:p w14:paraId="694144B4" w14:textId="77777777" w:rsidR="00481DF9" w:rsidRPr="00F904FE" w:rsidRDefault="00481DF9" w:rsidP="00481DF9">
      <w:pPr>
        <w:pStyle w:val="FootnoteText"/>
        <w:keepLines/>
        <w:widowControl w:val="0"/>
        <w:spacing w:afterLines="120" w:after="288"/>
        <w:rPr>
          <w:sz w:val="21"/>
          <w:szCs w:val="21"/>
        </w:rPr>
      </w:pPr>
      <w:r w:rsidRPr="00F904FE">
        <w:rPr>
          <w:sz w:val="21"/>
          <w:szCs w:val="21"/>
        </w:rPr>
        <w:t xml:space="preserve">Australian Institute of Family Studies (2015). ‘Participatory action research’, </w:t>
      </w:r>
      <w:hyperlink r:id="rId87" w:history="1">
        <w:r w:rsidRPr="00F904FE">
          <w:rPr>
            <w:rStyle w:val="Hyperlink"/>
            <w:sz w:val="21"/>
            <w:szCs w:val="21"/>
          </w:rPr>
          <w:t>https://aifs.gov.au/resources/practice-guides/participatory-action-research</w:t>
        </w:r>
      </w:hyperlink>
      <w:r w:rsidRPr="00F904FE">
        <w:rPr>
          <w:sz w:val="21"/>
          <w:szCs w:val="21"/>
        </w:rPr>
        <w:t xml:space="preserve">. </w:t>
      </w:r>
    </w:p>
    <w:p w14:paraId="07F5A3EE" w14:textId="77777777" w:rsidR="00481DF9" w:rsidRPr="00BB2C0A" w:rsidRDefault="00481DF9" w:rsidP="00481DF9">
      <w:pPr>
        <w:spacing w:before="0" w:afterLines="120" w:after="288"/>
      </w:pPr>
      <w:proofErr w:type="spellStart"/>
      <w:r w:rsidRPr="009C2BAB">
        <w:t>Barblett</w:t>
      </w:r>
      <w:proofErr w:type="spellEnd"/>
      <w:r w:rsidRPr="009C2BAB">
        <w:t xml:space="preserve">, L., </w:t>
      </w:r>
      <w:proofErr w:type="spellStart"/>
      <w:r w:rsidRPr="009C2BAB">
        <w:t>Bobongie</w:t>
      </w:r>
      <w:proofErr w:type="spellEnd"/>
      <w:r w:rsidRPr="009C2BAB">
        <w:t xml:space="preserve">-Harris, F., Cartmel, J., Hadley, F., Harrison, L., Irvine, S., &amp; Lavina, L. (2022). </w:t>
      </w:r>
      <w:r w:rsidRPr="009C2BAB">
        <w:rPr>
          <w:i/>
          <w:iCs/>
        </w:rPr>
        <w:t>‘</w:t>
      </w:r>
      <w:r w:rsidRPr="009C2BAB">
        <w:t xml:space="preserve">“We’re not useless, we know stuff!” Gathering children’s voices to inform policy’, </w:t>
      </w:r>
      <w:r w:rsidRPr="009C2BAB">
        <w:rPr>
          <w:i/>
          <w:iCs/>
        </w:rPr>
        <w:t>Australasian Journal of Early Childhood</w:t>
      </w:r>
      <w:r w:rsidRPr="009C2BAB">
        <w:t xml:space="preserve"> </w:t>
      </w:r>
      <w:r w:rsidRPr="009C2BAB">
        <w:rPr>
          <w:i/>
          <w:iCs/>
        </w:rPr>
        <w:t>48</w:t>
      </w:r>
      <w:r w:rsidRPr="009C2BAB">
        <w:t>(2): 134-147</w:t>
      </w:r>
      <w:r>
        <w:t>.</w:t>
      </w:r>
    </w:p>
    <w:p w14:paraId="759EA292" w14:textId="77777777" w:rsidR="00481DF9" w:rsidRPr="009C2BAB" w:rsidRDefault="00481DF9" w:rsidP="00481DF9">
      <w:pPr>
        <w:pStyle w:val="FootnoteText"/>
        <w:keepLines/>
        <w:widowControl w:val="0"/>
        <w:spacing w:afterLines="120" w:after="288"/>
      </w:pPr>
      <w:r w:rsidRPr="009C2BAB">
        <w:rPr>
          <w:rFonts w:cstheme="minorHAnsi"/>
          <w:sz w:val="21"/>
          <w:szCs w:val="21"/>
        </w:rPr>
        <w:t xml:space="preserve">Barter, C. and Renold, E. (1999). ‘The use of vignettes in qualitative research’, </w:t>
      </w:r>
      <w:r w:rsidRPr="009C2BAB">
        <w:rPr>
          <w:rFonts w:cstheme="minorHAnsi"/>
          <w:i/>
          <w:iCs/>
          <w:sz w:val="21"/>
          <w:szCs w:val="21"/>
        </w:rPr>
        <w:t>Social Research Update</w:t>
      </w:r>
      <w:r w:rsidRPr="009C2BAB">
        <w:rPr>
          <w:rFonts w:cstheme="minorHAnsi"/>
          <w:sz w:val="21"/>
          <w:szCs w:val="21"/>
        </w:rPr>
        <w:t xml:space="preserve"> 25, </w:t>
      </w:r>
      <w:hyperlink r:id="rId88" w:history="1">
        <w:r w:rsidRPr="009C2BAB">
          <w:rPr>
            <w:rStyle w:val="Hyperlink"/>
            <w:rFonts w:cstheme="minorHAnsi"/>
            <w:sz w:val="21"/>
            <w:szCs w:val="21"/>
          </w:rPr>
          <w:t>https://sru.soc.surrey.ac.uk/SRU25.html</w:t>
        </w:r>
      </w:hyperlink>
      <w:r w:rsidRPr="009C2BAB">
        <w:rPr>
          <w:rFonts w:cstheme="minorHAnsi"/>
          <w:sz w:val="21"/>
          <w:szCs w:val="21"/>
        </w:rPr>
        <w:t xml:space="preserve">. </w:t>
      </w:r>
    </w:p>
    <w:p w14:paraId="61CFB552" w14:textId="77777777" w:rsidR="00481DF9" w:rsidRPr="00CF15D5" w:rsidRDefault="00481DF9" w:rsidP="00481DF9">
      <w:pPr>
        <w:pStyle w:val="FootnoteText"/>
        <w:keepLines/>
        <w:widowControl w:val="0"/>
        <w:spacing w:afterLines="120" w:after="288"/>
        <w:rPr>
          <w:sz w:val="21"/>
          <w:szCs w:val="21"/>
        </w:rPr>
      </w:pPr>
      <w:r w:rsidRPr="00CF15D5">
        <w:rPr>
          <w:sz w:val="21"/>
          <w:szCs w:val="21"/>
        </w:rPr>
        <w:t xml:space="preserve">Bradbury-Jones, C., Isham, L., &amp; Taylor, J. (2018). ‘The complexities and contradictions in participatory research with vulnerable children and young people: A qualitative systematic review’, </w:t>
      </w:r>
      <w:r w:rsidRPr="00CF15D5">
        <w:rPr>
          <w:i/>
          <w:iCs/>
          <w:sz w:val="21"/>
          <w:szCs w:val="21"/>
        </w:rPr>
        <w:t>Social Science &amp; Medicine</w:t>
      </w:r>
      <w:r w:rsidRPr="00CF15D5">
        <w:rPr>
          <w:sz w:val="21"/>
          <w:szCs w:val="21"/>
        </w:rPr>
        <w:t xml:space="preserve"> 215: 80-91.</w:t>
      </w:r>
    </w:p>
    <w:p w14:paraId="786BF569" w14:textId="77777777" w:rsidR="00481DF9" w:rsidRPr="009C2BAB" w:rsidRDefault="00481DF9" w:rsidP="00481DF9">
      <w:pPr>
        <w:spacing w:before="0" w:afterLines="120" w:after="288"/>
      </w:pPr>
      <w:r w:rsidRPr="009C2BAB">
        <w:t xml:space="preserve">Cartmel, J., Irvine. S., Harrison, L., </w:t>
      </w:r>
      <w:proofErr w:type="spellStart"/>
      <w:r w:rsidRPr="009C2BAB">
        <w:t>Barblett</w:t>
      </w:r>
      <w:proofErr w:type="spellEnd"/>
      <w:r w:rsidRPr="009C2BAB">
        <w:t xml:space="preserve">, L., </w:t>
      </w:r>
      <w:proofErr w:type="spellStart"/>
      <w:r w:rsidRPr="009C2BAB">
        <w:t>Bobongie</w:t>
      </w:r>
      <w:proofErr w:type="spellEnd"/>
      <w:r w:rsidRPr="009C2BAB">
        <w:t xml:space="preserve">-Harris, F., Lavina, L. &amp; Hadley, F. (2023). ‘Conceptualising the education and care workforce from the perspective of children and young people’, </w:t>
      </w:r>
      <w:r w:rsidRPr="009C2BAB">
        <w:rPr>
          <w:i/>
          <w:iCs/>
        </w:rPr>
        <w:t>Frontiers in Education</w:t>
      </w:r>
      <w:r w:rsidRPr="009C2BAB">
        <w:t xml:space="preserve"> </w:t>
      </w:r>
      <w:r w:rsidRPr="009C2BAB">
        <w:rPr>
          <w:i/>
          <w:iCs/>
        </w:rPr>
        <w:t>8</w:t>
      </w:r>
      <w:r w:rsidRPr="009C2BAB">
        <w:t xml:space="preserve">: 1-10, </w:t>
      </w:r>
      <w:hyperlink r:id="rId89" w:history="1">
        <w:r w:rsidRPr="009C2BAB">
          <w:rPr>
            <w:rStyle w:val="Hyperlink"/>
          </w:rPr>
          <w:t>https://doi.org/10.3389/feduc.2023.1167486</w:t>
        </w:r>
      </w:hyperlink>
      <w:r w:rsidRPr="009C2BAB">
        <w:t>.</w:t>
      </w:r>
    </w:p>
    <w:p w14:paraId="60B2A931" w14:textId="77777777" w:rsidR="00481DF9" w:rsidRPr="009C2BAB" w:rsidRDefault="00481DF9" w:rsidP="00481DF9">
      <w:pPr>
        <w:spacing w:before="0" w:afterLines="120" w:after="288"/>
      </w:pPr>
      <w:r w:rsidRPr="009C2BAB">
        <w:t xml:space="preserve">Case, S., Haines, K., Creaney, S., Coleman, N., Little, R., &amp; Worral, V. (2020). ‘Trusting children to enhance youth justice policy: The importance and value of children’s voices’, </w:t>
      </w:r>
      <w:r w:rsidRPr="009C2BAB">
        <w:rPr>
          <w:i/>
          <w:iCs/>
        </w:rPr>
        <w:t>Youth Voice Journal</w:t>
      </w:r>
      <w:r w:rsidRPr="009C2BAB">
        <w:t xml:space="preserve"> (SI): 25-40</w:t>
      </w:r>
      <w:r>
        <w:t>.</w:t>
      </w:r>
    </w:p>
    <w:p w14:paraId="411193CB" w14:textId="77777777" w:rsidR="00481DF9" w:rsidRPr="004D5364" w:rsidRDefault="00481DF9" w:rsidP="00481DF9">
      <w:pPr>
        <w:pStyle w:val="FootnoteText"/>
        <w:keepLines/>
        <w:widowControl w:val="0"/>
        <w:spacing w:afterLines="120" w:after="288"/>
        <w:rPr>
          <w:sz w:val="21"/>
          <w:szCs w:val="21"/>
        </w:rPr>
      </w:pPr>
      <w:r w:rsidRPr="00791B5D">
        <w:rPr>
          <w:sz w:val="21"/>
          <w:szCs w:val="21"/>
        </w:rPr>
        <w:t xml:space="preserve">Cele, S. and van der </w:t>
      </w:r>
      <w:proofErr w:type="spellStart"/>
      <w:r w:rsidRPr="00791B5D">
        <w:rPr>
          <w:sz w:val="21"/>
          <w:szCs w:val="21"/>
        </w:rPr>
        <w:t>Burgt</w:t>
      </w:r>
      <w:proofErr w:type="spellEnd"/>
      <w:r w:rsidRPr="00791B5D">
        <w:rPr>
          <w:sz w:val="21"/>
          <w:szCs w:val="21"/>
        </w:rPr>
        <w:t xml:space="preserve">, D. (2015).’Participation, consultation, confusion: Professionals’ understandings of children’s participation in physical planning’, </w:t>
      </w:r>
      <w:r w:rsidRPr="00791B5D">
        <w:rPr>
          <w:i/>
          <w:sz w:val="21"/>
          <w:szCs w:val="21"/>
        </w:rPr>
        <w:t>Children’s Geographics</w:t>
      </w:r>
      <w:r w:rsidRPr="00791B5D">
        <w:rPr>
          <w:sz w:val="21"/>
          <w:szCs w:val="21"/>
        </w:rPr>
        <w:t xml:space="preserve"> 13(</w:t>
      </w:r>
      <w:r w:rsidRPr="00791B5D">
        <w:rPr>
          <w:i/>
          <w:sz w:val="21"/>
          <w:szCs w:val="21"/>
        </w:rPr>
        <w:t>1</w:t>
      </w:r>
      <w:r w:rsidRPr="00791B5D">
        <w:rPr>
          <w:sz w:val="21"/>
          <w:szCs w:val="21"/>
        </w:rPr>
        <w:t>): 14-29.</w:t>
      </w:r>
    </w:p>
    <w:p w14:paraId="5A5FA82A" w14:textId="77777777" w:rsidR="00481DF9" w:rsidRDefault="00481DF9" w:rsidP="00481DF9">
      <w:pPr>
        <w:pStyle w:val="FootnoteText"/>
        <w:keepLines/>
        <w:widowControl w:val="0"/>
        <w:spacing w:afterLines="120" w:after="288"/>
        <w:rPr>
          <w:sz w:val="21"/>
          <w:szCs w:val="21"/>
        </w:rPr>
      </w:pPr>
      <w:r w:rsidRPr="00CF15D5">
        <w:rPr>
          <w:sz w:val="21"/>
          <w:szCs w:val="21"/>
        </w:rPr>
        <w:t xml:space="preserve">Clark, A. and Moss, P. (2011). </w:t>
      </w:r>
      <w:r w:rsidRPr="00CF15D5">
        <w:rPr>
          <w:i/>
          <w:iCs/>
          <w:sz w:val="21"/>
          <w:szCs w:val="21"/>
        </w:rPr>
        <w:t>Listening to Young Children: The Mosaic Approach</w:t>
      </w:r>
      <w:r w:rsidRPr="00CF15D5">
        <w:rPr>
          <w:sz w:val="21"/>
          <w:szCs w:val="21"/>
        </w:rPr>
        <w:t>. Jessica Kingsley Publishers.</w:t>
      </w:r>
    </w:p>
    <w:p w14:paraId="22C32FCC" w14:textId="77777777" w:rsidR="00481DF9" w:rsidRPr="00BB2C0A" w:rsidRDefault="00481DF9" w:rsidP="00481DF9">
      <w:pPr>
        <w:pStyle w:val="FootnoteText"/>
        <w:keepLines/>
        <w:widowControl w:val="0"/>
        <w:spacing w:afterLines="120" w:after="288"/>
      </w:pPr>
      <w:r w:rsidRPr="00CF15D5">
        <w:rPr>
          <w:sz w:val="21"/>
          <w:szCs w:val="21"/>
        </w:rPr>
        <w:t xml:space="preserve">Clark, C. D. (2011). </w:t>
      </w:r>
      <w:r w:rsidRPr="00CF15D5">
        <w:rPr>
          <w:i/>
          <w:iCs/>
          <w:sz w:val="21"/>
          <w:szCs w:val="21"/>
        </w:rPr>
        <w:t>In a younger voice: Doing child-centred qualitative research</w:t>
      </w:r>
      <w:r w:rsidRPr="00CF15D5">
        <w:rPr>
          <w:sz w:val="21"/>
          <w:szCs w:val="21"/>
        </w:rPr>
        <w:t>. Oxford University Press.</w:t>
      </w:r>
    </w:p>
    <w:p w14:paraId="350D6519" w14:textId="77777777" w:rsidR="00481DF9" w:rsidRPr="004D5364" w:rsidRDefault="00481DF9" w:rsidP="00481DF9">
      <w:pPr>
        <w:spacing w:before="0" w:afterLines="120" w:after="288"/>
      </w:pPr>
      <w:r w:rsidRPr="009C2BAB">
        <w:t xml:space="preserve">Crowley, A. (2015). ‘Is anyone listening? The impact of children’s participation on public policy’, </w:t>
      </w:r>
      <w:r w:rsidRPr="004D5364">
        <w:rPr>
          <w:i/>
          <w:iCs/>
        </w:rPr>
        <w:t>The International Journal of Children’s Rights</w:t>
      </w:r>
      <w:r w:rsidRPr="004D5364">
        <w:t xml:space="preserve"> </w:t>
      </w:r>
      <w:r w:rsidRPr="004D5364">
        <w:rPr>
          <w:i/>
          <w:iCs/>
        </w:rPr>
        <w:t>23</w:t>
      </w:r>
      <w:r w:rsidRPr="004D5364">
        <w:t>(3): 602-621.</w:t>
      </w:r>
    </w:p>
    <w:p w14:paraId="5DEC4E91" w14:textId="77777777" w:rsidR="00481DF9" w:rsidRPr="004D5364" w:rsidRDefault="00481DF9" w:rsidP="00481DF9">
      <w:pPr>
        <w:pStyle w:val="FootnoteText"/>
        <w:keepLines/>
        <w:widowControl w:val="0"/>
        <w:spacing w:afterLines="120" w:after="288"/>
        <w:rPr>
          <w:sz w:val="21"/>
          <w:szCs w:val="21"/>
        </w:rPr>
      </w:pPr>
      <w:r w:rsidRPr="00791B5D">
        <w:rPr>
          <w:sz w:val="21"/>
          <w:szCs w:val="21"/>
        </w:rPr>
        <w:t xml:space="preserve">Cuevas-Parra, P. (2020). ‘Co-researching with children in the time of COVID-19: Shifting the narrative on methodologies to generate knowledge’, </w:t>
      </w:r>
      <w:r w:rsidRPr="00791B5D">
        <w:rPr>
          <w:i/>
          <w:sz w:val="21"/>
          <w:szCs w:val="21"/>
        </w:rPr>
        <w:t>International Journal of Qualitative Methods</w:t>
      </w:r>
      <w:r w:rsidRPr="00791B5D">
        <w:rPr>
          <w:sz w:val="21"/>
          <w:szCs w:val="21"/>
        </w:rPr>
        <w:t xml:space="preserve">, </w:t>
      </w:r>
      <w:hyperlink r:id="rId90" w:history="1">
        <w:r w:rsidRPr="00791B5D">
          <w:rPr>
            <w:rStyle w:val="Hyperlink"/>
            <w:sz w:val="21"/>
            <w:szCs w:val="21"/>
          </w:rPr>
          <w:t>https://journals.sagepub.com/doi/full/10.1177/1609406920982135</w:t>
        </w:r>
      </w:hyperlink>
      <w:r w:rsidRPr="00791B5D">
        <w:rPr>
          <w:sz w:val="21"/>
          <w:szCs w:val="21"/>
        </w:rPr>
        <w:t>.</w:t>
      </w:r>
    </w:p>
    <w:p w14:paraId="4D8EEC63" w14:textId="77777777" w:rsidR="00481DF9" w:rsidRPr="001B07CE" w:rsidRDefault="00481DF9" w:rsidP="00481DF9">
      <w:pPr>
        <w:pStyle w:val="FootnoteText"/>
        <w:keepLines/>
        <w:widowControl w:val="0"/>
        <w:spacing w:afterLines="120" w:after="288"/>
        <w:rPr>
          <w:sz w:val="21"/>
          <w:szCs w:val="21"/>
          <w:lang w:val="de-DE"/>
        </w:rPr>
      </w:pPr>
      <w:r w:rsidRPr="00791B5D">
        <w:rPr>
          <w:sz w:val="21"/>
          <w:szCs w:val="21"/>
        </w:rPr>
        <w:t xml:space="preserve">Fuller, G. (2000). ‘The textual politics of good intentions: Critical theory and semiotics’. In Lee, A. and Poynton, C. (eds.), </w:t>
      </w:r>
      <w:r w:rsidRPr="00791B5D">
        <w:rPr>
          <w:i/>
          <w:sz w:val="21"/>
          <w:szCs w:val="21"/>
        </w:rPr>
        <w:t>Culture and Text: Discourse and Methodology in Social Research and Cultural Studies</w:t>
      </w:r>
      <w:r w:rsidRPr="00791B5D">
        <w:rPr>
          <w:sz w:val="21"/>
          <w:szCs w:val="21"/>
        </w:rPr>
        <w:t xml:space="preserve">. </w:t>
      </w:r>
      <w:r w:rsidRPr="001B07CE">
        <w:rPr>
          <w:sz w:val="21"/>
          <w:szCs w:val="21"/>
          <w:lang w:val="de-DE"/>
        </w:rPr>
        <w:t>Lantham: Rowman &amp; Littlefield.</w:t>
      </w:r>
    </w:p>
    <w:p w14:paraId="7F0F7863" w14:textId="77777777" w:rsidR="00481DF9" w:rsidRPr="004D5364" w:rsidRDefault="00481DF9" w:rsidP="00481DF9">
      <w:pPr>
        <w:pStyle w:val="FootnoteText"/>
        <w:keepLines/>
        <w:widowControl w:val="0"/>
        <w:spacing w:afterLines="120" w:after="288"/>
        <w:rPr>
          <w:sz w:val="21"/>
          <w:szCs w:val="21"/>
        </w:rPr>
      </w:pPr>
      <w:r w:rsidRPr="001B07CE">
        <w:rPr>
          <w:sz w:val="21"/>
          <w:szCs w:val="21"/>
          <w:lang w:val="de-DE"/>
        </w:rPr>
        <w:lastRenderedPageBreak/>
        <w:t xml:space="preserve">Georgeson, J., Porter, J., Daniels, H., &amp; Feiler, A. (2014). </w:t>
      </w:r>
      <w:r w:rsidRPr="00791B5D">
        <w:rPr>
          <w:sz w:val="21"/>
          <w:szCs w:val="21"/>
        </w:rPr>
        <w:t xml:space="preserve">‘Consulting young children about barriers and supports to learning’, </w:t>
      </w:r>
      <w:r w:rsidRPr="00791B5D">
        <w:rPr>
          <w:i/>
          <w:sz w:val="21"/>
          <w:szCs w:val="21"/>
        </w:rPr>
        <w:t xml:space="preserve">European Early Childhood Education Research Journal </w:t>
      </w:r>
      <w:r w:rsidRPr="00791B5D">
        <w:rPr>
          <w:sz w:val="21"/>
          <w:szCs w:val="21"/>
        </w:rPr>
        <w:t>22(</w:t>
      </w:r>
      <w:r w:rsidRPr="00791B5D">
        <w:rPr>
          <w:i/>
          <w:sz w:val="21"/>
          <w:szCs w:val="21"/>
        </w:rPr>
        <w:t>2</w:t>
      </w:r>
      <w:r w:rsidRPr="00791B5D">
        <w:rPr>
          <w:sz w:val="21"/>
          <w:szCs w:val="21"/>
        </w:rPr>
        <w:t>): 198-212.</w:t>
      </w:r>
    </w:p>
    <w:p w14:paraId="0F8A79C9" w14:textId="77777777" w:rsidR="00481DF9" w:rsidRPr="00CF15D5" w:rsidRDefault="00481DF9" w:rsidP="00481DF9">
      <w:pPr>
        <w:pStyle w:val="FootnoteText"/>
        <w:keepLines/>
        <w:widowControl w:val="0"/>
        <w:spacing w:afterLines="120" w:after="288"/>
        <w:rPr>
          <w:sz w:val="21"/>
          <w:szCs w:val="21"/>
        </w:rPr>
      </w:pPr>
      <w:r w:rsidRPr="00CF15D5">
        <w:rPr>
          <w:sz w:val="21"/>
          <w:szCs w:val="21"/>
        </w:rPr>
        <w:t xml:space="preserve">Grant, T. (2017). ‘Participatory research with children and young people: Using visual, creative, diagram, and written techniques’, in Skelton, T., Evans, R., &amp; Holt, L. (eds.) </w:t>
      </w:r>
      <w:r w:rsidRPr="00CF15D5">
        <w:rPr>
          <w:i/>
          <w:iCs/>
          <w:sz w:val="21"/>
          <w:szCs w:val="21"/>
        </w:rPr>
        <w:t>Methodological Approaches</w:t>
      </w:r>
      <w:r w:rsidRPr="00CF15D5">
        <w:rPr>
          <w:sz w:val="21"/>
          <w:szCs w:val="21"/>
        </w:rPr>
        <w:t>. Springer, 261-284.</w:t>
      </w:r>
    </w:p>
    <w:p w14:paraId="4E6EC53F" w14:textId="77777777" w:rsidR="00481DF9" w:rsidRPr="00D71400" w:rsidRDefault="00481DF9" w:rsidP="00481DF9">
      <w:pPr>
        <w:pStyle w:val="FootnoteText"/>
        <w:keepLines/>
        <w:widowControl w:val="0"/>
        <w:spacing w:afterLines="120" w:after="288"/>
      </w:pPr>
      <w:r>
        <w:rPr>
          <w:sz w:val="21"/>
          <w:szCs w:val="21"/>
        </w:rPr>
        <w:t xml:space="preserve">Grumet, M., cited in </w:t>
      </w:r>
      <w:r w:rsidRPr="00D86E04">
        <w:rPr>
          <w:sz w:val="21"/>
          <w:szCs w:val="21"/>
        </w:rPr>
        <w:t xml:space="preserve">Blumenfeld-Jones, D. (1995). ‘Fidelity as a criterion for practicing and evaluating narrative inquiry’. In Amos, J. and Wisniewski, R. (eds.) </w:t>
      </w:r>
      <w:r w:rsidRPr="00D86E04">
        <w:rPr>
          <w:i/>
          <w:iCs/>
          <w:sz w:val="21"/>
          <w:szCs w:val="21"/>
        </w:rPr>
        <w:t>Life History and Narrative</w:t>
      </w:r>
      <w:r w:rsidRPr="00D86E04">
        <w:rPr>
          <w:sz w:val="21"/>
          <w:szCs w:val="21"/>
        </w:rPr>
        <w:t>. London: The Falmer Press.</w:t>
      </w:r>
    </w:p>
    <w:p w14:paraId="0A91E8B1" w14:textId="77777777" w:rsidR="00481DF9" w:rsidRPr="009C2BAB" w:rsidRDefault="00481DF9" w:rsidP="00481DF9">
      <w:pPr>
        <w:spacing w:before="0" w:afterLines="120" w:after="288"/>
      </w:pPr>
      <w:r w:rsidRPr="009C2BAB">
        <w:t xml:space="preserve">Harkin, J., Stafford, L., &amp; Leggat-Cook, C. (2020). ‘Influences on children’s voices in family support services: Practitioner perspectives’, </w:t>
      </w:r>
      <w:r w:rsidRPr="009C2BAB">
        <w:rPr>
          <w:i/>
          <w:iCs/>
        </w:rPr>
        <w:t>Child &amp; Family Social Work 25</w:t>
      </w:r>
      <w:r w:rsidRPr="009C2BAB">
        <w:t>(4): 955-963.</w:t>
      </w:r>
    </w:p>
    <w:p w14:paraId="1A9889DF" w14:textId="77777777" w:rsidR="00481DF9" w:rsidRPr="009C2BAB" w:rsidRDefault="00481DF9" w:rsidP="00481DF9">
      <w:pPr>
        <w:spacing w:before="0" w:afterLines="120" w:after="288"/>
      </w:pPr>
      <w:r w:rsidRPr="009C2BAB">
        <w:t xml:space="preserve">Harris, P. and </w:t>
      </w:r>
      <w:proofErr w:type="spellStart"/>
      <w:r w:rsidRPr="009C2BAB">
        <w:t>Manatakis</w:t>
      </w:r>
      <w:proofErr w:type="spellEnd"/>
      <w:r w:rsidRPr="009C2BAB">
        <w:t xml:space="preserve">, H. (2013). ‘Young children’s voices about their local communities’, </w:t>
      </w:r>
      <w:r w:rsidRPr="009C2BAB">
        <w:rPr>
          <w:i/>
          <w:iCs/>
        </w:rPr>
        <w:t>Australasian Journal of Early Childhood</w:t>
      </w:r>
      <w:r w:rsidRPr="009C2BAB">
        <w:t xml:space="preserve"> </w:t>
      </w:r>
      <w:r w:rsidRPr="009C2BAB">
        <w:rPr>
          <w:i/>
          <w:iCs/>
        </w:rPr>
        <w:t>38</w:t>
      </w:r>
      <w:r w:rsidRPr="009C2BAB">
        <w:t>(3): 68-76.</w:t>
      </w:r>
    </w:p>
    <w:p w14:paraId="68EDF2FF" w14:textId="77777777" w:rsidR="00481DF9" w:rsidRPr="00B70042" w:rsidRDefault="00481DF9" w:rsidP="00481DF9">
      <w:pPr>
        <w:snapToGrid w:val="0"/>
        <w:spacing w:before="0" w:afterLines="120" w:after="288"/>
      </w:pPr>
      <w:r>
        <w:t xml:space="preserve">Horgan, D. (2017). ‘Consultations with children and young people and their impact on policy in Ireland’, </w:t>
      </w:r>
      <w:r>
        <w:rPr>
          <w:i/>
          <w:iCs/>
        </w:rPr>
        <w:t>Social Inclusion</w:t>
      </w:r>
      <w:r>
        <w:t xml:space="preserve"> 5(</w:t>
      </w:r>
      <w:r>
        <w:rPr>
          <w:i/>
          <w:iCs/>
        </w:rPr>
        <w:t>3</w:t>
      </w:r>
      <w:r>
        <w:t>): 104-112.</w:t>
      </w:r>
    </w:p>
    <w:p w14:paraId="0B900951" w14:textId="77777777" w:rsidR="00481DF9" w:rsidRDefault="00481DF9" w:rsidP="00481DF9">
      <w:pPr>
        <w:snapToGrid w:val="0"/>
        <w:spacing w:before="0" w:afterLines="120" w:after="288"/>
      </w:pPr>
      <w:r w:rsidRPr="009C2BAB">
        <w:t xml:space="preserve">Johnson, V. (2017). ‘Moving beyond voice in children and young people’s participation’, </w:t>
      </w:r>
      <w:r w:rsidRPr="009C2BAB">
        <w:rPr>
          <w:i/>
          <w:iCs/>
        </w:rPr>
        <w:t>Action Research</w:t>
      </w:r>
      <w:r w:rsidRPr="009C2BAB">
        <w:t xml:space="preserve"> </w:t>
      </w:r>
      <w:r w:rsidRPr="009C2BAB">
        <w:rPr>
          <w:i/>
          <w:iCs/>
        </w:rPr>
        <w:t>15</w:t>
      </w:r>
      <w:r w:rsidRPr="009C2BAB">
        <w:t>(1).</w:t>
      </w:r>
    </w:p>
    <w:p w14:paraId="2FC21263" w14:textId="77777777" w:rsidR="00481DF9" w:rsidRPr="00791B5D" w:rsidRDefault="00481DF9" w:rsidP="00481DF9">
      <w:pPr>
        <w:pStyle w:val="FootnoteText"/>
        <w:spacing w:afterLines="120" w:after="288"/>
        <w:rPr>
          <w:sz w:val="21"/>
          <w:szCs w:val="21"/>
        </w:rPr>
      </w:pPr>
      <w:proofErr w:type="spellStart"/>
      <w:r w:rsidRPr="00791B5D">
        <w:rPr>
          <w:sz w:val="21"/>
          <w:szCs w:val="21"/>
        </w:rPr>
        <w:t>Joubish</w:t>
      </w:r>
      <w:proofErr w:type="spellEnd"/>
      <w:r w:rsidRPr="00791B5D">
        <w:rPr>
          <w:sz w:val="21"/>
          <w:szCs w:val="21"/>
        </w:rPr>
        <w:t xml:space="preserve">, M. F. and Khurram, M. A. (2011). ‘Cognitive development in Jean Piaget’s work and its implications for teachers’, </w:t>
      </w:r>
      <w:r w:rsidRPr="00791B5D">
        <w:rPr>
          <w:i/>
          <w:sz w:val="21"/>
          <w:szCs w:val="21"/>
        </w:rPr>
        <w:t xml:space="preserve">World Applied Sciences Journal </w:t>
      </w:r>
      <w:r w:rsidRPr="00791B5D">
        <w:rPr>
          <w:sz w:val="21"/>
          <w:szCs w:val="21"/>
        </w:rPr>
        <w:t>12(</w:t>
      </w:r>
      <w:r w:rsidRPr="00791B5D">
        <w:rPr>
          <w:i/>
          <w:sz w:val="21"/>
          <w:szCs w:val="21"/>
        </w:rPr>
        <w:t>8</w:t>
      </w:r>
      <w:r w:rsidRPr="00791B5D">
        <w:rPr>
          <w:sz w:val="21"/>
          <w:szCs w:val="21"/>
        </w:rPr>
        <w:t>): 126</w:t>
      </w:r>
      <w:r w:rsidRPr="009C2BAB">
        <w:rPr>
          <w:sz w:val="21"/>
          <w:szCs w:val="21"/>
        </w:rPr>
        <w:t>0</w:t>
      </w:r>
      <w:r w:rsidRPr="00791B5D">
        <w:rPr>
          <w:sz w:val="21"/>
          <w:szCs w:val="21"/>
        </w:rPr>
        <w:t>-126</w:t>
      </w:r>
      <w:r w:rsidRPr="009C2BAB">
        <w:rPr>
          <w:sz w:val="21"/>
          <w:szCs w:val="21"/>
        </w:rPr>
        <w:t>5</w:t>
      </w:r>
      <w:r w:rsidRPr="00791B5D">
        <w:rPr>
          <w:sz w:val="21"/>
          <w:szCs w:val="21"/>
        </w:rPr>
        <w:t>.</w:t>
      </w:r>
    </w:p>
    <w:p w14:paraId="43482F04" w14:textId="77777777" w:rsidR="00481DF9" w:rsidRPr="003114E5" w:rsidRDefault="00481DF9" w:rsidP="00481DF9">
      <w:pPr>
        <w:pStyle w:val="FootnoteText"/>
        <w:keepLines/>
        <w:widowControl w:val="0"/>
        <w:spacing w:afterLines="120" w:after="288"/>
        <w:rPr>
          <w:sz w:val="21"/>
          <w:szCs w:val="21"/>
        </w:rPr>
      </w:pPr>
      <w:proofErr w:type="spellStart"/>
      <w:r w:rsidRPr="00791B5D">
        <w:rPr>
          <w:sz w:val="21"/>
          <w:szCs w:val="21"/>
        </w:rPr>
        <w:t>MacLure</w:t>
      </w:r>
      <w:proofErr w:type="spellEnd"/>
      <w:r w:rsidRPr="00791B5D">
        <w:rPr>
          <w:sz w:val="21"/>
          <w:szCs w:val="21"/>
        </w:rPr>
        <w:t xml:space="preserve">, M. (2009). ‘Broken voices, dirty </w:t>
      </w:r>
      <w:proofErr w:type="gramStart"/>
      <w:r w:rsidRPr="00791B5D">
        <w:rPr>
          <w:sz w:val="21"/>
          <w:szCs w:val="21"/>
        </w:rPr>
        <w:t>words’</w:t>
      </w:r>
      <w:proofErr w:type="gramEnd"/>
      <w:r w:rsidRPr="00791B5D">
        <w:rPr>
          <w:sz w:val="21"/>
          <w:szCs w:val="21"/>
        </w:rPr>
        <w:t xml:space="preserve">. In Jackson, A. Y. and Mazzei, L. A. (eds.), </w:t>
      </w:r>
      <w:r w:rsidRPr="00791B5D">
        <w:rPr>
          <w:i/>
          <w:sz w:val="21"/>
          <w:szCs w:val="21"/>
        </w:rPr>
        <w:t>Voices in Qualitative Inquiry: Challenging Conventional, Interpretative, and Critical Conceptions in Qualitative Research</w:t>
      </w:r>
      <w:r w:rsidRPr="00791B5D">
        <w:rPr>
          <w:sz w:val="21"/>
          <w:szCs w:val="21"/>
        </w:rPr>
        <w:t>. Oxon: Routledge.</w:t>
      </w:r>
    </w:p>
    <w:p w14:paraId="43407821" w14:textId="77777777" w:rsidR="00481DF9" w:rsidRPr="00255AEA" w:rsidRDefault="00481DF9" w:rsidP="00481DF9">
      <w:pPr>
        <w:pStyle w:val="FootnoteText"/>
        <w:keepLines/>
        <w:widowControl w:val="0"/>
        <w:spacing w:afterLines="120" w:after="288"/>
      </w:pPr>
      <w:r w:rsidRPr="00CF15D5">
        <w:rPr>
          <w:sz w:val="21"/>
          <w:szCs w:val="21"/>
        </w:rPr>
        <w:t>Montreuil, M.</w:t>
      </w:r>
      <w:r>
        <w:rPr>
          <w:sz w:val="21"/>
          <w:szCs w:val="21"/>
        </w:rPr>
        <w:t xml:space="preserve">, </w:t>
      </w:r>
      <w:proofErr w:type="spellStart"/>
      <w:r>
        <w:rPr>
          <w:sz w:val="21"/>
          <w:szCs w:val="21"/>
        </w:rPr>
        <w:t>Bogossian</w:t>
      </w:r>
      <w:proofErr w:type="spellEnd"/>
      <w:r>
        <w:rPr>
          <w:sz w:val="21"/>
          <w:szCs w:val="21"/>
        </w:rPr>
        <w:t>, A., Laberge-Perrault, E., &amp; Racine, E.</w:t>
      </w:r>
      <w:r w:rsidRPr="00CF15D5">
        <w:rPr>
          <w:sz w:val="21"/>
          <w:szCs w:val="21"/>
        </w:rPr>
        <w:t xml:space="preserve"> (2021). ‘A review of approaches, strategies and ethical considerations in participatory research with children’, </w:t>
      </w:r>
      <w:r w:rsidRPr="00CF15D5">
        <w:rPr>
          <w:i/>
          <w:iCs/>
          <w:sz w:val="21"/>
          <w:szCs w:val="21"/>
        </w:rPr>
        <w:t>International Journal of Qualitative Methods</w:t>
      </w:r>
      <w:r w:rsidRPr="00CF15D5">
        <w:rPr>
          <w:sz w:val="21"/>
          <w:szCs w:val="21"/>
        </w:rPr>
        <w:t xml:space="preserve">, </w:t>
      </w:r>
      <w:hyperlink r:id="rId91" w:history="1">
        <w:r w:rsidRPr="00CF15D5">
          <w:rPr>
            <w:rStyle w:val="Hyperlink"/>
            <w:sz w:val="21"/>
            <w:szCs w:val="21"/>
          </w:rPr>
          <w:t>https://doi.org/10.1177/1609406920987962</w:t>
        </w:r>
      </w:hyperlink>
      <w:r w:rsidRPr="00CF15D5">
        <w:rPr>
          <w:sz w:val="21"/>
          <w:szCs w:val="21"/>
        </w:rPr>
        <w:t xml:space="preserve">. </w:t>
      </w:r>
    </w:p>
    <w:p w14:paraId="1B4D755D" w14:textId="77777777" w:rsidR="00481DF9" w:rsidRDefault="00481DF9" w:rsidP="00481DF9">
      <w:pPr>
        <w:snapToGrid w:val="0"/>
        <w:spacing w:before="0" w:afterLines="120" w:after="288"/>
      </w:pPr>
      <w:r w:rsidRPr="001B07CE">
        <w:rPr>
          <w:lang w:val="pt-PT"/>
        </w:rPr>
        <w:t xml:space="preserve">Nasrabadi, M. T., García, E. H., &amp; Pourzakarya, M. (2021). </w:t>
      </w:r>
      <w:r w:rsidRPr="009C2BAB">
        <w:t xml:space="preserve">‘Let children plan neighbourhoods for a sustainable future: A sustainable child-friendly city approach’, </w:t>
      </w:r>
      <w:r w:rsidRPr="009C2BAB">
        <w:rPr>
          <w:i/>
          <w:iCs/>
        </w:rPr>
        <w:t>Local Environment: The International Journal of Justice and Sustainability</w:t>
      </w:r>
      <w:r w:rsidRPr="009C2BAB">
        <w:t xml:space="preserve"> </w:t>
      </w:r>
      <w:r w:rsidRPr="009C2BAB">
        <w:rPr>
          <w:i/>
          <w:iCs/>
        </w:rPr>
        <w:t>26</w:t>
      </w:r>
      <w:r w:rsidRPr="009C2BAB">
        <w:t>(2): 198-215.</w:t>
      </w:r>
    </w:p>
    <w:p w14:paraId="059C2F6E" w14:textId="77777777" w:rsidR="00481DF9" w:rsidRPr="00CF15D5" w:rsidRDefault="00481DF9" w:rsidP="00481DF9">
      <w:pPr>
        <w:pStyle w:val="FootnoteText"/>
        <w:keepLines/>
        <w:widowControl w:val="0"/>
        <w:spacing w:afterLines="120" w:after="288"/>
        <w:rPr>
          <w:sz w:val="21"/>
          <w:szCs w:val="21"/>
        </w:rPr>
      </w:pPr>
      <w:r w:rsidRPr="00CF15D5">
        <w:rPr>
          <w:sz w:val="21"/>
          <w:szCs w:val="21"/>
        </w:rPr>
        <w:t xml:space="preserve">O’Brien, N. </w:t>
      </w:r>
      <w:r>
        <w:rPr>
          <w:sz w:val="21"/>
          <w:szCs w:val="21"/>
        </w:rPr>
        <w:t>and</w:t>
      </w:r>
      <w:r w:rsidRPr="00CF15D5">
        <w:rPr>
          <w:sz w:val="21"/>
          <w:szCs w:val="21"/>
        </w:rPr>
        <w:t xml:space="preserve"> Moules, T. (2007). ‘</w:t>
      </w:r>
      <w:proofErr w:type="gramStart"/>
      <w:r w:rsidRPr="00CF15D5">
        <w:rPr>
          <w:sz w:val="21"/>
          <w:szCs w:val="21"/>
        </w:rPr>
        <w:t>So</w:t>
      </w:r>
      <w:proofErr w:type="gramEnd"/>
      <w:r w:rsidRPr="00CF15D5">
        <w:rPr>
          <w:sz w:val="21"/>
          <w:szCs w:val="21"/>
        </w:rPr>
        <w:t xml:space="preserve"> round the spiral again: A reflective participatory research project with children and young people’, </w:t>
      </w:r>
      <w:r w:rsidRPr="00CF15D5">
        <w:rPr>
          <w:i/>
          <w:iCs/>
          <w:sz w:val="21"/>
          <w:szCs w:val="21"/>
        </w:rPr>
        <w:t>Education Action Research: Connecting Research and Practice for Professional and Communities</w:t>
      </w:r>
      <w:r w:rsidRPr="00CF15D5">
        <w:rPr>
          <w:sz w:val="21"/>
          <w:szCs w:val="21"/>
        </w:rPr>
        <w:t xml:space="preserve"> </w:t>
      </w:r>
      <w:r w:rsidRPr="00CF15D5">
        <w:rPr>
          <w:i/>
          <w:iCs/>
          <w:sz w:val="21"/>
          <w:szCs w:val="21"/>
        </w:rPr>
        <w:t>3</w:t>
      </w:r>
      <w:r w:rsidRPr="00CF15D5">
        <w:rPr>
          <w:sz w:val="21"/>
          <w:szCs w:val="21"/>
        </w:rPr>
        <w:t>: 385-402.</w:t>
      </w:r>
    </w:p>
    <w:p w14:paraId="53D43CBE" w14:textId="77777777" w:rsidR="00481DF9" w:rsidRDefault="00481DF9" w:rsidP="00481DF9">
      <w:pPr>
        <w:spacing w:afterLines="120" w:after="288"/>
      </w:pPr>
      <w:r w:rsidRPr="009C2BAB">
        <w:t xml:space="preserve">OECD (2021). </w:t>
      </w:r>
      <w:r w:rsidRPr="009C2BAB">
        <w:rPr>
          <w:i/>
          <w:iCs/>
        </w:rPr>
        <w:t>Play, Create and Learn: What Matters Most for Five-Year-Olds</w:t>
      </w:r>
      <w:r w:rsidRPr="009C2BAB">
        <w:t xml:space="preserve">, </w:t>
      </w:r>
      <w:hyperlink r:id="rId92" w:history="1">
        <w:r w:rsidRPr="009C2BAB">
          <w:rPr>
            <w:rStyle w:val="Hyperlink"/>
          </w:rPr>
          <w:t>https://issuu.com/oecd.publishing/docs/play-create-learn-what-matters-most-for-five-year-</w:t>
        </w:r>
      </w:hyperlink>
      <w:r>
        <w:t>.</w:t>
      </w:r>
    </w:p>
    <w:p w14:paraId="102B1E31" w14:textId="77777777" w:rsidR="00481DF9" w:rsidRDefault="00481DF9" w:rsidP="00481DF9">
      <w:pPr>
        <w:pStyle w:val="FootnoteText"/>
        <w:keepLines/>
        <w:widowControl w:val="0"/>
        <w:spacing w:afterLines="120" w:after="288"/>
        <w:rPr>
          <w:sz w:val="21"/>
          <w:szCs w:val="21"/>
        </w:rPr>
      </w:pPr>
      <w:r w:rsidRPr="00CF15D5">
        <w:rPr>
          <w:sz w:val="21"/>
          <w:szCs w:val="21"/>
        </w:rPr>
        <w:t xml:space="preserve">Palaiologou, I. (2017). ‘The use of vignettes in participatory research with young children’, </w:t>
      </w:r>
      <w:r w:rsidRPr="00CF15D5">
        <w:rPr>
          <w:i/>
          <w:iCs/>
          <w:sz w:val="21"/>
          <w:szCs w:val="21"/>
        </w:rPr>
        <w:t>International Journal of Early Years Education</w:t>
      </w:r>
      <w:r w:rsidRPr="00CF15D5">
        <w:rPr>
          <w:sz w:val="21"/>
          <w:szCs w:val="21"/>
        </w:rPr>
        <w:t xml:space="preserve"> 25(</w:t>
      </w:r>
      <w:r w:rsidRPr="00CF15D5">
        <w:rPr>
          <w:i/>
          <w:iCs/>
          <w:sz w:val="21"/>
          <w:szCs w:val="21"/>
        </w:rPr>
        <w:t>3</w:t>
      </w:r>
      <w:r w:rsidRPr="00CF15D5">
        <w:rPr>
          <w:sz w:val="21"/>
          <w:szCs w:val="21"/>
        </w:rPr>
        <w:t>): 308-322.</w:t>
      </w:r>
    </w:p>
    <w:p w14:paraId="6131F71F" w14:textId="77777777" w:rsidR="00481DF9" w:rsidRPr="00E33E5F" w:rsidRDefault="00481DF9" w:rsidP="00481DF9">
      <w:pPr>
        <w:pStyle w:val="FootnoteText"/>
        <w:keepLines/>
        <w:widowControl w:val="0"/>
        <w:spacing w:afterLines="120" w:after="288"/>
        <w:rPr>
          <w:sz w:val="21"/>
          <w:szCs w:val="21"/>
        </w:rPr>
      </w:pPr>
      <w:r w:rsidRPr="00791B5D">
        <w:rPr>
          <w:sz w:val="21"/>
          <w:szCs w:val="21"/>
        </w:rPr>
        <w:lastRenderedPageBreak/>
        <w:t xml:space="preserve">Pascal, C. and Bertram, T. (2021). ‘What do young children have to say? Recognising their voices, wisdom, agency and need for companionship during the COVID pandemic’, </w:t>
      </w:r>
      <w:r w:rsidRPr="00791B5D">
        <w:rPr>
          <w:i/>
          <w:sz w:val="21"/>
          <w:szCs w:val="21"/>
        </w:rPr>
        <w:t>European Early Childhood Education Research Journal</w:t>
      </w:r>
      <w:r w:rsidRPr="00791B5D">
        <w:rPr>
          <w:sz w:val="21"/>
          <w:szCs w:val="21"/>
        </w:rPr>
        <w:t xml:space="preserve"> 29(</w:t>
      </w:r>
      <w:r w:rsidRPr="00791B5D">
        <w:rPr>
          <w:i/>
          <w:sz w:val="21"/>
          <w:szCs w:val="21"/>
        </w:rPr>
        <w:t>1</w:t>
      </w:r>
      <w:r w:rsidRPr="00791B5D">
        <w:rPr>
          <w:sz w:val="21"/>
          <w:szCs w:val="21"/>
        </w:rPr>
        <w:t>): 21-34.</w:t>
      </w:r>
    </w:p>
    <w:p w14:paraId="54E23860" w14:textId="77777777" w:rsidR="00481DF9" w:rsidRPr="004D5364" w:rsidRDefault="00481DF9" w:rsidP="00481DF9">
      <w:pPr>
        <w:pStyle w:val="FootnoteText"/>
        <w:keepLines/>
        <w:widowControl w:val="0"/>
        <w:spacing w:afterLines="120" w:after="288"/>
        <w:rPr>
          <w:sz w:val="21"/>
          <w:szCs w:val="21"/>
        </w:rPr>
      </w:pPr>
      <w:r w:rsidRPr="00791B5D">
        <w:rPr>
          <w:sz w:val="21"/>
          <w:szCs w:val="21"/>
        </w:rPr>
        <w:t xml:space="preserve">Percy-Smith, B. (2010). ‘Councils, consultations and community: Rethinking the spaces for children and young people’s participation’, </w:t>
      </w:r>
      <w:r w:rsidRPr="00791B5D">
        <w:rPr>
          <w:i/>
          <w:sz w:val="21"/>
          <w:szCs w:val="21"/>
        </w:rPr>
        <w:t xml:space="preserve">Children’s Geographics </w:t>
      </w:r>
      <w:r w:rsidRPr="00791B5D">
        <w:rPr>
          <w:sz w:val="21"/>
          <w:szCs w:val="21"/>
        </w:rPr>
        <w:t>8(</w:t>
      </w:r>
      <w:r w:rsidRPr="00791B5D">
        <w:rPr>
          <w:i/>
          <w:sz w:val="21"/>
          <w:szCs w:val="21"/>
        </w:rPr>
        <w:t>2</w:t>
      </w:r>
      <w:r w:rsidRPr="00791B5D">
        <w:rPr>
          <w:sz w:val="21"/>
          <w:szCs w:val="21"/>
        </w:rPr>
        <w:t>): 107-122.</w:t>
      </w:r>
    </w:p>
    <w:p w14:paraId="0599AC18" w14:textId="77777777" w:rsidR="00481DF9" w:rsidRDefault="00481DF9" w:rsidP="00481DF9">
      <w:pPr>
        <w:pStyle w:val="FootnoteText"/>
        <w:keepLines/>
        <w:widowControl w:val="0"/>
        <w:spacing w:afterLines="120" w:after="288"/>
        <w:rPr>
          <w:sz w:val="21"/>
          <w:szCs w:val="21"/>
        </w:rPr>
      </w:pPr>
      <w:r w:rsidRPr="00CF15D5">
        <w:rPr>
          <w:sz w:val="21"/>
          <w:szCs w:val="21"/>
        </w:rPr>
        <w:t xml:space="preserve">Punch, S. (2002). ‘Research with children: The same or different from research with adults?’, </w:t>
      </w:r>
      <w:r w:rsidRPr="00CF15D5">
        <w:rPr>
          <w:i/>
          <w:iCs/>
          <w:sz w:val="21"/>
          <w:szCs w:val="21"/>
        </w:rPr>
        <w:t xml:space="preserve">Childhood </w:t>
      </w:r>
      <w:r w:rsidRPr="00CF15D5">
        <w:rPr>
          <w:sz w:val="21"/>
          <w:szCs w:val="21"/>
        </w:rPr>
        <w:t>9(3): 321-341.</w:t>
      </w:r>
    </w:p>
    <w:p w14:paraId="736BD9CD" w14:textId="77777777" w:rsidR="00481DF9" w:rsidRDefault="00481DF9" w:rsidP="00481DF9">
      <w:pPr>
        <w:pStyle w:val="FootnoteText"/>
        <w:keepLines/>
        <w:widowControl w:val="0"/>
        <w:spacing w:afterLines="120" w:after="288"/>
        <w:rPr>
          <w:sz w:val="21"/>
          <w:szCs w:val="21"/>
        </w:rPr>
      </w:pPr>
      <w:r w:rsidRPr="00CF15D5">
        <w:rPr>
          <w:sz w:val="21"/>
          <w:szCs w:val="21"/>
        </w:rPr>
        <w:t xml:space="preserve">Qvortrup, J. (1994). 'Introduction', in Qvortrup, J., Bardy, M., </w:t>
      </w:r>
      <w:proofErr w:type="spellStart"/>
      <w:r w:rsidRPr="00CF15D5">
        <w:rPr>
          <w:sz w:val="21"/>
          <w:szCs w:val="21"/>
        </w:rPr>
        <w:t>Sgritta</w:t>
      </w:r>
      <w:proofErr w:type="spellEnd"/>
      <w:r w:rsidRPr="00CF15D5">
        <w:rPr>
          <w:sz w:val="21"/>
          <w:szCs w:val="21"/>
        </w:rPr>
        <w:t xml:space="preserve">, G., &amp; </w:t>
      </w:r>
      <w:proofErr w:type="spellStart"/>
      <w:r w:rsidRPr="00CF15D5">
        <w:rPr>
          <w:sz w:val="21"/>
          <w:szCs w:val="21"/>
        </w:rPr>
        <w:t>Wintersberger</w:t>
      </w:r>
      <w:proofErr w:type="spellEnd"/>
      <w:r w:rsidRPr="00CF15D5">
        <w:rPr>
          <w:sz w:val="21"/>
          <w:szCs w:val="21"/>
        </w:rPr>
        <w:t>, H. (eds.) </w:t>
      </w:r>
      <w:r w:rsidRPr="00CF15D5">
        <w:rPr>
          <w:i/>
          <w:iCs/>
          <w:sz w:val="21"/>
          <w:szCs w:val="21"/>
        </w:rPr>
        <w:t>Childhood Matters: Social Theory, Practice and Politics</w:t>
      </w:r>
      <w:r w:rsidRPr="00CF15D5">
        <w:rPr>
          <w:sz w:val="21"/>
          <w:szCs w:val="21"/>
        </w:rPr>
        <w:t>. Avebury.</w:t>
      </w:r>
    </w:p>
    <w:p w14:paraId="0B8F7973" w14:textId="77777777" w:rsidR="00481DF9" w:rsidRPr="00CF15D5" w:rsidRDefault="00481DF9" w:rsidP="00481DF9">
      <w:pPr>
        <w:pStyle w:val="FootnoteText"/>
        <w:keepLines/>
        <w:widowControl w:val="0"/>
        <w:spacing w:afterLines="120" w:after="288"/>
        <w:rPr>
          <w:sz w:val="21"/>
          <w:szCs w:val="21"/>
        </w:rPr>
      </w:pPr>
      <w:r w:rsidRPr="00CF15D5">
        <w:rPr>
          <w:sz w:val="21"/>
          <w:szCs w:val="21"/>
        </w:rPr>
        <w:t xml:space="preserve">Sevon, E., </w:t>
      </w:r>
      <w:proofErr w:type="spellStart"/>
      <w:r w:rsidRPr="00CF15D5">
        <w:rPr>
          <w:sz w:val="21"/>
          <w:szCs w:val="21"/>
        </w:rPr>
        <w:t>Mustola</w:t>
      </w:r>
      <w:proofErr w:type="spellEnd"/>
      <w:r w:rsidRPr="00CF15D5">
        <w:rPr>
          <w:sz w:val="21"/>
          <w:szCs w:val="21"/>
        </w:rPr>
        <w:t xml:space="preserve">, M., </w:t>
      </w:r>
      <w:proofErr w:type="spellStart"/>
      <w:r w:rsidRPr="00CF15D5">
        <w:rPr>
          <w:sz w:val="21"/>
          <w:szCs w:val="21"/>
        </w:rPr>
        <w:t>Siippainen</w:t>
      </w:r>
      <w:proofErr w:type="spellEnd"/>
      <w:r w:rsidRPr="00CF15D5">
        <w:rPr>
          <w:sz w:val="21"/>
          <w:szCs w:val="21"/>
        </w:rPr>
        <w:t xml:space="preserve">, A., &amp; Vlasov, J. (2023). ‘Participatory research methods with young children: A systematic literature review’, </w:t>
      </w:r>
      <w:r w:rsidRPr="00CF15D5">
        <w:rPr>
          <w:i/>
          <w:iCs/>
          <w:sz w:val="21"/>
          <w:szCs w:val="21"/>
        </w:rPr>
        <w:t>Educational Review</w:t>
      </w:r>
      <w:r w:rsidRPr="00CF15D5">
        <w:rPr>
          <w:sz w:val="21"/>
          <w:szCs w:val="21"/>
        </w:rPr>
        <w:t>,</w:t>
      </w:r>
      <w:r w:rsidRPr="00CF15D5">
        <w:rPr>
          <w:i/>
          <w:iCs/>
          <w:sz w:val="21"/>
          <w:szCs w:val="21"/>
        </w:rPr>
        <w:t xml:space="preserve"> </w:t>
      </w:r>
      <w:hyperlink r:id="rId93" w:history="1">
        <w:r w:rsidRPr="00CF15D5">
          <w:rPr>
            <w:rStyle w:val="Hyperlink"/>
            <w:sz w:val="21"/>
            <w:szCs w:val="21"/>
          </w:rPr>
          <w:t>https://doi.org/10.1080/00131911.2023.2215465</w:t>
        </w:r>
      </w:hyperlink>
      <w:r w:rsidRPr="00CF15D5">
        <w:rPr>
          <w:sz w:val="21"/>
          <w:szCs w:val="21"/>
        </w:rPr>
        <w:t>.</w:t>
      </w:r>
    </w:p>
    <w:p w14:paraId="1A32DA84" w14:textId="77777777" w:rsidR="00481DF9" w:rsidRDefault="00481DF9" w:rsidP="00481DF9">
      <w:pPr>
        <w:pStyle w:val="FootnoteText"/>
        <w:keepLines/>
        <w:widowControl w:val="0"/>
        <w:spacing w:afterLines="120" w:after="288"/>
        <w:rPr>
          <w:sz w:val="21"/>
          <w:szCs w:val="21"/>
        </w:rPr>
      </w:pPr>
      <w:proofErr w:type="spellStart"/>
      <w:r w:rsidRPr="00CF15D5">
        <w:rPr>
          <w:sz w:val="21"/>
          <w:szCs w:val="21"/>
        </w:rPr>
        <w:t>Shamrova</w:t>
      </w:r>
      <w:proofErr w:type="spellEnd"/>
      <w:r w:rsidRPr="00CF15D5">
        <w:rPr>
          <w:sz w:val="21"/>
          <w:szCs w:val="21"/>
        </w:rPr>
        <w:t xml:space="preserve">, D. and Cummings, C. E. (2017). ‘Participatory action research (PAR) with children and youth: An integrative review of methodology and PAR outcomes for participants, organizations, and communities’, </w:t>
      </w:r>
      <w:r w:rsidRPr="00CF15D5">
        <w:rPr>
          <w:i/>
          <w:iCs/>
          <w:sz w:val="21"/>
          <w:szCs w:val="21"/>
        </w:rPr>
        <w:t>Children and Youth Services Review</w:t>
      </w:r>
      <w:r w:rsidRPr="00CF15D5">
        <w:rPr>
          <w:sz w:val="21"/>
          <w:szCs w:val="21"/>
        </w:rPr>
        <w:t xml:space="preserve"> 81: 400-412.</w:t>
      </w:r>
    </w:p>
    <w:p w14:paraId="2BF5B419" w14:textId="77777777" w:rsidR="00481DF9" w:rsidRPr="00CF15D5" w:rsidRDefault="00481DF9" w:rsidP="00481DF9">
      <w:pPr>
        <w:pStyle w:val="FootnoteText"/>
        <w:keepLines/>
        <w:widowControl w:val="0"/>
        <w:spacing w:afterLines="120" w:after="288"/>
        <w:rPr>
          <w:sz w:val="21"/>
          <w:szCs w:val="21"/>
        </w:rPr>
      </w:pPr>
      <w:r w:rsidRPr="00CF15D5">
        <w:rPr>
          <w:sz w:val="21"/>
          <w:szCs w:val="21"/>
        </w:rPr>
        <w:t xml:space="preserve">Stokes, T. (2019). ‘Using participatory methods with young children: Reflections on emergent ‘ethically important moments’ in school-based research’, </w:t>
      </w:r>
      <w:r w:rsidRPr="00CF15D5">
        <w:rPr>
          <w:i/>
          <w:iCs/>
          <w:sz w:val="21"/>
          <w:szCs w:val="21"/>
        </w:rPr>
        <w:t>Irish Educational Studies</w:t>
      </w:r>
      <w:r w:rsidRPr="00CF15D5">
        <w:rPr>
          <w:sz w:val="21"/>
          <w:szCs w:val="21"/>
        </w:rPr>
        <w:t xml:space="preserve"> 39(</w:t>
      </w:r>
      <w:r w:rsidRPr="00CF15D5">
        <w:rPr>
          <w:i/>
          <w:iCs/>
          <w:sz w:val="21"/>
          <w:szCs w:val="21"/>
        </w:rPr>
        <w:t>3</w:t>
      </w:r>
      <w:r w:rsidRPr="00CF15D5">
        <w:rPr>
          <w:sz w:val="21"/>
          <w:szCs w:val="21"/>
        </w:rPr>
        <w:t>): 375-387.</w:t>
      </w:r>
    </w:p>
    <w:p w14:paraId="0C0AFB20" w14:textId="77777777" w:rsidR="00481DF9" w:rsidRPr="009C2BAB" w:rsidRDefault="00481DF9" w:rsidP="00481DF9">
      <w:pPr>
        <w:snapToGrid w:val="0"/>
        <w:spacing w:before="0" w:afterLines="120" w:after="288"/>
      </w:pPr>
      <w:r w:rsidRPr="001B07CE">
        <w:rPr>
          <w:lang w:val="de-DE"/>
        </w:rPr>
        <w:t xml:space="preserve">Sullivan, E., Egli, V., Donnellan, N., &amp; Smith, M. (2020). </w:t>
      </w:r>
      <w:r w:rsidRPr="009C2BAB">
        <w:t xml:space="preserve">‘Policies to enable children’s voice for healthy neighbourhoods and communities: A systematic mapping review and case study’, </w:t>
      </w:r>
      <w:proofErr w:type="spellStart"/>
      <w:r w:rsidRPr="009C2BAB">
        <w:rPr>
          <w:i/>
          <w:iCs/>
        </w:rPr>
        <w:t>Kōtuitui</w:t>
      </w:r>
      <w:proofErr w:type="spellEnd"/>
      <w:r w:rsidRPr="009C2BAB">
        <w:rPr>
          <w:i/>
          <w:iCs/>
        </w:rPr>
        <w:t>: New Zealand Journal of Social Sciences Online</w:t>
      </w:r>
      <w:r w:rsidRPr="009C2BAB">
        <w:t> 1</w:t>
      </w:r>
      <w:r w:rsidRPr="009C2BAB">
        <w:rPr>
          <w:i/>
          <w:iCs/>
        </w:rPr>
        <w:t>6</w:t>
      </w:r>
      <w:r w:rsidRPr="009C2BAB">
        <w:t>(1): 18-44.</w:t>
      </w:r>
    </w:p>
    <w:p w14:paraId="1C50BE83" w14:textId="77777777" w:rsidR="00481DF9" w:rsidRPr="00CA2A69" w:rsidRDefault="00481DF9" w:rsidP="00481DF9">
      <w:pPr>
        <w:pStyle w:val="FootnoteText"/>
        <w:keepLines/>
        <w:widowControl w:val="0"/>
        <w:spacing w:afterLines="120" w:after="288"/>
        <w:rPr>
          <w:sz w:val="21"/>
          <w:szCs w:val="21"/>
        </w:rPr>
      </w:pPr>
      <w:r w:rsidRPr="00970592">
        <w:rPr>
          <w:sz w:val="21"/>
          <w:szCs w:val="21"/>
        </w:rPr>
        <w:t xml:space="preserve">Tan, P. (2019). ‘Listening to young children: A mosaic approach – Research </w:t>
      </w:r>
      <w:proofErr w:type="spellStart"/>
      <w:r w:rsidRPr="00970592">
        <w:rPr>
          <w:sz w:val="21"/>
          <w:szCs w:val="21"/>
        </w:rPr>
        <w:t>perpsectives</w:t>
      </w:r>
      <w:proofErr w:type="spellEnd"/>
      <w:r w:rsidRPr="00970592">
        <w:rPr>
          <w:sz w:val="21"/>
          <w:szCs w:val="21"/>
        </w:rPr>
        <w:t xml:space="preserve"> from two children and dinosaurs’, </w:t>
      </w:r>
      <w:r w:rsidRPr="00970592">
        <w:rPr>
          <w:i/>
          <w:sz w:val="21"/>
          <w:szCs w:val="21"/>
        </w:rPr>
        <w:t>Simon Fraser University Education Review</w:t>
      </w:r>
      <w:r w:rsidRPr="00970592">
        <w:rPr>
          <w:sz w:val="21"/>
          <w:szCs w:val="21"/>
        </w:rPr>
        <w:t xml:space="preserve"> 12(</w:t>
      </w:r>
      <w:r w:rsidRPr="00970592">
        <w:rPr>
          <w:i/>
          <w:sz w:val="21"/>
          <w:szCs w:val="21"/>
        </w:rPr>
        <w:t>2</w:t>
      </w:r>
      <w:r w:rsidRPr="00970592">
        <w:rPr>
          <w:sz w:val="21"/>
          <w:szCs w:val="21"/>
        </w:rPr>
        <w:t xml:space="preserve">): </w:t>
      </w:r>
      <w:r>
        <w:rPr>
          <w:sz w:val="21"/>
          <w:szCs w:val="21"/>
        </w:rPr>
        <w:t>64-78.</w:t>
      </w:r>
    </w:p>
    <w:p w14:paraId="60A970CB" w14:textId="77777777" w:rsidR="00481DF9" w:rsidRPr="00236338" w:rsidRDefault="00481DF9" w:rsidP="00481DF9">
      <w:pPr>
        <w:pStyle w:val="FootnoteText"/>
        <w:keepLines/>
        <w:widowControl w:val="0"/>
        <w:spacing w:afterLines="120" w:after="288"/>
      </w:pPr>
      <w:r>
        <w:rPr>
          <w:sz w:val="21"/>
          <w:szCs w:val="21"/>
        </w:rPr>
        <w:t xml:space="preserve">United Nations Human Rights Office of the High Commissioner, ‘Convention on the Rights of the Child’, </w:t>
      </w:r>
      <w:hyperlink r:id="rId94" w:history="1">
        <w:r w:rsidRPr="009B0855">
          <w:rPr>
            <w:rStyle w:val="Hyperlink"/>
            <w:sz w:val="21"/>
            <w:szCs w:val="21"/>
          </w:rPr>
          <w:t>https://www.ohchr.org/en/instruments-mechanisms/instruments/convention-rights-child</w:t>
        </w:r>
      </w:hyperlink>
      <w:r>
        <w:rPr>
          <w:sz w:val="21"/>
          <w:szCs w:val="21"/>
        </w:rPr>
        <w:t>.</w:t>
      </w:r>
    </w:p>
    <w:p w14:paraId="5F590757" w14:textId="77777777" w:rsidR="00481DF9" w:rsidRDefault="00481DF9" w:rsidP="00481DF9">
      <w:pPr>
        <w:spacing w:before="0" w:afterLines="120" w:after="288"/>
      </w:pPr>
      <w:r>
        <w:t xml:space="preserve">Watts, L. L., Todd, E. M., Mulhearn, T. J., Medeiros, K. E., Mumford, M. D., &amp; Connelly, S. (2017). ‘Qualitative evaluation methods in ethics education: A systematic review and analysis of best practices’, </w:t>
      </w:r>
      <w:r>
        <w:rPr>
          <w:i/>
          <w:iCs/>
        </w:rPr>
        <w:t>Accountability in Research</w:t>
      </w:r>
      <w:r>
        <w:t xml:space="preserve"> 24(</w:t>
      </w:r>
      <w:r>
        <w:rPr>
          <w:i/>
          <w:iCs/>
        </w:rPr>
        <w:t>4</w:t>
      </w:r>
      <w:r>
        <w:t>): 225-242.</w:t>
      </w:r>
    </w:p>
    <w:p w14:paraId="757B8E83" w14:textId="77777777" w:rsidR="00481DF9" w:rsidRPr="009C2BAB" w:rsidRDefault="00481DF9" w:rsidP="00481DF9">
      <w:pPr>
        <w:spacing w:before="0" w:afterLines="120" w:after="288"/>
      </w:pPr>
      <w:r w:rsidRPr="009C2BAB">
        <w:t xml:space="preserve">Williams, T. L. and Parry, S. L. (2023). ‘The voice of the child in social work practice: A phenomenological analysis of practitioner interpretation and experience’, </w:t>
      </w:r>
      <w:r w:rsidRPr="009C2BAB">
        <w:rPr>
          <w:i/>
          <w:iCs/>
        </w:rPr>
        <w:t xml:space="preserve">Children and Youth Services Review </w:t>
      </w:r>
      <w:r w:rsidRPr="009C2BAB">
        <w:t xml:space="preserve">148, </w:t>
      </w:r>
      <w:hyperlink r:id="rId95" w:history="1">
        <w:r w:rsidRPr="009C2BAB">
          <w:rPr>
            <w:rStyle w:val="Hyperlink"/>
          </w:rPr>
          <w:t>https://www.sciencedirect.com/science/article/pii/S0190740923001007/pdfft?md5=701d84ab9e6d7d2a470b4f34ce682867&amp;pid=1-s2.0-S0190740923001007-main.pdf</w:t>
        </w:r>
      </w:hyperlink>
      <w:r w:rsidRPr="009C2BAB">
        <w:t>.</w:t>
      </w:r>
    </w:p>
    <w:p w14:paraId="4D974DC9" w14:textId="77777777" w:rsidR="00481DF9" w:rsidRDefault="00481DF9" w:rsidP="005B0009"/>
    <w:p w14:paraId="7B756E78" w14:textId="77777777" w:rsidR="00481DF9" w:rsidRPr="00970592" w:rsidRDefault="00481DF9" w:rsidP="00481DF9">
      <w:pPr>
        <w:rPr>
          <w:b/>
        </w:rPr>
      </w:pPr>
      <w:r w:rsidRPr="00970592">
        <w:rPr>
          <w:b/>
        </w:rPr>
        <w:lastRenderedPageBreak/>
        <w:t>Attachment 1: Selected Australian and international studies on children’s contributions to policymaking</w:t>
      </w:r>
    </w:p>
    <w:tbl>
      <w:tblPr>
        <w:tblStyle w:val="GridTable4-Accent11"/>
        <w:tblW w:w="9067" w:type="dxa"/>
        <w:tblLook w:val="04A0" w:firstRow="1" w:lastRow="0" w:firstColumn="1" w:lastColumn="0" w:noHBand="0" w:noVBand="1"/>
      </w:tblPr>
      <w:tblGrid>
        <w:gridCol w:w="2547"/>
        <w:gridCol w:w="3969"/>
        <w:gridCol w:w="2551"/>
      </w:tblGrid>
      <w:tr w:rsidR="00481DF9" w:rsidRPr="00ED5342" w14:paraId="3B368C3A" w14:textId="77777777" w:rsidTr="00481D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31BEB0D" w14:textId="77777777" w:rsidR="00481DF9" w:rsidRPr="00970592" w:rsidRDefault="00481DF9" w:rsidP="00481DF9">
            <w:pPr>
              <w:spacing w:before="0" w:after="0"/>
              <w:rPr>
                <w:rFonts w:eastAsia="Calibri" w:cs="Times New Roman"/>
                <w:kern w:val="2"/>
                <w14:ligatures w14:val="standardContextual"/>
              </w:rPr>
            </w:pPr>
            <w:r w:rsidRPr="00970592">
              <w:rPr>
                <w:rFonts w:eastAsia="Calibri" w:cs="Times New Roman"/>
                <w:kern w:val="2"/>
                <w14:ligatures w14:val="standardContextual"/>
              </w:rPr>
              <w:t>Article/study title</w:t>
            </w:r>
          </w:p>
        </w:tc>
        <w:tc>
          <w:tcPr>
            <w:tcW w:w="3969" w:type="dxa"/>
          </w:tcPr>
          <w:p w14:paraId="41153C7F" w14:textId="77777777" w:rsidR="00481DF9" w:rsidRPr="00970592" w:rsidRDefault="00481DF9" w:rsidP="00481DF9">
            <w:pPr>
              <w:spacing w:before="0" w:after="0"/>
              <w:cnfStyle w:val="100000000000" w:firstRow="1" w:lastRow="0" w:firstColumn="0" w:lastColumn="0" w:oddVBand="0" w:evenVBand="0" w:oddHBand="0"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Content/purpose</w:t>
            </w:r>
          </w:p>
        </w:tc>
        <w:tc>
          <w:tcPr>
            <w:tcW w:w="2551" w:type="dxa"/>
          </w:tcPr>
          <w:p w14:paraId="66BEA7C1" w14:textId="77777777" w:rsidR="00481DF9" w:rsidRPr="00970592" w:rsidRDefault="00481DF9" w:rsidP="00481DF9">
            <w:pPr>
              <w:spacing w:before="0" w:after="0"/>
              <w:cnfStyle w:val="100000000000" w:firstRow="1" w:lastRow="0" w:firstColumn="0" w:lastColumn="0" w:oddVBand="0" w:evenVBand="0" w:oddHBand="0"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Author/s</w:t>
            </w:r>
          </w:p>
        </w:tc>
      </w:tr>
      <w:tr w:rsidR="00481DF9" w:rsidRPr="00ED5342" w14:paraId="446AEC37" w14:textId="77777777" w:rsidTr="00481D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6AE633D" w14:textId="77777777" w:rsidR="00481DF9" w:rsidRPr="00970592" w:rsidRDefault="00481DF9" w:rsidP="00481DF9">
            <w:pPr>
              <w:spacing w:before="0" w:after="0"/>
              <w:rPr>
                <w:rFonts w:eastAsia="Calibri" w:cs="Times New Roman"/>
                <w:b w:val="0"/>
                <w:kern w:val="2"/>
                <w14:ligatures w14:val="standardContextual"/>
              </w:rPr>
            </w:pPr>
            <w:r w:rsidRPr="00970592">
              <w:rPr>
                <w:rFonts w:eastAsia="Calibri" w:cs="Times New Roman"/>
                <w:kern w:val="2"/>
                <w14:ligatures w14:val="standardContextual"/>
              </w:rPr>
              <w:t>‘Play, create and learn: What matters most for five-year-olds’</w:t>
            </w:r>
          </w:p>
        </w:tc>
        <w:tc>
          <w:tcPr>
            <w:tcW w:w="3969" w:type="dxa"/>
          </w:tcPr>
          <w:p w14:paraId="5B21F0A7" w14:textId="77777777" w:rsidR="00481DF9" w:rsidRPr="00970592" w:rsidRDefault="00481DF9" w:rsidP="00481DF9">
            <w:pPr>
              <w:spacing w:before="0" w:after="0"/>
              <w:cnfStyle w:val="000000100000" w:firstRow="0" w:lastRow="0" w:firstColumn="0" w:lastColumn="0" w:oddVBand="0" w:evenVBand="0" w:oddHBand="1"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Presents findings from a multi-country survey that had collected insights from pre-schoolers on their experiences of formal early learning settings</w:t>
            </w:r>
          </w:p>
        </w:tc>
        <w:tc>
          <w:tcPr>
            <w:tcW w:w="2551" w:type="dxa"/>
          </w:tcPr>
          <w:p w14:paraId="401A1A2C" w14:textId="77777777" w:rsidR="00481DF9" w:rsidRPr="00970592" w:rsidRDefault="00481DF9" w:rsidP="00481DF9">
            <w:pPr>
              <w:spacing w:before="0" w:after="0"/>
              <w:cnfStyle w:val="000000100000" w:firstRow="0" w:lastRow="0" w:firstColumn="0" w:lastColumn="0" w:oddVBand="0" w:evenVBand="0" w:oddHBand="1"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OECD (2021)</w:t>
            </w:r>
            <w:r w:rsidRPr="00970592">
              <w:rPr>
                <w:rFonts w:eastAsia="Calibri" w:cs="Times New Roman"/>
                <w:kern w:val="2"/>
                <w:vertAlign w:val="superscript"/>
                <w14:ligatures w14:val="standardContextual"/>
              </w:rPr>
              <w:endnoteReference w:id="20"/>
            </w:r>
          </w:p>
        </w:tc>
      </w:tr>
      <w:tr w:rsidR="00481DF9" w:rsidRPr="00ED5342" w14:paraId="0F806C4A" w14:textId="77777777" w:rsidTr="00481DF9">
        <w:tc>
          <w:tcPr>
            <w:cnfStyle w:val="001000000000" w:firstRow="0" w:lastRow="0" w:firstColumn="1" w:lastColumn="0" w:oddVBand="0" w:evenVBand="0" w:oddHBand="0" w:evenHBand="0" w:firstRowFirstColumn="0" w:firstRowLastColumn="0" w:lastRowFirstColumn="0" w:lastRowLastColumn="0"/>
            <w:tcW w:w="2547" w:type="dxa"/>
          </w:tcPr>
          <w:p w14:paraId="54F4D8D7" w14:textId="77777777" w:rsidR="00481DF9" w:rsidRPr="00970592" w:rsidRDefault="00481DF9" w:rsidP="00481DF9">
            <w:pPr>
              <w:spacing w:before="0" w:after="0"/>
              <w:rPr>
                <w:rFonts w:eastAsia="Calibri" w:cs="Times New Roman"/>
                <w:b w:val="0"/>
                <w:kern w:val="2"/>
                <w14:ligatures w14:val="standardContextual"/>
              </w:rPr>
            </w:pPr>
            <w:r w:rsidRPr="00970592">
              <w:rPr>
                <w:rFonts w:eastAsia="Calibri" w:cs="Times New Roman"/>
                <w:kern w:val="2"/>
                <w14:ligatures w14:val="standardContextual"/>
              </w:rPr>
              <w:t>‘Conceptualising the education and care workforce from the perspective of children and young people’</w:t>
            </w:r>
          </w:p>
        </w:tc>
        <w:tc>
          <w:tcPr>
            <w:tcW w:w="3969" w:type="dxa"/>
          </w:tcPr>
          <w:p w14:paraId="502F884C" w14:textId="77777777" w:rsidR="00481DF9" w:rsidRPr="00970592" w:rsidRDefault="00481DF9" w:rsidP="00481DF9">
            <w:pPr>
              <w:spacing w:before="0" w:after="0"/>
              <w:cnfStyle w:val="000000000000" w:firstRow="0" w:lastRow="0" w:firstColumn="0" w:lastColumn="0" w:oddVBand="0" w:evenVBand="0" w:oddHBand="0"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Explores the consultative process used to gather children’s perspectives and insights to inform the updated Approved Learning Frameworks, noted above in Figure 4. The consultations collected the opinions of between 92 and 148 children in ECEC settings over three stages (alongside a smaller cohort of children in outside school hours care settings)</w:t>
            </w:r>
          </w:p>
        </w:tc>
        <w:tc>
          <w:tcPr>
            <w:tcW w:w="2551" w:type="dxa"/>
          </w:tcPr>
          <w:p w14:paraId="4A8C9D6E" w14:textId="77777777" w:rsidR="00481DF9" w:rsidRPr="00970592" w:rsidRDefault="00481DF9" w:rsidP="00481DF9">
            <w:pPr>
              <w:spacing w:before="0" w:after="0"/>
              <w:cnfStyle w:val="000000000000" w:firstRow="0" w:lastRow="0" w:firstColumn="0" w:lastColumn="0" w:oddVBand="0" w:evenVBand="0" w:oddHBand="0"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 xml:space="preserve">Cartmel </w:t>
            </w:r>
            <w:r w:rsidRPr="00970592">
              <w:rPr>
                <w:rFonts w:eastAsia="Calibri" w:cs="Times New Roman"/>
                <w:i/>
                <w:kern w:val="2"/>
                <w14:ligatures w14:val="standardContextual"/>
              </w:rPr>
              <w:t>et al</w:t>
            </w:r>
            <w:r w:rsidRPr="00970592">
              <w:rPr>
                <w:rFonts w:eastAsia="Calibri" w:cs="Times New Roman"/>
                <w:kern w:val="2"/>
                <w14:ligatures w14:val="standardContextual"/>
              </w:rPr>
              <w:t xml:space="preserve"> (2023)</w:t>
            </w:r>
            <w:r w:rsidRPr="00970592">
              <w:rPr>
                <w:rFonts w:eastAsia="Calibri" w:cs="Times New Roman"/>
                <w:kern w:val="2"/>
                <w:vertAlign w:val="superscript"/>
                <w14:ligatures w14:val="standardContextual"/>
              </w:rPr>
              <w:endnoteReference w:id="21"/>
            </w:r>
          </w:p>
        </w:tc>
      </w:tr>
      <w:tr w:rsidR="00481DF9" w:rsidRPr="00ED5342" w14:paraId="0F7D9D7C" w14:textId="77777777" w:rsidTr="00481D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CC718DE" w14:textId="77777777" w:rsidR="00481DF9" w:rsidRPr="00970592" w:rsidRDefault="00481DF9" w:rsidP="00481DF9">
            <w:pPr>
              <w:spacing w:before="0" w:after="0"/>
              <w:rPr>
                <w:rFonts w:eastAsia="Calibri" w:cs="Times New Roman"/>
                <w:b w:val="0"/>
                <w:kern w:val="2"/>
                <w14:ligatures w14:val="standardContextual"/>
              </w:rPr>
            </w:pPr>
            <w:r w:rsidRPr="00970592">
              <w:rPr>
                <w:rFonts w:eastAsia="Calibri" w:cs="Times New Roman"/>
                <w:kern w:val="2"/>
                <w14:ligatures w14:val="standardContextual"/>
              </w:rPr>
              <w:t>‘“We’re not useless, we know stuff!” Gathering children’s voices to inform policy’</w:t>
            </w:r>
          </w:p>
        </w:tc>
        <w:tc>
          <w:tcPr>
            <w:tcW w:w="3969" w:type="dxa"/>
          </w:tcPr>
          <w:p w14:paraId="0D11C927" w14:textId="77777777" w:rsidR="00481DF9" w:rsidRPr="00970592" w:rsidRDefault="00481DF9" w:rsidP="00481DF9">
            <w:pPr>
              <w:spacing w:before="0" w:after="0"/>
              <w:cnfStyle w:val="000000100000" w:firstRow="0" w:lastRow="0" w:firstColumn="0" w:lastColumn="0" w:oddVBand="0" w:evenVBand="0" w:oddHBand="1"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Covers similar ground to the above Cartmel et al article, focussing on Stages 1 and 2 of the consultations</w:t>
            </w:r>
          </w:p>
        </w:tc>
        <w:tc>
          <w:tcPr>
            <w:tcW w:w="2551" w:type="dxa"/>
          </w:tcPr>
          <w:p w14:paraId="7E5EA219" w14:textId="77777777" w:rsidR="00481DF9" w:rsidRPr="00970592" w:rsidRDefault="00481DF9" w:rsidP="00481DF9">
            <w:pPr>
              <w:spacing w:before="0" w:after="0"/>
              <w:cnfStyle w:val="000000100000" w:firstRow="0" w:lastRow="0" w:firstColumn="0" w:lastColumn="0" w:oddVBand="0" w:evenVBand="0" w:oddHBand="1" w:evenHBand="0" w:firstRowFirstColumn="0" w:firstRowLastColumn="0" w:lastRowFirstColumn="0" w:lastRowLastColumn="0"/>
              <w:rPr>
                <w:rFonts w:eastAsia="Calibri" w:cs="Times New Roman"/>
                <w:kern w:val="2"/>
                <w14:ligatures w14:val="standardContextual"/>
              </w:rPr>
            </w:pPr>
            <w:proofErr w:type="spellStart"/>
            <w:r w:rsidRPr="00970592">
              <w:rPr>
                <w:rFonts w:eastAsia="Calibri" w:cs="Times New Roman"/>
                <w:kern w:val="2"/>
                <w14:ligatures w14:val="standardContextual"/>
              </w:rPr>
              <w:t>Barblett</w:t>
            </w:r>
            <w:proofErr w:type="spellEnd"/>
            <w:r w:rsidRPr="00970592">
              <w:rPr>
                <w:rFonts w:eastAsia="Calibri" w:cs="Times New Roman"/>
                <w:kern w:val="2"/>
                <w14:ligatures w14:val="standardContextual"/>
              </w:rPr>
              <w:t xml:space="preserve"> </w:t>
            </w:r>
            <w:r w:rsidRPr="00970592">
              <w:rPr>
                <w:rFonts w:eastAsia="Calibri" w:cs="Times New Roman"/>
                <w:i/>
                <w:kern w:val="2"/>
                <w14:ligatures w14:val="standardContextual"/>
              </w:rPr>
              <w:t>et al</w:t>
            </w:r>
            <w:r w:rsidRPr="00970592">
              <w:rPr>
                <w:rFonts w:eastAsia="Calibri" w:cs="Times New Roman"/>
                <w:kern w:val="2"/>
                <w14:ligatures w14:val="standardContextual"/>
              </w:rPr>
              <w:t xml:space="preserve"> (2022)</w:t>
            </w:r>
            <w:r w:rsidRPr="00970592">
              <w:rPr>
                <w:rFonts w:eastAsia="Calibri" w:cs="Times New Roman"/>
                <w:kern w:val="2"/>
                <w:vertAlign w:val="superscript"/>
                <w14:ligatures w14:val="standardContextual"/>
              </w:rPr>
              <w:endnoteReference w:id="22"/>
            </w:r>
          </w:p>
        </w:tc>
      </w:tr>
      <w:tr w:rsidR="00481DF9" w:rsidRPr="00ED5342" w14:paraId="6AA63F29" w14:textId="77777777" w:rsidTr="00481DF9">
        <w:tc>
          <w:tcPr>
            <w:cnfStyle w:val="001000000000" w:firstRow="0" w:lastRow="0" w:firstColumn="1" w:lastColumn="0" w:oddVBand="0" w:evenVBand="0" w:oddHBand="0" w:evenHBand="0" w:firstRowFirstColumn="0" w:firstRowLastColumn="0" w:lastRowFirstColumn="0" w:lastRowLastColumn="0"/>
            <w:tcW w:w="2547" w:type="dxa"/>
          </w:tcPr>
          <w:p w14:paraId="610F5006" w14:textId="77777777" w:rsidR="00481DF9" w:rsidRPr="00970592" w:rsidRDefault="00481DF9" w:rsidP="00481DF9">
            <w:pPr>
              <w:spacing w:before="0" w:after="0"/>
              <w:rPr>
                <w:rFonts w:eastAsia="Calibri" w:cs="Times New Roman"/>
                <w:b w:val="0"/>
                <w:kern w:val="2"/>
                <w14:ligatures w14:val="standardContextual"/>
              </w:rPr>
            </w:pPr>
            <w:r w:rsidRPr="00970592">
              <w:rPr>
                <w:rFonts w:eastAsia="Calibri" w:cs="Times New Roman"/>
                <w:b w:val="0"/>
                <w:kern w:val="2"/>
                <w14:ligatures w14:val="standardContextual"/>
              </w:rPr>
              <w:t>‘Young children’s voices about their local communities’</w:t>
            </w:r>
          </w:p>
        </w:tc>
        <w:tc>
          <w:tcPr>
            <w:tcW w:w="3969" w:type="dxa"/>
          </w:tcPr>
          <w:p w14:paraId="237DD5F1" w14:textId="77777777" w:rsidR="00481DF9" w:rsidRPr="00970592" w:rsidRDefault="00481DF9" w:rsidP="00481DF9">
            <w:pPr>
              <w:spacing w:before="0" w:after="0"/>
              <w:cnfStyle w:val="000000000000" w:firstRow="0" w:lastRow="0" w:firstColumn="0" w:lastColumn="0" w:oddVBand="0" w:evenVBand="0" w:oddHBand="0"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Details the consultative process adopted by the South Australian Government to collect children’s contributions to a review of the State Strategic Plan</w:t>
            </w:r>
          </w:p>
        </w:tc>
        <w:tc>
          <w:tcPr>
            <w:tcW w:w="2551" w:type="dxa"/>
          </w:tcPr>
          <w:p w14:paraId="2D853746" w14:textId="77777777" w:rsidR="00481DF9" w:rsidRPr="00970592" w:rsidRDefault="00481DF9" w:rsidP="00481DF9">
            <w:pPr>
              <w:spacing w:before="0" w:after="0"/>
              <w:cnfStyle w:val="000000000000" w:firstRow="0" w:lastRow="0" w:firstColumn="0" w:lastColumn="0" w:oddVBand="0" w:evenVBand="0" w:oddHBand="0"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 xml:space="preserve">Harris, P. and </w:t>
            </w:r>
            <w:proofErr w:type="spellStart"/>
            <w:r w:rsidRPr="00970592">
              <w:rPr>
                <w:rFonts w:eastAsia="Calibri" w:cs="Times New Roman"/>
                <w:kern w:val="2"/>
                <w14:ligatures w14:val="standardContextual"/>
              </w:rPr>
              <w:t>Manatakis</w:t>
            </w:r>
            <w:proofErr w:type="spellEnd"/>
            <w:r w:rsidRPr="00970592">
              <w:rPr>
                <w:rFonts w:eastAsia="Calibri" w:cs="Times New Roman"/>
                <w:kern w:val="2"/>
                <w14:ligatures w14:val="standardContextual"/>
              </w:rPr>
              <w:t>, H. (2013)</w:t>
            </w:r>
            <w:r w:rsidRPr="00970592">
              <w:rPr>
                <w:rFonts w:eastAsia="Calibri" w:cs="Times New Roman"/>
                <w:kern w:val="2"/>
                <w:vertAlign w:val="superscript"/>
                <w14:ligatures w14:val="standardContextual"/>
              </w:rPr>
              <w:endnoteReference w:id="23"/>
            </w:r>
          </w:p>
        </w:tc>
      </w:tr>
      <w:tr w:rsidR="00481DF9" w:rsidRPr="00ED5342" w14:paraId="6620B4EF" w14:textId="77777777" w:rsidTr="00481D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6D1F3B8" w14:textId="77777777" w:rsidR="00481DF9" w:rsidRPr="00970592" w:rsidRDefault="00481DF9" w:rsidP="00481DF9">
            <w:pPr>
              <w:spacing w:before="0" w:after="0"/>
              <w:rPr>
                <w:rFonts w:eastAsia="Calibri" w:cs="Times New Roman"/>
                <w:b w:val="0"/>
                <w:kern w:val="2"/>
                <w14:ligatures w14:val="standardContextual"/>
              </w:rPr>
            </w:pPr>
            <w:r w:rsidRPr="00970592">
              <w:rPr>
                <w:rFonts w:eastAsia="Calibri" w:cs="Times New Roman"/>
                <w:kern w:val="2"/>
                <w14:ligatures w14:val="standardContextual"/>
              </w:rPr>
              <w:t>‘Influences on children’s voices in family support services: Practitioner perspectives’</w:t>
            </w:r>
          </w:p>
        </w:tc>
        <w:tc>
          <w:tcPr>
            <w:tcW w:w="3969" w:type="dxa"/>
          </w:tcPr>
          <w:p w14:paraId="3F7F9BEE" w14:textId="77777777" w:rsidR="00481DF9" w:rsidRPr="00970592" w:rsidRDefault="00481DF9" w:rsidP="00481DF9">
            <w:pPr>
              <w:spacing w:before="0" w:after="0"/>
              <w:cnfStyle w:val="000000100000" w:firstRow="0" w:lastRow="0" w:firstColumn="0" w:lastColumn="0" w:oddVBand="0" w:evenVBand="0" w:oddHBand="1"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Details a survey that collected children’s perspectives about their experiences of family support services delivered by NGOs (in an Australian context). The study notes that despite there being a substantial body of research on children’s perspectives of statutory or out-of-home care, very little research had been undertaken into the NGO context</w:t>
            </w:r>
          </w:p>
        </w:tc>
        <w:tc>
          <w:tcPr>
            <w:tcW w:w="2551" w:type="dxa"/>
          </w:tcPr>
          <w:p w14:paraId="1D8DDB3F" w14:textId="77777777" w:rsidR="00481DF9" w:rsidRPr="00970592" w:rsidRDefault="00481DF9" w:rsidP="00481DF9">
            <w:pPr>
              <w:spacing w:before="0" w:after="0"/>
              <w:cnfStyle w:val="000000100000" w:firstRow="0" w:lastRow="0" w:firstColumn="0" w:lastColumn="0" w:oddVBand="0" w:evenVBand="0" w:oddHBand="1"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Harkin, J., Stafford, L., &amp; Leggat-Cook, C. (2020)</w:t>
            </w:r>
            <w:r w:rsidRPr="00970592">
              <w:rPr>
                <w:rFonts w:eastAsia="Calibri" w:cs="Times New Roman"/>
                <w:kern w:val="2"/>
                <w:vertAlign w:val="superscript"/>
                <w14:ligatures w14:val="standardContextual"/>
              </w:rPr>
              <w:endnoteReference w:id="24"/>
            </w:r>
          </w:p>
        </w:tc>
      </w:tr>
      <w:tr w:rsidR="00481DF9" w:rsidRPr="00ED5342" w14:paraId="0682D360" w14:textId="77777777" w:rsidTr="00481DF9">
        <w:tc>
          <w:tcPr>
            <w:cnfStyle w:val="001000000000" w:firstRow="0" w:lastRow="0" w:firstColumn="1" w:lastColumn="0" w:oddVBand="0" w:evenVBand="0" w:oddHBand="0" w:evenHBand="0" w:firstRowFirstColumn="0" w:firstRowLastColumn="0" w:lastRowFirstColumn="0" w:lastRowLastColumn="0"/>
            <w:tcW w:w="2547" w:type="dxa"/>
          </w:tcPr>
          <w:p w14:paraId="0FCA25BF" w14:textId="77777777" w:rsidR="00481DF9" w:rsidRPr="00970592" w:rsidRDefault="00481DF9" w:rsidP="00481DF9">
            <w:pPr>
              <w:spacing w:before="0" w:after="0"/>
              <w:rPr>
                <w:rFonts w:eastAsia="Calibri" w:cs="Times New Roman"/>
                <w:b w:val="0"/>
                <w:kern w:val="2"/>
                <w14:ligatures w14:val="standardContextual"/>
              </w:rPr>
            </w:pPr>
            <w:r w:rsidRPr="00970592">
              <w:rPr>
                <w:rFonts w:eastAsia="Calibri" w:cs="Times New Roman"/>
                <w:kern w:val="2"/>
                <w14:ligatures w14:val="standardContextual"/>
              </w:rPr>
              <w:t>‘Trusting children to enhance youth justice policy: The importance and value of children’s voices’</w:t>
            </w:r>
          </w:p>
        </w:tc>
        <w:tc>
          <w:tcPr>
            <w:tcW w:w="3969" w:type="dxa"/>
          </w:tcPr>
          <w:p w14:paraId="5916B999" w14:textId="77777777" w:rsidR="00481DF9" w:rsidRPr="00970592" w:rsidRDefault="00481DF9" w:rsidP="00481DF9">
            <w:pPr>
              <w:spacing w:before="0" w:after="0"/>
              <w:cnfStyle w:val="000000000000" w:firstRow="0" w:lastRow="0" w:firstColumn="0" w:lastColumn="0" w:oddVBand="0" w:evenVBand="0" w:oddHBand="0"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 xml:space="preserve">UK-based study that examines the lack of (and need for greater) participation by children in youth justice policy development </w:t>
            </w:r>
          </w:p>
        </w:tc>
        <w:tc>
          <w:tcPr>
            <w:tcW w:w="2551" w:type="dxa"/>
          </w:tcPr>
          <w:p w14:paraId="57DAF8AC" w14:textId="77777777" w:rsidR="00481DF9" w:rsidRPr="00970592" w:rsidRDefault="00481DF9" w:rsidP="00481DF9">
            <w:pPr>
              <w:spacing w:before="0" w:after="0"/>
              <w:cnfStyle w:val="000000000000" w:firstRow="0" w:lastRow="0" w:firstColumn="0" w:lastColumn="0" w:oddVBand="0" w:evenVBand="0" w:oddHBand="0"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 xml:space="preserve">Case </w:t>
            </w:r>
            <w:r w:rsidRPr="00970592">
              <w:rPr>
                <w:rFonts w:eastAsia="Calibri" w:cs="Times New Roman"/>
                <w:i/>
                <w:kern w:val="2"/>
                <w14:ligatures w14:val="standardContextual"/>
              </w:rPr>
              <w:t>et al</w:t>
            </w:r>
            <w:r w:rsidRPr="00970592">
              <w:rPr>
                <w:rFonts w:eastAsia="Calibri" w:cs="Times New Roman"/>
                <w:kern w:val="2"/>
                <w14:ligatures w14:val="standardContextual"/>
              </w:rPr>
              <w:t xml:space="preserve"> (2020)</w:t>
            </w:r>
            <w:r w:rsidRPr="00970592">
              <w:rPr>
                <w:rFonts w:eastAsia="Calibri" w:cs="Times New Roman"/>
                <w:kern w:val="2"/>
                <w:vertAlign w:val="superscript"/>
                <w14:ligatures w14:val="standardContextual"/>
              </w:rPr>
              <w:endnoteReference w:id="25"/>
            </w:r>
          </w:p>
        </w:tc>
      </w:tr>
      <w:tr w:rsidR="00481DF9" w:rsidRPr="00ED5342" w14:paraId="5DE5E3AA" w14:textId="77777777" w:rsidTr="00481D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3F3CB23" w14:textId="77777777" w:rsidR="00481DF9" w:rsidRPr="00970592" w:rsidRDefault="00481DF9" w:rsidP="00481DF9">
            <w:pPr>
              <w:spacing w:before="0" w:after="0"/>
              <w:rPr>
                <w:rFonts w:eastAsia="Calibri" w:cs="Times New Roman"/>
                <w:b w:val="0"/>
                <w:kern w:val="2"/>
                <w14:ligatures w14:val="standardContextual"/>
              </w:rPr>
            </w:pPr>
            <w:r w:rsidRPr="00970592">
              <w:rPr>
                <w:rFonts w:eastAsia="Calibri" w:cs="Times New Roman"/>
                <w:kern w:val="2"/>
                <w14:ligatures w14:val="standardContextual"/>
              </w:rPr>
              <w:t xml:space="preserve">‘The voice of the child in social work practice: A phenomenological analysis of practitioner </w:t>
            </w:r>
            <w:r w:rsidRPr="00970592">
              <w:rPr>
                <w:rFonts w:eastAsia="Calibri" w:cs="Times New Roman"/>
                <w:kern w:val="2"/>
                <w14:ligatures w14:val="standardContextual"/>
              </w:rPr>
              <w:lastRenderedPageBreak/>
              <w:t>interpretation and experience’</w:t>
            </w:r>
          </w:p>
        </w:tc>
        <w:tc>
          <w:tcPr>
            <w:tcW w:w="3969" w:type="dxa"/>
          </w:tcPr>
          <w:p w14:paraId="1AC4DF93" w14:textId="77777777" w:rsidR="00481DF9" w:rsidRPr="00970592" w:rsidRDefault="00481DF9" w:rsidP="00481DF9">
            <w:pPr>
              <w:spacing w:before="0" w:after="0"/>
              <w:cnfStyle w:val="000000100000" w:firstRow="0" w:lastRow="0" w:firstColumn="0" w:lastColumn="0" w:oddVBand="0" w:evenVBand="0" w:oddHBand="1"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lastRenderedPageBreak/>
              <w:t>Looks into the paucity of children’s voice in the framing and shaping of UK policy and legislation relating to the child protection system</w:t>
            </w:r>
          </w:p>
        </w:tc>
        <w:tc>
          <w:tcPr>
            <w:tcW w:w="2551" w:type="dxa"/>
          </w:tcPr>
          <w:p w14:paraId="0DC1C66C" w14:textId="77777777" w:rsidR="00481DF9" w:rsidRPr="00970592" w:rsidRDefault="00481DF9" w:rsidP="00481DF9">
            <w:pPr>
              <w:spacing w:before="0" w:after="0"/>
              <w:cnfStyle w:val="000000100000" w:firstRow="0" w:lastRow="0" w:firstColumn="0" w:lastColumn="0" w:oddVBand="0" w:evenVBand="0" w:oddHBand="1"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Williams, T. L. and Parry, S. L. (2023)</w:t>
            </w:r>
            <w:r w:rsidRPr="00970592">
              <w:rPr>
                <w:rFonts w:eastAsia="Calibri" w:cs="Times New Roman"/>
                <w:kern w:val="2"/>
                <w:vertAlign w:val="superscript"/>
                <w14:ligatures w14:val="standardContextual"/>
              </w:rPr>
              <w:endnoteReference w:id="26"/>
            </w:r>
          </w:p>
        </w:tc>
      </w:tr>
      <w:tr w:rsidR="00481DF9" w:rsidRPr="00ED5342" w14:paraId="4EA1C5B7" w14:textId="77777777" w:rsidTr="00481DF9">
        <w:tc>
          <w:tcPr>
            <w:cnfStyle w:val="001000000000" w:firstRow="0" w:lastRow="0" w:firstColumn="1" w:lastColumn="0" w:oddVBand="0" w:evenVBand="0" w:oddHBand="0" w:evenHBand="0" w:firstRowFirstColumn="0" w:firstRowLastColumn="0" w:lastRowFirstColumn="0" w:lastRowLastColumn="0"/>
            <w:tcW w:w="2547" w:type="dxa"/>
          </w:tcPr>
          <w:p w14:paraId="575BE712" w14:textId="77777777" w:rsidR="00481DF9" w:rsidRPr="00970592" w:rsidRDefault="00481DF9" w:rsidP="00481DF9">
            <w:pPr>
              <w:spacing w:before="0" w:after="0"/>
              <w:rPr>
                <w:rFonts w:eastAsia="Calibri" w:cs="Times New Roman"/>
                <w:b w:val="0"/>
                <w:kern w:val="2"/>
                <w14:ligatures w14:val="standardContextual"/>
              </w:rPr>
            </w:pPr>
            <w:r w:rsidRPr="00970592">
              <w:rPr>
                <w:rFonts w:eastAsia="Calibri" w:cs="Times New Roman"/>
                <w:kern w:val="2"/>
                <w14:ligatures w14:val="standardContextual"/>
              </w:rPr>
              <w:t>‘Is anyone listening? The impact of children’s participation on public policy’</w:t>
            </w:r>
          </w:p>
        </w:tc>
        <w:tc>
          <w:tcPr>
            <w:tcW w:w="3969" w:type="dxa"/>
          </w:tcPr>
          <w:p w14:paraId="7BBC701B" w14:textId="77777777" w:rsidR="00481DF9" w:rsidRPr="00970592" w:rsidRDefault="00481DF9" w:rsidP="00481DF9">
            <w:pPr>
              <w:spacing w:before="0" w:after="0"/>
              <w:cnfStyle w:val="000000000000" w:firstRow="0" w:lastRow="0" w:firstColumn="0" w:lastColumn="0" w:oddVBand="0" w:evenVBand="0" w:oddHBand="0"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 xml:space="preserve">A comparative study that examines two examples of how children’s participation has been used in policymaking – focussing on one case study in the </w:t>
            </w:r>
            <w:proofErr w:type="gramStart"/>
            <w:r w:rsidRPr="00970592">
              <w:rPr>
                <w:rFonts w:eastAsia="Calibri" w:cs="Times New Roman"/>
                <w:kern w:val="2"/>
                <w14:ligatures w14:val="standardContextual"/>
              </w:rPr>
              <w:t>UK;</w:t>
            </w:r>
            <w:proofErr w:type="gramEnd"/>
            <w:r w:rsidRPr="00970592">
              <w:rPr>
                <w:rFonts w:eastAsia="Calibri" w:cs="Times New Roman"/>
                <w:kern w:val="2"/>
                <w14:ligatures w14:val="standardContextual"/>
              </w:rPr>
              <w:t xml:space="preserve"> another in India</w:t>
            </w:r>
          </w:p>
        </w:tc>
        <w:tc>
          <w:tcPr>
            <w:tcW w:w="2551" w:type="dxa"/>
          </w:tcPr>
          <w:p w14:paraId="0725C275" w14:textId="77777777" w:rsidR="00481DF9" w:rsidRPr="00970592" w:rsidRDefault="00481DF9" w:rsidP="00481DF9">
            <w:pPr>
              <w:spacing w:before="0" w:after="0"/>
              <w:cnfStyle w:val="000000000000" w:firstRow="0" w:lastRow="0" w:firstColumn="0" w:lastColumn="0" w:oddVBand="0" w:evenVBand="0" w:oddHBand="0"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Crowley, A (2015)</w:t>
            </w:r>
            <w:r w:rsidRPr="00970592">
              <w:rPr>
                <w:rFonts w:eastAsia="Calibri" w:cs="Times New Roman"/>
                <w:kern w:val="2"/>
                <w:vertAlign w:val="superscript"/>
                <w14:ligatures w14:val="standardContextual"/>
              </w:rPr>
              <w:endnoteReference w:id="27"/>
            </w:r>
          </w:p>
        </w:tc>
      </w:tr>
      <w:tr w:rsidR="00481DF9" w:rsidRPr="00ED5342" w14:paraId="1762891C" w14:textId="77777777" w:rsidTr="00481D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F2AD4B3" w14:textId="77777777" w:rsidR="00481DF9" w:rsidRPr="00970592" w:rsidRDefault="00481DF9" w:rsidP="00481DF9">
            <w:pPr>
              <w:spacing w:before="0" w:after="0"/>
              <w:rPr>
                <w:rFonts w:eastAsia="Calibri" w:cs="Times New Roman"/>
                <w:b w:val="0"/>
                <w:kern w:val="2"/>
                <w14:ligatures w14:val="standardContextual"/>
              </w:rPr>
            </w:pPr>
            <w:r w:rsidRPr="00970592">
              <w:rPr>
                <w:rFonts w:eastAsia="Calibri" w:cs="Times New Roman"/>
                <w:kern w:val="2"/>
                <w14:ligatures w14:val="standardContextual"/>
              </w:rPr>
              <w:t>‘Policies to enable children’s voice for healthy neighbourhoods and communities: A systematic mapping review and case study’</w:t>
            </w:r>
          </w:p>
        </w:tc>
        <w:tc>
          <w:tcPr>
            <w:tcW w:w="3969" w:type="dxa"/>
          </w:tcPr>
          <w:p w14:paraId="192E9AFD" w14:textId="77777777" w:rsidR="00481DF9" w:rsidRPr="00970592" w:rsidRDefault="00481DF9" w:rsidP="00481DF9">
            <w:pPr>
              <w:spacing w:before="0" w:after="0"/>
              <w:cnfStyle w:val="000000100000" w:firstRow="0" w:lastRow="0" w:firstColumn="0" w:lastColumn="0" w:oddVBand="0" w:evenVBand="0" w:oddHBand="1"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Reviews the international literature on how children have been asked to contribute to policy development around healthy environments, with a heavy focus on grey literature (studies that have not been published for commercial purposes) from New Zealand</w:t>
            </w:r>
          </w:p>
        </w:tc>
        <w:tc>
          <w:tcPr>
            <w:tcW w:w="2551" w:type="dxa"/>
          </w:tcPr>
          <w:p w14:paraId="2BFCAC16" w14:textId="77777777" w:rsidR="00481DF9" w:rsidRPr="00970592" w:rsidRDefault="00481DF9" w:rsidP="00481DF9">
            <w:pPr>
              <w:spacing w:before="0" w:after="0"/>
              <w:cnfStyle w:val="000000100000" w:firstRow="0" w:lastRow="0" w:firstColumn="0" w:lastColumn="0" w:oddVBand="0" w:evenVBand="0" w:oddHBand="1"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 xml:space="preserve">Sullivan </w:t>
            </w:r>
            <w:r w:rsidRPr="00970592">
              <w:rPr>
                <w:rFonts w:eastAsia="Calibri" w:cs="Times New Roman"/>
                <w:i/>
                <w:kern w:val="2"/>
                <w14:ligatures w14:val="standardContextual"/>
              </w:rPr>
              <w:t>et al</w:t>
            </w:r>
            <w:r w:rsidRPr="00970592">
              <w:rPr>
                <w:rFonts w:eastAsia="Calibri" w:cs="Times New Roman"/>
                <w:kern w:val="2"/>
                <w14:ligatures w14:val="standardContextual"/>
              </w:rPr>
              <w:t xml:space="preserve"> (2020)</w:t>
            </w:r>
            <w:r w:rsidRPr="00970592">
              <w:rPr>
                <w:rFonts w:eastAsia="Calibri" w:cs="Times New Roman"/>
                <w:kern w:val="2"/>
                <w:vertAlign w:val="superscript"/>
                <w14:ligatures w14:val="standardContextual"/>
              </w:rPr>
              <w:endnoteReference w:id="28"/>
            </w:r>
          </w:p>
        </w:tc>
      </w:tr>
      <w:tr w:rsidR="00481DF9" w:rsidRPr="00A7053C" w14:paraId="78C180D2" w14:textId="77777777" w:rsidTr="00481DF9">
        <w:tc>
          <w:tcPr>
            <w:cnfStyle w:val="001000000000" w:firstRow="0" w:lastRow="0" w:firstColumn="1" w:lastColumn="0" w:oddVBand="0" w:evenVBand="0" w:oddHBand="0" w:evenHBand="0" w:firstRowFirstColumn="0" w:firstRowLastColumn="0" w:lastRowFirstColumn="0" w:lastRowLastColumn="0"/>
            <w:tcW w:w="2547" w:type="dxa"/>
          </w:tcPr>
          <w:p w14:paraId="3A32A4BB" w14:textId="77777777" w:rsidR="00481DF9" w:rsidRPr="00970592" w:rsidRDefault="00481DF9" w:rsidP="00481DF9">
            <w:pPr>
              <w:spacing w:before="0" w:after="0"/>
              <w:rPr>
                <w:rFonts w:eastAsia="Calibri" w:cs="Times New Roman"/>
                <w:b w:val="0"/>
                <w:kern w:val="2"/>
                <w14:ligatures w14:val="standardContextual"/>
              </w:rPr>
            </w:pPr>
            <w:r w:rsidRPr="00970592">
              <w:rPr>
                <w:rFonts w:eastAsia="Calibri" w:cs="Times New Roman"/>
                <w:kern w:val="2"/>
                <w14:ligatures w14:val="standardContextual"/>
              </w:rPr>
              <w:t>‘Let children plan neighbourhoods for a sustainable future: A sustainable child-friendly city approach’</w:t>
            </w:r>
          </w:p>
        </w:tc>
        <w:tc>
          <w:tcPr>
            <w:tcW w:w="3969" w:type="dxa"/>
          </w:tcPr>
          <w:p w14:paraId="43E65E31" w14:textId="77777777" w:rsidR="00481DF9" w:rsidRPr="00970592" w:rsidRDefault="00481DF9" w:rsidP="00481DF9">
            <w:pPr>
              <w:spacing w:before="0" w:after="0"/>
              <w:cnfStyle w:val="000000000000" w:firstRow="0" w:lastRow="0" w:firstColumn="0" w:lastColumn="0" w:oddVBand="0" w:evenVBand="0" w:oddHBand="0"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 xml:space="preserve">Explains a consultative study undertaken by the authors, in which children were asked to contribute their preferences, desires, and thoughts on how their neighbourhood could improve environmental sustainability and liveability </w:t>
            </w:r>
          </w:p>
        </w:tc>
        <w:tc>
          <w:tcPr>
            <w:tcW w:w="2551" w:type="dxa"/>
          </w:tcPr>
          <w:p w14:paraId="77B869D8" w14:textId="77777777" w:rsidR="00481DF9" w:rsidRPr="001B07CE" w:rsidRDefault="00481DF9" w:rsidP="00481DF9">
            <w:pPr>
              <w:spacing w:before="0" w:after="0"/>
              <w:cnfStyle w:val="000000000000" w:firstRow="0" w:lastRow="0" w:firstColumn="0" w:lastColumn="0" w:oddVBand="0" w:evenVBand="0" w:oddHBand="0" w:evenHBand="0" w:firstRowFirstColumn="0" w:firstRowLastColumn="0" w:lastRowFirstColumn="0" w:lastRowLastColumn="0"/>
              <w:rPr>
                <w:rFonts w:eastAsia="Calibri" w:cs="Times New Roman"/>
                <w:kern w:val="2"/>
                <w:lang w:val="pt-PT"/>
                <w14:ligatures w14:val="standardContextual"/>
              </w:rPr>
            </w:pPr>
            <w:r w:rsidRPr="001B07CE">
              <w:rPr>
                <w:rFonts w:eastAsia="Calibri" w:cs="Times New Roman"/>
                <w:kern w:val="2"/>
                <w:lang w:val="pt-PT"/>
                <w14:ligatures w14:val="standardContextual"/>
              </w:rPr>
              <w:t>Nasrabadi, M. T., García, E. H., &amp; Pourzakarya, M. (2021)</w:t>
            </w:r>
            <w:r w:rsidRPr="00970592">
              <w:rPr>
                <w:rFonts w:eastAsia="Calibri" w:cs="Times New Roman"/>
                <w:kern w:val="2"/>
                <w:vertAlign w:val="superscript"/>
                <w14:ligatures w14:val="standardContextual"/>
              </w:rPr>
              <w:endnoteReference w:id="29"/>
            </w:r>
          </w:p>
        </w:tc>
      </w:tr>
      <w:tr w:rsidR="00481DF9" w:rsidRPr="00ED5342" w14:paraId="737DC430" w14:textId="77777777" w:rsidTr="00481D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277F426" w14:textId="77777777" w:rsidR="00481DF9" w:rsidRPr="00970592" w:rsidRDefault="00481DF9" w:rsidP="00481DF9">
            <w:pPr>
              <w:spacing w:before="0" w:after="0"/>
              <w:rPr>
                <w:rFonts w:eastAsia="Calibri" w:cs="Times New Roman"/>
                <w:b w:val="0"/>
                <w:kern w:val="2"/>
                <w14:ligatures w14:val="standardContextual"/>
              </w:rPr>
            </w:pPr>
            <w:r w:rsidRPr="00970592">
              <w:rPr>
                <w:rFonts w:eastAsia="Calibri" w:cs="Times New Roman"/>
                <w:kern w:val="2"/>
                <w14:ligatures w14:val="standardContextual"/>
              </w:rPr>
              <w:t>‘Moving beyond voice in children and young people’s participation’</w:t>
            </w:r>
          </w:p>
        </w:tc>
        <w:tc>
          <w:tcPr>
            <w:tcW w:w="3969" w:type="dxa"/>
          </w:tcPr>
          <w:p w14:paraId="3EDE1306" w14:textId="77777777" w:rsidR="00481DF9" w:rsidRPr="00970592" w:rsidRDefault="00481DF9" w:rsidP="00481DF9">
            <w:pPr>
              <w:spacing w:before="0" w:after="0"/>
              <w:cnfStyle w:val="000000100000" w:firstRow="0" w:lastRow="0" w:firstColumn="0" w:lastColumn="0" w:oddVBand="0" w:evenVBand="0" w:oddHBand="1"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 xml:space="preserve">A comparative analysis across Nepal and the UK, this study revisits consultations with children undertaken 10 years prior, to assess the extent to which children’s perspectives were used in the shaping of policy. The article uses a theoretical framework that centres the importance of effective and meaningful intergenerational dialogue </w:t>
            </w:r>
          </w:p>
        </w:tc>
        <w:tc>
          <w:tcPr>
            <w:tcW w:w="2551" w:type="dxa"/>
          </w:tcPr>
          <w:p w14:paraId="688C9003" w14:textId="77777777" w:rsidR="00481DF9" w:rsidRPr="00970592" w:rsidRDefault="00481DF9" w:rsidP="00481DF9">
            <w:pPr>
              <w:spacing w:before="0" w:after="0"/>
              <w:cnfStyle w:val="000000100000" w:firstRow="0" w:lastRow="0" w:firstColumn="0" w:lastColumn="0" w:oddVBand="0" w:evenVBand="0" w:oddHBand="1"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Johnson, V. (2017)</w:t>
            </w:r>
            <w:r w:rsidRPr="00970592">
              <w:rPr>
                <w:rFonts w:eastAsia="Calibri" w:cs="Times New Roman"/>
                <w:kern w:val="2"/>
                <w:vertAlign w:val="superscript"/>
                <w14:ligatures w14:val="standardContextual"/>
              </w:rPr>
              <w:endnoteReference w:id="30"/>
            </w:r>
          </w:p>
        </w:tc>
      </w:tr>
      <w:tr w:rsidR="00481DF9" w:rsidRPr="00ED5342" w14:paraId="69FE045B" w14:textId="77777777" w:rsidTr="00481DF9">
        <w:tc>
          <w:tcPr>
            <w:cnfStyle w:val="001000000000" w:firstRow="0" w:lastRow="0" w:firstColumn="1" w:lastColumn="0" w:oddVBand="0" w:evenVBand="0" w:oddHBand="0" w:evenHBand="0" w:firstRowFirstColumn="0" w:firstRowLastColumn="0" w:lastRowFirstColumn="0" w:lastRowLastColumn="0"/>
            <w:tcW w:w="2547" w:type="dxa"/>
          </w:tcPr>
          <w:p w14:paraId="3ADC645E" w14:textId="77777777" w:rsidR="00481DF9" w:rsidRPr="00970592" w:rsidRDefault="00481DF9" w:rsidP="00481DF9">
            <w:pPr>
              <w:spacing w:before="0" w:after="0"/>
              <w:rPr>
                <w:rFonts w:eastAsia="Calibri" w:cs="Times New Roman"/>
                <w:b w:val="0"/>
                <w:kern w:val="2"/>
                <w14:ligatures w14:val="standardContextual"/>
              </w:rPr>
            </w:pPr>
            <w:r w:rsidRPr="00970592">
              <w:rPr>
                <w:rFonts w:eastAsia="Calibri" w:cs="Times New Roman"/>
                <w:kern w:val="2"/>
                <w14:ligatures w14:val="standardContextual"/>
              </w:rPr>
              <w:t>‘Consultations with children and young people and their impact on policy in Ireland’</w:t>
            </w:r>
          </w:p>
        </w:tc>
        <w:tc>
          <w:tcPr>
            <w:tcW w:w="3969" w:type="dxa"/>
          </w:tcPr>
          <w:p w14:paraId="34033873" w14:textId="77777777" w:rsidR="00481DF9" w:rsidRPr="00970592" w:rsidRDefault="00481DF9" w:rsidP="00481DF9">
            <w:pPr>
              <w:spacing w:before="0" w:after="0"/>
              <w:cnfStyle w:val="000000000000" w:firstRow="0" w:lastRow="0" w:firstColumn="0" w:lastColumn="0" w:oddVBand="0" w:evenVBand="0" w:oddHBand="0"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Through examination of consultations with children in the areas of health and after-school care, this study details the participatory structures for consulting with children in Ireland</w:t>
            </w:r>
          </w:p>
        </w:tc>
        <w:tc>
          <w:tcPr>
            <w:tcW w:w="2551" w:type="dxa"/>
          </w:tcPr>
          <w:p w14:paraId="7A99667F" w14:textId="77777777" w:rsidR="00481DF9" w:rsidRPr="00970592" w:rsidRDefault="00481DF9" w:rsidP="00481DF9">
            <w:pPr>
              <w:spacing w:before="0" w:after="0"/>
              <w:cnfStyle w:val="000000000000" w:firstRow="0" w:lastRow="0" w:firstColumn="0" w:lastColumn="0" w:oddVBand="0" w:evenVBand="0" w:oddHBand="0"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Horgan, D. (2017)</w:t>
            </w:r>
            <w:r w:rsidRPr="00970592">
              <w:rPr>
                <w:rFonts w:eastAsia="Calibri" w:cs="Times New Roman"/>
                <w:kern w:val="2"/>
                <w:vertAlign w:val="superscript"/>
                <w14:ligatures w14:val="standardContextual"/>
              </w:rPr>
              <w:endnoteReference w:id="31"/>
            </w:r>
          </w:p>
        </w:tc>
      </w:tr>
      <w:tr w:rsidR="00481DF9" w:rsidRPr="00ED5342" w14:paraId="4EA3F45E" w14:textId="77777777" w:rsidTr="00481D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0F9F864" w14:textId="77777777" w:rsidR="00481DF9" w:rsidRPr="00970592" w:rsidRDefault="00481DF9" w:rsidP="00481DF9">
            <w:pPr>
              <w:spacing w:before="0" w:after="0"/>
              <w:rPr>
                <w:rFonts w:eastAsia="Calibri" w:cs="Times New Roman"/>
                <w:b w:val="0"/>
                <w:kern w:val="2"/>
                <w14:ligatures w14:val="standardContextual"/>
              </w:rPr>
            </w:pPr>
            <w:r w:rsidRPr="00970592">
              <w:rPr>
                <w:rFonts w:eastAsia="Calibri" w:cs="Times New Roman"/>
                <w:kern w:val="2"/>
                <w14:ligatures w14:val="standardContextual"/>
              </w:rPr>
              <w:t>‘Consulting young children about barriers and supports to learning’</w:t>
            </w:r>
          </w:p>
        </w:tc>
        <w:tc>
          <w:tcPr>
            <w:tcW w:w="3969" w:type="dxa"/>
          </w:tcPr>
          <w:p w14:paraId="20BAEC4C" w14:textId="77777777" w:rsidR="00481DF9" w:rsidRPr="00970592" w:rsidRDefault="00481DF9" w:rsidP="00481DF9">
            <w:pPr>
              <w:spacing w:before="0" w:after="0"/>
              <w:cnfStyle w:val="000000100000" w:firstRow="0" w:lastRow="0" w:firstColumn="0" w:lastColumn="0" w:oddVBand="0" w:evenVBand="0" w:oddHBand="1"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Reviews the efficacy of a series of activities implemented by teachers of UK children aged 4-5 years, designed to access children’s views on what supports or hinders them at school</w:t>
            </w:r>
          </w:p>
        </w:tc>
        <w:tc>
          <w:tcPr>
            <w:tcW w:w="2551" w:type="dxa"/>
          </w:tcPr>
          <w:p w14:paraId="3E07DC87" w14:textId="77777777" w:rsidR="00481DF9" w:rsidRPr="00970592" w:rsidRDefault="00481DF9" w:rsidP="00481DF9">
            <w:pPr>
              <w:spacing w:before="0" w:after="0"/>
              <w:cnfStyle w:val="000000100000" w:firstRow="0" w:lastRow="0" w:firstColumn="0" w:lastColumn="0" w:oddVBand="0" w:evenVBand="0" w:oddHBand="1"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 xml:space="preserve">Georgeson, J. </w:t>
            </w:r>
            <w:r w:rsidRPr="00970592">
              <w:rPr>
                <w:rFonts w:eastAsia="Calibri" w:cs="Times New Roman"/>
                <w:i/>
                <w:kern w:val="2"/>
                <w14:ligatures w14:val="standardContextual"/>
              </w:rPr>
              <w:t xml:space="preserve">et al </w:t>
            </w:r>
            <w:r w:rsidRPr="00970592">
              <w:rPr>
                <w:rFonts w:eastAsia="Calibri" w:cs="Times New Roman"/>
                <w:kern w:val="2"/>
                <w14:ligatures w14:val="standardContextual"/>
              </w:rPr>
              <w:t>(2014)</w:t>
            </w:r>
            <w:r w:rsidRPr="00970592">
              <w:rPr>
                <w:rFonts w:eastAsia="Calibri" w:cs="Times New Roman"/>
                <w:kern w:val="2"/>
                <w:vertAlign w:val="superscript"/>
                <w14:ligatures w14:val="standardContextual"/>
              </w:rPr>
              <w:endnoteReference w:id="32"/>
            </w:r>
          </w:p>
        </w:tc>
      </w:tr>
      <w:tr w:rsidR="00481DF9" w:rsidRPr="00ED5342" w14:paraId="3AE78D96" w14:textId="77777777" w:rsidTr="00481DF9">
        <w:tc>
          <w:tcPr>
            <w:cnfStyle w:val="001000000000" w:firstRow="0" w:lastRow="0" w:firstColumn="1" w:lastColumn="0" w:oddVBand="0" w:evenVBand="0" w:oddHBand="0" w:evenHBand="0" w:firstRowFirstColumn="0" w:firstRowLastColumn="0" w:lastRowFirstColumn="0" w:lastRowLastColumn="0"/>
            <w:tcW w:w="2547" w:type="dxa"/>
          </w:tcPr>
          <w:p w14:paraId="02E2A560" w14:textId="77777777" w:rsidR="00481DF9" w:rsidRPr="00970592" w:rsidRDefault="00481DF9" w:rsidP="00481DF9">
            <w:pPr>
              <w:spacing w:before="0" w:after="0"/>
              <w:rPr>
                <w:rFonts w:eastAsia="Calibri" w:cs="Times New Roman"/>
                <w:b w:val="0"/>
                <w:kern w:val="2"/>
                <w14:ligatures w14:val="standardContextual"/>
              </w:rPr>
            </w:pPr>
            <w:r w:rsidRPr="00970592">
              <w:rPr>
                <w:rFonts w:eastAsia="Calibri" w:cs="Times New Roman"/>
                <w:kern w:val="2"/>
                <w14:ligatures w14:val="standardContextual"/>
              </w:rPr>
              <w:t>‘Councils, consultations and community: Rethinking the spaces for children and young people’s participation’</w:t>
            </w:r>
          </w:p>
        </w:tc>
        <w:tc>
          <w:tcPr>
            <w:tcW w:w="3969" w:type="dxa"/>
          </w:tcPr>
          <w:p w14:paraId="4BEF0494" w14:textId="77777777" w:rsidR="00481DF9" w:rsidRPr="00970592" w:rsidRDefault="00481DF9" w:rsidP="00481DF9">
            <w:pPr>
              <w:spacing w:before="0" w:after="0"/>
              <w:cnfStyle w:val="000000000000" w:firstRow="0" w:lastRow="0" w:firstColumn="0" w:lastColumn="0" w:oddVBand="0" w:evenVBand="0" w:oddHBand="0"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 xml:space="preserve">Considers whether outlets for children’s participation in policy development in the UK are effective. The study argues that while children’s perspectives are increasingly being sought, there is a need to frame these processes within less formal structures, preferencing “a more diverse set of social processes </w:t>
            </w:r>
            <w:r w:rsidRPr="00970592">
              <w:rPr>
                <w:rFonts w:eastAsia="Calibri" w:cs="Times New Roman"/>
                <w:kern w:val="2"/>
                <w14:ligatures w14:val="standardContextual"/>
              </w:rPr>
              <w:lastRenderedPageBreak/>
              <w:t>rooted in everyday environments and interactions”</w:t>
            </w:r>
          </w:p>
        </w:tc>
        <w:tc>
          <w:tcPr>
            <w:tcW w:w="2551" w:type="dxa"/>
          </w:tcPr>
          <w:p w14:paraId="2B8F7E28" w14:textId="77777777" w:rsidR="00481DF9" w:rsidRPr="00970592" w:rsidRDefault="00481DF9" w:rsidP="00481DF9">
            <w:pPr>
              <w:spacing w:before="0" w:after="0"/>
              <w:cnfStyle w:val="000000000000" w:firstRow="0" w:lastRow="0" w:firstColumn="0" w:lastColumn="0" w:oddVBand="0" w:evenVBand="0" w:oddHBand="0"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lastRenderedPageBreak/>
              <w:t>Percy-Smith, B. (2010)</w:t>
            </w:r>
            <w:r w:rsidRPr="00970592">
              <w:rPr>
                <w:rFonts w:eastAsia="Calibri" w:cs="Times New Roman"/>
                <w:kern w:val="2"/>
                <w:vertAlign w:val="superscript"/>
                <w14:ligatures w14:val="standardContextual"/>
              </w:rPr>
              <w:endnoteReference w:id="33"/>
            </w:r>
          </w:p>
        </w:tc>
      </w:tr>
      <w:tr w:rsidR="00481DF9" w:rsidRPr="00ED5342" w14:paraId="7EC86099" w14:textId="77777777" w:rsidTr="00481D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02F9127" w14:textId="77777777" w:rsidR="00481DF9" w:rsidRPr="00970592" w:rsidRDefault="00481DF9" w:rsidP="00481DF9">
            <w:pPr>
              <w:spacing w:before="0" w:after="0"/>
              <w:rPr>
                <w:rFonts w:eastAsia="Calibri" w:cs="Times New Roman"/>
                <w:b w:val="0"/>
                <w:kern w:val="2"/>
                <w14:ligatures w14:val="standardContextual"/>
              </w:rPr>
            </w:pPr>
            <w:r w:rsidRPr="00970592">
              <w:rPr>
                <w:rFonts w:eastAsia="Calibri" w:cs="Times New Roman"/>
                <w:kern w:val="2"/>
                <w14:ligatures w14:val="standardContextual"/>
              </w:rPr>
              <w:t>‘Participation, consultation, confusion: Professionals’ understanding of children’s participation in physical planning’</w:t>
            </w:r>
          </w:p>
        </w:tc>
        <w:tc>
          <w:tcPr>
            <w:tcW w:w="3969" w:type="dxa"/>
          </w:tcPr>
          <w:p w14:paraId="1BE060F5" w14:textId="77777777" w:rsidR="00481DF9" w:rsidRPr="00970592" w:rsidRDefault="00481DF9" w:rsidP="00481DF9">
            <w:pPr>
              <w:spacing w:before="0" w:after="0"/>
              <w:cnfStyle w:val="000000100000" w:firstRow="0" w:lastRow="0" w:firstColumn="0" w:lastColumn="0" w:oddVBand="0" w:evenVBand="0" w:oddHBand="1"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Assesses the state of consultations with children in Sweden in the context of physical planning processes. The authors find that while children have a relatively strong position in the country’s society, numerous forces have led to children being effectively excluded from planning processes, despite their views and perspectives being ostensibly invited</w:t>
            </w:r>
          </w:p>
        </w:tc>
        <w:tc>
          <w:tcPr>
            <w:tcW w:w="2551" w:type="dxa"/>
          </w:tcPr>
          <w:p w14:paraId="09F45E0A" w14:textId="77777777" w:rsidR="00481DF9" w:rsidRPr="00970592" w:rsidRDefault="00481DF9" w:rsidP="00481DF9">
            <w:pPr>
              <w:spacing w:before="0" w:after="0"/>
              <w:cnfStyle w:val="000000100000" w:firstRow="0" w:lastRow="0" w:firstColumn="0" w:lastColumn="0" w:oddVBand="0" w:evenVBand="0" w:oddHBand="1"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 xml:space="preserve">Cele, S. and van der </w:t>
            </w:r>
            <w:proofErr w:type="spellStart"/>
            <w:r w:rsidRPr="00970592">
              <w:rPr>
                <w:rFonts w:eastAsia="Calibri" w:cs="Times New Roman"/>
                <w:kern w:val="2"/>
                <w14:ligatures w14:val="standardContextual"/>
              </w:rPr>
              <w:t>Burgt</w:t>
            </w:r>
            <w:proofErr w:type="spellEnd"/>
            <w:r w:rsidRPr="00970592">
              <w:rPr>
                <w:rFonts w:eastAsia="Calibri" w:cs="Times New Roman"/>
                <w:kern w:val="2"/>
                <w14:ligatures w14:val="standardContextual"/>
              </w:rPr>
              <w:t>, D. (2015)</w:t>
            </w:r>
            <w:r w:rsidRPr="00970592">
              <w:rPr>
                <w:rFonts w:eastAsia="Calibri" w:cs="Times New Roman"/>
                <w:kern w:val="2"/>
                <w:vertAlign w:val="superscript"/>
                <w14:ligatures w14:val="standardContextual"/>
              </w:rPr>
              <w:endnoteReference w:id="34"/>
            </w:r>
          </w:p>
        </w:tc>
      </w:tr>
      <w:tr w:rsidR="00481DF9" w:rsidRPr="00ED5342" w14:paraId="26137375" w14:textId="77777777" w:rsidTr="00481DF9">
        <w:tc>
          <w:tcPr>
            <w:cnfStyle w:val="001000000000" w:firstRow="0" w:lastRow="0" w:firstColumn="1" w:lastColumn="0" w:oddVBand="0" w:evenVBand="0" w:oddHBand="0" w:evenHBand="0" w:firstRowFirstColumn="0" w:firstRowLastColumn="0" w:lastRowFirstColumn="0" w:lastRowLastColumn="0"/>
            <w:tcW w:w="2547" w:type="dxa"/>
          </w:tcPr>
          <w:p w14:paraId="682ECBE9" w14:textId="77777777" w:rsidR="00481DF9" w:rsidRPr="00970592" w:rsidRDefault="00481DF9" w:rsidP="00481DF9">
            <w:pPr>
              <w:spacing w:before="0" w:after="0"/>
              <w:rPr>
                <w:rFonts w:eastAsia="Calibri" w:cs="Times New Roman"/>
                <w:b w:val="0"/>
                <w:kern w:val="2"/>
                <w14:ligatures w14:val="standardContextual"/>
              </w:rPr>
            </w:pPr>
            <w:r w:rsidRPr="00970592">
              <w:rPr>
                <w:rFonts w:eastAsia="Calibri" w:cs="Times New Roman"/>
                <w:kern w:val="2"/>
                <w14:ligatures w14:val="standardContextual"/>
              </w:rPr>
              <w:t>‘Co-researching with children in the time of COVID-19: Shifting the narrative on methodologies to generate knowledge’</w:t>
            </w:r>
          </w:p>
        </w:tc>
        <w:tc>
          <w:tcPr>
            <w:tcW w:w="3969" w:type="dxa"/>
          </w:tcPr>
          <w:p w14:paraId="66518CEC" w14:textId="77777777" w:rsidR="00481DF9" w:rsidRPr="00970592" w:rsidRDefault="00481DF9" w:rsidP="00481DF9">
            <w:pPr>
              <w:spacing w:before="0" w:after="0"/>
              <w:cnfStyle w:val="000000000000" w:firstRow="0" w:lastRow="0" w:firstColumn="0" w:lastColumn="0" w:oddVBand="0" w:evenVBand="0" w:oddHBand="0"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This study highlighted the ethical and methodological conditions, and ultimate benefits, of engaging 12 children as co-researchers during the pandemic – a time when the insights of their peers could not realistically have been collected by adult researchers alone, due to lockdown restrictions</w:t>
            </w:r>
          </w:p>
        </w:tc>
        <w:tc>
          <w:tcPr>
            <w:tcW w:w="2551" w:type="dxa"/>
          </w:tcPr>
          <w:p w14:paraId="61982D6C" w14:textId="77777777" w:rsidR="00481DF9" w:rsidRPr="00970592" w:rsidRDefault="00481DF9" w:rsidP="00481DF9">
            <w:pPr>
              <w:spacing w:before="0" w:after="0"/>
              <w:cnfStyle w:val="000000000000" w:firstRow="0" w:lastRow="0" w:firstColumn="0" w:lastColumn="0" w:oddVBand="0" w:evenVBand="0" w:oddHBand="0"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Cuevas-Parra, P. (2020)</w:t>
            </w:r>
            <w:r w:rsidRPr="00970592">
              <w:rPr>
                <w:rFonts w:eastAsia="Calibri" w:cs="Times New Roman"/>
                <w:kern w:val="2"/>
                <w:vertAlign w:val="superscript"/>
                <w14:ligatures w14:val="standardContextual"/>
              </w:rPr>
              <w:endnoteReference w:id="35"/>
            </w:r>
          </w:p>
        </w:tc>
      </w:tr>
      <w:tr w:rsidR="00481DF9" w:rsidRPr="00ED5342" w14:paraId="184032D2" w14:textId="77777777" w:rsidTr="00481D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3412692" w14:textId="77777777" w:rsidR="00481DF9" w:rsidRPr="00970592" w:rsidRDefault="00481DF9" w:rsidP="00481DF9">
            <w:pPr>
              <w:spacing w:before="0" w:after="0"/>
              <w:rPr>
                <w:rFonts w:eastAsia="Calibri" w:cs="Times New Roman"/>
                <w:b w:val="0"/>
                <w:kern w:val="2"/>
                <w14:ligatures w14:val="standardContextual"/>
              </w:rPr>
            </w:pPr>
            <w:r w:rsidRPr="00970592">
              <w:rPr>
                <w:rFonts w:eastAsia="Calibri" w:cs="Times New Roman"/>
                <w:kern w:val="2"/>
                <w14:ligatures w14:val="standardContextual"/>
              </w:rPr>
              <w:t>‘What do young children have to say? Recognising their voices, wisdom, agency and need for companionship during the COVID pandemic’</w:t>
            </w:r>
          </w:p>
        </w:tc>
        <w:tc>
          <w:tcPr>
            <w:tcW w:w="3969" w:type="dxa"/>
          </w:tcPr>
          <w:p w14:paraId="05718B6E" w14:textId="77777777" w:rsidR="00481DF9" w:rsidRPr="00970592" w:rsidRDefault="00481DF9" w:rsidP="00481DF9">
            <w:pPr>
              <w:spacing w:before="0" w:after="0"/>
              <w:cnfStyle w:val="000000100000" w:firstRow="0" w:lastRow="0" w:firstColumn="0" w:lastColumn="0" w:oddVBand="0" w:evenVBand="0" w:oddHBand="1"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Reports on a transnational study, spanning England, Scotland, and New Zealand, in which researchers used various storytelling techniques and analysis of children’s play narratives to collect the insights and views of children during the pandemic</w:t>
            </w:r>
          </w:p>
        </w:tc>
        <w:tc>
          <w:tcPr>
            <w:tcW w:w="2551" w:type="dxa"/>
          </w:tcPr>
          <w:p w14:paraId="6FFEAD03" w14:textId="77777777" w:rsidR="00481DF9" w:rsidRPr="00ED5342" w:rsidRDefault="00481DF9" w:rsidP="00481DF9">
            <w:pPr>
              <w:spacing w:before="0" w:after="0"/>
              <w:cnfStyle w:val="000000100000" w:firstRow="0" w:lastRow="0" w:firstColumn="0" w:lastColumn="0" w:oddVBand="0" w:evenVBand="0" w:oddHBand="1" w:evenHBand="0" w:firstRowFirstColumn="0" w:firstRowLastColumn="0" w:lastRowFirstColumn="0" w:lastRowLastColumn="0"/>
              <w:rPr>
                <w:rFonts w:eastAsia="Calibri" w:cs="Times New Roman"/>
                <w:kern w:val="2"/>
                <w14:ligatures w14:val="standardContextual"/>
              </w:rPr>
            </w:pPr>
            <w:r w:rsidRPr="00970592">
              <w:rPr>
                <w:rFonts w:eastAsia="Calibri" w:cs="Times New Roman"/>
                <w:kern w:val="2"/>
                <w14:ligatures w14:val="standardContextual"/>
              </w:rPr>
              <w:t>Pascal, C. and Bertram, T. (2021)</w:t>
            </w:r>
            <w:r w:rsidRPr="00970592">
              <w:rPr>
                <w:rFonts w:eastAsia="Calibri" w:cs="Times New Roman"/>
                <w:kern w:val="2"/>
                <w:vertAlign w:val="superscript"/>
                <w14:ligatures w14:val="standardContextual"/>
              </w:rPr>
              <w:endnoteReference w:id="36"/>
            </w:r>
          </w:p>
        </w:tc>
      </w:tr>
    </w:tbl>
    <w:p w14:paraId="71EA56F6" w14:textId="77777777" w:rsidR="00481DF9" w:rsidRDefault="00481DF9" w:rsidP="00481DF9">
      <w:pPr>
        <w:spacing w:before="0" w:afterLines="120" w:after="288"/>
      </w:pPr>
    </w:p>
    <w:p w14:paraId="22838E50" w14:textId="77777777" w:rsidR="00481DF9" w:rsidRDefault="00481DF9" w:rsidP="005B0009"/>
    <w:p w14:paraId="6BBE3D6F" w14:textId="607D3D67" w:rsidR="00D14AA6" w:rsidRPr="007F70D0" w:rsidRDefault="00481DF9" w:rsidP="00CA2C2D">
      <w:pPr>
        <w:rPr>
          <w:b/>
          <w:bCs/>
          <w:sz w:val="24"/>
          <w:szCs w:val="24"/>
        </w:rPr>
      </w:pPr>
      <w:r w:rsidRPr="00481DF9">
        <w:rPr>
          <w:b/>
          <w:bCs/>
          <w:sz w:val="24"/>
          <w:szCs w:val="24"/>
        </w:rPr>
        <w:t>Endnotes</w:t>
      </w:r>
    </w:p>
    <w:p w14:paraId="12011998" w14:textId="77777777" w:rsidR="00D14AA6" w:rsidRDefault="00D14AA6" w:rsidP="00C26EE4">
      <w:pPr>
        <w:sectPr w:rsidR="00D14AA6" w:rsidSect="003B1A1E">
          <w:pgSz w:w="11906" w:h="16838"/>
          <w:pgMar w:top="1286" w:right="1394" w:bottom="1440" w:left="1440" w:header="1417" w:footer="708" w:gutter="0"/>
          <w:cols w:space="708"/>
          <w:docGrid w:linePitch="360"/>
        </w:sectPr>
      </w:pPr>
    </w:p>
    <w:p w14:paraId="26119668" w14:textId="7DC130A0" w:rsidR="00DA0AD8" w:rsidRDefault="00522A2E" w:rsidP="00522A2E">
      <w:pPr>
        <w:rPr>
          <w:b/>
          <w:sz w:val="24"/>
          <w:szCs w:val="24"/>
        </w:rPr>
      </w:pPr>
      <w:r>
        <w:rPr>
          <w:b/>
          <w:noProof/>
          <w:sz w:val="24"/>
          <w:szCs w:val="24"/>
          <w14:ligatures w14:val="standardContextual"/>
        </w:rPr>
        <w:lastRenderedPageBreak/>
        <mc:AlternateContent>
          <mc:Choice Requires="wps">
            <w:drawing>
              <wp:anchor distT="0" distB="0" distL="114300" distR="114300" simplePos="0" relativeHeight="251658244" behindDoc="0" locked="0" layoutInCell="1" allowOverlap="1" wp14:anchorId="77735F03" wp14:editId="7F8AFE31">
                <wp:simplePos x="0" y="0"/>
                <wp:positionH relativeFrom="column">
                  <wp:posOffset>-901874</wp:posOffset>
                </wp:positionH>
                <wp:positionV relativeFrom="paragraph">
                  <wp:posOffset>-1298975</wp:posOffset>
                </wp:positionV>
                <wp:extent cx="7524750" cy="914400"/>
                <wp:effectExtent l="0" t="0" r="6350" b="0"/>
                <wp:wrapNone/>
                <wp:docPr id="92051184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24750" cy="9144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F4C1E15" id="Rectangle 2" o:spid="_x0000_s1026" alt="&quot;&quot;" style="position:absolute;margin-left:-71pt;margin-top:-102.3pt;width:592.5pt;height:1in;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3eQIAAF4FAAAOAAAAZHJzL2Uyb0RvYy54bWysVMFu2zAMvQ/YPwi6r7aDZN2COkXQosOA&#10;oi2aDj0rshQbkEWNUuJkXz9Kdpy2K3YYdrElkXwknx51cblvDdsp9A3YkhdnOWfKSqgauyn5j6eb&#10;T18480HYShiwquQH5fnl4uOHi87N1QRqMJVCRiDWzztX8joEN88yL2vVCn8GTlkyasBWBNriJqtQ&#10;dITemmyS55+zDrByCFJ5T6fXvZEvEr7WSoZ7rb0KzJScagvpi+m7jt9scSHmGxSubuRQhviHKlrR&#10;WEo6Ql2LINgWmz+g2kYieNDhTEKbgdaNVKkH6qbI33SzqoVTqRcix7uRJv//YOXdbuUekGjonJ97&#10;WsYu9hrb+Kf62D6RdRjJUvvAJB2ezybT8xlxKsn2tZhO88Rmdop26MM3BS2Li5IjXUbiSOxufaCM&#10;5Hp0ick8mKa6aYxJmygAdWWQ7QRd3XpTxKuiiFdexkZfCzGqN8eT7NRKWoWDUdHP2EelWVNR8ZNU&#10;SFLZKYmQUtlQ9KZaVKrPXczysbUxItWSACOypvwj9gDwuoEjdl/l4B9DVRLpGJz/rbA+eIxImcGG&#10;MbhtLOB7AIa6GjL3/keSemoiS2uoDg/IEPoR8U7eNHRtt8KHB4E0E3TTNOfhnj7aQFdyGFac1YC/&#10;3juP/iRVsnLW0YyV3P/cClScme+WRJxUQ0OZNtPZ+YRy4EvL+qXFbtsrIC0U9KI4mZbRP5jjUiO0&#10;z/QcLGNWMgkrKXfJZcDj5ir0s08PilTLZXKjQXQi3NqVkxE8shpl+bR/FugG7QZS/R0c51HM30i4&#10;942RFpbbALpJ+j7xOvBNQ5yEMzw48ZV4uU9ep2dx8RsAAP//AwBQSwMEFAAGAAgAAAAhAKwoH0rj&#10;AAAADgEAAA8AAABkcnMvZG93bnJldi54bWxMj0FLxDAQhe+C/yGM4EV2k21Kkdp0UUHw4sF1EY/Z&#10;JrZhm0lpsm3XX+/sSW8zbx5vvldtF9+zyY7RBVSwWQtgFptgHLYK9h8vq3tgMWk0ug9oFZxthG19&#10;fVXp0oQZ3+20Sy2jEIylVtClNJScx6azXsd1GCzS7TuMXidax5abUc8U7nueCVFwrx3Sh04P9rmz&#10;zXF38grezlK+TnfyOO+dbN0P/3r67IJStzfL4wOwZJf0Z4YLPqFDTUyHcEITWa9gtckzKpNoykRe&#10;ALt4RC5JO5BWiAJ4XfH/NepfAAAA//8DAFBLAQItABQABgAIAAAAIQC2gziS/gAAAOEBAAATAAAA&#10;AAAAAAAAAAAAAAAAAABbQ29udGVudF9UeXBlc10ueG1sUEsBAi0AFAAGAAgAAAAhADj9If/WAAAA&#10;lAEAAAsAAAAAAAAAAAAAAAAALwEAAF9yZWxzLy5yZWxzUEsBAi0AFAAGAAgAAAAhAP/9G/d5AgAA&#10;XgUAAA4AAAAAAAAAAAAAAAAALgIAAGRycy9lMm9Eb2MueG1sUEsBAi0AFAAGAAgAAAAhAKwoH0rj&#10;AAAADgEAAA8AAAAAAAAAAAAAAAAA0wQAAGRycy9kb3ducmV2LnhtbFBLBQYAAAAABAAEAPMAAADj&#10;BQAAAAA=&#10;" fillcolor="white [3212]" stroked="f" strokeweight="1pt"/>
            </w:pict>
          </mc:Fallback>
        </mc:AlternateContent>
      </w:r>
      <w:r>
        <w:rPr>
          <w:b/>
          <w:noProof/>
          <w:sz w:val="24"/>
          <w:szCs w:val="24"/>
          <w14:ligatures w14:val="standardContextual"/>
        </w:rPr>
        <w:drawing>
          <wp:anchor distT="0" distB="0" distL="114300" distR="114300" simplePos="0" relativeHeight="251658245" behindDoc="0" locked="0" layoutInCell="1" allowOverlap="1" wp14:anchorId="5880FCE6" wp14:editId="4323142F">
            <wp:simplePos x="0" y="0"/>
            <wp:positionH relativeFrom="column">
              <wp:posOffset>-903605</wp:posOffset>
            </wp:positionH>
            <wp:positionV relativeFrom="paragraph">
              <wp:posOffset>-872630</wp:posOffset>
            </wp:positionV>
            <wp:extent cx="7524803" cy="10033348"/>
            <wp:effectExtent l="0" t="0" r="0" b="6350"/>
            <wp:wrapNone/>
            <wp:docPr id="185689471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894718" name="Picture 1">
                      <a:extLst>
                        <a:ext uri="{C183D7F6-B498-43B3-948B-1728B52AA6E4}">
                          <adec:decorative xmlns:adec="http://schemas.microsoft.com/office/drawing/2017/decorative" val="1"/>
                        </a:ext>
                      </a:extLst>
                    </pic:cNvPr>
                    <pic:cNvPicPr/>
                  </pic:nvPicPr>
                  <pic:blipFill>
                    <a:blip r:embed="rId96">
                      <a:extLst>
                        <a:ext uri="{28A0092B-C50C-407E-A947-70E740481C1C}">
                          <a14:useLocalDpi xmlns:a14="http://schemas.microsoft.com/office/drawing/2010/main" val="0"/>
                        </a:ext>
                      </a:extLst>
                    </a:blip>
                    <a:stretch>
                      <a:fillRect/>
                    </a:stretch>
                  </pic:blipFill>
                  <pic:spPr>
                    <a:xfrm>
                      <a:off x="0" y="0"/>
                      <a:ext cx="7524803" cy="10033348"/>
                    </a:xfrm>
                    <a:prstGeom prst="rect">
                      <a:avLst/>
                    </a:prstGeom>
                  </pic:spPr>
                </pic:pic>
              </a:graphicData>
            </a:graphic>
            <wp14:sizeRelH relativeFrom="page">
              <wp14:pctWidth>0</wp14:pctWidth>
            </wp14:sizeRelH>
            <wp14:sizeRelV relativeFrom="page">
              <wp14:pctHeight>0</wp14:pctHeight>
            </wp14:sizeRelV>
          </wp:anchor>
        </w:drawing>
      </w:r>
    </w:p>
    <w:sectPr w:rsidR="00DA0AD8" w:rsidSect="00695060">
      <w:pgSz w:w="11906" w:h="16838"/>
      <w:pgMar w:top="1286" w:right="1440" w:bottom="1440" w:left="1440" w:header="1417"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BE52C1A" w14:textId="77777777" w:rsidR="00033C2A" w:rsidRDefault="00033C2A" w:rsidP="00C26EE4">
      <w:pPr>
        <w:spacing w:before="0" w:after="0"/>
      </w:pPr>
      <w:r>
        <w:separator/>
      </w:r>
    </w:p>
  </w:endnote>
  <w:endnote w:type="continuationSeparator" w:id="0">
    <w:p w14:paraId="7799C0B5" w14:textId="77777777" w:rsidR="00033C2A" w:rsidRDefault="00033C2A" w:rsidP="00C26EE4">
      <w:pPr>
        <w:spacing w:before="0" w:after="0"/>
      </w:pPr>
      <w:r>
        <w:continuationSeparator/>
      </w:r>
    </w:p>
  </w:endnote>
  <w:endnote w:type="continuationNotice" w:id="1">
    <w:p w14:paraId="172453C6" w14:textId="77777777" w:rsidR="00033C2A" w:rsidRDefault="00033C2A">
      <w:pPr>
        <w:spacing w:before="0" w:after="0"/>
      </w:pPr>
    </w:p>
  </w:endnote>
  <w:endnote w:id="2">
    <w:p w14:paraId="3F38C1AC" w14:textId="77777777" w:rsidR="005B67CB" w:rsidRPr="00604D74" w:rsidRDefault="005B67CB" w:rsidP="005B67CB">
      <w:pPr>
        <w:pStyle w:val="EndnoteText"/>
      </w:pPr>
      <w:r w:rsidRPr="00604D74">
        <w:rPr>
          <w:rStyle w:val="EndnoteReference"/>
        </w:rPr>
        <w:endnoteRef/>
      </w:r>
      <w:r w:rsidRPr="00604D74">
        <w:t xml:space="preserve"> Using the postcode-based taxonomy applied by the Department of Home Affairs. </w:t>
      </w:r>
      <w:hyperlink r:id="rId1" w:history="1">
        <w:r w:rsidRPr="00604D74">
          <w:rPr>
            <w:rStyle w:val="Hyperlink"/>
          </w:rPr>
          <w:t>https://immi.homeaffairs.gov.au/visas/working-in-australia/skill-occupation-list/regional-postcodes</w:t>
        </w:r>
      </w:hyperlink>
      <w:r w:rsidRPr="00604D74">
        <w:t xml:space="preserve"> </w:t>
      </w:r>
    </w:p>
  </w:endnote>
  <w:endnote w:id="3">
    <w:p w14:paraId="5A938725" w14:textId="77777777" w:rsidR="00193470" w:rsidRPr="00604D74" w:rsidRDefault="00193470" w:rsidP="00572DA6">
      <w:pPr>
        <w:pStyle w:val="EndnoteText"/>
      </w:pPr>
      <w:r w:rsidRPr="00604D74">
        <w:rPr>
          <w:rStyle w:val="EndnoteReference"/>
        </w:rPr>
        <w:endnoteRef/>
      </w:r>
      <w:r w:rsidRPr="00604D74">
        <w:t xml:space="preserve"> Allowing for far more targeted differentiation than, for instance, at the broader level of local government area. ‘Postal areas’, as used in this context, are almost entirely synonymous with postcodes. </w:t>
      </w:r>
      <w:hyperlink r:id="rId2" w:history="1">
        <w:r w:rsidRPr="00604D74">
          <w:rPr>
            <w:rStyle w:val="Hyperlink"/>
          </w:rPr>
          <w:t>https://www.abs.gov.au/statistics/people/people-and-communities/socio-economic-indexes-areas-seifa-australia/2021/Postal%20Area%2C%20Indexes%2C%20SEIFA%202021.xlsx</w:t>
        </w:r>
      </w:hyperlink>
    </w:p>
  </w:endnote>
  <w:endnote w:id="4">
    <w:p w14:paraId="13E5FA93" w14:textId="77777777" w:rsidR="00193470" w:rsidRPr="00604D74" w:rsidRDefault="00193470" w:rsidP="00572DA6">
      <w:pPr>
        <w:pStyle w:val="EndnoteText"/>
      </w:pPr>
      <w:r w:rsidRPr="00604D74">
        <w:rPr>
          <w:rStyle w:val="EndnoteReference"/>
        </w:rPr>
        <w:endnoteRef/>
      </w:r>
      <w:r w:rsidRPr="00604D74">
        <w:t xml:space="preserve"> Using 2021 Census data – either at the level of Suburb/Locality or Statistical Areas Level 2. </w:t>
      </w:r>
    </w:p>
  </w:endnote>
  <w:endnote w:id="5">
    <w:p w14:paraId="78CAA6CD" w14:textId="693AD11D" w:rsidR="00193470" w:rsidRPr="00604D74" w:rsidRDefault="00193470" w:rsidP="00572DA6">
      <w:pPr>
        <w:pStyle w:val="EndnoteText"/>
      </w:pPr>
      <w:r w:rsidRPr="00604D74">
        <w:rPr>
          <w:rStyle w:val="EndnoteReference"/>
        </w:rPr>
        <w:endnoteRef/>
      </w:r>
      <w:r w:rsidRPr="00604D74">
        <w:t xml:space="preserve"> Applying the same methodology as outlined in Footnote </w:t>
      </w:r>
      <w:r w:rsidR="007D60AE">
        <w:t>iii</w:t>
      </w:r>
      <w:r w:rsidRPr="00604D74">
        <w:t>.</w:t>
      </w:r>
    </w:p>
  </w:endnote>
  <w:endnote w:id="6">
    <w:p w14:paraId="31E45703" w14:textId="5E2E1285" w:rsidR="00412FB8" w:rsidRPr="00E14571" w:rsidRDefault="00412FB8">
      <w:pPr>
        <w:pStyle w:val="EndnoteText"/>
      </w:pPr>
      <w:r>
        <w:rPr>
          <w:rStyle w:val="EndnoteReference"/>
        </w:rPr>
        <w:endnoteRef/>
      </w:r>
      <w:r>
        <w:t xml:space="preserve"> Watts, L. L.</w:t>
      </w:r>
      <w:r w:rsidR="00A479DB">
        <w:t xml:space="preserve">, Todd, </w:t>
      </w:r>
      <w:r w:rsidR="00352409">
        <w:t xml:space="preserve">E. M., Mulhearn, T. J., Medeiros, K. E., Mumford, M. D., &amp; </w:t>
      </w:r>
      <w:r w:rsidR="006E3991">
        <w:t xml:space="preserve">Connelly, S. (2017). ‘Qualitative evaluation methods in ethics education: A systematic review </w:t>
      </w:r>
      <w:r w:rsidR="00E14571">
        <w:t xml:space="preserve">and analysis of best practices’, </w:t>
      </w:r>
      <w:r w:rsidR="00E14571">
        <w:rPr>
          <w:i/>
          <w:iCs/>
        </w:rPr>
        <w:t>Accountability in Research</w:t>
      </w:r>
      <w:r w:rsidR="00E14571">
        <w:t xml:space="preserve"> 24(</w:t>
      </w:r>
      <w:r w:rsidR="00E14571">
        <w:rPr>
          <w:i/>
          <w:iCs/>
        </w:rPr>
        <w:t>4</w:t>
      </w:r>
      <w:r w:rsidR="00E14571">
        <w:t>): 225-242.</w:t>
      </w:r>
    </w:p>
  </w:endnote>
  <w:endnote w:id="7">
    <w:p w14:paraId="6D38321F" w14:textId="77777777" w:rsidR="00193470" w:rsidRPr="00604D74" w:rsidRDefault="00193470" w:rsidP="00572DA6">
      <w:pPr>
        <w:pStyle w:val="EndnoteText"/>
        <w:keepLines/>
        <w:widowControl w:val="0"/>
      </w:pPr>
      <w:r w:rsidRPr="00604D74">
        <w:rPr>
          <w:rStyle w:val="EndnoteReference"/>
        </w:rPr>
        <w:endnoteRef/>
      </w:r>
      <w:r w:rsidRPr="00604D74">
        <w:t xml:space="preserve"> Qvortrup, J. (1994). 'Introduction', in Qvortrup, J., Bardy, M., Sgritta, G., &amp; Wintersberger, H. (eds.) </w:t>
      </w:r>
      <w:r w:rsidRPr="00604D74">
        <w:rPr>
          <w:i/>
          <w:iCs/>
        </w:rPr>
        <w:t>Childhood Matters: Social Theory, Practice and Politics</w:t>
      </w:r>
      <w:r w:rsidRPr="00604D74">
        <w:t>. Avebury, 18.</w:t>
      </w:r>
    </w:p>
  </w:endnote>
  <w:endnote w:id="8">
    <w:p w14:paraId="1FE7CF9E" w14:textId="77777777" w:rsidR="00193470" w:rsidRPr="00604D74" w:rsidRDefault="00193470" w:rsidP="00572DA6">
      <w:pPr>
        <w:pStyle w:val="EndnoteText"/>
        <w:keepLines/>
        <w:widowControl w:val="0"/>
      </w:pPr>
      <w:r w:rsidRPr="00604D74">
        <w:rPr>
          <w:rStyle w:val="EndnoteReference"/>
        </w:rPr>
        <w:endnoteRef/>
      </w:r>
      <w:r w:rsidRPr="00604D74">
        <w:t xml:space="preserve"> Article 12 of the Convention, for instance, calls for all signatory nations to “assure to the child who is capable of forming his or her own views the right to express those views freely in all matters affecting the child.” </w:t>
      </w:r>
      <w:hyperlink r:id="rId3" w:history="1">
        <w:r w:rsidRPr="00604D74">
          <w:rPr>
            <w:rStyle w:val="Hyperlink"/>
          </w:rPr>
          <w:t>https://www.ohchr.org/en/instruments-mechanisms/instruments/convention-rights-child</w:t>
        </w:r>
      </w:hyperlink>
      <w:r w:rsidRPr="00604D74">
        <w:t>.</w:t>
      </w:r>
    </w:p>
  </w:endnote>
  <w:endnote w:id="9">
    <w:p w14:paraId="5745AED7" w14:textId="77777777" w:rsidR="000559F2" w:rsidRPr="00604D74" w:rsidRDefault="000559F2" w:rsidP="000559F2">
      <w:pPr>
        <w:pStyle w:val="EndnoteText"/>
        <w:keepLines/>
        <w:widowControl w:val="0"/>
      </w:pPr>
      <w:r w:rsidRPr="00604D74">
        <w:rPr>
          <w:rStyle w:val="EndnoteReference"/>
        </w:rPr>
        <w:endnoteRef/>
      </w:r>
      <w:r w:rsidRPr="00604D74">
        <w:t xml:space="preserve"> See, for instance, Barblett, L., Bobongie-Harris, F., Cartmel, J., Hadley, F., Harrison, L., Irvine, S., &amp; Lavina, L. (2022). ‘“We’re not useless, we know stuff!” Gathering children’s voices to inform policy’, </w:t>
      </w:r>
      <w:r w:rsidRPr="00604D74">
        <w:rPr>
          <w:i/>
          <w:iCs/>
        </w:rPr>
        <w:t>Australasian Journal of Early Childhood (2022 AJEC Symposium special issue)</w:t>
      </w:r>
      <w:r w:rsidRPr="00604D74">
        <w:t>: 1-14.</w:t>
      </w:r>
    </w:p>
  </w:endnote>
  <w:endnote w:id="10">
    <w:p w14:paraId="27515595" w14:textId="2F5DF085" w:rsidR="000559F2" w:rsidRPr="00604D74" w:rsidRDefault="000559F2" w:rsidP="000559F2">
      <w:pPr>
        <w:pStyle w:val="EndnoteText"/>
        <w:keepLines/>
        <w:widowControl w:val="0"/>
      </w:pPr>
      <w:r w:rsidRPr="00604D74">
        <w:rPr>
          <w:rStyle w:val="EndnoteReference"/>
        </w:rPr>
        <w:endnoteRef/>
      </w:r>
      <w:r w:rsidRPr="00604D74">
        <w:t xml:space="preserve"> Clark, A. and Moss, P. (2011). </w:t>
      </w:r>
      <w:r w:rsidRPr="00604D74">
        <w:rPr>
          <w:i/>
          <w:iCs/>
        </w:rPr>
        <w:t>Listening to Young Children: The Mosaic Approach</w:t>
      </w:r>
      <w:r w:rsidRPr="00604D74">
        <w:t>. Jessica Kingsley Publishers</w:t>
      </w:r>
      <w:r w:rsidR="00533402">
        <w:t xml:space="preserve">; </w:t>
      </w:r>
      <w:r w:rsidR="003D3429">
        <w:t>Tan, P. (</w:t>
      </w:r>
      <w:r w:rsidR="0075671A">
        <w:t>2019). ‘Listening to young children: A mosaic approach – Research perpsectives from two children and dinosaurs</w:t>
      </w:r>
      <w:r w:rsidR="0010433C">
        <w:t xml:space="preserve">’, </w:t>
      </w:r>
      <w:r w:rsidR="0010433C">
        <w:rPr>
          <w:i/>
          <w:iCs/>
        </w:rPr>
        <w:t>Simon Fraser University Education Review</w:t>
      </w:r>
      <w:r w:rsidR="0010433C">
        <w:t xml:space="preserve"> 12(</w:t>
      </w:r>
      <w:r w:rsidR="0010433C">
        <w:rPr>
          <w:i/>
          <w:iCs/>
        </w:rPr>
        <w:t>2</w:t>
      </w:r>
      <w:r w:rsidR="0010433C">
        <w:t>): 71.</w:t>
      </w:r>
    </w:p>
  </w:endnote>
  <w:endnote w:id="11">
    <w:p w14:paraId="28EF2257" w14:textId="77777777" w:rsidR="000559F2" w:rsidRPr="00604D74" w:rsidRDefault="000559F2" w:rsidP="000559F2">
      <w:pPr>
        <w:pStyle w:val="EndnoteText"/>
        <w:keepLines/>
        <w:widowControl w:val="0"/>
      </w:pPr>
      <w:r w:rsidRPr="00604D74">
        <w:rPr>
          <w:rStyle w:val="EndnoteReference"/>
        </w:rPr>
        <w:endnoteRef/>
      </w:r>
      <w:r w:rsidRPr="00604D74">
        <w:t xml:space="preserve"> Australian Institute of Family Studies (2015). ‘Participatory action research’, </w:t>
      </w:r>
      <w:hyperlink r:id="rId4" w:history="1">
        <w:r w:rsidRPr="00604D74">
          <w:rPr>
            <w:rStyle w:val="Hyperlink"/>
          </w:rPr>
          <w:t>https://aifs.gov.au/resources/practice-guides/participatory-action-research</w:t>
        </w:r>
      </w:hyperlink>
      <w:r w:rsidRPr="00604D74">
        <w:t xml:space="preserve">. </w:t>
      </w:r>
    </w:p>
  </w:endnote>
  <w:endnote w:id="12">
    <w:p w14:paraId="790537D2" w14:textId="77777777" w:rsidR="000559F2" w:rsidRPr="00604D74" w:rsidRDefault="000559F2" w:rsidP="000559F2">
      <w:pPr>
        <w:pStyle w:val="EndnoteText"/>
        <w:keepLines/>
        <w:widowControl w:val="0"/>
      </w:pPr>
      <w:r w:rsidRPr="00604D74">
        <w:rPr>
          <w:rStyle w:val="EndnoteReference"/>
        </w:rPr>
        <w:endnoteRef/>
      </w:r>
      <w:r w:rsidRPr="00604D74">
        <w:t xml:space="preserve"> Clark, C. D. (2011). </w:t>
      </w:r>
      <w:r w:rsidRPr="00604D74">
        <w:rPr>
          <w:i/>
          <w:iCs/>
        </w:rPr>
        <w:t>In a younger voice: Doing child-centred qualitative research</w:t>
      </w:r>
      <w:r w:rsidRPr="00604D74">
        <w:t>. Oxford University Press, 12.</w:t>
      </w:r>
    </w:p>
  </w:endnote>
  <w:endnote w:id="13">
    <w:p w14:paraId="38425F90" w14:textId="61AD8577" w:rsidR="00A57050" w:rsidRPr="00604D74" w:rsidRDefault="00A57050" w:rsidP="00A57050">
      <w:pPr>
        <w:pStyle w:val="EndnoteText"/>
      </w:pPr>
      <w:r w:rsidRPr="00604D74">
        <w:rPr>
          <w:rStyle w:val="EndnoteReference"/>
        </w:rPr>
        <w:endnoteRef/>
      </w:r>
      <w:r w:rsidRPr="00604D74">
        <w:t xml:space="preserve"> Joubish, M. F. and Khurram, M. A. (2011). ‘Cognitive development in Jean Piaget’s work and its implications for teachers’, </w:t>
      </w:r>
      <w:r w:rsidRPr="00604D74">
        <w:rPr>
          <w:i/>
          <w:iCs/>
        </w:rPr>
        <w:t xml:space="preserve">World Applied Sciences Journal </w:t>
      </w:r>
      <w:r w:rsidRPr="00604D74">
        <w:t>12(</w:t>
      </w:r>
      <w:r w:rsidRPr="00604D74">
        <w:rPr>
          <w:i/>
          <w:iCs/>
        </w:rPr>
        <w:t>8</w:t>
      </w:r>
      <w:r w:rsidRPr="00604D74">
        <w:t>): 1262.</w:t>
      </w:r>
    </w:p>
  </w:endnote>
  <w:endnote w:id="14">
    <w:p w14:paraId="05687234" w14:textId="18663E96" w:rsidR="00A57050" w:rsidRDefault="00A57050">
      <w:pPr>
        <w:pStyle w:val="EndnoteText"/>
      </w:pPr>
      <w:r>
        <w:rPr>
          <w:rStyle w:val="EndnoteReference"/>
        </w:rPr>
        <w:endnoteRef/>
      </w:r>
      <w:r>
        <w:t xml:space="preserve"> Ibid</w:t>
      </w:r>
      <w:r w:rsidR="00194206">
        <w:t>, 1262-1263</w:t>
      </w:r>
      <w:r w:rsidR="007B2CE6">
        <w:t>.</w:t>
      </w:r>
    </w:p>
  </w:endnote>
  <w:endnote w:id="15">
    <w:p w14:paraId="75EC8DBE" w14:textId="77777777" w:rsidR="00193470" w:rsidRPr="00604D74" w:rsidRDefault="00193470" w:rsidP="00572DA6">
      <w:pPr>
        <w:pStyle w:val="EndnoteText"/>
        <w:keepLines/>
        <w:widowControl w:val="0"/>
      </w:pPr>
      <w:r w:rsidRPr="00604D74">
        <w:rPr>
          <w:rStyle w:val="EndnoteReference"/>
        </w:rPr>
        <w:endnoteRef/>
      </w:r>
      <w:r w:rsidRPr="00604D74">
        <w:t xml:space="preserve"> Palaiologou, I. (2017). ‘The use of vignettes in participatory research with young children’, </w:t>
      </w:r>
      <w:r w:rsidRPr="00604D74">
        <w:rPr>
          <w:i/>
          <w:iCs/>
        </w:rPr>
        <w:t>International Journal of Early Years Education</w:t>
      </w:r>
      <w:r w:rsidRPr="00604D74">
        <w:t xml:space="preserve"> 25(</w:t>
      </w:r>
      <w:r w:rsidRPr="00604D74">
        <w:rPr>
          <w:i/>
          <w:iCs/>
        </w:rPr>
        <w:t>3</w:t>
      </w:r>
      <w:r w:rsidRPr="00604D74">
        <w:t>): 308-322.</w:t>
      </w:r>
    </w:p>
  </w:endnote>
  <w:endnote w:id="16">
    <w:p w14:paraId="0F06AC16" w14:textId="77777777" w:rsidR="00193470" w:rsidRPr="00604D74" w:rsidRDefault="00193470" w:rsidP="00572DA6">
      <w:pPr>
        <w:pStyle w:val="EndnoteText"/>
        <w:keepLines/>
        <w:widowControl w:val="0"/>
      </w:pPr>
      <w:r w:rsidRPr="00604D74">
        <w:rPr>
          <w:rStyle w:val="EndnoteReference"/>
        </w:rPr>
        <w:endnoteRef/>
      </w:r>
      <w:r w:rsidRPr="00604D74">
        <w:t xml:space="preserve"> </w:t>
      </w:r>
      <w:r w:rsidRPr="00604D74">
        <w:rPr>
          <w:rFonts w:cstheme="minorHAnsi"/>
        </w:rPr>
        <w:t xml:space="preserve">Barter, C. and Renold, E. (1999). ‘The use of vignettes in qualitative research’, </w:t>
      </w:r>
      <w:r w:rsidRPr="00604D74">
        <w:rPr>
          <w:rFonts w:cstheme="minorHAnsi"/>
          <w:i/>
          <w:iCs/>
        </w:rPr>
        <w:t>Social Research Update</w:t>
      </w:r>
      <w:r w:rsidRPr="00604D74">
        <w:rPr>
          <w:rFonts w:cstheme="minorHAnsi"/>
        </w:rPr>
        <w:t xml:space="preserve"> 25, </w:t>
      </w:r>
      <w:hyperlink r:id="rId5" w:history="1">
        <w:r w:rsidRPr="00604D74">
          <w:rPr>
            <w:rStyle w:val="Hyperlink"/>
            <w:rFonts w:cstheme="minorHAnsi"/>
          </w:rPr>
          <w:t>https://sru.soc.surrey.ac.uk/SRU25.html</w:t>
        </w:r>
      </w:hyperlink>
      <w:r w:rsidRPr="00604D74">
        <w:rPr>
          <w:rFonts w:cstheme="minorHAnsi"/>
        </w:rPr>
        <w:t xml:space="preserve">. </w:t>
      </w:r>
    </w:p>
  </w:endnote>
  <w:endnote w:id="17">
    <w:p w14:paraId="1B73802A" w14:textId="1D0EE1D4" w:rsidR="00FA36DF" w:rsidRPr="0025701C" w:rsidRDefault="00FA36DF">
      <w:pPr>
        <w:pStyle w:val="EndnoteText"/>
      </w:pPr>
      <w:r>
        <w:rPr>
          <w:rStyle w:val="EndnoteReference"/>
        </w:rPr>
        <w:endnoteRef/>
      </w:r>
      <w:r>
        <w:t xml:space="preserve"> Grumet, M.</w:t>
      </w:r>
      <w:r w:rsidR="00057DB6">
        <w:t>, cited in Blumenfeld-Jones, D. (1995). ‘Fidelity as a criterion for practicing and evaluating narrative inquiry</w:t>
      </w:r>
      <w:r w:rsidR="00C06E10">
        <w:t>’. In Amos, J.</w:t>
      </w:r>
      <w:r w:rsidR="0025701C">
        <w:t xml:space="preserve"> and Wisniewski, R. (eds.)</w:t>
      </w:r>
      <w:r w:rsidR="008E22F7">
        <w:t>,</w:t>
      </w:r>
      <w:r w:rsidR="0025701C">
        <w:t xml:space="preserve"> </w:t>
      </w:r>
      <w:r w:rsidR="0025701C">
        <w:rPr>
          <w:i/>
          <w:iCs/>
        </w:rPr>
        <w:t>Life History and Narrative</w:t>
      </w:r>
      <w:r w:rsidR="0025701C">
        <w:t xml:space="preserve">. </w:t>
      </w:r>
      <w:r w:rsidR="008A4169">
        <w:t>London: The Falmer Press</w:t>
      </w:r>
      <w:r w:rsidR="00F42548">
        <w:t>, 26.</w:t>
      </w:r>
    </w:p>
  </w:endnote>
  <w:endnote w:id="18">
    <w:p w14:paraId="6346DC09" w14:textId="62698276" w:rsidR="00942953" w:rsidRPr="00037222" w:rsidRDefault="00942953">
      <w:pPr>
        <w:pStyle w:val="EndnoteText"/>
      </w:pPr>
      <w:r>
        <w:rPr>
          <w:rStyle w:val="EndnoteReference"/>
        </w:rPr>
        <w:endnoteRef/>
      </w:r>
      <w:r>
        <w:t xml:space="preserve"> </w:t>
      </w:r>
      <w:r w:rsidR="00F11265">
        <w:t xml:space="preserve">MacLure, M. (2009). </w:t>
      </w:r>
      <w:r w:rsidR="00F1549E">
        <w:t>‘</w:t>
      </w:r>
      <w:r w:rsidR="005E4DE5">
        <w:t>Broken voices</w:t>
      </w:r>
      <w:r w:rsidR="00F1549E">
        <w:t>, dirty words</w:t>
      </w:r>
      <w:r w:rsidR="001C4086">
        <w:t>’</w:t>
      </w:r>
      <w:r w:rsidR="00657BD4">
        <w:t>, i</w:t>
      </w:r>
      <w:r w:rsidR="001C4086">
        <w:t>n Jack</w:t>
      </w:r>
      <w:r w:rsidR="00037222">
        <w:t>so</w:t>
      </w:r>
      <w:r w:rsidR="001C4086">
        <w:t>n, A. Y. and Mazzei, L. A. (eds.)</w:t>
      </w:r>
      <w:r w:rsidR="008E22F7">
        <w:t xml:space="preserve">, </w:t>
      </w:r>
      <w:r w:rsidR="00900B3B">
        <w:rPr>
          <w:i/>
          <w:iCs/>
        </w:rPr>
        <w:t xml:space="preserve">Voices in Qualitative Inquiry: Challenging Conventional, Interpretative, and Critical Conceptions in </w:t>
      </w:r>
      <w:r w:rsidR="00037222">
        <w:rPr>
          <w:i/>
          <w:iCs/>
        </w:rPr>
        <w:t>Qualitative Research</w:t>
      </w:r>
      <w:r w:rsidR="00037222">
        <w:t xml:space="preserve">. </w:t>
      </w:r>
      <w:r w:rsidR="003F0B95">
        <w:t>Oxon</w:t>
      </w:r>
      <w:r w:rsidR="00AF383D">
        <w:t>: Routledge</w:t>
      </w:r>
      <w:r w:rsidR="00A17081">
        <w:t>, 97.</w:t>
      </w:r>
    </w:p>
  </w:endnote>
  <w:endnote w:id="19">
    <w:p w14:paraId="07A28074" w14:textId="24388138" w:rsidR="00F11265" w:rsidRPr="006D17D6" w:rsidRDefault="00F11265">
      <w:pPr>
        <w:pStyle w:val="EndnoteText"/>
      </w:pPr>
      <w:r>
        <w:rPr>
          <w:rStyle w:val="EndnoteReference"/>
        </w:rPr>
        <w:endnoteRef/>
      </w:r>
      <w:r>
        <w:t xml:space="preserve"> </w:t>
      </w:r>
      <w:r w:rsidR="00A17081">
        <w:t>Fuller, G. (2000). ‘The textual politics of good intentions: Critical theory and semiotics’</w:t>
      </w:r>
      <w:r w:rsidR="00657BD4">
        <w:t>,</w:t>
      </w:r>
      <w:r w:rsidR="006D20C8">
        <w:t xml:space="preserve"> </w:t>
      </w:r>
      <w:r w:rsidR="00657BD4">
        <w:t>i</w:t>
      </w:r>
      <w:r w:rsidR="006D20C8">
        <w:t>n Lee, A. and Poynton, C. (eds.)</w:t>
      </w:r>
      <w:r w:rsidR="006D475B">
        <w:t xml:space="preserve">, </w:t>
      </w:r>
      <w:r w:rsidR="006D475B">
        <w:rPr>
          <w:i/>
          <w:iCs/>
        </w:rPr>
        <w:t>Culture and Text: Discourse and Methodology</w:t>
      </w:r>
      <w:r w:rsidR="006D17D6">
        <w:rPr>
          <w:i/>
          <w:iCs/>
        </w:rPr>
        <w:t xml:space="preserve"> in Social Research and Cultural Studies</w:t>
      </w:r>
      <w:r w:rsidR="006D17D6">
        <w:t xml:space="preserve">. </w:t>
      </w:r>
      <w:r w:rsidR="0030193A">
        <w:t>Lantham: Rowman &amp; Littlefield</w:t>
      </w:r>
      <w:r w:rsidR="003114E5">
        <w:t>, 102.</w:t>
      </w:r>
    </w:p>
  </w:endnote>
  <w:endnote w:id="20">
    <w:p w14:paraId="46170FCE" w14:textId="77777777" w:rsidR="00481DF9" w:rsidRPr="00132FED" w:rsidRDefault="00481DF9" w:rsidP="00481DF9">
      <w:pPr>
        <w:pStyle w:val="EndnoteText"/>
      </w:pPr>
      <w:r w:rsidRPr="00132FED">
        <w:rPr>
          <w:rStyle w:val="EndnoteReference"/>
        </w:rPr>
        <w:endnoteRef/>
      </w:r>
      <w:r w:rsidRPr="00132FED">
        <w:t xml:space="preserve"> OECD (2021). </w:t>
      </w:r>
      <w:r w:rsidRPr="00132FED">
        <w:rPr>
          <w:i/>
          <w:iCs/>
        </w:rPr>
        <w:t>Play, Create and Learn: What Matters Most for Five-Year-Olds</w:t>
      </w:r>
      <w:r w:rsidRPr="00132FED">
        <w:t xml:space="preserve">, </w:t>
      </w:r>
      <w:hyperlink r:id="rId6" w:history="1">
        <w:r w:rsidRPr="00132FED">
          <w:rPr>
            <w:rStyle w:val="Hyperlink"/>
          </w:rPr>
          <w:t>https://issuu.com/oecd.publishing/docs/play-create-learn-what-matters-most-for-five-year-</w:t>
        </w:r>
      </w:hyperlink>
      <w:r w:rsidRPr="00132FED">
        <w:t>.</w:t>
      </w:r>
    </w:p>
  </w:endnote>
  <w:endnote w:id="21">
    <w:p w14:paraId="7DC63603" w14:textId="77777777" w:rsidR="00481DF9" w:rsidRPr="00132FED" w:rsidRDefault="00481DF9" w:rsidP="00481DF9">
      <w:pPr>
        <w:spacing w:before="0" w:after="0"/>
        <w:rPr>
          <w:sz w:val="20"/>
          <w:szCs w:val="20"/>
        </w:rPr>
      </w:pPr>
      <w:r w:rsidRPr="00132FED">
        <w:rPr>
          <w:rStyle w:val="EndnoteReference"/>
          <w:sz w:val="20"/>
          <w:szCs w:val="20"/>
        </w:rPr>
        <w:endnoteRef/>
      </w:r>
      <w:r w:rsidRPr="00132FED">
        <w:rPr>
          <w:sz w:val="20"/>
          <w:szCs w:val="20"/>
        </w:rPr>
        <w:t xml:space="preserve"> Cartmel, J., Irvine. S., Harrison, L., Barblett, L., Bobongie-Harris, F., Lavina, L. &amp; Hadley, F. (2023). ‘Conceptualising the education and care workforce from the perspective of children and young people’, </w:t>
      </w:r>
      <w:r w:rsidRPr="00132FED">
        <w:rPr>
          <w:i/>
          <w:iCs/>
          <w:sz w:val="20"/>
          <w:szCs w:val="20"/>
        </w:rPr>
        <w:t>Frontiers in Education</w:t>
      </w:r>
      <w:r w:rsidRPr="00132FED">
        <w:rPr>
          <w:sz w:val="20"/>
          <w:szCs w:val="20"/>
        </w:rPr>
        <w:t xml:space="preserve"> </w:t>
      </w:r>
      <w:r w:rsidRPr="00132FED">
        <w:rPr>
          <w:i/>
          <w:iCs/>
          <w:sz w:val="20"/>
          <w:szCs w:val="20"/>
        </w:rPr>
        <w:t>8</w:t>
      </w:r>
      <w:r w:rsidRPr="00132FED">
        <w:rPr>
          <w:sz w:val="20"/>
          <w:szCs w:val="20"/>
        </w:rPr>
        <w:t xml:space="preserve">: 1-10, </w:t>
      </w:r>
      <w:hyperlink r:id="rId7" w:history="1">
        <w:r w:rsidRPr="00132FED">
          <w:rPr>
            <w:rStyle w:val="Hyperlink"/>
            <w:sz w:val="20"/>
            <w:szCs w:val="20"/>
          </w:rPr>
          <w:t>https://doi.org/10.3389/feduc.2023.1167486</w:t>
        </w:r>
      </w:hyperlink>
      <w:r w:rsidRPr="00132FED">
        <w:rPr>
          <w:sz w:val="20"/>
          <w:szCs w:val="20"/>
        </w:rPr>
        <w:t>.</w:t>
      </w:r>
    </w:p>
  </w:endnote>
  <w:endnote w:id="22">
    <w:p w14:paraId="38130BAC" w14:textId="77777777" w:rsidR="00481DF9" w:rsidRPr="00132FED" w:rsidRDefault="00481DF9" w:rsidP="00481DF9">
      <w:pPr>
        <w:spacing w:before="0" w:after="0"/>
        <w:rPr>
          <w:sz w:val="20"/>
          <w:szCs w:val="20"/>
        </w:rPr>
      </w:pPr>
      <w:r w:rsidRPr="00132FED">
        <w:rPr>
          <w:rStyle w:val="EndnoteReference"/>
          <w:sz w:val="20"/>
          <w:szCs w:val="20"/>
        </w:rPr>
        <w:endnoteRef/>
      </w:r>
      <w:r w:rsidRPr="00132FED">
        <w:rPr>
          <w:sz w:val="20"/>
          <w:szCs w:val="20"/>
        </w:rPr>
        <w:t xml:space="preserve"> Barblett, L., Bobongie-Harris, F., Cartmel, J., Hadley, F., Harrison, L., Irvine, S., &amp; Lavina, L. (2022). </w:t>
      </w:r>
      <w:r w:rsidRPr="00132FED">
        <w:rPr>
          <w:i/>
          <w:iCs/>
          <w:sz w:val="20"/>
          <w:szCs w:val="20"/>
        </w:rPr>
        <w:t>‘</w:t>
      </w:r>
      <w:r w:rsidRPr="00132FED">
        <w:rPr>
          <w:sz w:val="20"/>
          <w:szCs w:val="20"/>
        </w:rPr>
        <w:t xml:space="preserve">“We’re not useless, we know stuff!” Gathering children’s voices to inform policy’, </w:t>
      </w:r>
      <w:r w:rsidRPr="00132FED">
        <w:rPr>
          <w:i/>
          <w:iCs/>
          <w:sz w:val="20"/>
          <w:szCs w:val="20"/>
        </w:rPr>
        <w:t>Australasian Journal of Early Childhood</w:t>
      </w:r>
      <w:r w:rsidRPr="00132FED">
        <w:rPr>
          <w:sz w:val="20"/>
          <w:szCs w:val="20"/>
        </w:rPr>
        <w:t xml:space="preserve"> </w:t>
      </w:r>
      <w:r w:rsidRPr="00132FED">
        <w:rPr>
          <w:i/>
          <w:iCs/>
          <w:sz w:val="20"/>
          <w:szCs w:val="20"/>
        </w:rPr>
        <w:t>48</w:t>
      </w:r>
      <w:r w:rsidRPr="00132FED">
        <w:rPr>
          <w:sz w:val="20"/>
          <w:szCs w:val="20"/>
        </w:rPr>
        <w:t>(2): 134-147.</w:t>
      </w:r>
    </w:p>
  </w:endnote>
  <w:endnote w:id="23">
    <w:p w14:paraId="4DB3A59E" w14:textId="77777777" w:rsidR="00481DF9" w:rsidRPr="00132FED" w:rsidRDefault="00481DF9" w:rsidP="00481DF9">
      <w:pPr>
        <w:spacing w:before="0" w:after="0"/>
        <w:rPr>
          <w:sz w:val="20"/>
          <w:szCs w:val="20"/>
        </w:rPr>
      </w:pPr>
      <w:r w:rsidRPr="00132FED">
        <w:rPr>
          <w:rStyle w:val="EndnoteReference"/>
          <w:sz w:val="20"/>
          <w:szCs w:val="20"/>
        </w:rPr>
        <w:endnoteRef/>
      </w:r>
      <w:r w:rsidRPr="00132FED">
        <w:rPr>
          <w:sz w:val="20"/>
          <w:szCs w:val="20"/>
        </w:rPr>
        <w:t xml:space="preserve"> Harris, P. and Manatakis, H. (2013). ‘Young children’s voices about their local communities’, </w:t>
      </w:r>
      <w:r w:rsidRPr="00132FED">
        <w:rPr>
          <w:i/>
          <w:iCs/>
          <w:sz w:val="20"/>
          <w:szCs w:val="20"/>
        </w:rPr>
        <w:t>Australasian Journal of Early Childhood</w:t>
      </w:r>
      <w:r w:rsidRPr="00132FED">
        <w:rPr>
          <w:sz w:val="20"/>
          <w:szCs w:val="20"/>
        </w:rPr>
        <w:t xml:space="preserve"> </w:t>
      </w:r>
      <w:r w:rsidRPr="00132FED">
        <w:rPr>
          <w:i/>
          <w:iCs/>
          <w:sz w:val="20"/>
          <w:szCs w:val="20"/>
        </w:rPr>
        <w:t>38</w:t>
      </w:r>
      <w:r w:rsidRPr="00132FED">
        <w:rPr>
          <w:sz w:val="20"/>
          <w:szCs w:val="20"/>
        </w:rPr>
        <w:t>(3): 68-76.</w:t>
      </w:r>
    </w:p>
  </w:endnote>
  <w:endnote w:id="24">
    <w:p w14:paraId="7FE579F5" w14:textId="77777777" w:rsidR="00481DF9" w:rsidRPr="00132FED" w:rsidRDefault="00481DF9" w:rsidP="00481DF9">
      <w:pPr>
        <w:spacing w:before="0" w:after="0"/>
        <w:rPr>
          <w:sz w:val="20"/>
          <w:szCs w:val="20"/>
        </w:rPr>
      </w:pPr>
      <w:r w:rsidRPr="00132FED">
        <w:rPr>
          <w:rStyle w:val="EndnoteReference"/>
          <w:sz w:val="20"/>
          <w:szCs w:val="20"/>
        </w:rPr>
        <w:endnoteRef/>
      </w:r>
      <w:r w:rsidRPr="00132FED">
        <w:rPr>
          <w:sz w:val="20"/>
          <w:szCs w:val="20"/>
        </w:rPr>
        <w:t xml:space="preserve"> Harkin, J., Stafford, L., &amp; Leggat-Cook, C. (2020). ‘Influences on children’s voices in family support services: Practitioner perspectives’, </w:t>
      </w:r>
      <w:r w:rsidRPr="00132FED">
        <w:rPr>
          <w:i/>
          <w:iCs/>
          <w:sz w:val="20"/>
          <w:szCs w:val="20"/>
        </w:rPr>
        <w:t>Child &amp; Family Social Work 25</w:t>
      </w:r>
      <w:r w:rsidRPr="00132FED">
        <w:rPr>
          <w:sz w:val="20"/>
          <w:szCs w:val="20"/>
        </w:rPr>
        <w:t>(4): 955-963.</w:t>
      </w:r>
    </w:p>
  </w:endnote>
  <w:endnote w:id="25">
    <w:p w14:paraId="2184AADC" w14:textId="77777777" w:rsidR="00481DF9" w:rsidRPr="00132FED" w:rsidRDefault="00481DF9" w:rsidP="00481DF9">
      <w:pPr>
        <w:spacing w:before="0" w:after="0"/>
        <w:rPr>
          <w:sz w:val="20"/>
          <w:szCs w:val="20"/>
        </w:rPr>
      </w:pPr>
      <w:r w:rsidRPr="00132FED">
        <w:rPr>
          <w:rStyle w:val="EndnoteReference"/>
          <w:sz w:val="20"/>
          <w:szCs w:val="20"/>
        </w:rPr>
        <w:endnoteRef/>
      </w:r>
      <w:r w:rsidRPr="00132FED">
        <w:rPr>
          <w:sz w:val="20"/>
          <w:szCs w:val="20"/>
        </w:rPr>
        <w:t xml:space="preserve"> Case, S., Haines, K., Creaney, S., Coleman, N., Little, R., &amp; Worral, V. (2020). ‘Trusting children to enhance youth justice policy: The importance and value of children’s voices’, </w:t>
      </w:r>
      <w:r w:rsidRPr="00132FED">
        <w:rPr>
          <w:i/>
          <w:iCs/>
          <w:sz w:val="20"/>
          <w:szCs w:val="20"/>
        </w:rPr>
        <w:t>Youth Voice Journal</w:t>
      </w:r>
      <w:r w:rsidRPr="00132FED">
        <w:rPr>
          <w:sz w:val="20"/>
          <w:szCs w:val="20"/>
        </w:rPr>
        <w:t xml:space="preserve"> (SI): 25-40.</w:t>
      </w:r>
    </w:p>
  </w:endnote>
  <w:endnote w:id="26">
    <w:p w14:paraId="799B8153" w14:textId="77777777" w:rsidR="00481DF9" w:rsidRPr="00132FED" w:rsidRDefault="00481DF9" w:rsidP="00481DF9">
      <w:pPr>
        <w:spacing w:before="0" w:after="0"/>
        <w:rPr>
          <w:sz w:val="20"/>
          <w:szCs w:val="20"/>
        </w:rPr>
      </w:pPr>
      <w:r w:rsidRPr="00132FED">
        <w:rPr>
          <w:rStyle w:val="EndnoteReference"/>
          <w:sz w:val="20"/>
          <w:szCs w:val="20"/>
        </w:rPr>
        <w:endnoteRef/>
      </w:r>
      <w:r w:rsidRPr="00132FED">
        <w:rPr>
          <w:sz w:val="20"/>
          <w:szCs w:val="20"/>
        </w:rPr>
        <w:t xml:space="preserve"> Williams, T. L. and Parry, S. L. (2023). ‘The voice of the child in social work practice: A phenomenological analysis of practitioner interpretation and experience’, </w:t>
      </w:r>
      <w:r w:rsidRPr="00132FED">
        <w:rPr>
          <w:i/>
          <w:iCs/>
          <w:sz w:val="20"/>
          <w:szCs w:val="20"/>
        </w:rPr>
        <w:t xml:space="preserve">Children and Youth Services Review </w:t>
      </w:r>
      <w:r w:rsidRPr="00132FED">
        <w:rPr>
          <w:sz w:val="20"/>
          <w:szCs w:val="20"/>
        </w:rPr>
        <w:t xml:space="preserve">148, </w:t>
      </w:r>
      <w:hyperlink r:id="rId8" w:history="1">
        <w:r w:rsidRPr="00132FED">
          <w:rPr>
            <w:rStyle w:val="Hyperlink"/>
            <w:sz w:val="20"/>
            <w:szCs w:val="20"/>
          </w:rPr>
          <w:t>https://www.sciencedirect.com/science/article/pii/S0190740923001007/pdfft?md5=701d84ab9e6d7d2a470b4f34ce682867&amp;pid=1-s2.0-S0190740923001007-main.pdf</w:t>
        </w:r>
      </w:hyperlink>
      <w:r w:rsidRPr="00132FED">
        <w:rPr>
          <w:sz w:val="20"/>
          <w:szCs w:val="20"/>
        </w:rPr>
        <w:t>.</w:t>
      </w:r>
    </w:p>
  </w:endnote>
  <w:endnote w:id="27">
    <w:p w14:paraId="5DBD5153" w14:textId="77777777" w:rsidR="00481DF9" w:rsidRPr="00132FED" w:rsidRDefault="00481DF9" w:rsidP="00481DF9">
      <w:pPr>
        <w:spacing w:before="0" w:after="0"/>
        <w:rPr>
          <w:sz w:val="20"/>
          <w:szCs w:val="20"/>
        </w:rPr>
      </w:pPr>
      <w:r w:rsidRPr="00132FED">
        <w:rPr>
          <w:rStyle w:val="EndnoteReference"/>
          <w:sz w:val="20"/>
          <w:szCs w:val="20"/>
        </w:rPr>
        <w:endnoteRef/>
      </w:r>
      <w:r w:rsidRPr="00132FED">
        <w:rPr>
          <w:sz w:val="20"/>
          <w:szCs w:val="20"/>
        </w:rPr>
        <w:t xml:space="preserve"> Crowley, A. (2015). ‘Is anyone listening? The impact of children’s participation on public policy’, </w:t>
      </w:r>
      <w:r w:rsidRPr="00132FED">
        <w:rPr>
          <w:i/>
          <w:iCs/>
          <w:sz w:val="20"/>
          <w:szCs w:val="20"/>
        </w:rPr>
        <w:t>The International Journal of Children’s Rights</w:t>
      </w:r>
      <w:r w:rsidRPr="00132FED">
        <w:rPr>
          <w:sz w:val="20"/>
          <w:szCs w:val="20"/>
        </w:rPr>
        <w:t xml:space="preserve"> </w:t>
      </w:r>
      <w:r w:rsidRPr="00132FED">
        <w:rPr>
          <w:i/>
          <w:iCs/>
          <w:sz w:val="20"/>
          <w:szCs w:val="20"/>
        </w:rPr>
        <w:t>23</w:t>
      </w:r>
      <w:r w:rsidRPr="00132FED">
        <w:rPr>
          <w:sz w:val="20"/>
          <w:szCs w:val="20"/>
        </w:rPr>
        <w:t>(3): 602-621.</w:t>
      </w:r>
    </w:p>
  </w:endnote>
  <w:endnote w:id="28">
    <w:p w14:paraId="42E5C6E0" w14:textId="77777777" w:rsidR="00481DF9" w:rsidRPr="00132FED" w:rsidRDefault="00481DF9" w:rsidP="00481DF9">
      <w:pPr>
        <w:snapToGrid w:val="0"/>
        <w:spacing w:before="0" w:after="0"/>
        <w:rPr>
          <w:sz w:val="20"/>
          <w:szCs w:val="20"/>
        </w:rPr>
      </w:pPr>
      <w:r w:rsidRPr="00132FED">
        <w:rPr>
          <w:rStyle w:val="EndnoteReference"/>
          <w:sz w:val="20"/>
          <w:szCs w:val="20"/>
        </w:rPr>
        <w:endnoteRef/>
      </w:r>
      <w:r w:rsidRPr="001B07CE">
        <w:rPr>
          <w:sz w:val="20"/>
          <w:szCs w:val="20"/>
          <w:lang w:val="de-DE"/>
        </w:rPr>
        <w:t xml:space="preserve"> Sullivan, E., Egli, V., Donnellan, N., &amp; Smith, M. (2020). </w:t>
      </w:r>
      <w:r w:rsidRPr="00132FED">
        <w:rPr>
          <w:sz w:val="20"/>
          <w:szCs w:val="20"/>
        </w:rPr>
        <w:t xml:space="preserve">‘Policies to enable children’s voice for healthy neighbourhoods and communities: A systematic mapping review and case study’, </w:t>
      </w:r>
      <w:r w:rsidRPr="00132FED">
        <w:rPr>
          <w:i/>
          <w:iCs/>
          <w:sz w:val="20"/>
          <w:szCs w:val="20"/>
        </w:rPr>
        <w:t>Kōtuitui: New Zealand Journal of Social Sciences Online</w:t>
      </w:r>
      <w:r w:rsidRPr="00132FED">
        <w:rPr>
          <w:sz w:val="20"/>
          <w:szCs w:val="20"/>
        </w:rPr>
        <w:t> 1</w:t>
      </w:r>
      <w:r w:rsidRPr="00132FED">
        <w:rPr>
          <w:i/>
          <w:iCs/>
          <w:sz w:val="20"/>
          <w:szCs w:val="20"/>
        </w:rPr>
        <w:t>6</w:t>
      </w:r>
      <w:r w:rsidRPr="00132FED">
        <w:rPr>
          <w:sz w:val="20"/>
          <w:szCs w:val="20"/>
        </w:rPr>
        <w:t>(1): 18-44.</w:t>
      </w:r>
    </w:p>
  </w:endnote>
  <w:endnote w:id="29">
    <w:p w14:paraId="040B6488" w14:textId="77777777" w:rsidR="00481DF9" w:rsidRPr="00132FED" w:rsidRDefault="00481DF9" w:rsidP="00481DF9">
      <w:pPr>
        <w:snapToGrid w:val="0"/>
        <w:spacing w:before="0" w:after="0"/>
        <w:rPr>
          <w:sz w:val="20"/>
          <w:szCs w:val="20"/>
        </w:rPr>
      </w:pPr>
      <w:r w:rsidRPr="00132FED">
        <w:rPr>
          <w:rStyle w:val="EndnoteReference"/>
          <w:sz w:val="20"/>
          <w:szCs w:val="20"/>
        </w:rPr>
        <w:endnoteRef/>
      </w:r>
      <w:r w:rsidRPr="001B07CE">
        <w:rPr>
          <w:sz w:val="20"/>
          <w:szCs w:val="20"/>
          <w:lang w:val="pt-PT"/>
        </w:rPr>
        <w:t xml:space="preserve"> Nasrabadi, M. T., García, E. H., &amp; Pourzakarya, M. (2021). </w:t>
      </w:r>
      <w:r w:rsidRPr="00132FED">
        <w:rPr>
          <w:sz w:val="20"/>
          <w:szCs w:val="20"/>
        </w:rPr>
        <w:t xml:space="preserve">‘Let children plan neighbourhoods for a sustainable future: A sustainable child-friendly city approach’, </w:t>
      </w:r>
      <w:r w:rsidRPr="00132FED">
        <w:rPr>
          <w:i/>
          <w:iCs/>
          <w:sz w:val="20"/>
          <w:szCs w:val="20"/>
        </w:rPr>
        <w:t>Local Environment: The International Journal of Justice and Sustainability</w:t>
      </w:r>
      <w:r w:rsidRPr="00132FED">
        <w:rPr>
          <w:sz w:val="20"/>
          <w:szCs w:val="20"/>
        </w:rPr>
        <w:t xml:space="preserve"> </w:t>
      </w:r>
      <w:r w:rsidRPr="00132FED">
        <w:rPr>
          <w:i/>
          <w:iCs/>
          <w:sz w:val="20"/>
          <w:szCs w:val="20"/>
        </w:rPr>
        <w:t>26</w:t>
      </w:r>
      <w:r w:rsidRPr="00132FED">
        <w:rPr>
          <w:sz w:val="20"/>
          <w:szCs w:val="20"/>
        </w:rPr>
        <w:t>(2): 198-215.</w:t>
      </w:r>
    </w:p>
  </w:endnote>
  <w:endnote w:id="30">
    <w:p w14:paraId="441C7120" w14:textId="77777777" w:rsidR="00481DF9" w:rsidRPr="00132FED" w:rsidRDefault="00481DF9" w:rsidP="00481DF9">
      <w:pPr>
        <w:snapToGrid w:val="0"/>
        <w:spacing w:before="0" w:after="0"/>
        <w:rPr>
          <w:sz w:val="20"/>
          <w:szCs w:val="20"/>
        </w:rPr>
      </w:pPr>
      <w:r w:rsidRPr="00132FED">
        <w:rPr>
          <w:rStyle w:val="EndnoteReference"/>
          <w:sz w:val="20"/>
          <w:szCs w:val="20"/>
        </w:rPr>
        <w:endnoteRef/>
      </w:r>
      <w:r w:rsidRPr="00132FED">
        <w:rPr>
          <w:sz w:val="20"/>
          <w:szCs w:val="20"/>
        </w:rPr>
        <w:t xml:space="preserve"> Johnson, V. (2017). ‘Moving beyond voice in children and young people’s participation’, </w:t>
      </w:r>
      <w:r w:rsidRPr="00132FED">
        <w:rPr>
          <w:i/>
          <w:iCs/>
          <w:sz w:val="20"/>
          <w:szCs w:val="20"/>
        </w:rPr>
        <w:t>Action Research</w:t>
      </w:r>
      <w:r w:rsidRPr="00132FED">
        <w:rPr>
          <w:sz w:val="20"/>
          <w:szCs w:val="20"/>
        </w:rPr>
        <w:t xml:space="preserve"> </w:t>
      </w:r>
      <w:r w:rsidRPr="00132FED">
        <w:rPr>
          <w:i/>
          <w:iCs/>
          <w:sz w:val="20"/>
          <w:szCs w:val="20"/>
        </w:rPr>
        <w:t>15</w:t>
      </w:r>
      <w:r w:rsidRPr="00132FED">
        <w:rPr>
          <w:sz w:val="20"/>
          <w:szCs w:val="20"/>
        </w:rPr>
        <w:t>(1)</w:t>
      </w:r>
      <w:r>
        <w:rPr>
          <w:sz w:val="20"/>
          <w:szCs w:val="20"/>
        </w:rPr>
        <w:t xml:space="preserve">, </w:t>
      </w:r>
      <w:hyperlink r:id="rId9" w:history="1">
        <w:r w:rsidRPr="00EC1227">
          <w:rPr>
            <w:rFonts w:cs="Open Sans"/>
            <w:color w:val="006ACC"/>
            <w:sz w:val="20"/>
            <w:szCs w:val="20"/>
            <w:u w:val="single"/>
            <w:shd w:val="clear" w:color="auto" w:fill="FFFFFF"/>
          </w:rPr>
          <w:t>https://doi.org/10.1177/1476750317698025</w:t>
        </w:r>
      </w:hyperlink>
      <w:r w:rsidRPr="003B238F">
        <w:rPr>
          <w:sz w:val="20"/>
          <w:szCs w:val="20"/>
        </w:rPr>
        <w:t>.</w:t>
      </w:r>
    </w:p>
  </w:endnote>
  <w:endnote w:id="31">
    <w:p w14:paraId="122CA98D" w14:textId="77777777" w:rsidR="00481DF9" w:rsidRDefault="00481DF9" w:rsidP="00481DF9">
      <w:pPr>
        <w:snapToGrid w:val="0"/>
        <w:spacing w:before="0" w:after="0"/>
      </w:pPr>
      <w:r w:rsidRPr="00132FED">
        <w:rPr>
          <w:rStyle w:val="EndnoteReference"/>
          <w:sz w:val="20"/>
          <w:szCs w:val="20"/>
        </w:rPr>
        <w:endnoteRef/>
      </w:r>
      <w:r w:rsidRPr="00132FED">
        <w:rPr>
          <w:sz w:val="20"/>
          <w:szCs w:val="20"/>
        </w:rPr>
        <w:t xml:space="preserve"> Horgan, D. (2017). ‘Consultations with children and young people and their impact on policy in Ireland’, </w:t>
      </w:r>
      <w:r w:rsidRPr="00132FED">
        <w:rPr>
          <w:i/>
          <w:iCs/>
          <w:sz w:val="20"/>
          <w:szCs w:val="20"/>
        </w:rPr>
        <w:t>Social Inclusion</w:t>
      </w:r>
      <w:r w:rsidRPr="00132FED">
        <w:rPr>
          <w:sz w:val="20"/>
          <w:szCs w:val="20"/>
        </w:rPr>
        <w:t xml:space="preserve"> 5(</w:t>
      </w:r>
      <w:r w:rsidRPr="00132FED">
        <w:rPr>
          <w:i/>
          <w:iCs/>
          <w:sz w:val="20"/>
          <w:szCs w:val="20"/>
        </w:rPr>
        <w:t>3</w:t>
      </w:r>
      <w:r w:rsidRPr="00132FED">
        <w:rPr>
          <w:sz w:val="20"/>
          <w:szCs w:val="20"/>
        </w:rPr>
        <w:t>): 104-112.</w:t>
      </w:r>
    </w:p>
  </w:endnote>
  <w:endnote w:id="32">
    <w:p w14:paraId="5671404B" w14:textId="77777777" w:rsidR="00481DF9" w:rsidRPr="008B4259" w:rsidRDefault="00481DF9" w:rsidP="00481DF9">
      <w:pPr>
        <w:snapToGrid w:val="0"/>
        <w:spacing w:before="0" w:after="0"/>
      </w:pPr>
      <w:r w:rsidRPr="00132FED">
        <w:rPr>
          <w:rStyle w:val="EndnoteReference"/>
          <w:sz w:val="20"/>
          <w:szCs w:val="20"/>
        </w:rPr>
        <w:endnoteRef/>
      </w:r>
      <w:r w:rsidRPr="001B07CE">
        <w:rPr>
          <w:sz w:val="20"/>
          <w:szCs w:val="20"/>
          <w:lang w:val="de-DE"/>
        </w:rPr>
        <w:t xml:space="preserve"> Georgeson, J., Porter, J., Daniels, H., &amp; Feiler, A. (2014). </w:t>
      </w:r>
      <w:r>
        <w:rPr>
          <w:sz w:val="20"/>
          <w:szCs w:val="20"/>
        </w:rPr>
        <w:t xml:space="preserve">‘Consulting young children about barriers and supports to learning’, </w:t>
      </w:r>
      <w:r>
        <w:rPr>
          <w:i/>
          <w:iCs/>
          <w:sz w:val="20"/>
          <w:szCs w:val="20"/>
        </w:rPr>
        <w:t xml:space="preserve">European Early Childhood Education Research Journal </w:t>
      </w:r>
      <w:r>
        <w:rPr>
          <w:sz w:val="20"/>
          <w:szCs w:val="20"/>
        </w:rPr>
        <w:t>22(</w:t>
      </w:r>
      <w:r>
        <w:rPr>
          <w:i/>
          <w:iCs/>
          <w:sz w:val="20"/>
          <w:szCs w:val="20"/>
        </w:rPr>
        <w:t>2</w:t>
      </w:r>
      <w:r>
        <w:rPr>
          <w:sz w:val="20"/>
          <w:szCs w:val="20"/>
        </w:rPr>
        <w:t>): 198-212.</w:t>
      </w:r>
    </w:p>
  </w:endnote>
  <w:endnote w:id="33">
    <w:p w14:paraId="51BC4E51" w14:textId="77777777" w:rsidR="00481DF9" w:rsidRPr="00D05196" w:rsidRDefault="00481DF9" w:rsidP="00481DF9">
      <w:pPr>
        <w:snapToGrid w:val="0"/>
        <w:spacing w:before="0" w:after="0"/>
      </w:pPr>
      <w:r w:rsidRPr="00132FED">
        <w:rPr>
          <w:rStyle w:val="EndnoteReference"/>
          <w:sz w:val="20"/>
          <w:szCs w:val="20"/>
        </w:rPr>
        <w:endnoteRef/>
      </w:r>
      <w:r w:rsidRPr="00132FED">
        <w:rPr>
          <w:sz w:val="20"/>
          <w:szCs w:val="20"/>
        </w:rPr>
        <w:t xml:space="preserve"> </w:t>
      </w:r>
      <w:r>
        <w:rPr>
          <w:sz w:val="20"/>
          <w:szCs w:val="20"/>
        </w:rPr>
        <w:t xml:space="preserve">Percy-Smith, B. (2010). ‘Councils, consultations and community: Rethinking the spaces for children and young people’s participation’, </w:t>
      </w:r>
      <w:r>
        <w:rPr>
          <w:i/>
          <w:iCs/>
          <w:sz w:val="20"/>
          <w:szCs w:val="20"/>
        </w:rPr>
        <w:t xml:space="preserve">Children’s Geographics </w:t>
      </w:r>
      <w:r>
        <w:rPr>
          <w:sz w:val="20"/>
          <w:szCs w:val="20"/>
        </w:rPr>
        <w:t>8(</w:t>
      </w:r>
      <w:r>
        <w:rPr>
          <w:i/>
          <w:iCs/>
          <w:sz w:val="20"/>
          <w:szCs w:val="20"/>
        </w:rPr>
        <w:t>2</w:t>
      </w:r>
      <w:r>
        <w:rPr>
          <w:sz w:val="20"/>
          <w:szCs w:val="20"/>
        </w:rPr>
        <w:t>): 107-122.</w:t>
      </w:r>
    </w:p>
  </w:endnote>
  <w:endnote w:id="34">
    <w:p w14:paraId="401567CC" w14:textId="77777777" w:rsidR="00481DF9" w:rsidRPr="00512208" w:rsidRDefault="00481DF9" w:rsidP="00481DF9">
      <w:pPr>
        <w:snapToGrid w:val="0"/>
        <w:spacing w:before="0" w:after="0"/>
      </w:pPr>
      <w:r w:rsidRPr="00132FED">
        <w:rPr>
          <w:rStyle w:val="EndnoteReference"/>
          <w:sz w:val="20"/>
          <w:szCs w:val="20"/>
        </w:rPr>
        <w:endnoteRef/>
      </w:r>
      <w:r w:rsidRPr="00132FED">
        <w:rPr>
          <w:sz w:val="20"/>
          <w:szCs w:val="20"/>
        </w:rPr>
        <w:t xml:space="preserve"> </w:t>
      </w:r>
      <w:r>
        <w:rPr>
          <w:sz w:val="20"/>
          <w:szCs w:val="20"/>
        </w:rPr>
        <w:t xml:space="preserve">Cele, S. and van der Burgt, D. (2015).’Participation, consultation, confusion: Professionals’ understandings of children’s participation in physical planning’, </w:t>
      </w:r>
      <w:r>
        <w:rPr>
          <w:i/>
          <w:iCs/>
          <w:sz w:val="20"/>
          <w:szCs w:val="20"/>
        </w:rPr>
        <w:t>Children’s Geographics</w:t>
      </w:r>
      <w:r>
        <w:rPr>
          <w:sz w:val="20"/>
          <w:szCs w:val="20"/>
        </w:rPr>
        <w:t xml:space="preserve"> 13(</w:t>
      </w:r>
      <w:r>
        <w:rPr>
          <w:i/>
          <w:iCs/>
          <w:sz w:val="20"/>
          <w:szCs w:val="20"/>
        </w:rPr>
        <w:t>1</w:t>
      </w:r>
      <w:r>
        <w:rPr>
          <w:sz w:val="20"/>
          <w:szCs w:val="20"/>
        </w:rPr>
        <w:t>): 14-29.</w:t>
      </w:r>
    </w:p>
  </w:endnote>
  <w:endnote w:id="35">
    <w:p w14:paraId="103BC5F1" w14:textId="77777777" w:rsidR="00481DF9" w:rsidRPr="00BA1BEF" w:rsidRDefault="00481DF9" w:rsidP="00481DF9">
      <w:pPr>
        <w:snapToGrid w:val="0"/>
        <w:spacing w:before="0" w:after="0"/>
      </w:pPr>
      <w:r w:rsidRPr="00132FED">
        <w:rPr>
          <w:rStyle w:val="EndnoteReference"/>
          <w:sz w:val="20"/>
          <w:szCs w:val="20"/>
        </w:rPr>
        <w:endnoteRef/>
      </w:r>
      <w:r w:rsidRPr="00132FED">
        <w:rPr>
          <w:sz w:val="20"/>
          <w:szCs w:val="20"/>
        </w:rPr>
        <w:t xml:space="preserve"> </w:t>
      </w:r>
      <w:r>
        <w:rPr>
          <w:sz w:val="20"/>
          <w:szCs w:val="20"/>
        </w:rPr>
        <w:t xml:space="preserve">Cuevas-Parra, P. (2020). ‘Co-researching with children in the time of COVID-19: Shifting the narrative on methodologies to generate knowledge’, </w:t>
      </w:r>
      <w:r>
        <w:rPr>
          <w:i/>
          <w:iCs/>
          <w:sz w:val="20"/>
          <w:szCs w:val="20"/>
        </w:rPr>
        <w:t>International Journal of Qualitative Methods</w:t>
      </w:r>
      <w:r>
        <w:rPr>
          <w:sz w:val="20"/>
          <w:szCs w:val="20"/>
        </w:rPr>
        <w:t xml:space="preserve">, </w:t>
      </w:r>
      <w:hyperlink r:id="rId10" w:history="1">
        <w:r w:rsidRPr="00E67A1C">
          <w:rPr>
            <w:rStyle w:val="Hyperlink"/>
            <w:sz w:val="20"/>
            <w:szCs w:val="20"/>
          </w:rPr>
          <w:t>https://journals.sagepub.com/doi/full/10.1177/1609406920982135</w:t>
        </w:r>
      </w:hyperlink>
      <w:r>
        <w:rPr>
          <w:sz w:val="20"/>
          <w:szCs w:val="20"/>
        </w:rPr>
        <w:t>.</w:t>
      </w:r>
    </w:p>
  </w:endnote>
  <w:endnote w:id="36">
    <w:p w14:paraId="6025774E" w14:textId="77777777" w:rsidR="00481DF9" w:rsidRDefault="00481DF9" w:rsidP="00481DF9">
      <w:pPr>
        <w:snapToGrid w:val="0"/>
        <w:spacing w:before="0" w:after="0"/>
        <w:rPr>
          <w:sz w:val="20"/>
          <w:szCs w:val="20"/>
        </w:rPr>
      </w:pPr>
      <w:r w:rsidRPr="00132FED">
        <w:rPr>
          <w:rStyle w:val="EndnoteReference"/>
          <w:sz w:val="20"/>
          <w:szCs w:val="20"/>
        </w:rPr>
        <w:endnoteRef/>
      </w:r>
      <w:r w:rsidRPr="00132FED">
        <w:rPr>
          <w:sz w:val="20"/>
          <w:szCs w:val="20"/>
        </w:rPr>
        <w:t xml:space="preserve"> </w:t>
      </w:r>
      <w:r>
        <w:rPr>
          <w:sz w:val="20"/>
          <w:szCs w:val="20"/>
        </w:rPr>
        <w:t xml:space="preserve">Pascal, C. and Bertram, T. (2021). ‘What do young children have to say? Recognising their voices, wisdom, agency and need for companionship during the COVID pandemic’, </w:t>
      </w:r>
      <w:r>
        <w:rPr>
          <w:i/>
          <w:iCs/>
          <w:sz w:val="20"/>
          <w:szCs w:val="20"/>
        </w:rPr>
        <w:t>European Early Childhood Education Research Journal</w:t>
      </w:r>
      <w:r>
        <w:rPr>
          <w:sz w:val="20"/>
          <w:szCs w:val="20"/>
        </w:rPr>
        <w:t xml:space="preserve"> 29(</w:t>
      </w:r>
      <w:r>
        <w:rPr>
          <w:i/>
          <w:iCs/>
          <w:sz w:val="20"/>
          <w:szCs w:val="20"/>
        </w:rPr>
        <w:t>1</w:t>
      </w:r>
      <w:r>
        <w:rPr>
          <w:sz w:val="20"/>
          <w:szCs w:val="20"/>
        </w:rPr>
        <w:t>): 21-34.</w:t>
      </w:r>
    </w:p>
    <w:p w14:paraId="185ED37D" w14:textId="77777777" w:rsidR="00481DF9" w:rsidRPr="00E54CF5" w:rsidRDefault="00481DF9" w:rsidP="00481DF9">
      <w:pPr>
        <w:snapToGrid w:val="0"/>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Menlo">
    <w:altName w:val="DokChampa"/>
    <w:charset w:val="00"/>
    <w:family w:val="modern"/>
    <w:pitch w:val="fixed"/>
    <w:sig w:usb0="E60022FF" w:usb1="D200F9FB" w:usb2="02000028" w:usb3="00000000" w:csb0="000001DF" w:csb1="00000000"/>
  </w:font>
  <w:font w:name="Segoe UI">
    <w:panose1 w:val="020B0502040204020203"/>
    <w:charset w:val="00"/>
    <w:family w:val="swiss"/>
    <w:pitch w:val="variable"/>
    <w:sig w:usb0="E4002EFF" w:usb1="C000E47F" w:usb2="00000009" w:usb3="00000000" w:csb0="000001FF" w:csb1="00000000"/>
  </w:font>
  <w:font w:name="Webdings">
    <w:panose1 w:val="05030102010509060703"/>
    <w:charset w:val="02"/>
    <w:family w:val="roman"/>
    <w:pitch w:val="variable"/>
    <w:sig w:usb0="00000000" w:usb1="10000000" w:usb2="00000000" w:usb3="00000000" w:csb0="80000000"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710449501"/>
      <w:docPartObj>
        <w:docPartGallery w:val="Page Numbers (Bottom of Page)"/>
        <w:docPartUnique/>
      </w:docPartObj>
    </w:sdtPr>
    <w:sdtContent>
      <w:p w14:paraId="116DF8AB" w14:textId="32A16049" w:rsidR="00C26EE4" w:rsidRDefault="00C26EE4" w:rsidP="00A32A4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97280F">
          <w:rPr>
            <w:rStyle w:val="PageNumber"/>
            <w:noProof/>
          </w:rPr>
          <w:t>1</w:t>
        </w:r>
        <w:r>
          <w:rPr>
            <w:rStyle w:val="PageNumber"/>
          </w:rPr>
          <w:fldChar w:fldCharType="end"/>
        </w:r>
      </w:p>
    </w:sdtContent>
  </w:sdt>
  <w:sdt>
    <w:sdtPr>
      <w:rPr>
        <w:rStyle w:val="PageNumber"/>
      </w:rPr>
      <w:id w:val="1200357068"/>
      <w:docPartObj>
        <w:docPartGallery w:val="Page Numbers (Bottom of Page)"/>
        <w:docPartUnique/>
      </w:docPartObj>
    </w:sdtPr>
    <w:sdtContent>
      <w:p w14:paraId="42E964B4" w14:textId="7F6EFBAB" w:rsidR="00C26EE4" w:rsidRDefault="00C26EE4" w:rsidP="00A32A46">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separate"/>
        </w:r>
        <w:r w:rsidR="0097280F">
          <w:rPr>
            <w:rStyle w:val="PageNumber"/>
            <w:noProof/>
          </w:rPr>
          <w:t>1</w:t>
        </w:r>
        <w:r>
          <w:rPr>
            <w:rStyle w:val="PageNumber"/>
          </w:rPr>
          <w:fldChar w:fldCharType="end"/>
        </w:r>
      </w:p>
    </w:sdtContent>
  </w:sdt>
  <w:p w14:paraId="0EC92A28" w14:textId="77777777" w:rsidR="00C26EE4" w:rsidRDefault="00C26EE4" w:rsidP="00A32A46">
    <w:pPr>
      <w:pStyle w:val="Footer"/>
      <w:ind w:right="360"/>
      <w:rPr>
        <w:rStyle w:val="PageNumber"/>
      </w:rPr>
    </w:pPr>
  </w:p>
  <w:p w14:paraId="5662EF10" w14:textId="77777777" w:rsidR="00C26EE4" w:rsidRDefault="00C26EE4" w:rsidP="00A32A4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024FA9" w14:textId="77777777" w:rsidR="00C26EE4" w:rsidRPr="00636DDB" w:rsidRDefault="00C26EE4" w:rsidP="00A32A46">
    <w:pPr>
      <w:pStyle w:val="Footer"/>
      <w:ind w:right="360"/>
      <w:jc w:val="center"/>
      <w:rPr>
        <w:b/>
        <w:bC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231727672"/>
      <w:docPartObj>
        <w:docPartGallery w:val="Page Numbers (Bottom of Page)"/>
        <w:docPartUnique/>
      </w:docPartObj>
    </w:sdtPr>
    <w:sdtContent>
      <w:p w14:paraId="236EF240" w14:textId="77777777" w:rsidR="00C26EE4" w:rsidRDefault="00C26EE4" w:rsidP="00A32A46">
        <w:pPr>
          <w:pStyle w:val="Footer"/>
          <w:framePr w:wrap="none" w:vAnchor="text" w:hAnchor="page" w:x="10663" w:y="34"/>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2503AA4" w14:textId="77777777" w:rsidR="00C26EE4" w:rsidRPr="00636DDB" w:rsidRDefault="00C26EE4" w:rsidP="00A32A46">
    <w:pPr>
      <w:pStyle w:val="Footer"/>
      <w:ind w:right="360"/>
      <w:jc w:val="center"/>
      <w:rPr>
        <w:b/>
        <w:bC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62E62A9" w14:textId="77777777" w:rsidR="00033C2A" w:rsidRDefault="00033C2A" w:rsidP="00C26EE4">
      <w:pPr>
        <w:spacing w:before="0" w:after="0"/>
      </w:pPr>
      <w:r>
        <w:separator/>
      </w:r>
    </w:p>
  </w:footnote>
  <w:footnote w:type="continuationSeparator" w:id="0">
    <w:p w14:paraId="289DE386" w14:textId="77777777" w:rsidR="00033C2A" w:rsidRDefault="00033C2A" w:rsidP="00C26EE4">
      <w:pPr>
        <w:spacing w:before="0" w:after="0"/>
      </w:pPr>
      <w:r>
        <w:continuationSeparator/>
      </w:r>
    </w:p>
  </w:footnote>
  <w:footnote w:type="continuationNotice" w:id="1">
    <w:p w14:paraId="28251195" w14:textId="77777777" w:rsidR="00033C2A" w:rsidRDefault="00033C2A">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12CBF9" w14:textId="77777777" w:rsidR="00C26EE4" w:rsidRDefault="00C26EE4">
    <w:pPr>
      <w:pStyle w:val="Header"/>
    </w:pPr>
    <w:r>
      <w:rPr>
        <w:noProof/>
      </w:rPr>
      <w:drawing>
        <wp:anchor distT="0" distB="0" distL="114300" distR="114300" simplePos="0" relativeHeight="251658240" behindDoc="0" locked="0" layoutInCell="1" allowOverlap="1" wp14:anchorId="4E3BF25A" wp14:editId="34570D1A">
          <wp:simplePos x="0" y="0"/>
          <wp:positionH relativeFrom="column">
            <wp:posOffset>6020435</wp:posOffset>
          </wp:positionH>
          <wp:positionV relativeFrom="paragraph">
            <wp:posOffset>-1097915</wp:posOffset>
          </wp:positionV>
          <wp:extent cx="710223" cy="688334"/>
          <wp:effectExtent l="0" t="0" r="0" b="0"/>
          <wp:wrapNone/>
          <wp:docPr id="1457115764" name="Picture 14571157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115764" name="Picture 145711576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10223" cy="688334"/>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3D12637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5B0300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4C061A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AEC42C2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51A308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2A68BD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6B40AD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730FBF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B9A7BA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550DD3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2F424C"/>
    <w:multiLevelType w:val="hybridMultilevel"/>
    <w:tmpl w:val="518AA352"/>
    <w:lvl w:ilvl="0" w:tplc="746825A2">
      <w:numFmt w:val="bullet"/>
      <w:lvlText w:val="-"/>
      <w:lvlJc w:val="left"/>
      <w:pPr>
        <w:ind w:left="720" w:hanging="360"/>
      </w:pPr>
      <w:rPr>
        <w:rFonts w:ascii="Helvetica" w:eastAsiaTheme="minorHAnsi" w:hAnsi="Helvetic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F3E6C9D"/>
    <w:multiLevelType w:val="multilevel"/>
    <w:tmpl w:val="FF8069A4"/>
    <w:lvl w:ilvl="0">
      <w:start w:val="1"/>
      <w:numFmt w:val="bullet"/>
      <w:lvlText w:val="•"/>
      <w:lvlJc w:val="left"/>
      <w:pPr>
        <w:ind w:left="227" w:hanging="227"/>
      </w:pPr>
      <w:rPr>
        <w:rFonts w:ascii="Times New Roman" w:hAnsi="Times New Roman" w:cs="Times New Roman" w:hint="default"/>
        <w:color w:val="auto"/>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12" w15:restartNumberingAfterBreak="0">
    <w:nsid w:val="12865111"/>
    <w:multiLevelType w:val="hybridMultilevel"/>
    <w:tmpl w:val="89B0AD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4AB2731"/>
    <w:multiLevelType w:val="hybridMultilevel"/>
    <w:tmpl w:val="7F22D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4BF10CC"/>
    <w:multiLevelType w:val="hybridMultilevel"/>
    <w:tmpl w:val="107491D4"/>
    <w:lvl w:ilvl="0" w:tplc="5D6C5D8A">
      <w:start w:val="1"/>
      <w:numFmt w:val="bullet"/>
      <w:lvlText w:val="-"/>
      <w:lvlJc w:val="left"/>
      <w:pPr>
        <w:ind w:left="720" w:hanging="360"/>
      </w:pPr>
      <w:rPr>
        <w:rFonts w:ascii="Helvetica" w:eastAsiaTheme="minorHAnsi" w:hAnsi="Helvetic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96D25AA"/>
    <w:multiLevelType w:val="hybridMultilevel"/>
    <w:tmpl w:val="633202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0CF5825"/>
    <w:multiLevelType w:val="hybridMultilevel"/>
    <w:tmpl w:val="8CD8A2AA"/>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55E4FE4"/>
    <w:multiLevelType w:val="hybridMultilevel"/>
    <w:tmpl w:val="0924135E"/>
    <w:lvl w:ilvl="0" w:tplc="41A4B2F6">
      <w:start w:val="1"/>
      <w:numFmt w:val="bullet"/>
      <w:lvlText w:val="-"/>
      <w:lvlJc w:val="left"/>
      <w:pPr>
        <w:ind w:left="720" w:hanging="360"/>
      </w:pPr>
      <w:rPr>
        <w:rFonts w:ascii="Helvetica" w:eastAsiaTheme="minorHAnsi" w:hAnsi="Helvetica"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FDC5064"/>
    <w:multiLevelType w:val="hybridMultilevel"/>
    <w:tmpl w:val="B70CF5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8431F77"/>
    <w:multiLevelType w:val="hybridMultilevel"/>
    <w:tmpl w:val="D0E456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9557FE1"/>
    <w:multiLevelType w:val="hybridMultilevel"/>
    <w:tmpl w:val="1696CAB0"/>
    <w:lvl w:ilvl="0" w:tplc="6716256C">
      <w:start w:val="1"/>
      <w:numFmt w:val="bullet"/>
      <w:lvlText w:val="-"/>
      <w:lvlJc w:val="left"/>
      <w:pPr>
        <w:ind w:left="720" w:hanging="360"/>
      </w:pPr>
      <w:rPr>
        <w:rFonts w:ascii="Helvetica" w:eastAsiaTheme="minorHAnsi" w:hAnsi="Helvetica"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C1B73C4"/>
    <w:multiLevelType w:val="hybridMultilevel"/>
    <w:tmpl w:val="612E8C3A"/>
    <w:lvl w:ilvl="0" w:tplc="5D6C5D8A">
      <w:start w:val="1"/>
      <w:numFmt w:val="bullet"/>
      <w:lvlText w:val="-"/>
      <w:lvlJc w:val="left"/>
      <w:pPr>
        <w:ind w:left="720" w:hanging="360"/>
      </w:pPr>
      <w:rPr>
        <w:rFonts w:ascii="Helvetica" w:eastAsiaTheme="minorHAnsi" w:hAnsi="Helvetic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F274A93"/>
    <w:multiLevelType w:val="hybridMultilevel"/>
    <w:tmpl w:val="D93ECF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2850CA6"/>
    <w:multiLevelType w:val="hybridMultilevel"/>
    <w:tmpl w:val="A57859AC"/>
    <w:lvl w:ilvl="0" w:tplc="77B6FE42">
      <w:start w:val="1"/>
      <w:numFmt w:val="bullet"/>
      <w:pStyle w:val="Tablebullet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48A71B8"/>
    <w:multiLevelType w:val="hybridMultilevel"/>
    <w:tmpl w:val="CF6601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AB77116"/>
    <w:multiLevelType w:val="hybridMultilevel"/>
    <w:tmpl w:val="1AFEC278"/>
    <w:lvl w:ilvl="0" w:tplc="37088A64">
      <w:start w:val="1"/>
      <w:numFmt w:val="bullet"/>
      <w:pStyle w:val="Bullets"/>
      <w:lvlText w:val=""/>
      <w:lvlJc w:val="left"/>
      <w:pPr>
        <w:ind w:left="720" w:hanging="360"/>
      </w:pPr>
      <w:rPr>
        <w:rFonts w:ascii="Symbol" w:hAnsi="Symbol" w:hint="default"/>
      </w:rPr>
    </w:lvl>
    <w:lvl w:ilvl="1" w:tplc="F6F6D5DC">
      <w:start w:val="1"/>
      <w:numFmt w:val="bullet"/>
      <w:pStyle w:val="Bulletslevel2"/>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C5B509B"/>
    <w:multiLevelType w:val="hybridMultilevel"/>
    <w:tmpl w:val="D082AF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0A67BBF"/>
    <w:multiLevelType w:val="hybridMultilevel"/>
    <w:tmpl w:val="5386AD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0E1502C"/>
    <w:multiLevelType w:val="multilevel"/>
    <w:tmpl w:val="FF8069A4"/>
    <w:lvl w:ilvl="0">
      <w:start w:val="1"/>
      <w:numFmt w:val="bullet"/>
      <w:lvlText w:val="•"/>
      <w:lvlJc w:val="left"/>
      <w:pPr>
        <w:ind w:left="227" w:hanging="227"/>
      </w:pPr>
      <w:rPr>
        <w:rFonts w:ascii="Times New Roman" w:hAnsi="Times New Roman" w:cs="Times New Roman" w:hint="default"/>
        <w:color w:val="auto"/>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29" w15:restartNumberingAfterBreak="0">
    <w:nsid w:val="63353F5E"/>
    <w:multiLevelType w:val="hybridMultilevel"/>
    <w:tmpl w:val="2ABAA480"/>
    <w:lvl w:ilvl="0" w:tplc="FFFFFFFF">
      <w:start w:val="1"/>
      <w:numFmt w:val="bullet"/>
      <w:lvlText w:val="o"/>
      <w:lvlJc w:val="left"/>
      <w:pPr>
        <w:ind w:left="720" w:hanging="360"/>
      </w:pPr>
      <w:rPr>
        <w:rFonts w:ascii="Courier New" w:hAnsi="Courier New" w:cs="Courier New" w:hint="default"/>
      </w:rPr>
    </w:lvl>
    <w:lvl w:ilvl="1" w:tplc="08090005">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65D60A23"/>
    <w:multiLevelType w:val="hybridMultilevel"/>
    <w:tmpl w:val="1BC6CD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B207DE1"/>
    <w:multiLevelType w:val="hybridMultilevel"/>
    <w:tmpl w:val="6CC65924"/>
    <w:lvl w:ilvl="0" w:tplc="FFFFFFFF">
      <w:start w:val="1"/>
      <w:numFmt w:val="bullet"/>
      <w:lvlText w:val="o"/>
      <w:lvlJc w:val="left"/>
      <w:pPr>
        <w:ind w:left="720" w:hanging="360"/>
      </w:pPr>
      <w:rPr>
        <w:rFonts w:ascii="Courier New" w:hAnsi="Courier New" w:cs="Courier New" w:hint="default"/>
      </w:rPr>
    </w:lvl>
    <w:lvl w:ilvl="1" w:tplc="08090001">
      <w:start w:val="1"/>
      <w:numFmt w:val="bullet"/>
      <w:lvlText w:val=""/>
      <w:lvlJc w:val="left"/>
      <w:pPr>
        <w:ind w:left="72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6F8A625D"/>
    <w:multiLevelType w:val="hybridMultilevel"/>
    <w:tmpl w:val="97A291A8"/>
    <w:lvl w:ilvl="0" w:tplc="51EAF1FC">
      <w:start w:val="1"/>
      <w:numFmt w:val="bullet"/>
      <w:lvlText w:val="•"/>
      <w:lvlJc w:val="left"/>
      <w:pPr>
        <w:tabs>
          <w:tab w:val="num" w:pos="720"/>
        </w:tabs>
        <w:ind w:left="720" w:hanging="360"/>
      </w:pPr>
      <w:rPr>
        <w:rFonts w:ascii="Times New Roman" w:hAnsi="Times New Roman" w:hint="default"/>
      </w:rPr>
    </w:lvl>
    <w:lvl w:ilvl="1" w:tplc="ED789AA0">
      <w:numFmt w:val="none"/>
      <w:lvlText w:val=""/>
      <w:lvlJc w:val="left"/>
      <w:pPr>
        <w:tabs>
          <w:tab w:val="num" w:pos="360"/>
        </w:tabs>
      </w:pPr>
    </w:lvl>
    <w:lvl w:ilvl="2" w:tplc="5B0C5890" w:tentative="1">
      <w:start w:val="1"/>
      <w:numFmt w:val="bullet"/>
      <w:lvlText w:val="•"/>
      <w:lvlJc w:val="left"/>
      <w:pPr>
        <w:tabs>
          <w:tab w:val="num" w:pos="2160"/>
        </w:tabs>
        <w:ind w:left="2160" w:hanging="360"/>
      </w:pPr>
      <w:rPr>
        <w:rFonts w:ascii="Times New Roman" w:hAnsi="Times New Roman" w:hint="default"/>
      </w:rPr>
    </w:lvl>
    <w:lvl w:ilvl="3" w:tplc="F064E28C" w:tentative="1">
      <w:start w:val="1"/>
      <w:numFmt w:val="bullet"/>
      <w:lvlText w:val="•"/>
      <w:lvlJc w:val="left"/>
      <w:pPr>
        <w:tabs>
          <w:tab w:val="num" w:pos="2880"/>
        </w:tabs>
        <w:ind w:left="2880" w:hanging="360"/>
      </w:pPr>
      <w:rPr>
        <w:rFonts w:ascii="Times New Roman" w:hAnsi="Times New Roman" w:hint="default"/>
      </w:rPr>
    </w:lvl>
    <w:lvl w:ilvl="4" w:tplc="D1147890" w:tentative="1">
      <w:start w:val="1"/>
      <w:numFmt w:val="bullet"/>
      <w:lvlText w:val="•"/>
      <w:lvlJc w:val="left"/>
      <w:pPr>
        <w:tabs>
          <w:tab w:val="num" w:pos="3600"/>
        </w:tabs>
        <w:ind w:left="3600" w:hanging="360"/>
      </w:pPr>
      <w:rPr>
        <w:rFonts w:ascii="Times New Roman" w:hAnsi="Times New Roman" w:hint="default"/>
      </w:rPr>
    </w:lvl>
    <w:lvl w:ilvl="5" w:tplc="9CE8FDE2" w:tentative="1">
      <w:start w:val="1"/>
      <w:numFmt w:val="bullet"/>
      <w:lvlText w:val="•"/>
      <w:lvlJc w:val="left"/>
      <w:pPr>
        <w:tabs>
          <w:tab w:val="num" w:pos="4320"/>
        </w:tabs>
        <w:ind w:left="4320" w:hanging="360"/>
      </w:pPr>
      <w:rPr>
        <w:rFonts w:ascii="Times New Roman" w:hAnsi="Times New Roman" w:hint="default"/>
      </w:rPr>
    </w:lvl>
    <w:lvl w:ilvl="6" w:tplc="6FB2A060" w:tentative="1">
      <w:start w:val="1"/>
      <w:numFmt w:val="bullet"/>
      <w:lvlText w:val="•"/>
      <w:lvlJc w:val="left"/>
      <w:pPr>
        <w:tabs>
          <w:tab w:val="num" w:pos="5040"/>
        </w:tabs>
        <w:ind w:left="5040" w:hanging="360"/>
      </w:pPr>
      <w:rPr>
        <w:rFonts w:ascii="Times New Roman" w:hAnsi="Times New Roman" w:hint="default"/>
      </w:rPr>
    </w:lvl>
    <w:lvl w:ilvl="7" w:tplc="FC585EA4" w:tentative="1">
      <w:start w:val="1"/>
      <w:numFmt w:val="bullet"/>
      <w:lvlText w:val="•"/>
      <w:lvlJc w:val="left"/>
      <w:pPr>
        <w:tabs>
          <w:tab w:val="num" w:pos="5760"/>
        </w:tabs>
        <w:ind w:left="5760" w:hanging="360"/>
      </w:pPr>
      <w:rPr>
        <w:rFonts w:ascii="Times New Roman" w:hAnsi="Times New Roman" w:hint="default"/>
      </w:rPr>
    </w:lvl>
    <w:lvl w:ilvl="8" w:tplc="2C1E0520"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72E46054"/>
    <w:multiLevelType w:val="hybridMultilevel"/>
    <w:tmpl w:val="7C6231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77894683">
    <w:abstractNumId w:val="25"/>
  </w:num>
  <w:num w:numId="2" w16cid:durableId="442461345">
    <w:abstractNumId w:val="0"/>
  </w:num>
  <w:num w:numId="3" w16cid:durableId="1644776702">
    <w:abstractNumId w:val="1"/>
  </w:num>
  <w:num w:numId="4" w16cid:durableId="465126863">
    <w:abstractNumId w:val="2"/>
  </w:num>
  <w:num w:numId="5" w16cid:durableId="937908224">
    <w:abstractNumId w:val="3"/>
  </w:num>
  <w:num w:numId="6" w16cid:durableId="1152600441">
    <w:abstractNumId w:val="8"/>
  </w:num>
  <w:num w:numId="7" w16cid:durableId="1886939826">
    <w:abstractNumId w:val="4"/>
  </w:num>
  <w:num w:numId="8" w16cid:durableId="1964850191">
    <w:abstractNumId w:val="5"/>
  </w:num>
  <w:num w:numId="9" w16cid:durableId="1109468409">
    <w:abstractNumId w:val="6"/>
  </w:num>
  <w:num w:numId="10" w16cid:durableId="538319897">
    <w:abstractNumId w:val="7"/>
  </w:num>
  <w:num w:numId="11" w16cid:durableId="2043749755">
    <w:abstractNumId w:val="9"/>
  </w:num>
  <w:num w:numId="12" w16cid:durableId="320162600">
    <w:abstractNumId w:val="23"/>
  </w:num>
  <w:num w:numId="13" w16cid:durableId="245503182">
    <w:abstractNumId w:val="26"/>
  </w:num>
  <w:num w:numId="14" w16cid:durableId="1885409301">
    <w:abstractNumId w:val="20"/>
  </w:num>
  <w:num w:numId="15" w16cid:durableId="2129273915">
    <w:abstractNumId w:val="17"/>
  </w:num>
  <w:num w:numId="16" w16cid:durableId="2046715733">
    <w:abstractNumId w:val="22"/>
  </w:num>
  <w:num w:numId="17" w16cid:durableId="1595670926">
    <w:abstractNumId w:val="24"/>
  </w:num>
  <w:num w:numId="18" w16cid:durableId="2143500732">
    <w:abstractNumId w:val="14"/>
  </w:num>
  <w:num w:numId="19" w16cid:durableId="956182136">
    <w:abstractNumId w:val="27"/>
  </w:num>
  <w:num w:numId="20" w16cid:durableId="452602126">
    <w:abstractNumId w:val="21"/>
  </w:num>
  <w:num w:numId="21" w16cid:durableId="1787580241">
    <w:abstractNumId w:val="12"/>
  </w:num>
  <w:num w:numId="22" w16cid:durableId="872886738">
    <w:abstractNumId w:val="13"/>
  </w:num>
  <w:num w:numId="23" w16cid:durableId="537209037">
    <w:abstractNumId w:val="10"/>
  </w:num>
  <w:num w:numId="24" w16cid:durableId="1277368620">
    <w:abstractNumId w:val="33"/>
  </w:num>
  <w:num w:numId="25" w16cid:durableId="1348605557">
    <w:abstractNumId w:val="18"/>
  </w:num>
  <w:num w:numId="26" w16cid:durableId="486634127">
    <w:abstractNumId w:val="16"/>
  </w:num>
  <w:num w:numId="27" w16cid:durableId="112095067">
    <w:abstractNumId w:val="31"/>
  </w:num>
  <w:num w:numId="28" w16cid:durableId="986279062">
    <w:abstractNumId w:val="29"/>
  </w:num>
  <w:num w:numId="29" w16cid:durableId="250239995">
    <w:abstractNumId w:val="30"/>
  </w:num>
  <w:num w:numId="30" w16cid:durableId="103159448">
    <w:abstractNumId w:val="19"/>
  </w:num>
  <w:num w:numId="31" w16cid:durableId="212696094">
    <w:abstractNumId w:val="32"/>
  </w:num>
  <w:num w:numId="32" w16cid:durableId="2147164343">
    <w:abstractNumId w:val="28"/>
  </w:num>
  <w:num w:numId="33" w16cid:durableId="1322002692">
    <w:abstractNumId w:val="11"/>
  </w:num>
  <w:num w:numId="34" w16cid:durableId="169056988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 w:id="1"/>
  </w:footnotePr>
  <w:endnotePr>
    <w:pos w:val="sectEnd"/>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6EE4"/>
    <w:rsid w:val="00000027"/>
    <w:rsid w:val="00002650"/>
    <w:rsid w:val="00004814"/>
    <w:rsid w:val="00004B0C"/>
    <w:rsid w:val="0000640F"/>
    <w:rsid w:val="00007D18"/>
    <w:rsid w:val="0001363C"/>
    <w:rsid w:val="00015927"/>
    <w:rsid w:val="00016226"/>
    <w:rsid w:val="000169E5"/>
    <w:rsid w:val="000176BA"/>
    <w:rsid w:val="00020331"/>
    <w:rsid w:val="00021114"/>
    <w:rsid w:val="000229A8"/>
    <w:rsid w:val="00022DBC"/>
    <w:rsid w:val="000237D0"/>
    <w:rsid w:val="00023ADD"/>
    <w:rsid w:val="000268CF"/>
    <w:rsid w:val="00027714"/>
    <w:rsid w:val="00033C2A"/>
    <w:rsid w:val="000341DA"/>
    <w:rsid w:val="000362BB"/>
    <w:rsid w:val="00037222"/>
    <w:rsid w:val="00041E88"/>
    <w:rsid w:val="0004523B"/>
    <w:rsid w:val="00045E7D"/>
    <w:rsid w:val="00047091"/>
    <w:rsid w:val="000501BC"/>
    <w:rsid w:val="000559F2"/>
    <w:rsid w:val="00056CB2"/>
    <w:rsid w:val="000576E9"/>
    <w:rsid w:val="00057DB6"/>
    <w:rsid w:val="00057F28"/>
    <w:rsid w:val="00060481"/>
    <w:rsid w:val="00061B6A"/>
    <w:rsid w:val="00063046"/>
    <w:rsid w:val="00063807"/>
    <w:rsid w:val="0006418D"/>
    <w:rsid w:val="0006599A"/>
    <w:rsid w:val="00065B79"/>
    <w:rsid w:val="000713A6"/>
    <w:rsid w:val="00072BCB"/>
    <w:rsid w:val="000747FC"/>
    <w:rsid w:val="00074A62"/>
    <w:rsid w:val="0007680E"/>
    <w:rsid w:val="00081144"/>
    <w:rsid w:val="00081FDB"/>
    <w:rsid w:val="00082292"/>
    <w:rsid w:val="00091E2B"/>
    <w:rsid w:val="00091EBC"/>
    <w:rsid w:val="00092168"/>
    <w:rsid w:val="00092B73"/>
    <w:rsid w:val="000942EA"/>
    <w:rsid w:val="00094892"/>
    <w:rsid w:val="00096CC7"/>
    <w:rsid w:val="00096E06"/>
    <w:rsid w:val="000A0614"/>
    <w:rsid w:val="000A0999"/>
    <w:rsid w:val="000A0FD3"/>
    <w:rsid w:val="000A2FCB"/>
    <w:rsid w:val="000A329D"/>
    <w:rsid w:val="000A4A1D"/>
    <w:rsid w:val="000A5F84"/>
    <w:rsid w:val="000A6733"/>
    <w:rsid w:val="000B1093"/>
    <w:rsid w:val="000B166B"/>
    <w:rsid w:val="000B3D37"/>
    <w:rsid w:val="000B5595"/>
    <w:rsid w:val="000B6CFD"/>
    <w:rsid w:val="000C13B4"/>
    <w:rsid w:val="000C27BA"/>
    <w:rsid w:val="000C3233"/>
    <w:rsid w:val="000C45FB"/>
    <w:rsid w:val="000D1799"/>
    <w:rsid w:val="000D3473"/>
    <w:rsid w:val="000D4F09"/>
    <w:rsid w:val="000D7539"/>
    <w:rsid w:val="000D7B73"/>
    <w:rsid w:val="000D7D5D"/>
    <w:rsid w:val="000E1842"/>
    <w:rsid w:val="000E26D3"/>
    <w:rsid w:val="000E2A97"/>
    <w:rsid w:val="000E3443"/>
    <w:rsid w:val="000E57FC"/>
    <w:rsid w:val="000F07BE"/>
    <w:rsid w:val="000F2684"/>
    <w:rsid w:val="000F603A"/>
    <w:rsid w:val="000F6CC4"/>
    <w:rsid w:val="0010221B"/>
    <w:rsid w:val="00102C7D"/>
    <w:rsid w:val="0010353E"/>
    <w:rsid w:val="0010433C"/>
    <w:rsid w:val="00114584"/>
    <w:rsid w:val="00114B75"/>
    <w:rsid w:val="00114F4E"/>
    <w:rsid w:val="00115CC3"/>
    <w:rsid w:val="00117398"/>
    <w:rsid w:val="001216DF"/>
    <w:rsid w:val="0012317F"/>
    <w:rsid w:val="001235E8"/>
    <w:rsid w:val="00123B5F"/>
    <w:rsid w:val="001320B8"/>
    <w:rsid w:val="00132EF1"/>
    <w:rsid w:val="0013353B"/>
    <w:rsid w:val="0013526E"/>
    <w:rsid w:val="00135BD4"/>
    <w:rsid w:val="00137951"/>
    <w:rsid w:val="001452A2"/>
    <w:rsid w:val="00146F46"/>
    <w:rsid w:val="00147296"/>
    <w:rsid w:val="00150BD4"/>
    <w:rsid w:val="0015118F"/>
    <w:rsid w:val="00151730"/>
    <w:rsid w:val="00151F5D"/>
    <w:rsid w:val="00153684"/>
    <w:rsid w:val="001542FB"/>
    <w:rsid w:val="0015488C"/>
    <w:rsid w:val="001548CA"/>
    <w:rsid w:val="00154A1A"/>
    <w:rsid w:val="00156F86"/>
    <w:rsid w:val="001640BA"/>
    <w:rsid w:val="0016410E"/>
    <w:rsid w:val="001643DA"/>
    <w:rsid w:val="00165E76"/>
    <w:rsid w:val="0017191D"/>
    <w:rsid w:val="00171CE6"/>
    <w:rsid w:val="00171F76"/>
    <w:rsid w:val="00172C48"/>
    <w:rsid w:val="0017403C"/>
    <w:rsid w:val="0017616E"/>
    <w:rsid w:val="00176ADF"/>
    <w:rsid w:val="0018135B"/>
    <w:rsid w:val="00183370"/>
    <w:rsid w:val="00184026"/>
    <w:rsid w:val="001845FD"/>
    <w:rsid w:val="00185D80"/>
    <w:rsid w:val="001865FA"/>
    <w:rsid w:val="00190681"/>
    <w:rsid w:val="001913C5"/>
    <w:rsid w:val="00192B72"/>
    <w:rsid w:val="00192FAF"/>
    <w:rsid w:val="00193470"/>
    <w:rsid w:val="00193512"/>
    <w:rsid w:val="00194206"/>
    <w:rsid w:val="00194D92"/>
    <w:rsid w:val="0019615F"/>
    <w:rsid w:val="001964D3"/>
    <w:rsid w:val="00196B70"/>
    <w:rsid w:val="0019779E"/>
    <w:rsid w:val="001A4A70"/>
    <w:rsid w:val="001A5E80"/>
    <w:rsid w:val="001A6B74"/>
    <w:rsid w:val="001A6EDA"/>
    <w:rsid w:val="001A6F1D"/>
    <w:rsid w:val="001A6F91"/>
    <w:rsid w:val="001B000B"/>
    <w:rsid w:val="001B07CE"/>
    <w:rsid w:val="001B1956"/>
    <w:rsid w:val="001B195B"/>
    <w:rsid w:val="001B2138"/>
    <w:rsid w:val="001B29C8"/>
    <w:rsid w:val="001B3240"/>
    <w:rsid w:val="001B60CB"/>
    <w:rsid w:val="001C00C2"/>
    <w:rsid w:val="001C2FA8"/>
    <w:rsid w:val="001C3865"/>
    <w:rsid w:val="001C4086"/>
    <w:rsid w:val="001C4A61"/>
    <w:rsid w:val="001C69C7"/>
    <w:rsid w:val="001D25EE"/>
    <w:rsid w:val="001D2723"/>
    <w:rsid w:val="001D4EBA"/>
    <w:rsid w:val="001D6124"/>
    <w:rsid w:val="001D6B34"/>
    <w:rsid w:val="001D7F2C"/>
    <w:rsid w:val="001E0376"/>
    <w:rsid w:val="001E14C0"/>
    <w:rsid w:val="001E19FC"/>
    <w:rsid w:val="001E39D9"/>
    <w:rsid w:val="001E3E78"/>
    <w:rsid w:val="001E69D5"/>
    <w:rsid w:val="001E7E18"/>
    <w:rsid w:val="001F0A50"/>
    <w:rsid w:val="001F13EA"/>
    <w:rsid w:val="001F2786"/>
    <w:rsid w:val="001F4350"/>
    <w:rsid w:val="001F55E5"/>
    <w:rsid w:val="00200066"/>
    <w:rsid w:val="00200998"/>
    <w:rsid w:val="0020189E"/>
    <w:rsid w:val="00203817"/>
    <w:rsid w:val="0020482E"/>
    <w:rsid w:val="0020764C"/>
    <w:rsid w:val="00207943"/>
    <w:rsid w:val="002112E5"/>
    <w:rsid w:val="00212F46"/>
    <w:rsid w:val="002138D2"/>
    <w:rsid w:val="00215121"/>
    <w:rsid w:val="0022110E"/>
    <w:rsid w:val="00221207"/>
    <w:rsid w:val="002218FE"/>
    <w:rsid w:val="00221BDA"/>
    <w:rsid w:val="0022315D"/>
    <w:rsid w:val="002242A7"/>
    <w:rsid w:val="00226F62"/>
    <w:rsid w:val="00227053"/>
    <w:rsid w:val="002307B4"/>
    <w:rsid w:val="002310B2"/>
    <w:rsid w:val="00231542"/>
    <w:rsid w:val="00234344"/>
    <w:rsid w:val="00234BD2"/>
    <w:rsid w:val="00234C26"/>
    <w:rsid w:val="00236338"/>
    <w:rsid w:val="00240E09"/>
    <w:rsid w:val="00241020"/>
    <w:rsid w:val="00244A47"/>
    <w:rsid w:val="0024759C"/>
    <w:rsid w:val="00250430"/>
    <w:rsid w:val="002525E5"/>
    <w:rsid w:val="00253822"/>
    <w:rsid w:val="0025415E"/>
    <w:rsid w:val="00255AEA"/>
    <w:rsid w:val="00256D08"/>
    <w:rsid w:val="0025701C"/>
    <w:rsid w:val="0026100D"/>
    <w:rsid w:val="0026586B"/>
    <w:rsid w:val="00265C55"/>
    <w:rsid w:val="00270445"/>
    <w:rsid w:val="00270555"/>
    <w:rsid w:val="002706E7"/>
    <w:rsid w:val="00272827"/>
    <w:rsid w:val="00272A83"/>
    <w:rsid w:val="00280B27"/>
    <w:rsid w:val="00281D24"/>
    <w:rsid w:val="00283316"/>
    <w:rsid w:val="002836F3"/>
    <w:rsid w:val="002866C0"/>
    <w:rsid w:val="00286F79"/>
    <w:rsid w:val="00290CDC"/>
    <w:rsid w:val="002935D3"/>
    <w:rsid w:val="0029371F"/>
    <w:rsid w:val="00294A93"/>
    <w:rsid w:val="0029537E"/>
    <w:rsid w:val="00297123"/>
    <w:rsid w:val="00297FDD"/>
    <w:rsid w:val="002A2380"/>
    <w:rsid w:val="002A2806"/>
    <w:rsid w:val="002A4056"/>
    <w:rsid w:val="002B1EA4"/>
    <w:rsid w:val="002B21DE"/>
    <w:rsid w:val="002B2F47"/>
    <w:rsid w:val="002B38FA"/>
    <w:rsid w:val="002B46EA"/>
    <w:rsid w:val="002B59B3"/>
    <w:rsid w:val="002B760E"/>
    <w:rsid w:val="002B77B4"/>
    <w:rsid w:val="002C2ADD"/>
    <w:rsid w:val="002C35AC"/>
    <w:rsid w:val="002C4499"/>
    <w:rsid w:val="002C516F"/>
    <w:rsid w:val="002C5CFE"/>
    <w:rsid w:val="002C6FAE"/>
    <w:rsid w:val="002D025C"/>
    <w:rsid w:val="002D14AA"/>
    <w:rsid w:val="002D3FC9"/>
    <w:rsid w:val="002D4234"/>
    <w:rsid w:val="002D7828"/>
    <w:rsid w:val="002E66FB"/>
    <w:rsid w:val="002F1C81"/>
    <w:rsid w:val="002F1E47"/>
    <w:rsid w:val="002F2634"/>
    <w:rsid w:val="002F3F68"/>
    <w:rsid w:val="002F4116"/>
    <w:rsid w:val="002F45D9"/>
    <w:rsid w:val="00300695"/>
    <w:rsid w:val="00300AFF"/>
    <w:rsid w:val="0030193A"/>
    <w:rsid w:val="00303B1E"/>
    <w:rsid w:val="00307652"/>
    <w:rsid w:val="003114E5"/>
    <w:rsid w:val="0031166F"/>
    <w:rsid w:val="003116FD"/>
    <w:rsid w:val="003131B8"/>
    <w:rsid w:val="003149E2"/>
    <w:rsid w:val="00314F62"/>
    <w:rsid w:val="00315AD5"/>
    <w:rsid w:val="00320123"/>
    <w:rsid w:val="00331376"/>
    <w:rsid w:val="00334210"/>
    <w:rsid w:val="00334FB8"/>
    <w:rsid w:val="00337591"/>
    <w:rsid w:val="00341A6B"/>
    <w:rsid w:val="0034430F"/>
    <w:rsid w:val="00345596"/>
    <w:rsid w:val="0034576D"/>
    <w:rsid w:val="00345EDA"/>
    <w:rsid w:val="00347258"/>
    <w:rsid w:val="00350A3F"/>
    <w:rsid w:val="00351E08"/>
    <w:rsid w:val="00352409"/>
    <w:rsid w:val="003525A3"/>
    <w:rsid w:val="003530D1"/>
    <w:rsid w:val="00354442"/>
    <w:rsid w:val="0035536E"/>
    <w:rsid w:val="003553C3"/>
    <w:rsid w:val="0036253D"/>
    <w:rsid w:val="003659E2"/>
    <w:rsid w:val="0036619C"/>
    <w:rsid w:val="003672F2"/>
    <w:rsid w:val="0036787D"/>
    <w:rsid w:val="00367E06"/>
    <w:rsid w:val="00370399"/>
    <w:rsid w:val="00372BDF"/>
    <w:rsid w:val="0037530D"/>
    <w:rsid w:val="003758DC"/>
    <w:rsid w:val="00376788"/>
    <w:rsid w:val="00383D47"/>
    <w:rsid w:val="00383F66"/>
    <w:rsid w:val="00383FB0"/>
    <w:rsid w:val="0038626D"/>
    <w:rsid w:val="00387532"/>
    <w:rsid w:val="003904C4"/>
    <w:rsid w:val="00393575"/>
    <w:rsid w:val="00393D79"/>
    <w:rsid w:val="00393F80"/>
    <w:rsid w:val="00397702"/>
    <w:rsid w:val="00397DE8"/>
    <w:rsid w:val="003A1604"/>
    <w:rsid w:val="003A2349"/>
    <w:rsid w:val="003A234B"/>
    <w:rsid w:val="003A4826"/>
    <w:rsid w:val="003A652C"/>
    <w:rsid w:val="003A658F"/>
    <w:rsid w:val="003A6E2E"/>
    <w:rsid w:val="003A7215"/>
    <w:rsid w:val="003B04C5"/>
    <w:rsid w:val="003B1742"/>
    <w:rsid w:val="003B1A1E"/>
    <w:rsid w:val="003B1C6C"/>
    <w:rsid w:val="003B238F"/>
    <w:rsid w:val="003B249D"/>
    <w:rsid w:val="003B67FF"/>
    <w:rsid w:val="003C4A56"/>
    <w:rsid w:val="003D1138"/>
    <w:rsid w:val="003D14F3"/>
    <w:rsid w:val="003D1F1E"/>
    <w:rsid w:val="003D1F23"/>
    <w:rsid w:val="003D3429"/>
    <w:rsid w:val="003D5B53"/>
    <w:rsid w:val="003D722E"/>
    <w:rsid w:val="003E1217"/>
    <w:rsid w:val="003E3EEA"/>
    <w:rsid w:val="003E4D16"/>
    <w:rsid w:val="003E5ED5"/>
    <w:rsid w:val="003E717A"/>
    <w:rsid w:val="003F0B95"/>
    <w:rsid w:val="003F1A1F"/>
    <w:rsid w:val="003F1A97"/>
    <w:rsid w:val="003F6179"/>
    <w:rsid w:val="003F66D0"/>
    <w:rsid w:val="003F781A"/>
    <w:rsid w:val="003F7D07"/>
    <w:rsid w:val="0040418A"/>
    <w:rsid w:val="00404692"/>
    <w:rsid w:val="0040712A"/>
    <w:rsid w:val="00412FB8"/>
    <w:rsid w:val="00412FBA"/>
    <w:rsid w:val="004135FD"/>
    <w:rsid w:val="004140AB"/>
    <w:rsid w:val="004140DC"/>
    <w:rsid w:val="004151B8"/>
    <w:rsid w:val="00416542"/>
    <w:rsid w:val="00420683"/>
    <w:rsid w:val="0042387F"/>
    <w:rsid w:val="00424BA0"/>
    <w:rsid w:val="004260FF"/>
    <w:rsid w:val="0042663F"/>
    <w:rsid w:val="00426B01"/>
    <w:rsid w:val="00426B28"/>
    <w:rsid w:val="00427CAB"/>
    <w:rsid w:val="00431441"/>
    <w:rsid w:val="0043476D"/>
    <w:rsid w:val="004356DC"/>
    <w:rsid w:val="004359FE"/>
    <w:rsid w:val="0043782B"/>
    <w:rsid w:val="00440F29"/>
    <w:rsid w:val="004418CD"/>
    <w:rsid w:val="0044363A"/>
    <w:rsid w:val="004444A1"/>
    <w:rsid w:val="00450921"/>
    <w:rsid w:val="00451C69"/>
    <w:rsid w:val="00455CC3"/>
    <w:rsid w:val="00456EA6"/>
    <w:rsid w:val="004622CE"/>
    <w:rsid w:val="00462634"/>
    <w:rsid w:val="00462AA7"/>
    <w:rsid w:val="004630F7"/>
    <w:rsid w:val="00463439"/>
    <w:rsid w:val="004635B4"/>
    <w:rsid w:val="00465773"/>
    <w:rsid w:val="00466764"/>
    <w:rsid w:val="00471929"/>
    <w:rsid w:val="00472B8D"/>
    <w:rsid w:val="00472BE0"/>
    <w:rsid w:val="004752B6"/>
    <w:rsid w:val="00476A49"/>
    <w:rsid w:val="00477017"/>
    <w:rsid w:val="00477065"/>
    <w:rsid w:val="00480545"/>
    <w:rsid w:val="00480B15"/>
    <w:rsid w:val="00481DF9"/>
    <w:rsid w:val="00482792"/>
    <w:rsid w:val="00483208"/>
    <w:rsid w:val="00484382"/>
    <w:rsid w:val="0048473D"/>
    <w:rsid w:val="00484E68"/>
    <w:rsid w:val="00486D1A"/>
    <w:rsid w:val="00490341"/>
    <w:rsid w:val="00491C3A"/>
    <w:rsid w:val="0049299E"/>
    <w:rsid w:val="004978A2"/>
    <w:rsid w:val="00497D99"/>
    <w:rsid w:val="004A06CF"/>
    <w:rsid w:val="004A0FF8"/>
    <w:rsid w:val="004A14C5"/>
    <w:rsid w:val="004A17A5"/>
    <w:rsid w:val="004A6ED5"/>
    <w:rsid w:val="004B1409"/>
    <w:rsid w:val="004B3C45"/>
    <w:rsid w:val="004B3D87"/>
    <w:rsid w:val="004B5260"/>
    <w:rsid w:val="004C0D9E"/>
    <w:rsid w:val="004C33A5"/>
    <w:rsid w:val="004C6962"/>
    <w:rsid w:val="004C74BB"/>
    <w:rsid w:val="004C79CC"/>
    <w:rsid w:val="004D01EE"/>
    <w:rsid w:val="004D13B9"/>
    <w:rsid w:val="004D13C8"/>
    <w:rsid w:val="004D1655"/>
    <w:rsid w:val="004D228B"/>
    <w:rsid w:val="004D3F35"/>
    <w:rsid w:val="004D49BC"/>
    <w:rsid w:val="004D5364"/>
    <w:rsid w:val="004D65BC"/>
    <w:rsid w:val="004E25DC"/>
    <w:rsid w:val="004E3E89"/>
    <w:rsid w:val="004E6440"/>
    <w:rsid w:val="004E719B"/>
    <w:rsid w:val="004E7CFE"/>
    <w:rsid w:val="004F18FA"/>
    <w:rsid w:val="00501A2F"/>
    <w:rsid w:val="00504FBE"/>
    <w:rsid w:val="00505C1C"/>
    <w:rsid w:val="00506E79"/>
    <w:rsid w:val="00507152"/>
    <w:rsid w:val="005112E1"/>
    <w:rsid w:val="00512208"/>
    <w:rsid w:val="0051263B"/>
    <w:rsid w:val="005162B4"/>
    <w:rsid w:val="005166BA"/>
    <w:rsid w:val="00522A2E"/>
    <w:rsid w:val="005233E0"/>
    <w:rsid w:val="00524024"/>
    <w:rsid w:val="0052428B"/>
    <w:rsid w:val="00526BC6"/>
    <w:rsid w:val="00526D29"/>
    <w:rsid w:val="00527B9D"/>
    <w:rsid w:val="005300AB"/>
    <w:rsid w:val="00531EB3"/>
    <w:rsid w:val="0053272C"/>
    <w:rsid w:val="00533402"/>
    <w:rsid w:val="005341A3"/>
    <w:rsid w:val="00537C3F"/>
    <w:rsid w:val="00540CBB"/>
    <w:rsid w:val="00541340"/>
    <w:rsid w:val="00541E5C"/>
    <w:rsid w:val="00543CBB"/>
    <w:rsid w:val="005504F8"/>
    <w:rsid w:val="0055105D"/>
    <w:rsid w:val="005570D9"/>
    <w:rsid w:val="005604D2"/>
    <w:rsid w:val="00562D4C"/>
    <w:rsid w:val="005632F5"/>
    <w:rsid w:val="00565410"/>
    <w:rsid w:val="00566B86"/>
    <w:rsid w:val="005670BE"/>
    <w:rsid w:val="005723EE"/>
    <w:rsid w:val="00572DA6"/>
    <w:rsid w:val="00574196"/>
    <w:rsid w:val="005808D5"/>
    <w:rsid w:val="00580AB2"/>
    <w:rsid w:val="00587EC5"/>
    <w:rsid w:val="00590270"/>
    <w:rsid w:val="00590968"/>
    <w:rsid w:val="005915A1"/>
    <w:rsid w:val="005926A9"/>
    <w:rsid w:val="00594307"/>
    <w:rsid w:val="0059699D"/>
    <w:rsid w:val="005A00C5"/>
    <w:rsid w:val="005A111A"/>
    <w:rsid w:val="005A3C95"/>
    <w:rsid w:val="005A3E0F"/>
    <w:rsid w:val="005A5B39"/>
    <w:rsid w:val="005A5ED1"/>
    <w:rsid w:val="005A6EE0"/>
    <w:rsid w:val="005B0009"/>
    <w:rsid w:val="005B092D"/>
    <w:rsid w:val="005B1269"/>
    <w:rsid w:val="005B1F28"/>
    <w:rsid w:val="005B3694"/>
    <w:rsid w:val="005B371C"/>
    <w:rsid w:val="005B5A63"/>
    <w:rsid w:val="005B5A89"/>
    <w:rsid w:val="005B67CB"/>
    <w:rsid w:val="005B69DC"/>
    <w:rsid w:val="005B7117"/>
    <w:rsid w:val="005C1F57"/>
    <w:rsid w:val="005C4857"/>
    <w:rsid w:val="005C5A2B"/>
    <w:rsid w:val="005C67C3"/>
    <w:rsid w:val="005C7BE6"/>
    <w:rsid w:val="005D29F0"/>
    <w:rsid w:val="005D3FEF"/>
    <w:rsid w:val="005D4728"/>
    <w:rsid w:val="005E0613"/>
    <w:rsid w:val="005E0F8A"/>
    <w:rsid w:val="005E171C"/>
    <w:rsid w:val="005E21C5"/>
    <w:rsid w:val="005E22F5"/>
    <w:rsid w:val="005E25C7"/>
    <w:rsid w:val="005E383A"/>
    <w:rsid w:val="005E4DE5"/>
    <w:rsid w:val="005E74C8"/>
    <w:rsid w:val="005F0001"/>
    <w:rsid w:val="005F07C7"/>
    <w:rsid w:val="005F438C"/>
    <w:rsid w:val="005F5985"/>
    <w:rsid w:val="00601FF2"/>
    <w:rsid w:val="0060275A"/>
    <w:rsid w:val="00602FEA"/>
    <w:rsid w:val="00604D74"/>
    <w:rsid w:val="0060650F"/>
    <w:rsid w:val="00606C2A"/>
    <w:rsid w:val="00607524"/>
    <w:rsid w:val="006106D1"/>
    <w:rsid w:val="00611173"/>
    <w:rsid w:val="0061246C"/>
    <w:rsid w:val="006126E5"/>
    <w:rsid w:val="006211C4"/>
    <w:rsid w:val="00623342"/>
    <w:rsid w:val="006247CA"/>
    <w:rsid w:val="0063298E"/>
    <w:rsid w:val="00633C4E"/>
    <w:rsid w:val="0063463A"/>
    <w:rsid w:val="00634656"/>
    <w:rsid w:val="00636D09"/>
    <w:rsid w:val="0064128B"/>
    <w:rsid w:val="0064230B"/>
    <w:rsid w:val="006429B0"/>
    <w:rsid w:val="00644288"/>
    <w:rsid w:val="0064675B"/>
    <w:rsid w:val="00647B3C"/>
    <w:rsid w:val="00650F48"/>
    <w:rsid w:val="00651D06"/>
    <w:rsid w:val="006534CC"/>
    <w:rsid w:val="00655803"/>
    <w:rsid w:val="0065583D"/>
    <w:rsid w:val="00655F43"/>
    <w:rsid w:val="00655F6B"/>
    <w:rsid w:val="00657BD4"/>
    <w:rsid w:val="00661157"/>
    <w:rsid w:val="0066157B"/>
    <w:rsid w:val="00662F1A"/>
    <w:rsid w:val="00665755"/>
    <w:rsid w:val="006713F0"/>
    <w:rsid w:val="006728E4"/>
    <w:rsid w:val="00674BB4"/>
    <w:rsid w:val="00674C5E"/>
    <w:rsid w:val="00675FF8"/>
    <w:rsid w:val="00676ACA"/>
    <w:rsid w:val="006811CF"/>
    <w:rsid w:val="006826BE"/>
    <w:rsid w:val="0068355D"/>
    <w:rsid w:val="006837BA"/>
    <w:rsid w:val="00685DBC"/>
    <w:rsid w:val="0068777D"/>
    <w:rsid w:val="00687A74"/>
    <w:rsid w:val="006903A8"/>
    <w:rsid w:val="00692E1D"/>
    <w:rsid w:val="00695060"/>
    <w:rsid w:val="00696B15"/>
    <w:rsid w:val="00697216"/>
    <w:rsid w:val="00697C6D"/>
    <w:rsid w:val="006A0D7E"/>
    <w:rsid w:val="006A7D69"/>
    <w:rsid w:val="006B1F1E"/>
    <w:rsid w:val="006B231A"/>
    <w:rsid w:val="006B56A3"/>
    <w:rsid w:val="006B590C"/>
    <w:rsid w:val="006B5A72"/>
    <w:rsid w:val="006C3CB6"/>
    <w:rsid w:val="006C4703"/>
    <w:rsid w:val="006C6CA2"/>
    <w:rsid w:val="006C7C02"/>
    <w:rsid w:val="006D17D6"/>
    <w:rsid w:val="006D1C5E"/>
    <w:rsid w:val="006D20C8"/>
    <w:rsid w:val="006D3D1E"/>
    <w:rsid w:val="006D4658"/>
    <w:rsid w:val="006D475B"/>
    <w:rsid w:val="006D4DB5"/>
    <w:rsid w:val="006D66BF"/>
    <w:rsid w:val="006D6B26"/>
    <w:rsid w:val="006E1204"/>
    <w:rsid w:val="006E2929"/>
    <w:rsid w:val="006E3991"/>
    <w:rsid w:val="006E3F08"/>
    <w:rsid w:val="006E4805"/>
    <w:rsid w:val="006E5361"/>
    <w:rsid w:val="006E5B44"/>
    <w:rsid w:val="006E65E9"/>
    <w:rsid w:val="006F066B"/>
    <w:rsid w:val="006F0B59"/>
    <w:rsid w:val="006F38FA"/>
    <w:rsid w:val="006F4695"/>
    <w:rsid w:val="006F606E"/>
    <w:rsid w:val="006F6A67"/>
    <w:rsid w:val="00701BED"/>
    <w:rsid w:val="007020D6"/>
    <w:rsid w:val="00706E59"/>
    <w:rsid w:val="00706FE2"/>
    <w:rsid w:val="00710093"/>
    <w:rsid w:val="007100B1"/>
    <w:rsid w:val="007119BC"/>
    <w:rsid w:val="00712F2D"/>
    <w:rsid w:val="00712F75"/>
    <w:rsid w:val="007178EE"/>
    <w:rsid w:val="00717924"/>
    <w:rsid w:val="0072071A"/>
    <w:rsid w:val="00722D04"/>
    <w:rsid w:val="007230FB"/>
    <w:rsid w:val="007234E0"/>
    <w:rsid w:val="00723581"/>
    <w:rsid w:val="00724107"/>
    <w:rsid w:val="00724C22"/>
    <w:rsid w:val="007265C8"/>
    <w:rsid w:val="007311DA"/>
    <w:rsid w:val="00734284"/>
    <w:rsid w:val="0073519C"/>
    <w:rsid w:val="00735679"/>
    <w:rsid w:val="007365F9"/>
    <w:rsid w:val="007415A8"/>
    <w:rsid w:val="007423FD"/>
    <w:rsid w:val="00743536"/>
    <w:rsid w:val="007451D7"/>
    <w:rsid w:val="0074522C"/>
    <w:rsid w:val="0074560E"/>
    <w:rsid w:val="007458A2"/>
    <w:rsid w:val="00745E32"/>
    <w:rsid w:val="00752BE6"/>
    <w:rsid w:val="00753A9D"/>
    <w:rsid w:val="0075671A"/>
    <w:rsid w:val="00756F09"/>
    <w:rsid w:val="00760424"/>
    <w:rsid w:val="007607C7"/>
    <w:rsid w:val="00761427"/>
    <w:rsid w:val="00761784"/>
    <w:rsid w:val="00761C70"/>
    <w:rsid w:val="00762AD5"/>
    <w:rsid w:val="007635EA"/>
    <w:rsid w:val="00764691"/>
    <w:rsid w:val="00764B3B"/>
    <w:rsid w:val="007653C8"/>
    <w:rsid w:val="00765B61"/>
    <w:rsid w:val="007662D2"/>
    <w:rsid w:val="007728E4"/>
    <w:rsid w:val="00774035"/>
    <w:rsid w:val="00775623"/>
    <w:rsid w:val="007758AF"/>
    <w:rsid w:val="00776BDC"/>
    <w:rsid w:val="00781C53"/>
    <w:rsid w:val="00782F12"/>
    <w:rsid w:val="00784111"/>
    <w:rsid w:val="0078495B"/>
    <w:rsid w:val="0078596D"/>
    <w:rsid w:val="007869E1"/>
    <w:rsid w:val="00786B0E"/>
    <w:rsid w:val="00787288"/>
    <w:rsid w:val="00790251"/>
    <w:rsid w:val="00791200"/>
    <w:rsid w:val="00791687"/>
    <w:rsid w:val="00791B5D"/>
    <w:rsid w:val="00792E49"/>
    <w:rsid w:val="007937D7"/>
    <w:rsid w:val="007943C1"/>
    <w:rsid w:val="00797ED2"/>
    <w:rsid w:val="007A05BC"/>
    <w:rsid w:val="007A2732"/>
    <w:rsid w:val="007A2860"/>
    <w:rsid w:val="007A2A5E"/>
    <w:rsid w:val="007A317E"/>
    <w:rsid w:val="007B15BF"/>
    <w:rsid w:val="007B2CE6"/>
    <w:rsid w:val="007B4855"/>
    <w:rsid w:val="007B4ED6"/>
    <w:rsid w:val="007B56CC"/>
    <w:rsid w:val="007B5BE7"/>
    <w:rsid w:val="007B76DD"/>
    <w:rsid w:val="007C061A"/>
    <w:rsid w:val="007C3752"/>
    <w:rsid w:val="007C3B6D"/>
    <w:rsid w:val="007C61EC"/>
    <w:rsid w:val="007C696D"/>
    <w:rsid w:val="007D09D3"/>
    <w:rsid w:val="007D0C94"/>
    <w:rsid w:val="007D4713"/>
    <w:rsid w:val="007D4858"/>
    <w:rsid w:val="007D4F1C"/>
    <w:rsid w:val="007D5110"/>
    <w:rsid w:val="007D5BB7"/>
    <w:rsid w:val="007D60AE"/>
    <w:rsid w:val="007D7387"/>
    <w:rsid w:val="007D79C8"/>
    <w:rsid w:val="007E0548"/>
    <w:rsid w:val="007E0FB7"/>
    <w:rsid w:val="007E165F"/>
    <w:rsid w:val="007E1F63"/>
    <w:rsid w:val="007E2EB5"/>
    <w:rsid w:val="007E3FA1"/>
    <w:rsid w:val="007E46A3"/>
    <w:rsid w:val="007E7553"/>
    <w:rsid w:val="007E7F3C"/>
    <w:rsid w:val="007F38AC"/>
    <w:rsid w:val="007F70D0"/>
    <w:rsid w:val="007F72D1"/>
    <w:rsid w:val="00801F0E"/>
    <w:rsid w:val="008055D2"/>
    <w:rsid w:val="008063E5"/>
    <w:rsid w:val="00806E9D"/>
    <w:rsid w:val="008123AB"/>
    <w:rsid w:val="008126CD"/>
    <w:rsid w:val="0081298F"/>
    <w:rsid w:val="008144BE"/>
    <w:rsid w:val="00814B5D"/>
    <w:rsid w:val="00817263"/>
    <w:rsid w:val="008201BA"/>
    <w:rsid w:val="008221BE"/>
    <w:rsid w:val="00823CA7"/>
    <w:rsid w:val="0082501A"/>
    <w:rsid w:val="0083043C"/>
    <w:rsid w:val="00830F5C"/>
    <w:rsid w:val="00832CB2"/>
    <w:rsid w:val="00832D34"/>
    <w:rsid w:val="008352E3"/>
    <w:rsid w:val="00835CDD"/>
    <w:rsid w:val="00835F63"/>
    <w:rsid w:val="00836B7C"/>
    <w:rsid w:val="00837165"/>
    <w:rsid w:val="0083765C"/>
    <w:rsid w:val="0084104E"/>
    <w:rsid w:val="00842900"/>
    <w:rsid w:val="00842FD7"/>
    <w:rsid w:val="00844AF2"/>
    <w:rsid w:val="0084524E"/>
    <w:rsid w:val="00847006"/>
    <w:rsid w:val="00850AE7"/>
    <w:rsid w:val="008516C7"/>
    <w:rsid w:val="008520E1"/>
    <w:rsid w:val="008534AC"/>
    <w:rsid w:val="008539CD"/>
    <w:rsid w:val="00853AE3"/>
    <w:rsid w:val="0085459D"/>
    <w:rsid w:val="0085550F"/>
    <w:rsid w:val="00855EE3"/>
    <w:rsid w:val="0085735A"/>
    <w:rsid w:val="0085750F"/>
    <w:rsid w:val="00860BD8"/>
    <w:rsid w:val="008633FA"/>
    <w:rsid w:val="0086385E"/>
    <w:rsid w:val="008652F9"/>
    <w:rsid w:val="00866A46"/>
    <w:rsid w:val="00867556"/>
    <w:rsid w:val="008710B7"/>
    <w:rsid w:val="00871A01"/>
    <w:rsid w:val="00873D16"/>
    <w:rsid w:val="00874398"/>
    <w:rsid w:val="008750E4"/>
    <w:rsid w:val="008770FC"/>
    <w:rsid w:val="00877598"/>
    <w:rsid w:val="00882C4B"/>
    <w:rsid w:val="008849CE"/>
    <w:rsid w:val="00884EFE"/>
    <w:rsid w:val="00885E6D"/>
    <w:rsid w:val="008860DB"/>
    <w:rsid w:val="008868FA"/>
    <w:rsid w:val="00887134"/>
    <w:rsid w:val="00891C45"/>
    <w:rsid w:val="008928FE"/>
    <w:rsid w:val="00895120"/>
    <w:rsid w:val="0089738A"/>
    <w:rsid w:val="008A11F6"/>
    <w:rsid w:val="008A22A2"/>
    <w:rsid w:val="008A2C39"/>
    <w:rsid w:val="008A4169"/>
    <w:rsid w:val="008A4FF0"/>
    <w:rsid w:val="008A5996"/>
    <w:rsid w:val="008A7A02"/>
    <w:rsid w:val="008B0540"/>
    <w:rsid w:val="008B4259"/>
    <w:rsid w:val="008B50ED"/>
    <w:rsid w:val="008B6C9F"/>
    <w:rsid w:val="008C0BA8"/>
    <w:rsid w:val="008C3A6C"/>
    <w:rsid w:val="008C4181"/>
    <w:rsid w:val="008C4CC8"/>
    <w:rsid w:val="008C5D78"/>
    <w:rsid w:val="008C66B8"/>
    <w:rsid w:val="008D0B71"/>
    <w:rsid w:val="008D1C2C"/>
    <w:rsid w:val="008D26C4"/>
    <w:rsid w:val="008D2BC3"/>
    <w:rsid w:val="008D3C29"/>
    <w:rsid w:val="008D61F3"/>
    <w:rsid w:val="008D7586"/>
    <w:rsid w:val="008E22F7"/>
    <w:rsid w:val="008E2490"/>
    <w:rsid w:val="008E3D1C"/>
    <w:rsid w:val="008E3F6A"/>
    <w:rsid w:val="008E59E2"/>
    <w:rsid w:val="008E6027"/>
    <w:rsid w:val="008E6CDC"/>
    <w:rsid w:val="008E7FC3"/>
    <w:rsid w:val="008F0627"/>
    <w:rsid w:val="008F3136"/>
    <w:rsid w:val="008F535A"/>
    <w:rsid w:val="008F5A23"/>
    <w:rsid w:val="00900B3B"/>
    <w:rsid w:val="009026B7"/>
    <w:rsid w:val="009030B2"/>
    <w:rsid w:val="0090344C"/>
    <w:rsid w:val="00905519"/>
    <w:rsid w:val="0090577D"/>
    <w:rsid w:val="00905799"/>
    <w:rsid w:val="00916FE9"/>
    <w:rsid w:val="00926040"/>
    <w:rsid w:val="00930B5D"/>
    <w:rsid w:val="00933A4A"/>
    <w:rsid w:val="00942953"/>
    <w:rsid w:val="00942E25"/>
    <w:rsid w:val="00944668"/>
    <w:rsid w:val="00946569"/>
    <w:rsid w:val="00950B4F"/>
    <w:rsid w:val="00950DE3"/>
    <w:rsid w:val="0095170B"/>
    <w:rsid w:val="00952753"/>
    <w:rsid w:val="009528A1"/>
    <w:rsid w:val="009528DA"/>
    <w:rsid w:val="009528E7"/>
    <w:rsid w:val="0095526A"/>
    <w:rsid w:val="0095656D"/>
    <w:rsid w:val="00956EFB"/>
    <w:rsid w:val="009578C2"/>
    <w:rsid w:val="00963F8C"/>
    <w:rsid w:val="009643CA"/>
    <w:rsid w:val="00966F28"/>
    <w:rsid w:val="00970592"/>
    <w:rsid w:val="00971245"/>
    <w:rsid w:val="0097280F"/>
    <w:rsid w:val="00973B6E"/>
    <w:rsid w:val="00982A3E"/>
    <w:rsid w:val="00983D75"/>
    <w:rsid w:val="0098410B"/>
    <w:rsid w:val="00984AFA"/>
    <w:rsid w:val="00985D3B"/>
    <w:rsid w:val="0098792A"/>
    <w:rsid w:val="00991A34"/>
    <w:rsid w:val="00995F71"/>
    <w:rsid w:val="00997C30"/>
    <w:rsid w:val="009A0F66"/>
    <w:rsid w:val="009A1D80"/>
    <w:rsid w:val="009A1DA3"/>
    <w:rsid w:val="009A2BC8"/>
    <w:rsid w:val="009A39FD"/>
    <w:rsid w:val="009A3FA5"/>
    <w:rsid w:val="009A52A5"/>
    <w:rsid w:val="009A6E41"/>
    <w:rsid w:val="009A7906"/>
    <w:rsid w:val="009A7DE9"/>
    <w:rsid w:val="009B0B45"/>
    <w:rsid w:val="009B49A1"/>
    <w:rsid w:val="009B49D4"/>
    <w:rsid w:val="009B4C49"/>
    <w:rsid w:val="009B71AE"/>
    <w:rsid w:val="009B76E5"/>
    <w:rsid w:val="009B7D47"/>
    <w:rsid w:val="009C05BC"/>
    <w:rsid w:val="009C0B5A"/>
    <w:rsid w:val="009C1E46"/>
    <w:rsid w:val="009C2BAB"/>
    <w:rsid w:val="009C4336"/>
    <w:rsid w:val="009C507F"/>
    <w:rsid w:val="009C5502"/>
    <w:rsid w:val="009C6A4B"/>
    <w:rsid w:val="009D0005"/>
    <w:rsid w:val="009D08B2"/>
    <w:rsid w:val="009D1545"/>
    <w:rsid w:val="009D17F8"/>
    <w:rsid w:val="009D23B7"/>
    <w:rsid w:val="009D2707"/>
    <w:rsid w:val="009D2E8B"/>
    <w:rsid w:val="009D5C3A"/>
    <w:rsid w:val="009D6446"/>
    <w:rsid w:val="009D72FB"/>
    <w:rsid w:val="009E282F"/>
    <w:rsid w:val="009E443C"/>
    <w:rsid w:val="009E485F"/>
    <w:rsid w:val="009E5976"/>
    <w:rsid w:val="009E6B65"/>
    <w:rsid w:val="009E6BC0"/>
    <w:rsid w:val="009E6DAE"/>
    <w:rsid w:val="009E7AF7"/>
    <w:rsid w:val="009E7B5E"/>
    <w:rsid w:val="009E7C27"/>
    <w:rsid w:val="009F007A"/>
    <w:rsid w:val="009F00E7"/>
    <w:rsid w:val="009F1631"/>
    <w:rsid w:val="009F4074"/>
    <w:rsid w:val="009F594B"/>
    <w:rsid w:val="009F6EED"/>
    <w:rsid w:val="00A02471"/>
    <w:rsid w:val="00A029CE"/>
    <w:rsid w:val="00A03BD6"/>
    <w:rsid w:val="00A04480"/>
    <w:rsid w:val="00A04F55"/>
    <w:rsid w:val="00A053B4"/>
    <w:rsid w:val="00A05F35"/>
    <w:rsid w:val="00A06622"/>
    <w:rsid w:val="00A06643"/>
    <w:rsid w:val="00A06A2F"/>
    <w:rsid w:val="00A071A4"/>
    <w:rsid w:val="00A10D0A"/>
    <w:rsid w:val="00A12D26"/>
    <w:rsid w:val="00A14B2D"/>
    <w:rsid w:val="00A17081"/>
    <w:rsid w:val="00A21AFC"/>
    <w:rsid w:val="00A23236"/>
    <w:rsid w:val="00A244E4"/>
    <w:rsid w:val="00A2652D"/>
    <w:rsid w:val="00A272AD"/>
    <w:rsid w:val="00A27DAE"/>
    <w:rsid w:val="00A3190F"/>
    <w:rsid w:val="00A32A46"/>
    <w:rsid w:val="00A40546"/>
    <w:rsid w:val="00A41A0B"/>
    <w:rsid w:val="00A41DD7"/>
    <w:rsid w:val="00A459F0"/>
    <w:rsid w:val="00A45D70"/>
    <w:rsid w:val="00A471B4"/>
    <w:rsid w:val="00A479DB"/>
    <w:rsid w:val="00A52252"/>
    <w:rsid w:val="00A531C2"/>
    <w:rsid w:val="00A5324E"/>
    <w:rsid w:val="00A54615"/>
    <w:rsid w:val="00A54C8F"/>
    <w:rsid w:val="00A552E4"/>
    <w:rsid w:val="00A55D62"/>
    <w:rsid w:val="00A56C3E"/>
    <w:rsid w:val="00A57050"/>
    <w:rsid w:val="00A57BC7"/>
    <w:rsid w:val="00A620A6"/>
    <w:rsid w:val="00A64EF1"/>
    <w:rsid w:val="00A6508E"/>
    <w:rsid w:val="00A658E8"/>
    <w:rsid w:val="00A67F74"/>
    <w:rsid w:val="00A7053C"/>
    <w:rsid w:val="00A7091E"/>
    <w:rsid w:val="00A70BD4"/>
    <w:rsid w:val="00A72C39"/>
    <w:rsid w:val="00A74DA7"/>
    <w:rsid w:val="00A75075"/>
    <w:rsid w:val="00A80CA0"/>
    <w:rsid w:val="00A8587A"/>
    <w:rsid w:val="00A8624A"/>
    <w:rsid w:val="00A90314"/>
    <w:rsid w:val="00A919D0"/>
    <w:rsid w:val="00A92065"/>
    <w:rsid w:val="00A93FB5"/>
    <w:rsid w:val="00A94B98"/>
    <w:rsid w:val="00A94C9A"/>
    <w:rsid w:val="00A95862"/>
    <w:rsid w:val="00A96720"/>
    <w:rsid w:val="00A978D7"/>
    <w:rsid w:val="00A97C69"/>
    <w:rsid w:val="00A97E9A"/>
    <w:rsid w:val="00AA120B"/>
    <w:rsid w:val="00AA310E"/>
    <w:rsid w:val="00AA37FF"/>
    <w:rsid w:val="00AA5D11"/>
    <w:rsid w:val="00AA6384"/>
    <w:rsid w:val="00AA6437"/>
    <w:rsid w:val="00AA6571"/>
    <w:rsid w:val="00AA7377"/>
    <w:rsid w:val="00AA7C57"/>
    <w:rsid w:val="00AA7E45"/>
    <w:rsid w:val="00AB06A4"/>
    <w:rsid w:val="00AB0870"/>
    <w:rsid w:val="00AB0FDD"/>
    <w:rsid w:val="00AB44C2"/>
    <w:rsid w:val="00AB450A"/>
    <w:rsid w:val="00AB51E8"/>
    <w:rsid w:val="00AB6229"/>
    <w:rsid w:val="00AC023C"/>
    <w:rsid w:val="00AC0DE2"/>
    <w:rsid w:val="00AC2320"/>
    <w:rsid w:val="00AC37F4"/>
    <w:rsid w:val="00AC5287"/>
    <w:rsid w:val="00AC5298"/>
    <w:rsid w:val="00AD01BD"/>
    <w:rsid w:val="00AD1101"/>
    <w:rsid w:val="00AD15D2"/>
    <w:rsid w:val="00AD1A0C"/>
    <w:rsid w:val="00AD25BF"/>
    <w:rsid w:val="00AD3457"/>
    <w:rsid w:val="00AD51A1"/>
    <w:rsid w:val="00AD723C"/>
    <w:rsid w:val="00AD7575"/>
    <w:rsid w:val="00AD7D9E"/>
    <w:rsid w:val="00AE0EF5"/>
    <w:rsid w:val="00AE11C3"/>
    <w:rsid w:val="00AE26DC"/>
    <w:rsid w:val="00AE3690"/>
    <w:rsid w:val="00AE4696"/>
    <w:rsid w:val="00AE5262"/>
    <w:rsid w:val="00AE60CC"/>
    <w:rsid w:val="00AE6D2F"/>
    <w:rsid w:val="00AF046F"/>
    <w:rsid w:val="00AF3637"/>
    <w:rsid w:val="00AF383D"/>
    <w:rsid w:val="00AF4614"/>
    <w:rsid w:val="00AF53BD"/>
    <w:rsid w:val="00B00D21"/>
    <w:rsid w:val="00B037EF"/>
    <w:rsid w:val="00B05977"/>
    <w:rsid w:val="00B0659E"/>
    <w:rsid w:val="00B0789A"/>
    <w:rsid w:val="00B07AA8"/>
    <w:rsid w:val="00B07D95"/>
    <w:rsid w:val="00B10468"/>
    <w:rsid w:val="00B11528"/>
    <w:rsid w:val="00B1237E"/>
    <w:rsid w:val="00B1274B"/>
    <w:rsid w:val="00B13C52"/>
    <w:rsid w:val="00B153FC"/>
    <w:rsid w:val="00B156C1"/>
    <w:rsid w:val="00B1580D"/>
    <w:rsid w:val="00B163C1"/>
    <w:rsid w:val="00B2163C"/>
    <w:rsid w:val="00B22BA6"/>
    <w:rsid w:val="00B30A53"/>
    <w:rsid w:val="00B319F0"/>
    <w:rsid w:val="00B31F0E"/>
    <w:rsid w:val="00B3232A"/>
    <w:rsid w:val="00B32CEB"/>
    <w:rsid w:val="00B33029"/>
    <w:rsid w:val="00B35305"/>
    <w:rsid w:val="00B4158F"/>
    <w:rsid w:val="00B429C0"/>
    <w:rsid w:val="00B45D97"/>
    <w:rsid w:val="00B473F6"/>
    <w:rsid w:val="00B5072B"/>
    <w:rsid w:val="00B5080C"/>
    <w:rsid w:val="00B537E5"/>
    <w:rsid w:val="00B542E6"/>
    <w:rsid w:val="00B5435A"/>
    <w:rsid w:val="00B54A83"/>
    <w:rsid w:val="00B55EF7"/>
    <w:rsid w:val="00B576C8"/>
    <w:rsid w:val="00B57F54"/>
    <w:rsid w:val="00B626FB"/>
    <w:rsid w:val="00B62C7F"/>
    <w:rsid w:val="00B641C5"/>
    <w:rsid w:val="00B67A34"/>
    <w:rsid w:val="00B70042"/>
    <w:rsid w:val="00B74672"/>
    <w:rsid w:val="00B75CBD"/>
    <w:rsid w:val="00B83BCD"/>
    <w:rsid w:val="00B8588D"/>
    <w:rsid w:val="00B85BB6"/>
    <w:rsid w:val="00B86057"/>
    <w:rsid w:val="00B8759B"/>
    <w:rsid w:val="00B87840"/>
    <w:rsid w:val="00B9009B"/>
    <w:rsid w:val="00B90BC0"/>
    <w:rsid w:val="00B91AC2"/>
    <w:rsid w:val="00B934DD"/>
    <w:rsid w:val="00B936EA"/>
    <w:rsid w:val="00B9488F"/>
    <w:rsid w:val="00B95E3F"/>
    <w:rsid w:val="00B97E4C"/>
    <w:rsid w:val="00BA0C99"/>
    <w:rsid w:val="00BA1067"/>
    <w:rsid w:val="00BA15FA"/>
    <w:rsid w:val="00BA1BEF"/>
    <w:rsid w:val="00BA3B64"/>
    <w:rsid w:val="00BA47D3"/>
    <w:rsid w:val="00BA737F"/>
    <w:rsid w:val="00BB0495"/>
    <w:rsid w:val="00BB1568"/>
    <w:rsid w:val="00BB29F9"/>
    <w:rsid w:val="00BB2C0A"/>
    <w:rsid w:val="00BB3352"/>
    <w:rsid w:val="00BB3E71"/>
    <w:rsid w:val="00BB5C6C"/>
    <w:rsid w:val="00BC0624"/>
    <w:rsid w:val="00BC42AF"/>
    <w:rsid w:val="00BC4E41"/>
    <w:rsid w:val="00BC4F6D"/>
    <w:rsid w:val="00BC6C0A"/>
    <w:rsid w:val="00BD41B4"/>
    <w:rsid w:val="00BD4C7E"/>
    <w:rsid w:val="00BD7EC3"/>
    <w:rsid w:val="00BE0602"/>
    <w:rsid w:val="00BE11CE"/>
    <w:rsid w:val="00BE13DA"/>
    <w:rsid w:val="00BE1556"/>
    <w:rsid w:val="00BE1E1D"/>
    <w:rsid w:val="00BE33E4"/>
    <w:rsid w:val="00BE5E3A"/>
    <w:rsid w:val="00BE68C2"/>
    <w:rsid w:val="00BF479C"/>
    <w:rsid w:val="00BF61E2"/>
    <w:rsid w:val="00BF63EC"/>
    <w:rsid w:val="00C01FFB"/>
    <w:rsid w:val="00C0286B"/>
    <w:rsid w:val="00C04A25"/>
    <w:rsid w:val="00C065AB"/>
    <w:rsid w:val="00C069FF"/>
    <w:rsid w:val="00C06E10"/>
    <w:rsid w:val="00C1103D"/>
    <w:rsid w:val="00C1126C"/>
    <w:rsid w:val="00C119BE"/>
    <w:rsid w:val="00C12899"/>
    <w:rsid w:val="00C14FD0"/>
    <w:rsid w:val="00C16DD1"/>
    <w:rsid w:val="00C1725A"/>
    <w:rsid w:val="00C242C7"/>
    <w:rsid w:val="00C24521"/>
    <w:rsid w:val="00C24960"/>
    <w:rsid w:val="00C25B74"/>
    <w:rsid w:val="00C26EE4"/>
    <w:rsid w:val="00C3125E"/>
    <w:rsid w:val="00C3128D"/>
    <w:rsid w:val="00C31925"/>
    <w:rsid w:val="00C31E36"/>
    <w:rsid w:val="00C326AC"/>
    <w:rsid w:val="00C32E92"/>
    <w:rsid w:val="00C343BF"/>
    <w:rsid w:val="00C36AD1"/>
    <w:rsid w:val="00C4381F"/>
    <w:rsid w:val="00C43D95"/>
    <w:rsid w:val="00C45CD4"/>
    <w:rsid w:val="00C46E00"/>
    <w:rsid w:val="00C51BD1"/>
    <w:rsid w:val="00C53FF2"/>
    <w:rsid w:val="00C54D85"/>
    <w:rsid w:val="00C56940"/>
    <w:rsid w:val="00C5759A"/>
    <w:rsid w:val="00C57C93"/>
    <w:rsid w:val="00C6650F"/>
    <w:rsid w:val="00C6699A"/>
    <w:rsid w:val="00C70567"/>
    <w:rsid w:val="00C70883"/>
    <w:rsid w:val="00C727A1"/>
    <w:rsid w:val="00C73DEA"/>
    <w:rsid w:val="00C76F3E"/>
    <w:rsid w:val="00C7735F"/>
    <w:rsid w:val="00C774D6"/>
    <w:rsid w:val="00C7765D"/>
    <w:rsid w:val="00C77675"/>
    <w:rsid w:val="00C77676"/>
    <w:rsid w:val="00C7782C"/>
    <w:rsid w:val="00C826CE"/>
    <w:rsid w:val="00C82E29"/>
    <w:rsid w:val="00C93D87"/>
    <w:rsid w:val="00C95EC9"/>
    <w:rsid w:val="00C96A8A"/>
    <w:rsid w:val="00C97CC1"/>
    <w:rsid w:val="00CA01C6"/>
    <w:rsid w:val="00CA1CC7"/>
    <w:rsid w:val="00CA1CF2"/>
    <w:rsid w:val="00CA2A69"/>
    <w:rsid w:val="00CA2C2D"/>
    <w:rsid w:val="00CA6D8D"/>
    <w:rsid w:val="00CA7435"/>
    <w:rsid w:val="00CB057F"/>
    <w:rsid w:val="00CB3B0F"/>
    <w:rsid w:val="00CB6426"/>
    <w:rsid w:val="00CC11B4"/>
    <w:rsid w:val="00CC1D54"/>
    <w:rsid w:val="00CC220A"/>
    <w:rsid w:val="00CC2D63"/>
    <w:rsid w:val="00CC3B50"/>
    <w:rsid w:val="00CC4022"/>
    <w:rsid w:val="00CC473A"/>
    <w:rsid w:val="00CC5301"/>
    <w:rsid w:val="00CC6D3B"/>
    <w:rsid w:val="00CD0305"/>
    <w:rsid w:val="00CD3677"/>
    <w:rsid w:val="00CE0242"/>
    <w:rsid w:val="00CE208F"/>
    <w:rsid w:val="00CE4344"/>
    <w:rsid w:val="00CE5BD5"/>
    <w:rsid w:val="00CE6390"/>
    <w:rsid w:val="00CE6973"/>
    <w:rsid w:val="00CE6D2C"/>
    <w:rsid w:val="00CE7150"/>
    <w:rsid w:val="00CE78E4"/>
    <w:rsid w:val="00CE79BF"/>
    <w:rsid w:val="00CF34AE"/>
    <w:rsid w:val="00CF3DA4"/>
    <w:rsid w:val="00CF429B"/>
    <w:rsid w:val="00CF42D6"/>
    <w:rsid w:val="00CF6051"/>
    <w:rsid w:val="00CF69CD"/>
    <w:rsid w:val="00CF72FA"/>
    <w:rsid w:val="00CF7806"/>
    <w:rsid w:val="00D000E5"/>
    <w:rsid w:val="00D00900"/>
    <w:rsid w:val="00D00D5F"/>
    <w:rsid w:val="00D02FF6"/>
    <w:rsid w:val="00D05196"/>
    <w:rsid w:val="00D052E1"/>
    <w:rsid w:val="00D06107"/>
    <w:rsid w:val="00D078B1"/>
    <w:rsid w:val="00D14AA6"/>
    <w:rsid w:val="00D14BD0"/>
    <w:rsid w:val="00D169E0"/>
    <w:rsid w:val="00D17510"/>
    <w:rsid w:val="00D20E14"/>
    <w:rsid w:val="00D24F3A"/>
    <w:rsid w:val="00D2697A"/>
    <w:rsid w:val="00D31CC0"/>
    <w:rsid w:val="00D32EBA"/>
    <w:rsid w:val="00D36844"/>
    <w:rsid w:val="00D36850"/>
    <w:rsid w:val="00D40C3A"/>
    <w:rsid w:val="00D42707"/>
    <w:rsid w:val="00D448E3"/>
    <w:rsid w:val="00D449C2"/>
    <w:rsid w:val="00D44AE0"/>
    <w:rsid w:val="00D45798"/>
    <w:rsid w:val="00D46C7A"/>
    <w:rsid w:val="00D4776F"/>
    <w:rsid w:val="00D5090D"/>
    <w:rsid w:val="00D53D56"/>
    <w:rsid w:val="00D5454B"/>
    <w:rsid w:val="00D54BA0"/>
    <w:rsid w:val="00D55FCC"/>
    <w:rsid w:val="00D56923"/>
    <w:rsid w:val="00D67063"/>
    <w:rsid w:val="00D6789B"/>
    <w:rsid w:val="00D70F26"/>
    <w:rsid w:val="00D71400"/>
    <w:rsid w:val="00D7446C"/>
    <w:rsid w:val="00D74670"/>
    <w:rsid w:val="00D75349"/>
    <w:rsid w:val="00D76265"/>
    <w:rsid w:val="00D76EE1"/>
    <w:rsid w:val="00D77FE2"/>
    <w:rsid w:val="00D827DE"/>
    <w:rsid w:val="00D86B82"/>
    <w:rsid w:val="00D90FFF"/>
    <w:rsid w:val="00D918D0"/>
    <w:rsid w:val="00D92682"/>
    <w:rsid w:val="00D92794"/>
    <w:rsid w:val="00D9393A"/>
    <w:rsid w:val="00D93D96"/>
    <w:rsid w:val="00D9400C"/>
    <w:rsid w:val="00D941F6"/>
    <w:rsid w:val="00D944C7"/>
    <w:rsid w:val="00D95C9E"/>
    <w:rsid w:val="00DA008C"/>
    <w:rsid w:val="00DA0AD8"/>
    <w:rsid w:val="00DA2073"/>
    <w:rsid w:val="00DA4B65"/>
    <w:rsid w:val="00DA4DF5"/>
    <w:rsid w:val="00DB1110"/>
    <w:rsid w:val="00DB19E1"/>
    <w:rsid w:val="00DB35A5"/>
    <w:rsid w:val="00DB37A8"/>
    <w:rsid w:val="00DB4DDE"/>
    <w:rsid w:val="00DB7504"/>
    <w:rsid w:val="00DB75B6"/>
    <w:rsid w:val="00DC0C3E"/>
    <w:rsid w:val="00DC190A"/>
    <w:rsid w:val="00DC6156"/>
    <w:rsid w:val="00DC6C27"/>
    <w:rsid w:val="00DD31CC"/>
    <w:rsid w:val="00DD4995"/>
    <w:rsid w:val="00DD5C76"/>
    <w:rsid w:val="00DD6215"/>
    <w:rsid w:val="00DD62CF"/>
    <w:rsid w:val="00DD6F3E"/>
    <w:rsid w:val="00DD79C5"/>
    <w:rsid w:val="00DD7C22"/>
    <w:rsid w:val="00DD7C23"/>
    <w:rsid w:val="00DE20E2"/>
    <w:rsid w:val="00DE5364"/>
    <w:rsid w:val="00DE54D4"/>
    <w:rsid w:val="00DE600A"/>
    <w:rsid w:val="00DE6361"/>
    <w:rsid w:val="00DE7D1E"/>
    <w:rsid w:val="00DF0800"/>
    <w:rsid w:val="00DF335B"/>
    <w:rsid w:val="00DF5DDA"/>
    <w:rsid w:val="00DF5F08"/>
    <w:rsid w:val="00DF706D"/>
    <w:rsid w:val="00E008C1"/>
    <w:rsid w:val="00E0122E"/>
    <w:rsid w:val="00E02982"/>
    <w:rsid w:val="00E057F3"/>
    <w:rsid w:val="00E0615F"/>
    <w:rsid w:val="00E06E85"/>
    <w:rsid w:val="00E07CD2"/>
    <w:rsid w:val="00E10C31"/>
    <w:rsid w:val="00E11827"/>
    <w:rsid w:val="00E14571"/>
    <w:rsid w:val="00E210EE"/>
    <w:rsid w:val="00E22108"/>
    <w:rsid w:val="00E228C5"/>
    <w:rsid w:val="00E27959"/>
    <w:rsid w:val="00E3043C"/>
    <w:rsid w:val="00E31D7F"/>
    <w:rsid w:val="00E3225B"/>
    <w:rsid w:val="00E33C7C"/>
    <w:rsid w:val="00E33E5F"/>
    <w:rsid w:val="00E3406D"/>
    <w:rsid w:val="00E3608A"/>
    <w:rsid w:val="00E362EE"/>
    <w:rsid w:val="00E36EC0"/>
    <w:rsid w:val="00E42861"/>
    <w:rsid w:val="00E428BD"/>
    <w:rsid w:val="00E43A30"/>
    <w:rsid w:val="00E47946"/>
    <w:rsid w:val="00E51C9D"/>
    <w:rsid w:val="00E526EC"/>
    <w:rsid w:val="00E52DA7"/>
    <w:rsid w:val="00E52F43"/>
    <w:rsid w:val="00E54CF5"/>
    <w:rsid w:val="00E55088"/>
    <w:rsid w:val="00E56C4A"/>
    <w:rsid w:val="00E56D27"/>
    <w:rsid w:val="00E62198"/>
    <w:rsid w:val="00E63D37"/>
    <w:rsid w:val="00E7175C"/>
    <w:rsid w:val="00E72989"/>
    <w:rsid w:val="00E77476"/>
    <w:rsid w:val="00E77949"/>
    <w:rsid w:val="00E779A0"/>
    <w:rsid w:val="00E77DFF"/>
    <w:rsid w:val="00E8029A"/>
    <w:rsid w:val="00E82897"/>
    <w:rsid w:val="00E879EB"/>
    <w:rsid w:val="00E87D60"/>
    <w:rsid w:val="00E901D4"/>
    <w:rsid w:val="00E90358"/>
    <w:rsid w:val="00E918A6"/>
    <w:rsid w:val="00E922DF"/>
    <w:rsid w:val="00E92CDF"/>
    <w:rsid w:val="00E94F90"/>
    <w:rsid w:val="00E95468"/>
    <w:rsid w:val="00EA085D"/>
    <w:rsid w:val="00EA0999"/>
    <w:rsid w:val="00EA269D"/>
    <w:rsid w:val="00EA3D6E"/>
    <w:rsid w:val="00EA4FF3"/>
    <w:rsid w:val="00EA5315"/>
    <w:rsid w:val="00EA54C7"/>
    <w:rsid w:val="00EA697C"/>
    <w:rsid w:val="00EA707C"/>
    <w:rsid w:val="00EB2365"/>
    <w:rsid w:val="00EB4DDC"/>
    <w:rsid w:val="00EB5ACA"/>
    <w:rsid w:val="00EB5AE8"/>
    <w:rsid w:val="00EB75F9"/>
    <w:rsid w:val="00EC0359"/>
    <w:rsid w:val="00EC1227"/>
    <w:rsid w:val="00EC6749"/>
    <w:rsid w:val="00EC6A62"/>
    <w:rsid w:val="00ED1349"/>
    <w:rsid w:val="00ED254A"/>
    <w:rsid w:val="00ED4CDE"/>
    <w:rsid w:val="00ED5342"/>
    <w:rsid w:val="00EE4C09"/>
    <w:rsid w:val="00EE4CE0"/>
    <w:rsid w:val="00EE51AC"/>
    <w:rsid w:val="00EE7558"/>
    <w:rsid w:val="00EE7840"/>
    <w:rsid w:val="00EE7B50"/>
    <w:rsid w:val="00EF2419"/>
    <w:rsid w:val="00EF3FA6"/>
    <w:rsid w:val="00EF7CCE"/>
    <w:rsid w:val="00F0131A"/>
    <w:rsid w:val="00F01786"/>
    <w:rsid w:val="00F0522A"/>
    <w:rsid w:val="00F05E69"/>
    <w:rsid w:val="00F06625"/>
    <w:rsid w:val="00F067EA"/>
    <w:rsid w:val="00F1053D"/>
    <w:rsid w:val="00F11265"/>
    <w:rsid w:val="00F11AF3"/>
    <w:rsid w:val="00F1549E"/>
    <w:rsid w:val="00F1610C"/>
    <w:rsid w:val="00F23FE8"/>
    <w:rsid w:val="00F24F41"/>
    <w:rsid w:val="00F24FB2"/>
    <w:rsid w:val="00F30952"/>
    <w:rsid w:val="00F33A85"/>
    <w:rsid w:val="00F33F1D"/>
    <w:rsid w:val="00F34C61"/>
    <w:rsid w:val="00F36A7A"/>
    <w:rsid w:val="00F42548"/>
    <w:rsid w:val="00F439CE"/>
    <w:rsid w:val="00F449C7"/>
    <w:rsid w:val="00F461A4"/>
    <w:rsid w:val="00F51A51"/>
    <w:rsid w:val="00F52FFE"/>
    <w:rsid w:val="00F554AF"/>
    <w:rsid w:val="00F57BE9"/>
    <w:rsid w:val="00F57FC0"/>
    <w:rsid w:val="00F60862"/>
    <w:rsid w:val="00F61349"/>
    <w:rsid w:val="00F61B0A"/>
    <w:rsid w:val="00F65E7D"/>
    <w:rsid w:val="00F66FAE"/>
    <w:rsid w:val="00F703E2"/>
    <w:rsid w:val="00F709FA"/>
    <w:rsid w:val="00F71115"/>
    <w:rsid w:val="00F71CD6"/>
    <w:rsid w:val="00F750B7"/>
    <w:rsid w:val="00F7738A"/>
    <w:rsid w:val="00F775CE"/>
    <w:rsid w:val="00F813B6"/>
    <w:rsid w:val="00F823AC"/>
    <w:rsid w:val="00F85EE2"/>
    <w:rsid w:val="00F86112"/>
    <w:rsid w:val="00F878C0"/>
    <w:rsid w:val="00F90155"/>
    <w:rsid w:val="00F93EBB"/>
    <w:rsid w:val="00F97659"/>
    <w:rsid w:val="00FA1BBF"/>
    <w:rsid w:val="00FA36DF"/>
    <w:rsid w:val="00FA43B7"/>
    <w:rsid w:val="00FA44D4"/>
    <w:rsid w:val="00FA54EC"/>
    <w:rsid w:val="00FA77D3"/>
    <w:rsid w:val="00FB0C29"/>
    <w:rsid w:val="00FB1AE6"/>
    <w:rsid w:val="00FB2086"/>
    <w:rsid w:val="00FB3C31"/>
    <w:rsid w:val="00FB402F"/>
    <w:rsid w:val="00FB49FF"/>
    <w:rsid w:val="00FB52BB"/>
    <w:rsid w:val="00FB5F51"/>
    <w:rsid w:val="00FC100F"/>
    <w:rsid w:val="00FC2515"/>
    <w:rsid w:val="00FC4587"/>
    <w:rsid w:val="00FC59E2"/>
    <w:rsid w:val="00FD0C96"/>
    <w:rsid w:val="00FD224C"/>
    <w:rsid w:val="00FD25B7"/>
    <w:rsid w:val="00FD2B8D"/>
    <w:rsid w:val="00FD3671"/>
    <w:rsid w:val="00FD4033"/>
    <w:rsid w:val="00FD4371"/>
    <w:rsid w:val="00FD4CB3"/>
    <w:rsid w:val="00FD67F3"/>
    <w:rsid w:val="00FD70A0"/>
    <w:rsid w:val="00FD7A22"/>
    <w:rsid w:val="00FE366B"/>
    <w:rsid w:val="00FE5151"/>
    <w:rsid w:val="00FE5EF5"/>
    <w:rsid w:val="00FE7591"/>
    <w:rsid w:val="00FF04E3"/>
    <w:rsid w:val="00FF4033"/>
    <w:rsid w:val="00FF41B2"/>
    <w:rsid w:val="00FF4EA7"/>
    <w:rsid w:val="00FF5863"/>
    <w:rsid w:val="00FF5DD4"/>
    <w:rsid w:val="00FF7843"/>
    <w:rsid w:val="03E9C086"/>
    <w:rsid w:val="03F29445"/>
    <w:rsid w:val="04F78B38"/>
    <w:rsid w:val="05CE467C"/>
    <w:rsid w:val="0635BA5A"/>
    <w:rsid w:val="065DC400"/>
    <w:rsid w:val="070DD06E"/>
    <w:rsid w:val="0ABB894D"/>
    <w:rsid w:val="0AECD255"/>
    <w:rsid w:val="0AFA1F0C"/>
    <w:rsid w:val="0C97800D"/>
    <w:rsid w:val="0DC27301"/>
    <w:rsid w:val="0E8A6CE0"/>
    <w:rsid w:val="0EF02FBB"/>
    <w:rsid w:val="0F4E1F8D"/>
    <w:rsid w:val="108C001C"/>
    <w:rsid w:val="112AF671"/>
    <w:rsid w:val="11BCFF49"/>
    <w:rsid w:val="14CCA5A5"/>
    <w:rsid w:val="1580AB15"/>
    <w:rsid w:val="15FEFAAA"/>
    <w:rsid w:val="16B98DD2"/>
    <w:rsid w:val="1C2916C0"/>
    <w:rsid w:val="1D908FCA"/>
    <w:rsid w:val="1E773EFA"/>
    <w:rsid w:val="1ED03A88"/>
    <w:rsid w:val="1F2C8614"/>
    <w:rsid w:val="1F7F09E3"/>
    <w:rsid w:val="1FA4C456"/>
    <w:rsid w:val="20651DD4"/>
    <w:rsid w:val="225E927A"/>
    <w:rsid w:val="236E2D7D"/>
    <w:rsid w:val="23D77936"/>
    <w:rsid w:val="2469A6D3"/>
    <w:rsid w:val="25518483"/>
    <w:rsid w:val="2736AC5B"/>
    <w:rsid w:val="273BD68D"/>
    <w:rsid w:val="27B77DF1"/>
    <w:rsid w:val="28FD4311"/>
    <w:rsid w:val="29581FBB"/>
    <w:rsid w:val="2ADB926E"/>
    <w:rsid w:val="2F313292"/>
    <w:rsid w:val="306AFF8F"/>
    <w:rsid w:val="307FCB4A"/>
    <w:rsid w:val="35469365"/>
    <w:rsid w:val="3569A08B"/>
    <w:rsid w:val="35B0274B"/>
    <w:rsid w:val="37F31759"/>
    <w:rsid w:val="391A8306"/>
    <w:rsid w:val="3BFA018F"/>
    <w:rsid w:val="3EC79E5A"/>
    <w:rsid w:val="3F82889E"/>
    <w:rsid w:val="403887DC"/>
    <w:rsid w:val="40C6B517"/>
    <w:rsid w:val="40E2D912"/>
    <w:rsid w:val="40F84525"/>
    <w:rsid w:val="414DAA46"/>
    <w:rsid w:val="41626D01"/>
    <w:rsid w:val="43813511"/>
    <w:rsid w:val="466AA4E4"/>
    <w:rsid w:val="46D7D74F"/>
    <w:rsid w:val="490496E9"/>
    <w:rsid w:val="4A4AF4A7"/>
    <w:rsid w:val="4BEFF9A6"/>
    <w:rsid w:val="4C1F7ADB"/>
    <w:rsid w:val="4CEF83B8"/>
    <w:rsid w:val="4D6F36C3"/>
    <w:rsid w:val="4EF8C156"/>
    <w:rsid w:val="507BF3B7"/>
    <w:rsid w:val="54A1FDEE"/>
    <w:rsid w:val="54BDEF18"/>
    <w:rsid w:val="56C03449"/>
    <w:rsid w:val="5A51D00F"/>
    <w:rsid w:val="5DE75D4C"/>
    <w:rsid w:val="5E6B934B"/>
    <w:rsid w:val="5EB43C14"/>
    <w:rsid w:val="5EB8CA8C"/>
    <w:rsid w:val="5F62BFF7"/>
    <w:rsid w:val="6018CDFD"/>
    <w:rsid w:val="618EF136"/>
    <w:rsid w:val="61D12A57"/>
    <w:rsid w:val="6216B8BE"/>
    <w:rsid w:val="6270E06D"/>
    <w:rsid w:val="62F2E6EB"/>
    <w:rsid w:val="64CFC6DA"/>
    <w:rsid w:val="6503A46C"/>
    <w:rsid w:val="652E6B4E"/>
    <w:rsid w:val="66F3AE55"/>
    <w:rsid w:val="692ECD40"/>
    <w:rsid w:val="69A864E3"/>
    <w:rsid w:val="6A9A4B71"/>
    <w:rsid w:val="6DDCC8C5"/>
    <w:rsid w:val="6E3EEB35"/>
    <w:rsid w:val="7022E44B"/>
    <w:rsid w:val="70AF9159"/>
    <w:rsid w:val="70EFB611"/>
    <w:rsid w:val="70F979F3"/>
    <w:rsid w:val="7100D8E0"/>
    <w:rsid w:val="71C27352"/>
    <w:rsid w:val="730E063A"/>
    <w:rsid w:val="734BBF99"/>
    <w:rsid w:val="73E4BF6B"/>
    <w:rsid w:val="74022DD4"/>
    <w:rsid w:val="77E72F3C"/>
    <w:rsid w:val="78BA0F1D"/>
    <w:rsid w:val="79705FAE"/>
    <w:rsid w:val="7A0E92EB"/>
    <w:rsid w:val="7B9C1591"/>
    <w:rsid w:val="7BDB645E"/>
    <w:rsid w:val="7F4A7EC8"/>
    <w:rsid w:val="7F7C286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57052A"/>
  <w15:chartTrackingRefBased/>
  <w15:docId w15:val="{FFA43DBD-DFA0-4060-85AD-603B1B29A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Batang" w:hAnsiTheme="minorHAnsi" w:cstheme="minorBidi"/>
        <w:kern w:val="2"/>
        <w:sz w:val="24"/>
        <w:szCs w:val="24"/>
        <w:lang w:val="en-A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 w:unhideWhenUsed="1" w:qFormat="1"/>
    <w:lsdException w:name="List Bullet 3" w:semiHidden="1" w:uiPriority="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697A"/>
    <w:pPr>
      <w:spacing w:before="120" w:after="120" w:line="276" w:lineRule="auto"/>
    </w:pPr>
    <w:rPr>
      <w:rFonts w:ascii="Helvetica" w:hAnsi="Helvetica"/>
      <w:kern w:val="0"/>
      <w:sz w:val="21"/>
      <w:szCs w:val="21"/>
      <w14:ligatures w14:val="none"/>
    </w:rPr>
  </w:style>
  <w:style w:type="paragraph" w:styleId="Heading1">
    <w:name w:val="heading 1"/>
    <w:next w:val="Normal"/>
    <w:link w:val="Heading1Char"/>
    <w:uiPriority w:val="9"/>
    <w:qFormat/>
    <w:rsid w:val="00C26EE4"/>
    <w:pPr>
      <w:spacing w:before="200"/>
      <w:outlineLvl w:val="0"/>
    </w:pPr>
    <w:rPr>
      <w:rFonts w:ascii="Helvetica" w:hAnsi="Helvetica"/>
      <w:color w:val="22BDC5"/>
      <w:kern w:val="0"/>
      <w:sz w:val="32"/>
      <w:szCs w:val="32"/>
      <w14:ligatures w14:val="none"/>
    </w:rPr>
  </w:style>
  <w:style w:type="paragraph" w:styleId="Heading2">
    <w:name w:val="heading 2"/>
    <w:next w:val="Normal"/>
    <w:link w:val="Heading2Char"/>
    <w:uiPriority w:val="9"/>
    <w:unhideWhenUsed/>
    <w:qFormat/>
    <w:rsid w:val="00C26EE4"/>
    <w:pPr>
      <w:spacing w:before="180" w:after="60"/>
      <w:outlineLvl w:val="1"/>
    </w:pPr>
    <w:rPr>
      <w:rFonts w:ascii="Helvetica" w:hAnsi="Helvetica"/>
      <w:b/>
      <w:bCs/>
      <w:color w:val="931209"/>
      <w:kern w:val="0"/>
      <w14:ligatures w14:val="none"/>
    </w:rPr>
  </w:style>
  <w:style w:type="paragraph" w:styleId="Heading3">
    <w:name w:val="heading 3"/>
    <w:next w:val="Normal"/>
    <w:link w:val="Heading3Char"/>
    <w:uiPriority w:val="9"/>
    <w:unhideWhenUsed/>
    <w:qFormat/>
    <w:rsid w:val="00CA7435"/>
    <w:pPr>
      <w:spacing w:before="180" w:after="120"/>
      <w:outlineLvl w:val="2"/>
    </w:pPr>
    <w:rPr>
      <w:rFonts w:ascii="Helvetica" w:hAnsi="Helvetica"/>
      <w:b/>
      <w:bCs/>
      <w:color w:val="0079A7"/>
      <w:kern w:val="0"/>
      <w:sz w:val="21"/>
      <w:szCs w:val="21"/>
      <w14:ligatures w14:val="none"/>
    </w:rPr>
  </w:style>
  <w:style w:type="paragraph" w:styleId="Heading4">
    <w:name w:val="heading 4"/>
    <w:basedOn w:val="Normal"/>
    <w:next w:val="Normal"/>
    <w:link w:val="Heading4Char"/>
    <w:uiPriority w:val="9"/>
    <w:semiHidden/>
    <w:unhideWhenUsed/>
    <w:qFormat/>
    <w:rsid w:val="007C3B6D"/>
    <w:pPr>
      <w:keepNext/>
      <w:keepLines/>
      <w:spacing w:before="40" w:after="0"/>
      <w:outlineLvl w:val="3"/>
    </w:pPr>
    <w:rPr>
      <w:rFonts w:asciiTheme="majorHAnsi" w:eastAsiaTheme="majorEastAsia" w:hAnsiTheme="majorHAnsi" w:cstheme="majorBidi"/>
      <w:i/>
      <w:iCs/>
      <w:color w:val="00597C"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26EE4"/>
    <w:rPr>
      <w:rFonts w:ascii="Helvetica" w:hAnsi="Helvetica"/>
      <w:color w:val="22BDC5"/>
      <w:kern w:val="0"/>
      <w:sz w:val="32"/>
      <w:szCs w:val="32"/>
      <w14:ligatures w14:val="none"/>
    </w:rPr>
  </w:style>
  <w:style w:type="character" w:customStyle="1" w:styleId="Heading2Char">
    <w:name w:val="Heading 2 Char"/>
    <w:basedOn w:val="DefaultParagraphFont"/>
    <w:link w:val="Heading2"/>
    <w:uiPriority w:val="9"/>
    <w:rsid w:val="00C26EE4"/>
    <w:rPr>
      <w:rFonts w:ascii="Helvetica" w:hAnsi="Helvetica"/>
      <w:b/>
      <w:bCs/>
      <w:color w:val="931209"/>
      <w:kern w:val="0"/>
      <w14:ligatures w14:val="none"/>
    </w:rPr>
  </w:style>
  <w:style w:type="character" w:customStyle="1" w:styleId="Heading3Char">
    <w:name w:val="Heading 3 Char"/>
    <w:basedOn w:val="DefaultParagraphFont"/>
    <w:link w:val="Heading3"/>
    <w:uiPriority w:val="9"/>
    <w:rsid w:val="00C26EE4"/>
    <w:rPr>
      <w:rFonts w:ascii="Helvetica" w:hAnsi="Helvetica"/>
      <w:b/>
      <w:bCs/>
      <w:color w:val="0079A7"/>
      <w:kern w:val="0"/>
      <w:sz w:val="21"/>
      <w:szCs w:val="21"/>
      <w14:ligatures w14:val="none"/>
    </w:rPr>
  </w:style>
  <w:style w:type="paragraph" w:styleId="Header">
    <w:name w:val="header"/>
    <w:basedOn w:val="Normal"/>
    <w:link w:val="HeaderChar"/>
    <w:uiPriority w:val="99"/>
    <w:unhideWhenUsed/>
    <w:rsid w:val="00C26EE4"/>
    <w:pPr>
      <w:tabs>
        <w:tab w:val="center" w:pos="4513"/>
        <w:tab w:val="right" w:pos="9026"/>
      </w:tabs>
    </w:pPr>
  </w:style>
  <w:style w:type="character" w:customStyle="1" w:styleId="HeaderChar">
    <w:name w:val="Header Char"/>
    <w:basedOn w:val="DefaultParagraphFont"/>
    <w:link w:val="Header"/>
    <w:uiPriority w:val="99"/>
    <w:rsid w:val="00C26EE4"/>
    <w:rPr>
      <w:rFonts w:ascii="Helvetica" w:hAnsi="Helvetica"/>
      <w:kern w:val="0"/>
      <w:sz w:val="21"/>
      <w:szCs w:val="21"/>
      <w14:ligatures w14:val="none"/>
    </w:rPr>
  </w:style>
  <w:style w:type="paragraph" w:styleId="Footer">
    <w:name w:val="footer"/>
    <w:basedOn w:val="Normal"/>
    <w:link w:val="FooterChar"/>
    <w:uiPriority w:val="99"/>
    <w:unhideWhenUsed/>
    <w:rsid w:val="00C26EE4"/>
    <w:pPr>
      <w:tabs>
        <w:tab w:val="center" w:pos="4513"/>
        <w:tab w:val="right" w:pos="9026"/>
      </w:tabs>
    </w:pPr>
  </w:style>
  <w:style w:type="character" w:customStyle="1" w:styleId="FooterChar">
    <w:name w:val="Footer Char"/>
    <w:basedOn w:val="DefaultParagraphFont"/>
    <w:link w:val="Footer"/>
    <w:uiPriority w:val="99"/>
    <w:rsid w:val="00C26EE4"/>
    <w:rPr>
      <w:rFonts w:ascii="Helvetica" w:hAnsi="Helvetica"/>
      <w:kern w:val="0"/>
      <w:sz w:val="21"/>
      <w:szCs w:val="21"/>
      <w14:ligatures w14:val="none"/>
    </w:rPr>
  </w:style>
  <w:style w:type="character" w:styleId="PageNumber">
    <w:name w:val="page number"/>
    <w:basedOn w:val="DefaultParagraphFont"/>
    <w:uiPriority w:val="99"/>
    <w:semiHidden/>
    <w:unhideWhenUsed/>
    <w:rsid w:val="00C26EE4"/>
  </w:style>
  <w:style w:type="paragraph" w:styleId="Title">
    <w:name w:val="Title"/>
    <w:next w:val="Normal"/>
    <w:link w:val="TitleChar"/>
    <w:uiPriority w:val="10"/>
    <w:qFormat/>
    <w:rsid w:val="00C26EE4"/>
    <w:pPr>
      <w:spacing w:before="120" w:after="240"/>
    </w:pPr>
    <w:rPr>
      <w:rFonts w:ascii="Menlo" w:hAnsi="Menlo" w:cs="Menlo"/>
      <w:caps/>
      <w:color w:val="0079A7"/>
      <w:kern w:val="0"/>
      <w:sz w:val="40"/>
      <w:szCs w:val="40"/>
      <w14:ligatures w14:val="none"/>
    </w:rPr>
  </w:style>
  <w:style w:type="character" w:customStyle="1" w:styleId="TitleChar">
    <w:name w:val="Title Char"/>
    <w:basedOn w:val="DefaultParagraphFont"/>
    <w:link w:val="Title"/>
    <w:uiPriority w:val="10"/>
    <w:rsid w:val="00C26EE4"/>
    <w:rPr>
      <w:rFonts w:ascii="Menlo" w:hAnsi="Menlo" w:cs="Menlo"/>
      <w:caps/>
      <w:color w:val="0079A7"/>
      <w:kern w:val="0"/>
      <w:sz w:val="40"/>
      <w:szCs w:val="40"/>
      <w14:ligatures w14:val="none"/>
    </w:rPr>
  </w:style>
  <w:style w:type="paragraph" w:styleId="ListParagraph">
    <w:name w:val="List Paragraph"/>
    <w:basedOn w:val="Normal"/>
    <w:uiPriority w:val="34"/>
    <w:qFormat/>
    <w:rsid w:val="00C26EE4"/>
    <w:pPr>
      <w:ind w:left="720"/>
      <w:contextualSpacing/>
    </w:pPr>
  </w:style>
  <w:style w:type="paragraph" w:customStyle="1" w:styleId="Bullets">
    <w:name w:val="Bullets"/>
    <w:basedOn w:val="ListParagraph"/>
    <w:qFormat/>
    <w:rsid w:val="00C26EE4"/>
    <w:pPr>
      <w:numPr>
        <w:numId w:val="1"/>
      </w:numPr>
      <w:ind w:left="567" w:hanging="357"/>
      <w:contextualSpacing w:val="0"/>
    </w:pPr>
  </w:style>
  <w:style w:type="paragraph" w:customStyle="1" w:styleId="Bulletslevel2">
    <w:name w:val="Bullets level 2"/>
    <w:basedOn w:val="ListParagraph"/>
    <w:qFormat/>
    <w:rsid w:val="00C26EE4"/>
    <w:pPr>
      <w:numPr>
        <w:ilvl w:val="1"/>
        <w:numId w:val="1"/>
      </w:numPr>
      <w:contextualSpacing w:val="0"/>
    </w:pPr>
  </w:style>
  <w:style w:type="table" w:styleId="TableGrid">
    <w:name w:val="Table Grid"/>
    <w:basedOn w:val="TableNormal"/>
    <w:uiPriority w:val="39"/>
    <w:rsid w:val="00C26EE4"/>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white">
    <w:name w:val="Table heading (white)"/>
    <w:basedOn w:val="Normal"/>
    <w:qFormat/>
    <w:rsid w:val="00C26EE4"/>
    <w:pPr>
      <w:spacing w:before="60" w:after="60"/>
    </w:pPr>
    <w:rPr>
      <w:b/>
      <w:bCs/>
      <w:color w:val="FFFFFF" w:themeColor="background1"/>
    </w:rPr>
  </w:style>
  <w:style w:type="paragraph" w:styleId="Date">
    <w:name w:val="Date"/>
    <w:basedOn w:val="Normal"/>
    <w:next w:val="Normal"/>
    <w:link w:val="DateChar"/>
    <w:uiPriority w:val="99"/>
    <w:semiHidden/>
    <w:unhideWhenUsed/>
    <w:rsid w:val="00C26EE4"/>
  </w:style>
  <w:style w:type="character" w:customStyle="1" w:styleId="DateChar">
    <w:name w:val="Date Char"/>
    <w:basedOn w:val="DefaultParagraphFont"/>
    <w:link w:val="Date"/>
    <w:uiPriority w:val="99"/>
    <w:semiHidden/>
    <w:rsid w:val="00C26EE4"/>
    <w:rPr>
      <w:rFonts w:ascii="Helvetica" w:hAnsi="Helvetica"/>
      <w:kern w:val="0"/>
      <w:sz w:val="21"/>
      <w:szCs w:val="21"/>
      <w14:ligatures w14:val="none"/>
    </w:rPr>
  </w:style>
  <w:style w:type="paragraph" w:customStyle="1" w:styleId="Tablebody">
    <w:name w:val="Table body"/>
    <w:basedOn w:val="Normal"/>
    <w:qFormat/>
    <w:rsid w:val="00C26EE4"/>
    <w:rPr>
      <w:sz w:val="20"/>
      <w:szCs w:val="20"/>
    </w:rPr>
  </w:style>
  <w:style w:type="paragraph" w:customStyle="1" w:styleId="Tablebullets">
    <w:name w:val="Table bullets"/>
    <w:basedOn w:val="Tablebody"/>
    <w:qFormat/>
    <w:rsid w:val="00C26EE4"/>
    <w:pPr>
      <w:numPr>
        <w:numId w:val="12"/>
      </w:numPr>
      <w:spacing w:before="60" w:after="60"/>
      <w:ind w:left="454" w:hanging="284"/>
    </w:pPr>
  </w:style>
  <w:style w:type="paragraph" w:customStyle="1" w:styleId="Blockquote">
    <w:name w:val="Blockquote"/>
    <w:basedOn w:val="Normal"/>
    <w:qFormat/>
    <w:rsid w:val="00C26EE4"/>
    <w:pPr>
      <w:ind w:left="1134" w:right="522"/>
    </w:pPr>
    <w:rPr>
      <w:rFonts w:ascii="Arial" w:hAnsi="Arial" w:cs="Arial"/>
      <w:i/>
      <w:iCs/>
      <w:color w:val="0079A7"/>
    </w:rPr>
  </w:style>
  <w:style w:type="paragraph" w:customStyle="1" w:styleId="CoverHeading1">
    <w:name w:val="Cover Heading 1"/>
    <w:qFormat/>
    <w:rsid w:val="00C26EE4"/>
    <w:rPr>
      <w:rFonts w:ascii="Helvetica" w:hAnsi="Helvetica"/>
      <w:b/>
      <w:bCs/>
      <w:color w:val="595959" w:themeColor="text1" w:themeTint="A6"/>
      <w:kern w:val="0"/>
      <w:sz w:val="32"/>
      <w:szCs w:val="32"/>
      <w14:ligatures w14:val="none"/>
    </w:rPr>
  </w:style>
  <w:style w:type="paragraph" w:customStyle="1" w:styleId="paragraph">
    <w:name w:val="paragraph"/>
    <w:basedOn w:val="Normal"/>
    <w:rsid w:val="00C26EE4"/>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C26EE4"/>
  </w:style>
  <w:style w:type="character" w:customStyle="1" w:styleId="tabchar">
    <w:name w:val="tabchar"/>
    <w:basedOn w:val="DefaultParagraphFont"/>
    <w:rsid w:val="00C26EE4"/>
  </w:style>
  <w:style w:type="character" w:customStyle="1" w:styleId="eop">
    <w:name w:val="eop"/>
    <w:basedOn w:val="DefaultParagraphFont"/>
    <w:rsid w:val="00C26EE4"/>
  </w:style>
  <w:style w:type="character" w:customStyle="1" w:styleId="scxw202426826">
    <w:name w:val="scxw202426826"/>
    <w:basedOn w:val="DefaultParagraphFont"/>
    <w:rsid w:val="00C26EE4"/>
  </w:style>
  <w:style w:type="paragraph" w:styleId="FootnoteText">
    <w:name w:val="footnote text"/>
    <w:basedOn w:val="Normal"/>
    <w:link w:val="FootnoteTextChar"/>
    <w:uiPriority w:val="99"/>
    <w:unhideWhenUsed/>
    <w:rsid w:val="00C26EE4"/>
    <w:pPr>
      <w:spacing w:before="0" w:after="0"/>
    </w:pPr>
    <w:rPr>
      <w:sz w:val="20"/>
      <w:szCs w:val="20"/>
    </w:rPr>
  </w:style>
  <w:style w:type="character" w:customStyle="1" w:styleId="FootnoteTextChar">
    <w:name w:val="Footnote Text Char"/>
    <w:basedOn w:val="DefaultParagraphFont"/>
    <w:link w:val="FootnoteText"/>
    <w:uiPriority w:val="99"/>
    <w:rsid w:val="00C26EE4"/>
    <w:rPr>
      <w:rFonts w:ascii="Helvetica" w:hAnsi="Helvetica"/>
      <w:kern w:val="0"/>
      <w:sz w:val="20"/>
      <w:szCs w:val="20"/>
      <w14:ligatures w14:val="none"/>
    </w:rPr>
  </w:style>
  <w:style w:type="character" w:styleId="FootnoteReference">
    <w:name w:val="footnote reference"/>
    <w:basedOn w:val="DefaultParagraphFont"/>
    <w:uiPriority w:val="99"/>
    <w:semiHidden/>
    <w:unhideWhenUsed/>
    <w:rsid w:val="00C26EE4"/>
    <w:rPr>
      <w:vertAlign w:val="superscript"/>
    </w:rPr>
  </w:style>
  <w:style w:type="character" w:styleId="Hyperlink">
    <w:name w:val="Hyperlink"/>
    <w:basedOn w:val="DefaultParagraphFont"/>
    <w:uiPriority w:val="99"/>
    <w:unhideWhenUsed/>
    <w:rsid w:val="00C26EE4"/>
    <w:rPr>
      <w:color w:val="0563C1" w:themeColor="hyperlink"/>
      <w:u w:val="single"/>
    </w:rPr>
  </w:style>
  <w:style w:type="character" w:styleId="UnresolvedMention">
    <w:name w:val="Unresolved Mention"/>
    <w:basedOn w:val="DefaultParagraphFont"/>
    <w:uiPriority w:val="99"/>
    <w:semiHidden/>
    <w:unhideWhenUsed/>
    <w:rsid w:val="00C26EE4"/>
    <w:rPr>
      <w:color w:val="605E5C"/>
      <w:shd w:val="clear" w:color="auto" w:fill="E1DFDD"/>
    </w:rPr>
  </w:style>
  <w:style w:type="paragraph" w:styleId="TOCHeading">
    <w:name w:val="TOC Heading"/>
    <w:basedOn w:val="Heading1"/>
    <w:next w:val="Normal"/>
    <w:uiPriority w:val="39"/>
    <w:unhideWhenUsed/>
    <w:qFormat/>
    <w:rsid w:val="00C26EE4"/>
    <w:pPr>
      <w:keepNext/>
      <w:keepLines/>
      <w:spacing w:before="480" w:line="276" w:lineRule="auto"/>
      <w:outlineLvl w:val="9"/>
    </w:pPr>
    <w:rPr>
      <w:rFonts w:asciiTheme="majorHAnsi" w:eastAsiaTheme="majorEastAsia" w:hAnsiTheme="majorHAnsi" w:cstheme="majorBidi"/>
      <w:b/>
      <w:bCs/>
      <w:color w:val="00597C" w:themeColor="accent1" w:themeShade="BF"/>
      <w:sz w:val="28"/>
      <w:szCs w:val="28"/>
      <w:lang w:val="en-US"/>
    </w:rPr>
  </w:style>
  <w:style w:type="paragraph" w:styleId="TOC1">
    <w:name w:val="toc 1"/>
    <w:basedOn w:val="Normal"/>
    <w:next w:val="Normal"/>
    <w:autoRedefine/>
    <w:uiPriority w:val="39"/>
    <w:unhideWhenUsed/>
    <w:rsid w:val="0013353B"/>
    <w:pPr>
      <w:tabs>
        <w:tab w:val="right" w:leader="dot" w:pos="9016"/>
      </w:tabs>
      <w:spacing w:after="0"/>
    </w:pPr>
    <w:rPr>
      <w:rFonts w:asciiTheme="minorHAnsi" w:hAnsiTheme="minorHAnsi" w:cstheme="minorHAnsi"/>
      <w:b/>
      <w:bCs/>
      <w:i/>
      <w:iCs/>
      <w:sz w:val="24"/>
      <w:szCs w:val="24"/>
    </w:rPr>
  </w:style>
  <w:style w:type="paragraph" w:styleId="TOC2">
    <w:name w:val="toc 2"/>
    <w:basedOn w:val="Normal"/>
    <w:next w:val="Normal"/>
    <w:autoRedefine/>
    <w:uiPriority w:val="39"/>
    <w:unhideWhenUsed/>
    <w:rsid w:val="001A6F1D"/>
    <w:pPr>
      <w:tabs>
        <w:tab w:val="right" w:leader="dot" w:pos="9016"/>
      </w:tabs>
      <w:spacing w:after="0"/>
      <w:ind w:left="170"/>
    </w:pPr>
    <w:rPr>
      <w:rFonts w:asciiTheme="minorHAnsi" w:hAnsiTheme="minorHAnsi" w:cstheme="minorHAnsi"/>
      <w:b/>
      <w:bCs/>
      <w:sz w:val="22"/>
      <w:szCs w:val="22"/>
    </w:rPr>
  </w:style>
  <w:style w:type="paragraph" w:styleId="TOC4">
    <w:name w:val="toc 4"/>
    <w:basedOn w:val="Normal"/>
    <w:next w:val="Normal"/>
    <w:autoRedefine/>
    <w:uiPriority w:val="39"/>
    <w:semiHidden/>
    <w:unhideWhenUsed/>
    <w:rsid w:val="00C26EE4"/>
    <w:pPr>
      <w:spacing w:before="0" w:after="0"/>
      <w:ind w:left="63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C26EE4"/>
    <w:pPr>
      <w:spacing w:before="0" w:after="0"/>
      <w:ind w:left="84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C26EE4"/>
    <w:pPr>
      <w:spacing w:before="0" w:after="0"/>
      <w:ind w:left="105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C26EE4"/>
    <w:pPr>
      <w:spacing w:before="0" w:after="0"/>
      <w:ind w:left="126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C26EE4"/>
    <w:pPr>
      <w:spacing w:before="0" w:after="0"/>
      <w:ind w:left="147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C26EE4"/>
    <w:pPr>
      <w:spacing w:before="0" w:after="0"/>
      <w:ind w:left="1680"/>
    </w:pPr>
    <w:rPr>
      <w:rFonts w:asciiTheme="minorHAnsi" w:hAnsiTheme="minorHAnsi" w:cstheme="minorHAnsi"/>
      <w:sz w:val="20"/>
      <w:szCs w:val="20"/>
    </w:rPr>
  </w:style>
  <w:style w:type="character" w:customStyle="1" w:styleId="cf01">
    <w:name w:val="cf01"/>
    <w:basedOn w:val="DefaultParagraphFont"/>
    <w:rsid w:val="00C26EE4"/>
    <w:rPr>
      <w:rFonts w:ascii="Segoe UI" w:hAnsi="Segoe UI" w:cs="Segoe UI" w:hint="default"/>
      <w:sz w:val="18"/>
      <w:szCs w:val="18"/>
    </w:rPr>
  </w:style>
  <w:style w:type="paragraph" w:styleId="Revision">
    <w:name w:val="Revision"/>
    <w:hidden/>
    <w:uiPriority w:val="99"/>
    <w:semiHidden/>
    <w:rsid w:val="00C26EE4"/>
    <w:rPr>
      <w:rFonts w:ascii="Helvetica" w:hAnsi="Helvetica"/>
      <w:kern w:val="0"/>
      <w:sz w:val="21"/>
      <w:szCs w:val="21"/>
      <w14:ligatures w14:val="none"/>
    </w:rPr>
  </w:style>
  <w:style w:type="paragraph" w:styleId="NoSpacing">
    <w:name w:val="No Spacing"/>
    <w:uiPriority w:val="1"/>
    <w:qFormat/>
    <w:rsid w:val="00C26EE4"/>
    <w:rPr>
      <w:rFonts w:ascii="Helvetica" w:hAnsi="Helvetica"/>
      <w:kern w:val="0"/>
      <w:sz w:val="21"/>
      <w:szCs w:val="21"/>
      <w14:ligatures w14:val="none"/>
    </w:rPr>
  </w:style>
  <w:style w:type="character" w:styleId="CommentReference">
    <w:name w:val="annotation reference"/>
    <w:basedOn w:val="DefaultParagraphFont"/>
    <w:uiPriority w:val="99"/>
    <w:semiHidden/>
    <w:unhideWhenUsed/>
    <w:rsid w:val="00C26EE4"/>
    <w:rPr>
      <w:sz w:val="16"/>
      <w:szCs w:val="16"/>
    </w:rPr>
  </w:style>
  <w:style w:type="paragraph" w:styleId="CommentText">
    <w:name w:val="annotation text"/>
    <w:basedOn w:val="Normal"/>
    <w:link w:val="CommentTextChar"/>
    <w:uiPriority w:val="99"/>
    <w:semiHidden/>
    <w:unhideWhenUsed/>
    <w:rsid w:val="00C26EE4"/>
    <w:rPr>
      <w:sz w:val="20"/>
      <w:szCs w:val="20"/>
    </w:rPr>
  </w:style>
  <w:style w:type="character" w:customStyle="1" w:styleId="CommentTextChar">
    <w:name w:val="Comment Text Char"/>
    <w:basedOn w:val="DefaultParagraphFont"/>
    <w:link w:val="CommentText"/>
    <w:uiPriority w:val="99"/>
    <w:semiHidden/>
    <w:rsid w:val="00C26EE4"/>
    <w:rPr>
      <w:rFonts w:ascii="Helvetica" w:hAnsi="Helvetica"/>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C26EE4"/>
    <w:rPr>
      <w:b/>
      <w:bCs/>
    </w:rPr>
  </w:style>
  <w:style w:type="character" w:customStyle="1" w:styleId="CommentSubjectChar">
    <w:name w:val="Comment Subject Char"/>
    <w:basedOn w:val="CommentTextChar"/>
    <w:link w:val="CommentSubject"/>
    <w:uiPriority w:val="99"/>
    <w:semiHidden/>
    <w:rsid w:val="00C26EE4"/>
    <w:rPr>
      <w:rFonts w:ascii="Helvetica" w:hAnsi="Helvetica"/>
      <w:b/>
      <w:bCs/>
      <w:kern w:val="0"/>
      <w:sz w:val="20"/>
      <w:szCs w:val="20"/>
      <w14:ligatures w14:val="none"/>
    </w:rPr>
  </w:style>
  <w:style w:type="table" w:styleId="GridTable4-Accent1">
    <w:name w:val="Grid Table 4 Accent 1"/>
    <w:basedOn w:val="TableNormal"/>
    <w:uiPriority w:val="49"/>
    <w:rsid w:val="00C26EE4"/>
    <w:rPr>
      <w:kern w:val="0"/>
      <w14:ligatures w14:val="none"/>
    </w:rPr>
    <w:tblPr>
      <w:tblStyleRowBandSize w:val="1"/>
      <w:tblStyleColBandSize w:val="1"/>
      <w:tblBorders>
        <w:top w:val="single" w:sz="4" w:space="0" w:color="32C3FD" w:themeColor="accent1" w:themeTint="99"/>
        <w:left w:val="single" w:sz="4" w:space="0" w:color="32C3FD" w:themeColor="accent1" w:themeTint="99"/>
        <w:bottom w:val="single" w:sz="4" w:space="0" w:color="32C3FD" w:themeColor="accent1" w:themeTint="99"/>
        <w:right w:val="single" w:sz="4" w:space="0" w:color="32C3FD" w:themeColor="accent1" w:themeTint="99"/>
        <w:insideH w:val="single" w:sz="4" w:space="0" w:color="32C3FD" w:themeColor="accent1" w:themeTint="99"/>
        <w:insideV w:val="single" w:sz="4" w:space="0" w:color="32C3FD" w:themeColor="accent1" w:themeTint="99"/>
      </w:tblBorders>
    </w:tblPr>
    <w:tblStylePr w:type="firstRow">
      <w:rPr>
        <w:b/>
        <w:bCs/>
        <w:color w:val="FFFFFF" w:themeColor="background1"/>
      </w:rPr>
      <w:tblPr/>
      <w:tcPr>
        <w:tcBorders>
          <w:top w:val="single" w:sz="4" w:space="0" w:color="0178A7" w:themeColor="accent1"/>
          <w:left w:val="single" w:sz="4" w:space="0" w:color="0178A7" w:themeColor="accent1"/>
          <w:bottom w:val="single" w:sz="4" w:space="0" w:color="0178A7" w:themeColor="accent1"/>
          <w:right w:val="single" w:sz="4" w:space="0" w:color="0178A7" w:themeColor="accent1"/>
          <w:insideH w:val="nil"/>
          <w:insideV w:val="nil"/>
        </w:tcBorders>
        <w:shd w:val="clear" w:color="auto" w:fill="0178A7" w:themeFill="accent1"/>
      </w:tcPr>
    </w:tblStylePr>
    <w:tblStylePr w:type="lastRow">
      <w:rPr>
        <w:b/>
        <w:bCs/>
      </w:rPr>
      <w:tblPr/>
      <w:tcPr>
        <w:tcBorders>
          <w:top w:val="double" w:sz="4" w:space="0" w:color="0178A7" w:themeColor="accent1"/>
        </w:tcBorders>
      </w:tcPr>
    </w:tblStylePr>
    <w:tblStylePr w:type="firstCol">
      <w:rPr>
        <w:b/>
        <w:bCs/>
      </w:rPr>
    </w:tblStylePr>
    <w:tblStylePr w:type="lastCol">
      <w:rPr>
        <w:b/>
        <w:bCs/>
      </w:rPr>
    </w:tblStylePr>
    <w:tblStylePr w:type="band1Vert">
      <w:tblPr/>
      <w:tcPr>
        <w:shd w:val="clear" w:color="auto" w:fill="BAEBFE" w:themeFill="accent1" w:themeFillTint="33"/>
      </w:tcPr>
    </w:tblStylePr>
    <w:tblStylePr w:type="band1Horz">
      <w:tblPr/>
      <w:tcPr>
        <w:shd w:val="clear" w:color="auto" w:fill="BAEBFE" w:themeFill="accent1" w:themeFillTint="33"/>
      </w:tcPr>
    </w:tblStylePr>
  </w:style>
  <w:style w:type="table" w:styleId="GridTable4-Accent4">
    <w:name w:val="Grid Table 4 Accent 4"/>
    <w:basedOn w:val="TableNormal"/>
    <w:uiPriority w:val="49"/>
    <w:rsid w:val="00C26EE4"/>
    <w:rPr>
      <w:kern w:val="0"/>
      <w14:ligatures w14:val="none"/>
    </w:rPr>
    <w:tblPr>
      <w:tblStyleRowBandSize w:val="1"/>
      <w:tblStyleColBandSize w:val="1"/>
      <w:tblBorders>
        <w:top w:val="single" w:sz="4" w:space="0" w:color="F6AE94" w:themeColor="accent4" w:themeTint="99"/>
        <w:left w:val="single" w:sz="4" w:space="0" w:color="F6AE94" w:themeColor="accent4" w:themeTint="99"/>
        <w:bottom w:val="single" w:sz="4" w:space="0" w:color="F6AE94" w:themeColor="accent4" w:themeTint="99"/>
        <w:right w:val="single" w:sz="4" w:space="0" w:color="F6AE94" w:themeColor="accent4" w:themeTint="99"/>
        <w:insideH w:val="single" w:sz="4" w:space="0" w:color="F6AE94" w:themeColor="accent4" w:themeTint="99"/>
        <w:insideV w:val="single" w:sz="4" w:space="0" w:color="F6AE94" w:themeColor="accent4" w:themeTint="99"/>
      </w:tblBorders>
    </w:tblPr>
    <w:tblStylePr w:type="firstRow">
      <w:rPr>
        <w:b/>
        <w:bCs/>
        <w:color w:val="FFFFFF" w:themeColor="background1"/>
      </w:rPr>
      <w:tblPr/>
      <w:tcPr>
        <w:tcBorders>
          <w:top w:val="single" w:sz="4" w:space="0" w:color="F07A4D" w:themeColor="accent4"/>
          <w:left w:val="single" w:sz="4" w:space="0" w:color="F07A4D" w:themeColor="accent4"/>
          <w:bottom w:val="single" w:sz="4" w:space="0" w:color="F07A4D" w:themeColor="accent4"/>
          <w:right w:val="single" w:sz="4" w:space="0" w:color="F07A4D" w:themeColor="accent4"/>
          <w:insideH w:val="nil"/>
          <w:insideV w:val="nil"/>
        </w:tcBorders>
        <w:shd w:val="clear" w:color="auto" w:fill="F07A4D" w:themeFill="accent4"/>
      </w:tcPr>
    </w:tblStylePr>
    <w:tblStylePr w:type="lastRow">
      <w:rPr>
        <w:b/>
        <w:bCs/>
      </w:rPr>
      <w:tblPr/>
      <w:tcPr>
        <w:tcBorders>
          <w:top w:val="double" w:sz="4" w:space="0" w:color="F07A4D" w:themeColor="accent4"/>
        </w:tcBorders>
      </w:tcPr>
    </w:tblStylePr>
    <w:tblStylePr w:type="firstCol">
      <w:rPr>
        <w:b/>
        <w:bCs/>
      </w:rPr>
    </w:tblStylePr>
    <w:tblStylePr w:type="lastCol">
      <w:rPr>
        <w:b/>
        <w:bCs/>
      </w:rPr>
    </w:tblStylePr>
    <w:tblStylePr w:type="band1Vert">
      <w:tblPr/>
      <w:tcPr>
        <w:shd w:val="clear" w:color="auto" w:fill="FCE4DB" w:themeFill="accent4" w:themeFillTint="33"/>
      </w:tcPr>
    </w:tblStylePr>
    <w:tblStylePr w:type="band1Horz">
      <w:tblPr/>
      <w:tcPr>
        <w:shd w:val="clear" w:color="auto" w:fill="FCE4DB" w:themeFill="accent4" w:themeFillTint="33"/>
      </w:tcPr>
    </w:tblStylePr>
  </w:style>
  <w:style w:type="table" w:styleId="GridTable4-Accent5">
    <w:name w:val="Grid Table 4 Accent 5"/>
    <w:basedOn w:val="TableNormal"/>
    <w:uiPriority w:val="49"/>
    <w:rsid w:val="00C26EE4"/>
    <w:rPr>
      <w:kern w:val="0"/>
      <w14:ligatures w14:val="none"/>
    </w:rPr>
    <w:tblPr>
      <w:tblStyleRowBandSize w:val="1"/>
      <w:tblStyleColBandSize w:val="1"/>
      <w:tblBorders>
        <w:top w:val="single" w:sz="4" w:space="0" w:color="9B9B9B" w:themeColor="accent5" w:themeTint="99"/>
        <w:left w:val="single" w:sz="4" w:space="0" w:color="9B9B9B" w:themeColor="accent5" w:themeTint="99"/>
        <w:bottom w:val="single" w:sz="4" w:space="0" w:color="9B9B9B" w:themeColor="accent5" w:themeTint="99"/>
        <w:right w:val="single" w:sz="4" w:space="0" w:color="9B9B9B" w:themeColor="accent5" w:themeTint="99"/>
        <w:insideH w:val="single" w:sz="4" w:space="0" w:color="9B9B9B" w:themeColor="accent5" w:themeTint="99"/>
        <w:insideV w:val="single" w:sz="4" w:space="0" w:color="9B9B9B" w:themeColor="accent5" w:themeTint="99"/>
      </w:tblBorders>
    </w:tblPr>
    <w:tblStylePr w:type="firstRow">
      <w:rPr>
        <w:b/>
        <w:bCs/>
        <w:color w:val="FFFFFF" w:themeColor="background1"/>
      </w:rPr>
      <w:tblPr/>
      <w:tcPr>
        <w:tcBorders>
          <w:top w:val="single" w:sz="4" w:space="0" w:color="595959" w:themeColor="accent5"/>
          <w:left w:val="single" w:sz="4" w:space="0" w:color="595959" w:themeColor="accent5"/>
          <w:bottom w:val="single" w:sz="4" w:space="0" w:color="595959" w:themeColor="accent5"/>
          <w:right w:val="single" w:sz="4" w:space="0" w:color="595959" w:themeColor="accent5"/>
          <w:insideH w:val="nil"/>
          <w:insideV w:val="nil"/>
        </w:tcBorders>
        <w:shd w:val="clear" w:color="auto" w:fill="595959" w:themeFill="accent5"/>
      </w:tcPr>
    </w:tblStylePr>
    <w:tblStylePr w:type="lastRow">
      <w:rPr>
        <w:b/>
        <w:bCs/>
      </w:rPr>
      <w:tblPr/>
      <w:tcPr>
        <w:tcBorders>
          <w:top w:val="double" w:sz="4" w:space="0" w:color="595959" w:themeColor="accent5"/>
        </w:tcBorders>
      </w:tcPr>
    </w:tblStylePr>
    <w:tblStylePr w:type="firstCol">
      <w:rPr>
        <w:b/>
        <w:bCs/>
      </w:rPr>
    </w:tblStylePr>
    <w:tblStylePr w:type="lastCol">
      <w:rPr>
        <w:b/>
        <w:bCs/>
      </w:rPr>
    </w:tblStylePr>
    <w:tblStylePr w:type="band1Vert">
      <w:tblPr/>
      <w:tcPr>
        <w:shd w:val="clear" w:color="auto" w:fill="DDDDDD" w:themeFill="accent5" w:themeFillTint="33"/>
      </w:tcPr>
    </w:tblStylePr>
    <w:tblStylePr w:type="band1Horz">
      <w:tblPr/>
      <w:tcPr>
        <w:shd w:val="clear" w:color="auto" w:fill="DDDDDD" w:themeFill="accent5" w:themeFillTint="33"/>
      </w:tcPr>
    </w:tblStylePr>
  </w:style>
  <w:style w:type="character" w:customStyle="1" w:styleId="superscript">
    <w:name w:val="superscript"/>
    <w:basedOn w:val="DefaultParagraphFont"/>
    <w:rsid w:val="006F38FA"/>
  </w:style>
  <w:style w:type="character" w:styleId="FollowedHyperlink">
    <w:name w:val="FollowedHyperlink"/>
    <w:basedOn w:val="DefaultParagraphFont"/>
    <w:uiPriority w:val="99"/>
    <w:semiHidden/>
    <w:unhideWhenUsed/>
    <w:rsid w:val="00F439CE"/>
    <w:rPr>
      <w:color w:val="954F72" w:themeColor="followedHyperlink"/>
      <w:u w:val="single"/>
    </w:rPr>
  </w:style>
  <w:style w:type="paragraph" w:styleId="EndnoteText">
    <w:name w:val="endnote text"/>
    <w:basedOn w:val="Normal"/>
    <w:link w:val="EndnoteTextChar"/>
    <w:uiPriority w:val="99"/>
    <w:semiHidden/>
    <w:unhideWhenUsed/>
    <w:rsid w:val="00193470"/>
    <w:pPr>
      <w:spacing w:before="0" w:after="0"/>
    </w:pPr>
    <w:rPr>
      <w:sz w:val="20"/>
      <w:szCs w:val="20"/>
    </w:rPr>
  </w:style>
  <w:style w:type="character" w:customStyle="1" w:styleId="EndnoteTextChar">
    <w:name w:val="Endnote Text Char"/>
    <w:basedOn w:val="DefaultParagraphFont"/>
    <w:link w:val="EndnoteText"/>
    <w:uiPriority w:val="99"/>
    <w:semiHidden/>
    <w:rsid w:val="00193470"/>
    <w:rPr>
      <w:rFonts w:ascii="Helvetica" w:hAnsi="Helvetica"/>
      <w:kern w:val="0"/>
      <w:sz w:val="20"/>
      <w:szCs w:val="20"/>
      <w14:ligatures w14:val="none"/>
    </w:rPr>
  </w:style>
  <w:style w:type="character" w:styleId="EndnoteReference">
    <w:name w:val="endnote reference"/>
    <w:basedOn w:val="DefaultParagraphFont"/>
    <w:uiPriority w:val="99"/>
    <w:semiHidden/>
    <w:unhideWhenUsed/>
    <w:rsid w:val="00193470"/>
    <w:rPr>
      <w:vertAlign w:val="superscript"/>
    </w:rPr>
  </w:style>
  <w:style w:type="table" w:customStyle="1" w:styleId="GridTable4-Accent11">
    <w:name w:val="Grid Table 4 - Accent 11"/>
    <w:basedOn w:val="TableNormal"/>
    <w:next w:val="GridTable4-Accent1"/>
    <w:uiPriority w:val="49"/>
    <w:rsid w:val="009C1E46"/>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Heading4Char">
    <w:name w:val="Heading 4 Char"/>
    <w:basedOn w:val="DefaultParagraphFont"/>
    <w:link w:val="Heading4"/>
    <w:uiPriority w:val="9"/>
    <w:semiHidden/>
    <w:rsid w:val="007C3B6D"/>
    <w:rPr>
      <w:rFonts w:asciiTheme="majorHAnsi" w:eastAsiaTheme="majorEastAsia" w:hAnsiTheme="majorHAnsi" w:cstheme="majorBidi"/>
      <w:i/>
      <w:iCs/>
      <w:color w:val="00597C" w:themeColor="accent1" w:themeShade="BF"/>
      <w:kern w:val="0"/>
      <w:sz w:val="21"/>
      <w:szCs w:val="21"/>
      <w14:ligatures w14:val="none"/>
    </w:rPr>
  </w:style>
  <w:style w:type="paragraph" w:styleId="Subtitle">
    <w:name w:val="Subtitle"/>
    <w:basedOn w:val="Normal"/>
    <w:next w:val="Normal"/>
    <w:link w:val="SubtitleChar"/>
    <w:uiPriority w:val="11"/>
    <w:qFormat/>
    <w:rsid w:val="007C3B6D"/>
    <w:pPr>
      <w:numPr>
        <w:ilvl w:val="1"/>
      </w:numPr>
      <w:spacing w:after="160"/>
    </w:pPr>
    <w:rPr>
      <w:rFonts w:asciiTheme="minorHAnsi" w:eastAsiaTheme="minorEastAsia" w:hAnsiTheme="minorHAnsi"/>
      <w:color w:val="5A5A5A" w:themeColor="text1" w:themeTint="A5"/>
      <w:spacing w:val="15"/>
      <w:sz w:val="22"/>
      <w:szCs w:val="22"/>
    </w:rPr>
  </w:style>
  <w:style w:type="character" w:customStyle="1" w:styleId="SubtitleChar">
    <w:name w:val="Subtitle Char"/>
    <w:basedOn w:val="DefaultParagraphFont"/>
    <w:link w:val="Subtitle"/>
    <w:uiPriority w:val="11"/>
    <w:rsid w:val="007C3B6D"/>
    <w:rPr>
      <w:rFonts w:eastAsiaTheme="minorEastAsia"/>
      <w:color w:val="5A5A5A" w:themeColor="text1" w:themeTint="A5"/>
      <w:spacing w:val="15"/>
      <w:kern w:val="0"/>
      <w:sz w:val="22"/>
      <w:szCs w:val="22"/>
      <w14:ligatures w14:val="none"/>
    </w:rPr>
  </w:style>
  <w:style w:type="paragraph" w:styleId="Caption">
    <w:name w:val="caption"/>
    <w:basedOn w:val="Normal"/>
    <w:next w:val="Normal"/>
    <w:uiPriority w:val="35"/>
    <w:unhideWhenUsed/>
    <w:qFormat/>
    <w:rsid w:val="007C3B6D"/>
    <w:rPr>
      <w:i/>
      <w:iCs/>
      <w:color w:val="003B53" w:themeColor="text2"/>
      <w:sz w:val="18"/>
      <w:szCs w:val="18"/>
    </w:rPr>
  </w:style>
  <w:style w:type="paragraph" w:styleId="ListBullet">
    <w:name w:val="List Bullet"/>
    <w:basedOn w:val="Normal"/>
    <w:uiPriority w:val="1"/>
    <w:qFormat/>
    <w:rsid w:val="007C3B6D"/>
    <w:pPr>
      <w:spacing w:line="280" w:lineRule="atLeast"/>
      <w:ind w:left="227" w:hanging="227"/>
      <w:contextualSpacing/>
    </w:pPr>
    <w:rPr>
      <w:rFonts w:asciiTheme="minorHAnsi" w:hAnsiTheme="minorHAnsi"/>
      <w:sz w:val="20"/>
      <w:szCs w:val="20"/>
    </w:rPr>
  </w:style>
  <w:style w:type="paragraph" w:styleId="ListBullet2">
    <w:name w:val="List Bullet 2"/>
    <w:basedOn w:val="Normal"/>
    <w:uiPriority w:val="1"/>
    <w:qFormat/>
    <w:rsid w:val="007C3B6D"/>
    <w:pPr>
      <w:spacing w:line="280" w:lineRule="atLeast"/>
      <w:ind w:left="454" w:hanging="227"/>
      <w:contextualSpacing/>
    </w:pPr>
    <w:rPr>
      <w:rFonts w:asciiTheme="minorHAnsi" w:hAnsiTheme="minorHAnsi"/>
      <w:sz w:val="20"/>
      <w:szCs w:val="20"/>
    </w:rPr>
  </w:style>
  <w:style w:type="paragraph" w:styleId="ListBullet3">
    <w:name w:val="List Bullet 3"/>
    <w:basedOn w:val="Normal"/>
    <w:uiPriority w:val="1"/>
    <w:qFormat/>
    <w:rsid w:val="007C3B6D"/>
    <w:pPr>
      <w:spacing w:line="280" w:lineRule="atLeast"/>
      <w:ind w:left="907" w:hanging="227"/>
      <w:contextualSpacing/>
    </w:pPr>
    <w:rPr>
      <w:rFonts w:asciiTheme="minorHAnsi" w:hAnsiTheme="minorHAnsi"/>
      <w:sz w:val="20"/>
      <w:szCs w:val="20"/>
    </w:rPr>
  </w:style>
  <w:style w:type="paragraph" w:customStyle="1" w:styleId="TableListBullet">
    <w:name w:val="Table List Bullet"/>
    <w:basedOn w:val="ListBullet"/>
    <w:uiPriority w:val="10"/>
    <w:qFormat/>
    <w:rsid w:val="007C3B6D"/>
    <w:pPr>
      <w:spacing w:before="0" w:after="20"/>
    </w:pPr>
  </w:style>
  <w:style w:type="paragraph" w:styleId="Quote">
    <w:name w:val="Quote"/>
    <w:basedOn w:val="Normal"/>
    <w:next w:val="Normal"/>
    <w:link w:val="QuoteChar"/>
    <w:uiPriority w:val="29"/>
    <w:qFormat/>
    <w:rsid w:val="007C3B6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7C3B6D"/>
    <w:rPr>
      <w:rFonts w:ascii="Helvetica" w:hAnsi="Helvetica"/>
      <w:i/>
      <w:iCs/>
      <w:color w:val="404040" w:themeColor="text1" w:themeTint="BF"/>
      <w:kern w:val="0"/>
      <w:sz w:val="21"/>
      <w:szCs w:val="21"/>
      <w14:ligatures w14:val="none"/>
    </w:rPr>
  </w:style>
  <w:style w:type="character" w:styleId="Mention">
    <w:name w:val="Mention"/>
    <w:basedOn w:val="DefaultParagraphFont"/>
    <w:uiPriority w:val="99"/>
    <w:unhideWhenUsed/>
    <w:rsid w:val="007C3B6D"/>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81187349">
      <w:bodyDiv w:val="1"/>
      <w:marLeft w:val="0"/>
      <w:marRight w:val="0"/>
      <w:marTop w:val="0"/>
      <w:marBottom w:val="0"/>
      <w:divBdr>
        <w:top w:val="none" w:sz="0" w:space="0" w:color="auto"/>
        <w:left w:val="none" w:sz="0" w:space="0" w:color="auto"/>
        <w:bottom w:val="none" w:sz="0" w:space="0" w:color="auto"/>
        <w:right w:val="none" w:sz="0" w:space="0" w:color="auto"/>
      </w:divBdr>
      <w:divsChild>
        <w:div w:id="937561872">
          <w:marLeft w:val="547"/>
          <w:marRight w:val="0"/>
          <w:marTop w:val="0"/>
          <w:marBottom w:val="0"/>
          <w:divBdr>
            <w:top w:val="none" w:sz="0" w:space="0" w:color="auto"/>
            <w:left w:val="none" w:sz="0" w:space="0" w:color="auto"/>
            <w:bottom w:val="none" w:sz="0" w:space="0" w:color="auto"/>
            <w:right w:val="none" w:sz="0" w:space="0" w:color="auto"/>
          </w:divBdr>
        </w:div>
        <w:div w:id="1464497267">
          <w:marLeft w:val="1166"/>
          <w:marRight w:val="0"/>
          <w:marTop w:val="0"/>
          <w:marBottom w:val="0"/>
          <w:divBdr>
            <w:top w:val="none" w:sz="0" w:space="0" w:color="auto"/>
            <w:left w:val="none" w:sz="0" w:space="0" w:color="auto"/>
            <w:bottom w:val="none" w:sz="0" w:space="0" w:color="auto"/>
            <w:right w:val="none" w:sz="0" w:space="0" w:color="auto"/>
          </w:divBdr>
        </w:div>
        <w:div w:id="1860267437">
          <w:marLeft w:val="116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2.xml"/><Relationship Id="rId21" Type="http://schemas.openxmlformats.org/officeDocument/2006/relationships/diagramQuickStyle" Target="diagrams/quickStyle1.xml"/><Relationship Id="rId42" Type="http://schemas.openxmlformats.org/officeDocument/2006/relationships/image" Target="media/image18.jpeg"/><Relationship Id="rId47" Type="http://schemas.openxmlformats.org/officeDocument/2006/relationships/image" Target="media/image23.jpeg"/><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image" Target="media/image59.jpeg"/><Relationship Id="rId89" Type="http://schemas.openxmlformats.org/officeDocument/2006/relationships/hyperlink" Target="https://doi.org/10.3389/feduc.2023.1167486" TargetMode="External"/><Relationship Id="rId16" Type="http://schemas.openxmlformats.org/officeDocument/2006/relationships/footer" Target="footer3.xml"/><Relationship Id="rId11" Type="http://schemas.openxmlformats.org/officeDocument/2006/relationships/endnotes" Target="endnotes.xml"/><Relationship Id="rId32" Type="http://schemas.openxmlformats.org/officeDocument/2006/relationships/image" Target="media/image8.jpeg"/><Relationship Id="rId37" Type="http://schemas.openxmlformats.org/officeDocument/2006/relationships/image" Target="media/image13.jpeg"/><Relationship Id="rId53" Type="http://schemas.openxmlformats.org/officeDocument/2006/relationships/image" Target="media/image29.jpeg"/><Relationship Id="rId58" Type="http://schemas.openxmlformats.org/officeDocument/2006/relationships/image" Target="media/image33.jpeg"/><Relationship Id="rId74" Type="http://schemas.openxmlformats.org/officeDocument/2006/relationships/image" Target="media/image49.jpeg"/><Relationship Id="rId79" Type="http://schemas.openxmlformats.org/officeDocument/2006/relationships/image" Target="media/image54.jpeg"/><Relationship Id="rId5" Type="http://schemas.openxmlformats.org/officeDocument/2006/relationships/customXml" Target="../customXml/item5.xml"/><Relationship Id="rId90" Type="http://schemas.openxmlformats.org/officeDocument/2006/relationships/hyperlink" Target="https://journals.sagepub.com/doi/full/10.1177/1609406920982135" TargetMode="External"/><Relationship Id="rId95" Type="http://schemas.openxmlformats.org/officeDocument/2006/relationships/hyperlink" Target="https://www.sciencedirect.com/science/article/pii/S0190740923001007/pdfft?md5=701d84ab9e6d7d2a470b4f34ce682867&amp;pid=1-s2.0-S0190740923001007-main.pdf" TargetMode="External"/><Relationship Id="rId22" Type="http://schemas.openxmlformats.org/officeDocument/2006/relationships/diagramColors" Target="diagrams/colors1.xml"/><Relationship Id="rId27" Type="http://schemas.openxmlformats.org/officeDocument/2006/relationships/diagramColors" Target="diagrams/colors2.xml"/><Relationship Id="rId43" Type="http://schemas.openxmlformats.org/officeDocument/2006/relationships/image" Target="media/image19.jpeg"/><Relationship Id="rId48" Type="http://schemas.openxmlformats.org/officeDocument/2006/relationships/image" Target="media/image24.jpeg"/><Relationship Id="rId64" Type="http://schemas.openxmlformats.org/officeDocument/2006/relationships/image" Target="media/image39.jpeg"/><Relationship Id="rId69" Type="http://schemas.openxmlformats.org/officeDocument/2006/relationships/image" Target="media/image44.jpeg"/><Relationship Id="rId80" Type="http://schemas.openxmlformats.org/officeDocument/2006/relationships/image" Target="media/image55.jpeg"/><Relationship Id="rId85" Type="http://schemas.openxmlformats.org/officeDocument/2006/relationships/image" Target="media/image60.emf"/><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3.emf"/><Relationship Id="rId25" Type="http://schemas.openxmlformats.org/officeDocument/2006/relationships/diagramLayout" Target="diagrams/layout2.xm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2.jpeg"/><Relationship Id="rId59" Type="http://schemas.openxmlformats.org/officeDocument/2006/relationships/image" Target="media/image34.jpeg"/><Relationship Id="rId67" Type="http://schemas.openxmlformats.org/officeDocument/2006/relationships/image" Target="media/image42.jpeg"/><Relationship Id="rId20" Type="http://schemas.openxmlformats.org/officeDocument/2006/relationships/diagramLayout" Target="diagrams/layout1.xml"/><Relationship Id="rId41" Type="http://schemas.openxmlformats.org/officeDocument/2006/relationships/image" Target="media/image17.jpeg"/><Relationship Id="rId54" Type="http://schemas.openxmlformats.org/officeDocument/2006/relationships/image" Target="media/image30.jpeg"/><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8.jpeg"/><Relationship Id="rId88" Type="http://schemas.openxmlformats.org/officeDocument/2006/relationships/hyperlink" Target="https://sru.soc.surrey.ac.uk/SRU25.html" TargetMode="External"/><Relationship Id="rId91" Type="http://schemas.openxmlformats.org/officeDocument/2006/relationships/hyperlink" Target="https://doi.org/10.1177/1609406920987962" TargetMode="External"/><Relationship Id="rId96"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1.xml"/><Relationship Id="rId23" Type="http://schemas.microsoft.com/office/2007/relationships/diagramDrawing" Target="diagrams/drawing1.xml"/><Relationship Id="rId28" Type="http://schemas.microsoft.com/office/2007/relationships/diagramDrawing" Target="diagrams/drawing2.xml"/><Relationship Id="rId36" Type="http://schemas.openxmlformats.org/officeDocument/2006/relationships/image" Target="media/image12.jpeg"/><Relationship Id="rId49" Type="http://schemas.openxmlformats.org/officeDocument/2006/relationships/image" Target="media/image25.jpeg"/><Relationship Id="rId57" Type="http://schemas.openxmlformats.org/officeDocument/2006/relationships/image" Target="media/image32.jpeg"/><Relationship Id="rId10" Type="http://schemas.openxmlformats.org/officeDocument/2006/relationships/footnotes" Target="footnotes.xml"/><Relationship Id="rId31" Type="http://schemas.openxmlformats.org/officeDocument/2006/relationships/image" Target="media/image7.jpeg"/><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61.emf"/><Relationship Id="rId94" Type="http://schemas.openxmlformats.org/officeDocument/2006/relationships/hyperlink" Target="https://www.ohchr.org/en/instruments-mechanisms/instruments/convention-rights-child"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4.png"/><Relationship Id="rId39" Type="http://schemas.openxmlformats.org/officeDocument/2006/relationships/image" Target="media/image15.jpeg"/><Relationship Id="rId34" Type="http://schemas.openxmlformats.org/officeDocument/2006/relationships/image" Target="media/image10.jpeg"/><Relationship Id="rId50" Type="http://schemas.openxmlformats.org/officeDocument/2006/relationships/image" Target="media/image26.jpeg"/><Relationship Id="rId55" Type="http://schemas.openxmlformats.org/officeDocument/2006/relationships/image" Target="media/image31.png"/><Relationship Id="rId76" Type="http://schemas.openxmlformats.org/officeDocument/2006/relationships/image" Target="media/image51.jpeg"/><Relationship Id="rId97"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image" Target="media/image46.jpeg"/><Relationship Id="rId92" Type="http://schemas.openxmlformats.org/officeDocument/2006/relationships/hyperlink" Target="https://issuu.com/oecd.publishing/docs/play-create-learn-what-matters-most-for-five-year-" TargetMode="External"/><Relationship Id="rId2" Type="http://schemas.openxmlformats.org/officeDocument/2006/relationships/customXml" Target="../customXml/item2.xml"/><Relationship Id="rId29" Type="http://schemas.openxmlformats.org/officeDocument/2006/relationships/image" Target="media/image5.emf"/><Relationship Id="rId24" Type="http://schemas.openxmlformats.org/officeDocument/2006/relationships/diagramData" Target="diagrams/data2.xml"/><Relationship Id="rId40" Type="http://schemas.openxmlformats.org/officeDocument/2006/relationships/image" Target="media/image16.jpeg"/><Relationship Id="rId45" Type="http://schemas.openxmlformats.org/officeDocument/2006/relationships/image" Target="media/image21.jpeg"/><Relationship Id="rId66" Type="http://schemas.openxmlformats.org/officeDocument/2006/relationships/image" Target="media/image41.jpeg"/><Relationship Id="rId87" Type="http://schemas.openxmlformats.org/officeDocument/2006/relationships/hyperlink" Target="https://aifs.gov.au/resources/practice-guides/participatory-action-research" TargetMode="External"/><Relationship Id="rId61" Type="http://schemas.openxmlformats.org/officeDocument/2006/relationships/image" Target="media/image36.jpeg"/><Relationship Id="rId82" Type="http://schemas.openxmlformats.org/officeDocument/2006/relationships/image" Target="media/image57.jpeg"/><Relationship Id="rId19" Type="http://schemas.openxmlformats.org/officeDocument/2006/relationships/diagramData" Target="diagrams/data1.xml"/><Relationship Id="rId14" Type="http://schemas.openxmlformats.org/officeDocument/2006/relationships/footer" Target="footer2.xml"/><Relationship Id="rId30" Type="http://schemas.openxmlformats.org/officeDocument/2006/relationships/image" Target="media/image6.jpeg"/><Relationship Id="rId35" Type="http://schemas.openxmlformats.org/officeDocument/2006/relationships/image" Target="media/image11.jpeg"/><Relationship Id="rId56" Type="http://schemas.microsoft.com/office/2007/relationships/hdphoto" Target="media/hdphoto1.wdp"/><Relationship Id="rId77" Type="http://schemas.openxmlformats.org/officeDocument/2006/relationships/image" Target="media/image52.jpeg"/><Relationship Id="rId8" Type="http://schemas.openxmlformats.org/officeDocument/2006/relationships/settings" Target="settings.xml"/><Relationship Id="rId51" Type="http://schemas.openxmlformats.org/officeDocument/2006/relationships/image" Target="media/image27.jpeg"/><Relationship Id="rId72" Type="http://schemas.openxmlformats.org/officeDocument/2006/relationships/image" Target="media/image47.jpeg"/><Relationship Id="rId93" Type="http://schemas.openxmlformats.org/officeDocument/2006/relationships/hyperlink" Target="https://doi.org/10.1080/00131911.2023.2215465" TargetMode="External"/><Relationship Id="rId98" Type="http://schemas.openxmlformats.org/officeDocument/2006/relationships/theme" Target="theme/theme1.xml"/></Relationships>
</file>

<file path=word/_rels/endnotes.xml.rels><?xml version="1.0" encoding="UTF-8" standalone="yes"?>
<Relationships xmlns="http://schemas.openxmlformats.org/package/2006/relationships"><Relationship Id="rId8" Type="http://schemas.openxmlformats.org/officeDocument/2006/relationships/hyperlink" Target="https://www.sciencedirect.com/science/article/pii/S0190740923001007/pdfft?md5=701d84ab9e6d7d2a470b4f34ce682867&amp;pid=1-s2.0-S0190740923001007-main.pdf" TargetMode="External"/><Relationship Id="rId3" Type="http://schemas.openxmlformats.org/officeDocument/2006/relationships/hyperlink" Target="https://www.ohchr.org/en/instruments-mechanisms/instruments/convention-rights-child" TargetMode="External"/><Relationship Id="rId7" Type="http://schemas.openxmlformats.org/officeDocument/2006/relationships/hyperlink" Target="https://doi.org/10.3389/feduc.2023.1167486" TargetMode="External"/><Relationship Id="rId2" Type="http://schemas.openxmlformats.org/officeDocument/2006/relationships/hyperlink" Target="https://www.abs.gov.au/statistics/people/people-and-communities/socio-economic-indexes-areas-seifa-australia/2021/Postal%20Area%2C%20Indexes%2C%20SEIFA%202021.xlsx" TargetMode="External"/><Relationship Id="rId1" Type="http://schemas.openxmlformats.org/officeDocument/2006/relationships/hyperlink" Target="https://immi.homeaffairs.gov.au/visas/working-in-australia/skill-occupation-list/regional-postcodes" TargetMode="External"/><Relationship Id="rId6" Type="http://schemas.openxmlformats.org/officeDocument/2006/relationships/hyperlink" Target="https://issuu.com/oecd.publishing/docs/play-create-learn-what-matters-most-for-five-year-" TargetMode="External"/><Relationship Id="rId5" Type="http://schemas.openxmlformats.org/officeDocument/2006/relationships/hyperlink" Target="https://sru.soc.surrey.ac.uk/SRU25.html" TargetMode="External"/><Relationship Id="rId10" Type="http://schemas.openxmlformats.org/officeDocument/2006/relationships/hyperlink" Target="https://journals.sagepub.com/doi/full/10.1177/1609406920982135" TargetMode="External"/><Relationship Id="rId4" Type="http://schemas.openxmlformats.org/officeDocument/2006/relationships/hyperlink" Target="https://aifs.gov.au/resources/practice-guides/participatory-action-research" TargetMode="External"/><Relationship Id="rId9" Type="http://schemas.openxmlformats.org/officeDocument/2006/relationships/hyperlink" Target="https://doi.org/10.1177/1476750317698025"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CDF3AAF-8A60-E04D-B5FE-9C3A0AA1BA9D}" type="doc">
      <dgm:prSet loTypeId="urn:microsoft.com/office/officeart/2005/8/layout/chevron2" loCatId="" qsTypeId="urn:microsoft.com/office/officeart/2005/8/quickstyle/simple1" qsCatId="simple" csTypeId="urn:microsoft.com/office/officeart/2005/8/colors/accent4_2" csCatId="accent4" phldr="1"/>
      <dgm:spPr/>
      <dgm:t>
        <a:bodyPr/>
        <a:lstStyle/>
        <a:p>
          <a:endParaRPr lang="en-GB"/>
        </a:p>
      </dgm:t>
    </dgm:pt>
    <dgm:pt modelId="{2B1864DA-1948-0549-A70F-F5B57F5E8CF5}">
      <dgm:prSet phldrT="[Text]" custT="1"/>
      <dgm:spPr/>
      <dgm:t>
        <a:bodyPr/>
        <a:lstStyle/>
        <a:p>
          <a:r>
            <a:rPr lang="en-GB" sz="1050" b="1"/>
            <a:t>Stage one </a:t>
          </a:r>
        </a:p>
      </dgm:t>
    </dgm:pt>
    <dgm:pt modelId="{F4748C3E-1315-C14C-A394-124177B556DF}" type="parTrans" cxnId="{D18B1D74-A7CF-CE48-82F0-115DCEE4DD77}">
      <dgm:prSet/>
      <dgm:spPr/>
      <dgm:t>
        <a:bodyPr/>
        <a:lstStyle/>
        <a:p>
          <a:endParaRPr lang="en-GB" sz="1100"/>
        </a:p>
      </dgm:t>
    </dgm:pt>
    <dgm:pt modelId="{0526B0B6-1ED4-4942-9CF2-628FE21E3606}" type="sibTrans" cxnId="{D18B1D74-A7CF-CE48-82F0-115DCEE4DD77}">
      <dgm:prSet/>
      <dgm:spPr/>
      <dgm:t>
        <a:bodyPr/>
        <a:lstStyle/>
        <a:p>
          <a:endParaRPr lang="en-GB" sz="1100"/>
        </a:p>
      </dgm:t>
    </dgm:pt>
    <dgm:pt modelId="{196E469F-33D2-E04C-AA0C-F6D3E886B718}">
      <dgm:prSet phldrT="[Text]" custT="1"/>
      <dgm:spPr/>
      <dgm:t>
        <a:bodyPr/>
        <a:lstStyle/>
        <a:p>
          <a:r>
            <a:rPr lang="en-GB" sz="1100"/>
            <a:t>Blind thematic review - </a:t>
          </a:r>
          <a:r>
            <a:rPr lang="en-GB" sz="1100" i="1"/>
            <a:t>Undertaken by the research team individually</a:t>
          </a:r>
          <a:endParaRPr lang="en-GB" sz="1100"/>
        </a:p>
      </dgm:t>
    </dgm:pt>
    <dgm:pt modelId="{0DEA4D93-8E06-004B-8D14-1347D398BB7E}" type="parTrans" cxnId="{D989D45C-0C04-A64B-AACC-8E5C5C9A51DF}">
      <dgm:prSet/>
      <dgm:spPr/>
      <dgm:t>
        <a:bodyPr/>
        <a:lstStyle/>
        <a:p>
          <a:endParaRPr lang="en-GB" sz="1100"/>
        </a:p>
      </dgm:t>
    </dgm:pt>
    <dgm:pt modelId="{AC137C4A-9522-504E-913D-380DA31BF2AD}" type="sibTrans" cxnId="{D989D45C-0C04-A64B-AACC-8E5C5C9A51DF}">
      <dgm:prSet/>
      <dgm:spPr/>
      <dgm:t>
        <a:bodyPr/>
        <a:lstStyle/>
        <a:p>
          <a:endParaRPr lang="en-GB" sz="1100"/>
        </a:p>
      </dgm:t>
    </dgm:pt>
    <dgm:pt modelId="{37345F06-3DDD-0843-B033-24F5B36C5165}">
      <dgm:prSet phldrT="[Text]" custT="1"/>
      <dgm:spPr/>
      <dgm:t>
        <a:bodyPr/>
        <a:lstStyle/>
        <a:p>
          <a:r>
            <a:rPr lang="en-GB" sz="1050" b="1"/>
            <a:t>Stage two </a:t>
          </a:r>
        </a:p>
      </dgm:t>
    </dgm:pt>
    <dgm:pt modelId="{CE7277C5-3877-F742-A00C-96EC31CFA812}" type="parTrans" cxnId="{823D8373-E314-BD41-8370-F6487F9ED163}">
      <dgm:prSet/>
      <dgm:spPr/>
      <dgm:t>
        <a:bodyPr/>
        <a:lstStyle/>
        <a:p>
          <a:endParaRPr lang="en-GB" sz="1100"/>
        </a:p>
      </dgm:t>
    </dgm:pt>
    <dgm:pt modelId="{DF95C258-14D0-DF4A-B120-A6B15CC88C4A}" type="sibTrans" cxnId="{823D8373-E314-BD41-8370-F6487F9ED163}">
      <dgm:prSet/>
      <dgm:spPr/>
      <dgm:t>
        <a:bodyPr/>
        <a:lstStyle/>
        <a:p>
          <a:endParaRPr lang="en-GB" sz="1100"/>
        </a:p>
      </dgm:t>
    </dgm:pt>
    <dgm:pt modelId="{DF269503-4B93-FB43-8B7D-205ACE0E178F}">
      <dgm:prSet phldrT="[Text]" custT="1"/>
      <dgm:spPr/>
      <dgm:t>
        <a:bodyPr/>
        <a:lstStyle/>
        <a:p>
          <a:r>
            <a:rPr lang="en-GB" sz="1100"/>
            <a:t>Developing theme categories - </a:t>
          </a:r>
          <a:r>
            <a:rPr lang="en-GB" sz="1100" i="1"/>
            <a:t>Undertaken by the research team</a:t>
          </a:r>
          <a:r>
            <a:rPr lang="en-GB" sz="1100"/>
            <a:t> </a:t>
          </a:r>
          <a:r>
            <a:rPr lang="en-GB" sz="1100" i="1"/>
            <a:t>collaboratively</a:t>
          </a:r>
        </a:p>
      </dgm:t>
    </dgm:pt>
    <dgm:pt modelId="{8E437340-9A68-354D-999C-7604A464D035}" type="parTrans" cxnId="{F9CE8BA0-A4C3-2848-AA39-D8B939D1B000}">
      <dgm:prSet/>
      <dgm:spPr/>
      <dgm:t>
        <a:bodyPr/>
        <a:lstStyle/>
        <a:p>
          <a:endParaRPr lang="en-GB" sz="1100"/>
        </a:p>
      </dgm:t>
    </dgm:pt>
    <dgm:pt modelId="{5DFB801D-DF20-DB4D-AE8C-DE2705D17E8F}" type="sibTrans" cxnId="{F9CE8BA0-A4C3-2848-AA39-D8B939D1B000}">
      <dgm:prSet/>
      <dgm:spPr/>
      <dgm:t>
        <a:bodyPr/>
        <a:lstStyle/>
        <a:p>
          <a:endParaRPr lang="en-GB" sz="1100"/>
        </a:p>
      </dgm:t>
    </dgm:pt>
    <dgm:pt modelId="{F6096A5C-5613-FE44-81F5-70454CEFC40E}">
      <dgm:prSet phldrT="[Text]" custT="1"/>
      <dgm:spPr/>
      <dgm:t>
        <a:bodyPr/>
        <a:lstStyle/>
        <a:p>
          <a:r>
            <a:rPr lang="en-GB" sz="1050" b="1"/>
            <a:t>Stage three</a:t>
          </a:r>
        </a:p>
      </dgm:t>
    </dgm:pt>
    <dgm:pt modelId="{11F38956-ED69-864A-95B9-B852F87B401A}" type="parTrans" cxnId="{3D89BCF4-D533-E94E-B2DE-A8657EF7FC0A}">
      <dgm:prSet/>
      <dgm:spPr/>
      <dgm:t>
        <a:bodyPr/>
        <a:lstStyle/>
        <a:p>
          <a:endParaRPr lang="en-GB" sz="1100"/>
        </a:p>
      </dgm:t>
    </dgm:pt>
    <dgm:pt modelId="{84D42044-1C66-584E-A13B-961A871B87B0}" type="sibTrans" cxnId="{3D89BCF4-D533-E94E-B2DE-A8657EF7FC0A}">
      <dgm:prSet/>
      <dgm:spPr/>
      <dgm:t>
        <a:bodyPr/>
        <a:lstStyle/>
        <a:p>
          <a:endParaRPr lang="en-GB" sz="1100"/>
        </a:p>
      </dgm:t>
    </dgm:pt>
    <dgm:pt modelId="{15181A37-9F8A-9F4E-A2B8-498CAA88F003}">
      <dgm:prSet phldrT="[Text]" custT="1"/>
      <dgm:spPr/>
      <dgm:t>
        <a:bodyPr/>
        <a:lstStyle/>
        <a:p>
          <a:r>
            <a:rPr lang="en-GB" sz="1100"/>
            <a:t>Drawing insights from themes - </a:t>
          </a:r>
          <a:r>
            <a:rPr lang="en-GB" sz="1100" i="1"/>
            <a:t>Undertaken by the research team collaboratively</a:t>
          </a:r>
          <a:endParaRPr lang="en-GB" sz="1100"/>
        </a:p>
      </dgm:t>
    </dgm:pt>
    <dgm:pt modelId="{D3C24150-9325-4C47-B731-67A04CF742F9}" type="parTrans" cxnId="{515849C7-206C-6E45-8C32-D7DAFF26C67F}">
      <dgm:prSet/>
      <dgm:spPr/>
      <dgm:t>
        <a:bodyPr/>
        <a:lstStyle/>
        <a:p>
          <a:endParaRPr lang="en-GB" sz="1100"/>
        </a:p>
      </dgm:t>
    </dgm:pt>
    <dgm:pt modelId="{12C033DC-5F54-8F44-955D-804D9B3B5523}" type="sibTrans" cxnId="{515849C7-206C-6E45-8C32-D7DAFF26C67F}">
      <dgm:prSet/>
      <dgm:spPr/>
      <dgm:t>
        <a:bodyPr/>
        <a:lstStyle/>
        <a:p>
          <a:endParaRPr lang="en-GB" sz="1100"/>
        </a:p>
      </dgm:t>
    </dgm:pt>
    <dgm:pt modelId="{6B500D4E-CE9C-3D4A-A0D7-D778ED944EF7}">
      <dgm:prSet phldrT="[Text]" custT="1"/>
      <dgm:spPr/>
      <dgm:t>
        <a:bodyPr/>
        <a:lstStyle/>
        <a:p>
          <a:r>
            <a:rPr lang="en-GB" sz="1050" b="1"/>
            <a:t>Stage four</a:t>
          </a:r>
        </a:p>
      </dgm:t>
    </dgm:pt>
    <dgm:pt modelId="{FB4BABCE-C1D4-804B-9581-1D57BCCC45BD}" type="parTrans" cxnId="{859314B7-2DBB-484E-B22B-F8F68BEBB590}">
      <dgm:prSet/>
      <dgm:spPr/>
      <dgm:t>
        <a:bodyPr/>
        <a:lstStyle/>
        <a:p>
          <a:endParaRPr lang="en-GB" sz="1100"/>
        </a:p>
      </dgm:t>
    </dgm:pt>
    <dgm:pt modelId="{67B479B3-5462-0E4E-89F6-8A5D92E535E3}" type="sibTrans" cxnId="{859314B7-2DBB-484E-B22B-F8F68BEBB590}">
      <dgm:prSet/>
      <dgm:spPr/>
      <dgm:t>
        <a:bodyPr/>
        <a:lstStyle/>
        <a:p>
          <a:endParaRPr lang="en-GB" sz="1100"/>
        </a:p>
      </dgm:t>
    </dgm:pt>
    <dgm:pt modelId="{132EE3D4-8A73-EC4A-9DBC-68D4A7D8A16F}">
      <dgm:prSet phldrT="[Text]" custT="1"/>
      <dgm:spPr/>
      <dgm:t>
        <a:bodyPr/>
        <a:lstStyle/>
        <a:p>
          <a:r>
            <a:rPr lang="en-GB" sz="1100"/>
            <a:t>Drawing  connections between themes and policy - </a:t>
          </a:r>
          <a:r>
            <a:rPr lang="en-GB" sz="1100" i="1"/>
            <a:t>Undertaken by the research team collaboratively </a:t>
          </a:r>
          <a:endParaRPr lang="en-GB" sz="1100"/>
        </a:p>
      </dgm:t>
    </dgm:pt>
    <dgm:pt modelId="{EB1CF0CB-6C7F-DC4F-A3EC-78CD94FE16BB}" type="parTrans" cxnId="{09684140-0687-F745-BE7F-9A9F3E2EA79C}">
      <dgm:prSet/>
      <dgm:spPr/>
      <dgm:t>
        <a:bodyPr/>
        <a:lstStyle/>
        <a:p>
          <a:endParaRPr lang="en-GB" sz="1100"/>
        </a:p>
      </dgm:t>
    </dgm:pt>
    <dgm:pt modelId="{98C1C6E0-D8DD-0E4E-9E54-FD914C3A5760}" type="sibTrans" cxnId="{09684140-0687-F745-BE7F-9A9F3E2EA79C}">
      <dgm:prSet/>
      <dgm:spPr/>
      <dgm:t>
        <a:bodyPr/>
        <a:lstStyle/>
        <a:p>
          <a:endParaRPr lang="en-GB" sz="1100"/>
        </a:p>
      </dgm:t>
    </dgm:pt>
    <dgm:pt modelId="{23B9BF14-EDF1-0745-8F66-EB8DD543D803}" type="pres">
      <dgm:prSet presAssocID="{CCDF3AAF-8A60-E04D-B5FE-9C3A0AA1BA9D}" presName="linearFlow" presStyleCnt="0">
        <dgm:presLayoutVars>
          <dgm:dir/>
          <dgm:animLvl val="lvl"/>
          <dgm:resizeHandles val="exact"/>
        </dgm:presLayoutVars>
      </dgm:prSet>
      <dgm:spPr/>
    </dgm:pt>
    <dgm:pt modelId="{C0BA84BC-6867-6C44-A750-5E21F6B5D9DE}" type="pres">
      <dgm:prSet presAssocID="{2B1864DA-1948-0549-A70F-F5B57F5E8CF5}" presName="composite" presStyleCnt="0"/>
      <dgm:spPr/>
    </dgm:pt>
    <dgm:pt modelId="{0A70B0CA-91B8-0840-A9E5-2BEC815C0F04}" type="pres">
      <dgm:prSet presAssocID="{2B1864DA-1948-0549-A70F-F5B57F5E8CF5}" presName="parentText" presStyleLbl="alignNode1" presStyleIdx="0" presStyleCnt="4" custScaleX="105437">
        <dgm:presLayoutVars>
          <dgm:chMax val="1"/>
          <dgm:bulletEnabled val="1"/>
        </dgm:presLayoutVars>
      </dgm:prSet>
      <dgm:spPr/>
    </dgm:pt>
    <dgm:pt modelId="{DC545B5B-9772-8548-8D77-1BC85D4F5CE7}" type="pres">
      <dgm:prSet presAssocID="{2B1864DA-1948-0549-A70F-F5B57F5E8CF5}" presName="descendantText" presStyleLbl="alignAcc1" presStyleIdx="0" presStyleCnt="4" custLinFactNeighborX="1258" custLinFactNeighborY="-493">
        <dgm:presLayoutVars>
          <dgm:bulletEnabled val="1"/>
        </dgm:presLayoutVars>
      </dgm:prSet>
      <dgm:spPr/>
    </dgm:pt>
    <dgm:pt modelId="{35599991-3729-CF43-A722-BB7A081ED839}" type="pres">
      <dgm:prSet presAssocID="{0526B0B6-1ED4-4942-9CF2-628FE21E3606}" presName="sp" presStyleCnt="0"/>
      <dgm:spPr/>
    </dgm:pt>
    <dgm:pt modelId="{53780138-2775-A04D-84C5-FB6108F53860}" type="pres">
      <dgm:prSet presAssocID="{37345F06-3DDD-0843-B033-24F5B36C5165}" presName="composite" presStyleCnt="0"/>
      <dgm:spPr/>
    </dgm:pt>
    <dgm:pt modelId="{0758CFF2-2C78-D04E-8430-3CBF5A90325D}" type="pres">
      <dgm:prSet presAssocID="{37345F06-3DDD-0843-B033-24F5B36C5165}" presName="parentText" presStyleLbl="alignNode1" presStyleIdx="1" presStyleCnt="4" custScaleX="105437">
        <dgm:presLayoutVars>
          <dgm:chMax val="1"/>
          <dgm:bulletEnabled val="1"/>
        </dgm:presLayoutVars>
      </dgm:prSet>
      <dgm:spPr/>
    </dgm:pt>
    <dgm:pt modelId="{382C6953-905E-7C41-B9FB-74925DDEE4B8}" type="pres">
      <dgm:prSet presAssocID="{37345F06-3DDD-0843-B033-24F5B36C5165}" presName="descendantText" presStyleLbl="alignAcc1" presStyleIdx="1" presStyleCnt="4" custLinFactNeighborX="1258" custLinFactNeighborY="-494">
        <dgm:presLayoutVars>
          <dgm:bulletEnabled val="1"/>
        </dgm:presLayoutVars>
      </dgm:prSet>
      <dgm:spPr/>
    </dgm:pt>
    <dgm:pt modelId="{E97DDEF5-F2DC-1E4C-B1F5-DB4504AB6B57}" type="pres">
      <dgm:prSet presAssocID="{DF95C258-14D0-DF4A-B120-A6B15CC88C4A}" presName="sp" presStyleCnt="0"/>
      <dgm:spPr/>
    </dgm:pt>
    <dgm:pt modelId="{01F0056F-7477-EA44-8556-AE1463DA1A9F}" type="pres">
      <dgm:prSet presAssocID="{F6096A5C-5613-FE44-81F5-70454CEFC40E}" presName="composite" presStyleCnt="0"/>
      <dgm:spPr/>
    </dgm:pt>
    <dgm:pt modelId="{2075028C-3C5A-B649-BFF1-AD835E627887}" type="pres">
      <dgm:prSet presAssocID="{F6096A5C-5613-FE44-81F5-70454CEFC40E}" presName="parentText" presStyleLbl="alignNode1" presStyleIdx="2" presStyleCnt="4" custScaleX="105437">
        <dgm:presLayoutVars>
          <dgm:chMax val="1"/>
          <dgm:bulletEnabled val="1"/>
        </dgm:presLayoutVars>
      </dgm:prSet>
      <dgm:spPr/>
    </dgm:pt>
    <dgm:pt modelId="{58C81AD9-261E-A94E-8917-D1A7EA615DBB}" type="pres">
      <dgm:prSet presAssocID="{F6096A5C-5613-FE44-81F5-70454CEFC40E}" presName="descendantText" presStyleLbl="alignAcc1" presStyleIdx="2" presStyleCnt="4" custLinFactNeighborX="1258" custLinFactNeighborY="-494">
        <dgm:presLayoutVars>
          <dgm:bulletEnabled val="1"/>
        </dgm:presLayoutVars>
      </dgm:prSet>
      <dgm:spPr/>
    </dgm:pt>
    <dgm:pt modelId="{6A27CE64-E1ED-0A4D-9C98-AB46DA75175D}" type="pres">
      <dgm:prSet presAssocID="{84D42044-1C66-584E-A13B-961A871B87B0}" presName="sp" presStyleCnt="0"/>
      <dgm:spPr/>
    </dgm:pt>
    <dgm:pt modelId="{5352DCF9-CDA7-4343-9A86-C2928F4610BE}" type="pres">
      <dgm:prSet presAssocID="{6B500D4E-CE9C-3D4A-A0D7-D778ED944EF7}" presName="composite" presStyleCnt="0"/>
      <dgm:spPr/>
    </dgm:pt>
    <dgm:pt modelId="{CF67EF8C-6056-764A-B564-68935927AA19}" type="pres">
      <dgm:prSet presAssocID="{6B500D4E-CE9C-3D4A-A0D7-D778ED944EF7}" presName="parentText" presStyleLbl="alignNode1" presStyleIdx="3" presStyleCnt="4" custScaleX="105437">
        <dgm:presLayoutVars>
          <dgm:chMax val="1"/>
          <dgm:bulletEnabled val="1"/>
        </dgm:presLayoutVars>
      </dgm:prSet>
      <dgm:spPr/>
    </dgm:pt>
    <dgm:pt modelId="{4E301BCC-892A-FD4B-9AB2-D93171177BD0}" type="pres">
      <dgm:prSet presAssocID="{6B500D4E-CE9C-3D4A-A0D7-D778ED944EF7}" presName="descendantText" presStyleLbl="alignAcc1" presStyleIdx="3" presStyleCnt="4" custLinFactNeighborX="1258" custLinFactNeighborY="-494">
        <dgm:presLayoutVars>
          <dgm:bulletEnabled val="1"/>
        </dgm:presLayoutVars>
      </dgm:prSet>
      <dgm:spPr/>
    </dgm:pt>
  </dgm:ptLst>
  <dgm:cxnLst>
    <dgm:cxn modelId="{5508711D-122D-2545-8BA5-55601F343FDD}" type="presOf" srcId="{37345F06-3DDD-0843-B033-24F5B36C5165}" destId="{0758CFF2-2C78-D04E-8430-3CBF5A90325D}" srcOrd="0" destOrd="0" presId="urn:microsoft.com/office/officeart/2005/8/layout/chevron2"/>
    <dgm:cxn modelId="{09684140-0687-F745-BE7F-9A9F3E2EA79C}" srcId="{6B500D4E-CE9C-3D4A-A0D7-D778ED944EF7}" destId="{132EE3D4-8A73-EC4A-9DBC-68D4A7D8A16F}" srcOrd="0" destOrd="0" parTransId="{EB1CF0CB-6C7F-DC4F-A3EC-78CD94FE16BB}" sibTransId="{98C1C6E0-D8DD-0E4E-9E54-FD914C3A5760}"/>
    <dgm:cxn modelId="{D989D45C-0C04-A64B-AACC-8E5C5C9A51DF}" srcId="{2B1864DA-1948-0549-A70F-F5B57F5E8CF5}" destId="{196E469F-33D2-E04C-AA0C-F6D3E886B718}" srcOrd="0" destOrd="0" parTransId="{0DEA4D93-8E06-004B-8D14-1347D398BB7E}" sibTransId="{AC137C4A-9522-504E-913D-380DA31BF2AD}"/>
    <dgm:cxn modelId="{823D8373-E314-BD41-8370-F6487F9ED163}" srcId="{CCDF3AAF-8A60-E04D-B5FE-9C3A0AA1BA9D}" destId="{37345F06-3DDD-0843-B033-24F5B36C5165}" srcOrd="1" destOrd="0" parTransId="{CE7277C5-3877-F742-A00C-96EC31CFA812}" sibTransId="{DF95C258-14D0-DF4A-B120-A6B15CC88C4A}"/>
    <dgm:cxn modelId="{D18B1D74-A7CF-CE48-82F0-115DCEE4DD77}" srcId="{CCDF3AAF-8A60-E04D-B5FE-9C3A0AA1BA9D}" destId="{2B1864DA-1948-0549-A70F-F5B57F5E8CF5}" srcOrd="0" destOrd="0" parTransId="{F4748C3E-1315-C14C-A394-124177B556DF}" sibTransId="{0526B0B6-1ED4-4942-9CF2-628FE21E3606}"/>
    <dgm:cxn modelId="{27018856-C5E4-DB43-9F86-7C7CD9B7711E}" type="presOf" srcId="{DF269503-4B93-FB43-8B7D-205ACE0E178F}" destId="{382C6953-905E-7C41-B9FB-74925DDEE4B8}" srcOrd="0" destOrd="0" presId="urn:microsoft.com/office/officeart/2005/8/layout/chevron2"/>
    <dgm:cxn modelId="{25AAC383-5D04-4745-BFDA-7E2112AD8D3C}" type="presOf" srcId="{CCDF3AAF-8A60-E04D-B5FE-9C3A0AA1BA9D}" destId="{23B9BF14-EDF1-0745-8F66-EB8DD543D803}" srcOrd="0" destOrd="0" presId="urn:microsoft.com/office/officeart/2005/8/layout/chevron2"/>
    <dgm:cxn modelId="{D00A3485-F321-3740-A30D-8B2294B215DA}" type="presOf" srcId="{132EE3D4-8A73-EC4A-9DBC-68D4A7D8A16F}" destId="{4E301BCC-892A-FD4B-9AB2-D93171177BD0}" srcOrd="0" destOrd="0" presId="urn:microsoft.com/office/officeart/2005/8/layout/chevron2"/>
    <dgm:cxn modelId="{69515E8A-E176-364E-833C-4AB2B643B5C7}" type="presOf" srcId="{6B500D4E-CE9C-3D4A-A0D7-D778ED944EF7}" destId="{CF67EF8C-6056-764A-B564-68935927AA19}" srcOrd="0" destOrd="0" presId="urn:microsoft.com/office/officeart/2005/8/layout/chevron2"/>
    <dgm:cxn modelId="{8E30738F-3FAE-4B45-84E7-FB45AC0D8E2C}" type="presOf" srcId="{F6096A5C-5613-FE44-81F5-70454CEFC40E}" destId="{2075028C-3C5A-B649-BFF1-AD835E627887}" srcOrd="0" destOrd="0" presId="urn:microsoft.com/office/officeart/2005/8/layout/chevron2"/>
    <dgm:cxn modelId="{F9CE8BA0-A4C3-2848-AA39-D8B939D1B000}" srcId="{37345F06-3DDD-0843-B033-24F5B36C5165}" destId="{DF269503-4B93-FB43-8B7D-205ACE0E178F}" srcOrd="0" destOrd="0" parTransId="{8E437340-9A68-354D-999C-7604A464D035}" sibTransId="{5DFB801D-DF20-DB4D-AE8C-DE2705D17E8F}"/>
    <dgm:cxn modelId="{992C42A1-3027-8849-9B81-0B327BF649BC}" type="presOf" srcId="{15181A37-9F8A-9F4E-A2B8-498CAA88F003}" destId="{58C81AD9-261E-A94E-8917-D1A7EA615DBB}" srcOrd="0" destOrd="0" presId="urn:microsoft.com/office/officeart/2005/8/layout/chevron2"/>
    <dgm:cxn modelId="{859314B7-2DBB-484E-B22B-F8F68BEBB590}" srcId="{CCDF3AAF-8A60-E04D-B5FE-9C3A0AA1BA9D}" destId="{6B500D4E-CE9C-3D4A-A0D7-D778ED944EF7}" srcOrd="3" destOrd="0" parTransId="{FB4BABCE-C1D4-804B-9581-1D57BCCC45BD}" sibTransId="{67B479B3-5462-0E4E-89F6-8A5D92E535E3}"/>
    <dgm:cxn modelId="{DCC9A7B8-E03C-3A49-A880-AD1A76B91181}" type="presOf" srcId="{2B1864DA-1948-0549-A70F-F5B57F5E8CF5}" destId="{0A70B0CA-91B8-0840-A9E5-2BEC815C0F04}" srcOrd="0" destOrd="0" presId="urn:microsoft.com/office/officeart/2005/8/layout/chevron2"/>
    <dgm:cxn modelId="{515849C7-206C-6E45-8C32-D7DAFF26C67F}" srcId="{F6096A5C-5613-FE44-81F5-70454CEFC40E}" destId="{15181A37-9F8A-9F4E-A2B8-498CAA88F003}" srcOrd="0" destOrd="0" parTransId="{D3C24150-9325-4C47-B731-67A04CF742F9}" sibTransId="{12C033DC-5F54-8F44-955D-804D9B3B5523}"/>
    <dgm:cxn modelId="{3EF5CFEF-680E-9740-B6FA-B6871058A092}" type="presOf" srcId="{196E469F-33D2-E04C-AA0C-F6D3E886B718}" destId="{DC545B5B-9772-8548-8D77-1BC85D4F5CE7}" srcOrd="0" destOrd="0" presId="urn:microsoft.com/office/officeart/2005/8/layout/chevron2"/>
    <dgm:cxn modelId="{3D89BCF4-D533-E94E-B2DE-A8657EF7FC0A}" srcId="{CCDF3AAF-8A60-E04D-B5FE-9C3A0AA1BA9D}" destId="{F6096A5C-5613-FE44-81F5-70454CEFC40E}" srcOrd="2" destOrd="0" parTransId="{11F38956-ED69-864A-95B9-B852F87B401A}" sibTransId="{84D42044-1C66-584E-A13B-961A871B87B0}"/>
    <dgm:cxn modelId="{14D09D3C-54EC-B343-B59E-3CE2A92B7B42}" type="presParOf" srcId="{23B9BF14-EDF1-0745-8F66-EB8DD543D803}" destId="{C0BA84BC-6867-6C44-A750-5E21F6B5D9DE}" srcOrd="0" destOrd="0" presId="urn:microsoft.com/office/officeart/2005/8/layout/chevron2"/>
    <dgm:cxn modelId="{5D02A9AE-2E69-664C-8411-A4E17D5942EE}" type="presParOf" srcId="{C0BA84BC-6867-6C44-A750-5E21F6B5D9DE}" destId="{0A70B0CA-91B8-0840-A9E5-2BEC815C0F04}" srcOrd="0" destOrd="0" presId="urn:microsoft.com/office/officeart/2005/8/layout/chevron2"/>
    <dgm:cxn modelId="{8341CBEB-626D-CB4E-AE94-B3D84585D8AA}" type="presParOf" srcId="{C0BA84BC-6867-6C44-A750-5E21F6B5D9DE}" destId="{DC545B5B-9772-8548-8D77-1BC85D4F5CE7}" srcOrd="1" destOrd="0" presId="urn:microsoft.com/office/officeart/2005/8/layout/chevron2"/>
    <dgm:cxn modelId="{650CD4BA-B864-1D40-8141-0DE66F656426}" type="presParOf" srcId="{23B9BF14-EDF1-0745-8F66-EB8DD543D803}" destId="{35599991-3729-CF43-A722-BB7A081ED839}" srcOrd="1" destOrd="0" presId="urn:microsoft.com/office/officeart/2005/8/layout/chevron2"/>
    <dgm:cxn modelId="{6AF13BF3-C863-8C42-BE90-DA1E123C79C9}" type="presParOf" srcId="{23B9BF14-EDF1-0745-8F66-EB8DD543D803}" destId="{53780138-2775-A04D-84C5-FB6108F53860}" srcOrd="2" destOrd="0" presId="urn:microsoft.com/office/officeart/2005/8/layout/chevron2"/>
    <dgm:cxn modelId="{1FC92F02-B551-1D4B-85D0-A43D384427D8}" type="presParOf" srcId="{53780138-2775-A04D-84C5-FB6108F53860}" destId="{0758CFF2-2C78-D04E-8430-3CBF5A90325D}" srcOrd="0" destOrd="0" presId="urn:microsoft.com/office/officeart/2005/8/layout/chevron2"/>
    <dgm:cxn modelId="{FC883309-AF83-6A41-8168-B9FA1DBC5588}" type="presParOf" srcId="{53780138-2775-A04D-84C5-FB6108F53860}" destId="{382C6953-905E-7C41-B9FB-74925DDEE4B8}" srcOrd="1" destOrd="0" presId="urn:microsoft.com/office/officeart/2005/8/layout/chevron2"/>
    <dgm:cxn modelId="{1838DE79-C45D-7D48-92BF-B558B0EA0806}" type="presParOf" srcId="{23B9BF14-EDF1-0745-8F66-EB8DD543D803}" destId="{E97DDEF5-F2DC-1E4C-B1F5-DB4504AB6B57}" srcOrd="3" destOrd="0" presId="urn:microsoft.com/office/officeart/2005/8/layout/chevron2"/>
    <dgm:cxn modelId="{3A0BEAE6-D2B5-FB42-8D4A-8FA80EFD316D}" type="presParOf" srcId="{23B9BF14-EDF1-0745-8F66-EB8DD543D803}" destId="{01F0056F-7477-EA44-8556-AE1463DA1A9F}" srcOrd="4" destOrd="0" presId="urn:microsoft.com/office/officeart/2005/8/layout/chevron2"/>
    <dgm:cxn modelId="{AB55A022-73C5-154C-8D64-4FB223FBD645}" type="presParOf" srcId="{01F0056F-7477-EA44-8556-AE1463DA1A9F}" destId="{2075028C-3C5A-B649-BFF1-AD835E627887}" srcOrd="0" destOrd="0" presId="urn:microsoft.com/office/officeart/2005/8/layout/chevron2"/>
    <dgm:cxn modelId="{3D3ED01F-29E1-4F44-B1B4-CBF17751988E}" type="presParOf" srcId="{01F0056F-7477-EA44-8556-AE1463DA1A9F}" destId="{58C81AD9-261E-A94E-8917-D1A7EA615DBB}" srcOrd="1" destOrd="0" presId="urn:microsoft.com/office/officeart/2005/8/layout/chevron2"/>
    <dgm:cxn modelId="{40C0AE9B-43A1-B143-B2CF-F8FBF7C1B527}" type="presParOf" srcId="{23B9BF14-EDF1-0745-8F66-EB8DD543D803}" destId="{6A27CE64-E1ED-0A4D-9C98-AB46DA75175D}" srcOrd="5" destOrd="0" presId="urn:microsoft.com/office/officeart/2005/8/layout/chevron2"/>
    <dgm:cxn modelId="{913B0DF7-C8D6-984A-BFDE-2B8EB66A325B}" type="presParOf" srcId="{23B9BF14-EDF1-0745-8F66-EB8DD543D803}" destId="{5352DCF9-CDA7-4343-9A86-C2928F4610BE}" srcOrd="6" destOrd="0" presId="urn:microsoft.com/office/officeart/2005/8/layout/chevron2"/>
    <dgm:cxn modelId="{52AA553D-164B-0C4D-A106-7450FD6D72D3}" type="presParOf" srcId="{5352DCF9-CDA7-4343-9A86-C2928F4610BE}" destId="{CF67EF8C-6056-764A-B564-68935927AA19}" srcOrd="0" destOrd="0" presId="urn:microsoft.com/office/officeart/2005/8/layout/chevron2"/>
    <dgm:cxn modelId="{F39E7CB6-7EBD-F14D-9D1E-9CE704AB8C81}" type="presParOf" srcId="{5352DCF9-CDA7-4343-9A86-C2928F4610BE}" destId="{4E301BCC-892A-FD4B-9AB2-D93171177BD0}" srcOrd="1" destOrd="0" presId="urn:microsoft.com/office/officeart/2005/8/layout/chevron2"/>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DE4E9D3-641D-9442-A225-2115387D4654}" type="doc">
      <dgm:prSet loTypeId="urn:microsoft.com/office/officeart/2008/layout/LinedList" loCatId="" qsTypeId="urn:microsoft.com/office/officeart/2005/8/quickstyle/simple1" qsCatId="simple" csTypeId="urn:microsoft.com/office/officeart/2005/8/colors/accent1_2" csCatId="accent1" phldr="1"/>
      <dgm:spPr/>
      <dgm:t>
        <a:bodyPr/>
        <a:lstStyle/>
        <a:p>
          <a:endParaRPr lang="en-GB"/>
        </a:p>
      </dgm:t>
    </dgm:pt>
    <dgm:pt modelId="{36BFAA6F-3C34-6140-8555-554864B853F1}">
      <dgm:prSet phldrT="[Text]"/>
      <dgm:spPr/>
      <dgm:t>
        <a:bodyPr/>
        <a:lstStyle/>
        <a:p>
          <a:r>
            <a:rPr lang="en-GB" b="1" dirty="0"/>
            <a:t>Approved Learning Frameworks (ALFs)</a:t>
          </a:r>
        </a:p>
        <a:p>
          <a:endParaRPr lang="en-GB" b="1" dirty="0"/>
        </a:p>
      </dgm:t>
    </dgm:pt>
    <dgm:pt modelId="{1EE42CDB-1BDC-E848-8799-A3B8E2B3340A}" type="parTrans" cxnId="{120E3DFF-6F29-4546-9DBC-23BC41540BF6}">
      <dgm:prSet/>
      <dgm:spPr/>
      <dgm:t>
        <a:bodyPr/>
        <a:lstStyle/>
        <a:p>
          <a:endParaRPr lang="en-GB"/>
        </a:p>
      </dgm:t>
    </dgm:pt>
    <dgm:pt modelId="{2B2AFC96-FE90-CC44-B273-F6DE22D086CA}" type="sibTrans" cxnId="{120E3DFF-6F29-4546-9DBC-23BC41540BF6}">
      <dgm:prSet/>
      <dgm:spPr/>
      <dgm:t>
        <a:bodyPr/>
        <a:lstStyle/>
        <a:p>
          <a:endParaRPr lang="en-GB"/>
        </a:p>
      </dgm:t>
    </dgm:pt>
    <dgm:pt modelId="{EDDA1717-4727-5747-BFC0-1852DECE2AA7}">
      <dgm:prSet phldrT="[Text]"/>
      <dgm:spPr/>
      <dgm:t>
        <a:bodyPr/>
        <a:lstStyle/>
        <a:p>
          <a:r>
            <a:rPr lang="en-GB" dirty="0"/>
            <a:t>Children were consulted in updated (2023) versions of </a:t>
          </a:r>
          <a:r>
            <a:rPr lang="en-GB" i="1" dirty="0"/>
            <a:t>Belonging, Being and Becoming </a:t>
          </a:r>
          <a:r>
            <a:rPr lang="en-GB" i="0" dirty="0"/>
            <a:t>(The Early Years Learning Framework for Australia 2.0) and </a:t>
          </a:r>
          <a:r>
            <a:rPr lang="en-GB" i="1" dirty="0"/>
            <a:t>My Time Our Place</a:t>
          </a:r>
          <a:r>
            <a:rPr lang="en-GB" i="0" dirty="0"/>
            <a:t> (Framework for School Age Care in Australia 2.0)</a:t>
          </a:r>
          <a:endParaRPr lang="en-GB" dirty="0"/>
        </a:p>
      </dgm:t>
    </dgm:pt>
    <dgm:pt modelId="{51E323A9-71F4-FB4B-A934-725052731A36}" type="parTrans" cxnId="{568C90A2-EB38-234D-A133-D9780E866E1F}">
      <dgm:prSet/>
      <dgm:spPr/>
      <dgm:t>
        <a:bodyPr/>
        <a:lstStyle/>
        <a:p>
          <a:endParaRPr lang="en-GB"/>
        </a:p>
      </dgm:t>
    </dgm:pt>
    <dgm:pt modelId="{513FCFBB-B386-684F-9206-001AABCDB7C5}" type="sibTrans" cxnId="{568C90A2-EB38-234D-A133-D9780E866E1F}">
      <dgm:prSet/>
      <dgm:spPr/>
      <dgm:t>
        <a:bodyPr/>
        <a:lstStyle/>
        <a:p>
          <a:endParaRPr lang="en-GB"/>
        </a:p>
      </dgm:t>
    </dgm:pt>
    <dgm:pt modelId="{24176523-10CC-6F4C-AFBF-D7604F94B6BA}">
      <dgm:prSet phldrT="[Text]"/>
      <dgm:spPr/>
      <dgm:t>
        <a:bodyPr/>
        <a:lstStyle/>
        <a:p>
          <a:r>
            <a:rPr lang="en-GB" b="1" dirty="0"/>
            <a:t>Department of Social Services and Australian Human Rights Commission</a:t>
          </a:r>
        </a:p>
        <a:p>
          <a:endParaRPr lang="en-GB" b="1" dirty="0"/>
        </a:p>
      </dgm:t>
    </dgm:pt>
    <dgm:pt modelId="{FBC60E37-04BF-DB48-A08D-FEF83CBB6DAC}" type="parTrans" cxnId="{F887B3D5-9E3C-C649-B32D-D0078298E885}">
      <dgm:prSet/>
      <dgm:spPr/>
      <dgm:t>
        <a:bodyPr/>
        <a:lstStyle/>
        <a:p>
          <a:endParaRPr lang="en-GB"/>
        </a:p>
      </dgm:t>
    </dgm:pt>
    <dgm:pt modelId="{67591AEE-CE87-274B-B698-28A511D0D007}" type="sibTrans" cxnId="{F887B3D5-9E3C-C649-B32D-D0078298E885}">
      <dgm:prSet/>
      <dgm:spPr/>
      <dgm:t>
        <a:bodyPr/>
        <a:lstStyle/>
        <a:p>
          <a:endParaRPr lang="en-GB"/>
        </a:p>
      </dgm:t>
    </dgm:pt>
    <dgm:pt modelId="{57C0B4B4-4A33-9D48-9FD3-9DCC1D19DBF0}">
      <dgm:prSet phldrT="[Text]"/>
      <dgm:spPr/>
      <dgm:t>
        <a:bodyPr/>
        <a:lstStyle/>
        <a:p>
          <a:r>
            <a:rPr lang="en-GB" dirty="0"/>
            <a:t>Children consulted in development of </a:t>
          </a:r>
          <a:r>
            <a:rPr lang="en-GB" i="1" dirty="0"/>
            <a:t>Safe and Supported: The National Framework for Protecting Australia’s Children 2021-2031</a:t>
          </a:r>
          <a:endParaRPr lang="en-GB" dirty="0"/>
        </a:p>
      </dgm:t>
    </dgm:pt>
    <dgm:pt modelId="{8EDA4600-48FD-FE40-9062-A9B7E5A2F19C}" type="parTrans" cxnId="{3121A454-F381-6444-9D3F-0539860D954B}">
      <dgm:prSet/>
      <dgm:spPr/>
      <dgm:t>
        <a:bodyPr/>
        <a:lstStyle/>
        <a:p>
          <a:endParaRPr lang="en-GB"/>
        </a:p>
      </dgm:t>
    </dgm:pt>
    <dgm:pt modelId="{7A325529-840E-824B-AFAF-E89800C2345E}" type="sibTrans" cxnId="{3121A454-F381-6444-9D3F-0539860D954B}">
      <dgm:prSet/>
      <dgm:spPr/>
      <dgm:t>
        <a:bodyPr/>
        <a:lstStyle/>
        <a:p>
          <a:endParaRPr lang="en-GB"/>
        </a:p>
      </dgm:t>
    </dgm:pt>
    <dgm:pt modelId="{24C1DAF2-C9E3-BE47-8F05-D344EFE90552}">
      <dgm:prSet phldrT="[Text]"/>
      <dgm:spPr/>
      <dgm:t>
        <a:bodyPr/>
        <a:lstStyle/>
        <a:p>
          <a:r>
            <a:rPr lang="en-GB" dirty="0"/>
            <a:t>Consultations led by National Children’s Commissioner Anne </a:t>
          </a:r>
          <a:r>
            <a:rPr lang="en-GB" dirty="0" err="1"/>
            <a:t>Hollonds</a:t>
          </a:r>
          <a:endParaRPr lang="en-GB" dirty="0"/>
        </a:p>
      </dgm:t>
    </dgm:pt>
    <dgm:pt modelId="{A1123AA4-E475-F84D-A71D-273573944753}" type="parTrans" cxnId="{703F8317-9066-E442-8AE5-9F56811E5071}">
      <dgm:prSet/>
      <dgm:spPr/>
      <dgm:t>
        <a:bodyPr/>
        <a:lstStyle/>
        <a:p>
          <a:endParaRPr lang="en-GB"/>
        </a:p>
      </dgm:t>
    </dgm:pt>
    <dgm:pt modelId="{75948DF6-1839-B742-BFE5-9861C1EDE5EE}" type="sibTrans" cxnId="{703F8317-9066-E442-8AE5-9F56811E5071}">
      <dgm:prSet/>
      <dgm:spPr/>
      <dgm:t>
        <a:bodyPr/>
        <a:lstStyle/>
        <a:p>
          <a:endParaRPr lang="en-GB"/>
        </a:p>
      </dgm:t>
    </dgm:pt>
    <dgm:pt modelId="{04F3E9F2-5CB2-5644-81D7-D97740BC68AC}">
      <dgm:prSet phldrT="[Text]"/>
      <dgm:spPr/>
      <dgm:t>
        <a:bodyPr/>
        <a:lstStyle/>
        <a:p>
          <a:r>
            <a:rPr lang="en-GB" b="1" dirty="0"/>
            <a:t>Australian Department of Education and </a:t>
          </a:r>
          <a:r>
            <a:rPr lang="en-GB" b="1" dirty="0" err="1"/>
            <a:t>UniSA</a:t>
          </a:r>
          <a:endParaRPr lang="en-GB" b="1" dirty="0"/>
        </a:p>
        <a:p>
          <a:endParaRPr lang="en-GB" b="1" dirty="0"/>
        </a:p>
      </dgm:t>
    </dgm:pt>
    <dgm:pt modelId="{BCFE2B94-B2E5-1C4B-8475-6D7EF2BA8D82}" type="parTrans" cxnId="{CBE57F9D-55BC-084B-A09F-D20A375E9C15}">
      <dgm:prSet/>
      <dgm:spPr/>
      <dgm:t>
        <a:bodyPr/>
        <a:lstStyle/>
        <a:p>
          <a:endParaRPr lang="en-GB"/>
        </a:p>
      </dgm:t>
    </dgm:pt>
    <dgm:pt modelId="{398D1E3E-371B-EB4F-BC0F-E9DDA68B1471}" type="sibTrans" cxnId="{CBE57F9D-55BC-084B-A09F-D20A375E9C15}">
      <dgm:prSet/>
      <dgm:spPr/>
      <dgm:t>
        <a:bodyPr/>
        <a:lstStyle/>
        <a:p>
          <a:endParaRPr lang="en-GB"/>
        </a:p>
      </dgm:t>
    </dgm:pt>
    <dgm:pt modelId="{3258FB03-663F-FD40-B6C3-0D7139E66664}">
      <dgm:prSet phldrT="[Text]"/>
      <dgm:spPr/>
      <dgm:t>
        <a:bodyPr/>
        <a:lstStyle/>
        <a:p>
          <a:r>
            <a:rPr lang="en-GB" dirty="0"/>
            <a:t>This partnership consulted with children to inform its work developing child-friendly local councils</a:t>
          </a:r>
        </a:p>
      </dgm:t>
    </dgm:pt>
    <dgm:pt modelId="{96FC6819-D0DC-704D-ACBC-F2FC12845B61}" type="parTrans" cxnId="{847C23B6-41BE-2142-BF0D-F7A0503512BD}">
      <dgm:prSet/>
      <dgm:spPr/>
      <dgm:t>
        <a:bodyPr/>
        <a:lstStyle/>
        <a:p>
          <a:endParaRPr lang="en-GB"/>
        </a:p>
      </dgm:t>
    </dgm:pt>
    <dgm:pt modelId="{5B68E379-D9A1-A64B-91A0-66BBACB76AFC}" type="sibTrans" cxnId="{847C23B6-41BE-2142-BF0D-F7A0503512BD}">
      <dgm:prSet/>
      <dgm:spPr/>
      <dgm:t>
        <a:bodyPr/>
        <a:lstStyle/>
        <a:p>
          <a:endParaRPr lang="en-GB"/>
        </a:p>
      </dgm:t>
    </dgm:pt>
    <dgm:pt modelId="{ECDA8980-8BBA-6D43-B91D-34DD6A2AF554}">
      <dgm:prSet phldrT="[Text]"/>
      <dgm:spPr/>
      <dgm:t>
        <a:bodyPr/>
        <a:lstStyle/>
        <a:p>
          <a:r>
            <a:rPr lang="en-GB" dirty="0"/>
            <a:t>Findings from consultations led to three SA local councils becoming first UNICEF Australia-recognised ‘Child Friendly Communities’ in Australia in 2015</a:t>
          </a:r>
        </a:p>
      </dgm:t>
    </dgm:pt>
    <dgm:pt modelId="{90B99720-1BE6-194D-9658-FA8700EDA4EA}" type="parTrans" cxnId="{4E44D522-3ADF-C543-8333-7E192C8F1531}">
      <dgm:prSet/>
      <dgm:spPr/>
      <dgm:t>
        <a:bodyPr/>
        <a:lstStyle/>
        <a:p>
          <a:endParaRPr lang="en-GB"/>
        </a:p>
      </dgm:t>
    </dgm:pt>
    <dgm:pt modelId="{ACEB353B-B676-4848-A1E6-3EAB3EC283FC}" type="sibTrans" cxnId="{4E44D522-3ADF-C543-8333-7E192C8F1531}">
      <dgm:prSet/>
      <dgm:spPr/>
      <dgm:t>
        <a:bodyPr/>
        <a:lstStyle/>
        <a:p>
          <a:endParaRPr lang="en-GB"/>
        </a:p>
      </dgm:t>
    </dgm:pt>
    <dgm:pt modelId="{D1064B80-3FB7-1C41-8E1E-9359FBC0FCAF}">
      <dgm:prSet phldrT="[Text]"/>
      <dgm:spPr/>
      <dgm:t>
        <a:bodyPr/>
        <a:lstStyle/>
        <a:p>
          <a:r>
            <a:rPr lang="en-GB" b="1" dirty="0"/>
            <a:t>NSW/ACT Inclusion Agency (IA)</a:t>
          </a:r>
        </a:p>
        <a:p>
          <a:endParaRPr lang="en-GB" b="1" dirty="0"/>
        </a:p>
      </dgm:t>
    </dgm:pt>
    <dgm:pt modelId="{9B4BD2F1-2229-044F-B22B-3C66554A53D7}" type="parTrans" cxnId="{E6CBAEE0-4F39-054E-84F3-07182FD5B4C1}">
      <dgm:prSet/>
      <dgm:spPr/>
      <dgm:t>
        <a:bodyPr/>
        <a:lstStyle/>
        <a:p>
          <a:endParaRPr lang="en-GB"/>
        </a:p>
      </dgm:t>
    </dgm:pt>
    <dgm:pt modelId="{00341143-38FC-DD4B-8B64-674070AA96E6}" type="sibTrans" cxnId="{E6CBAEE0-4F39-054E-84F3-07182FD5B4C1}">
      <dgm:prSet/>
      <dgm:spPr/>
      <dgm:t>
        <a:bodyPr/>
        <a:lstStyle/>
        <a:p>
          <a:endParaRPr lang="en-GB"/>
        </a:p>
      </dgm:t>
    </dgm:pt>
    <dgm:pt modelId="{1F45BC7C-2EA9-4747-B944-4C027F05389A}">
      <dgm:prSet phldrT="[Text]"/>
      <dgm:spPr/>
      <dgm:t>
        <a:bodyPr/>
        <a:lstStyle/>
        <a:p>
          <a:r>
            <a:rPr lang="en-GB" dirty="0"/>
            <a:t>Funded by the Australian Government, the IA is managed by ECEC provider KU Children’s Services, in partnership with fellow provider Gowrie NSW and Include Me</a:t>
          </a:r>
        </a:p>
      </dgm:t>
    </dgm:pt>
    <dgm:pt modelId="{EFB6CE4B-A249-5343-99D8-50B580EF11AE}" type="parTrans" cxnId="{781BF7ED-15B1-8249-B59E-F3263A417616}">
      <dgm:prSet/>
      <dgm:spPr/>
      <dgm:t>
        <a:bodyPr/>
        <a:lstStyle/>
        <a:p>
          <a:endParaRPr lang="en-GB"/>
        </a:p>
      </dgm:t>
    </dgm:pt>
    <dgm:pt modelId="{CC9BFE78-43C9-7646-A7E1-495505FEB4D0}" type="sibTrans" cxnId="{781BF7ED-15B1-8249-B59E-F3263A417616}">
      <dgm:prSet/>
      <dgm:spPr/>
      <dgm:t>
        <a:bodyPr/>
        <a:lstStyle/>
        <a:p>
          <a:endParaRPr lang="en-GB"/>
        </a:p>
      </dgm:t>
    </dgm:pt>
    <dgm:pt modelId="{7A69A1A3-EF1C-4949-88EC-995D10E85775}">
      <dgm:prSet phldrT="[Text]"/>
      <dgm:spPr/>
      <dgm:t>
        <a:bodyPr/>
        <a:lstStyle/>
        <a:p>
          <a:r>
            <a:rPr lang="en-GB" dirty="0"/>
            <a:t>In 2019, the IA ran a consultation seeking children’s perspectives on inclusion, diversity and fairness</a:t>
          </a:r>
        </a:p>
      </dgm:t>
    </dgm:pt>
    <dgm:pt modelId="{D11F02DB-D7EC-5445-8A6B-07F247D5DF88}" type="parTrans" cxnId="{F1E4500C-5DA9-4F40-9DB9-58C5FF351950}">
      <dgm:prSet/>
      <dgm:spPr/>
      <dgm:t>
        <a:bodyPr/>
        <a:lstStyle/>
        <a:p>
          <a:endParaRPr lang="en-GB"/>
        </a:p>
      </dgm:t>
    </dgm:pt>
    <dgm:pt modelId="{78D6BA93-DBE1-7546-8E08-95A381485792}" type="sibTrans" cxnId="{F1E4500C-5DA9-4F40-9DB9-58C5FF351950}">
      <dgm:prSet/>
      <dgm:spPr/>
      <dgm:t>
        <a:bodyPr/>
        <a:lstStyle/>
        <a:p>
          <a:endParaRPr lang="en-GB"/>
        </a:p>
      </dgm:t>
    </dgm:pt>
    <dgm:pt modelId="{97579A03-407F-134A-A97D-D52A5458700F}" type="pres">
      <dgm:prSet presAssocID="{7DE4E9D3-641D-9442-A225-2115387D4654}" presName="vert0" presStyleCnt="0">
        <dgm:presLayoutVars>
          <dgm:dir/>
          <dgm:animOne val="branch"/>
          <dgm:animLvl val="lvl"/>
        </dgm:presLayoutVars>
      </dgm:prSet>
      <dgm:spPr/>
    </dgm:pt>
    <dgm:pt modelId="{CD6D43C1-7437-B14A-A346-CE4EDB3CE038}" type="pres">
      <dgm:prSet presAssocID="{36BFAA6F-3C34-6140-8555-554864B853F1}" presName="thickLine" presStyleLbl="alignNode1" presStyleIdx="0" presStyleCnt="4"/>
      <dgm:spPr/>
    </dgm:pt>
    <dgm:pt modelId="{F77C9471-D046-4E45-942B-30854F56BE3B}" type="pres">
      <dgm:prSet presAssocID="{36BFAA6F-3C34-6140-8555-554864B853F1}" presName="horz1" presStyleCnt="0"/>
      <dgm:spPr/>
    </dgm:pt>
    <dgm:pt modelId="{1B7EF823-640C-9446-A1AA-F14015ACD82D}" type="pres">
      <dgm:prSet presAssocID="{36BFAA6F-3C34-6140-8555-554864B853F1}" presName="tx1" presStyleLbl="revTx" presStyleIdx="0" presStyleCnt="11"/>
      <dgm:spPr/>
    </dgm:pt>
    <dgm:pt modelId="{69511D22-B45D-3B41-A883-738A36577442}" type="pres">
      <dgm:prSet presAssocID="{36BFAA6F-3C34-6140-8555-554864B853F1}" presName="vert1" presStyleCnt="0"/>
      <dgm:spPr/>
    </dgm:pt>
    <dgm:pt modelId="{2074AD48-DFF0-814D-8FFF-2666E7975474}" type="pres">
      <dgm:prSet presAssocID="{EDDA1717-4727-5747-BFC0-1852DECE2AA7}" presName="vertSpace2a" presStyleCnt="0"/>
      <dgm:spPr/>
    </dgm:pt>
    <dgm:pt modelId="{9C37D7E2-15FA-F04F-B5D3-1B0A0DDD91AA}" type="pres">
      <dgm:prSet presAssocID="{EDDA1717-4727-5747-BFC0-1852DECE2AA7}" presName="horz2" presStyleCnt="0"/>
      <dgm:spPr/>
    </dgm:pt>
    <dgm:pt modelId="{AB0E3DF5-9B3E-E449-800E-B8037F1ED171}" type="pres">
      <dgm:prSet presAssocID="{EDDA1717-4727-5747-BFC0-1852DECE2AA7}" presName="horzSpace2" presStyleCnt="0"/>
      <dgm:spPr/>
    </dgm:pt>
    <dgm:pt modelId="{432C9C93-2C1A-F24F-AAD6-ABE72914641A}" type="pres">
      <dgm:prSet presAssocID="{EDDA1717-4727-5747-BFC0-1852DECE2AA7}" presName="tx2" presStyleLbl="revTx" presStyleIdx="1" presStyleCnt="11"/>
      <dgm:spPr/>
    </dgm:pt>
    <dgm:pt modelId="{F00368BE-C056-3E42-ABF2-7FEE249D26CF}" type="pres">
      <dgm:prSet presAssocID="{EDDA1717-4727-5747-BFC0-1852DECE2AA7}" presName="vert2" presStyleCnt="0"/>
      <dgm:spPr/>
    </dgm:pt>
    <dgm:pt modelId="{51037398-BCDA-BF42-B716-90D5275B1492}" type="pres">
      <dgm:prSet presAssocID="{EDDA1717-4727-5747-BFC0-1852DECE2AA7}" presName="thinLine2b" presStyleLbl="callout" presStyleIdx="0" presStyleCnt="7"/>
      <dgm:spPr/>
    </dgm:pt>
    <dgm:pt modelId="{9B5DD99B-7DEA-454C-B8F7-359BE29A44DF}" type="pres">
      <dgm:prSet presAssocID="{EDDA1717-4727-5747-BFC0-1852DECE2AA7}" presName="vertSpace2b" presStyleCnt="0"/>
      <dgm:spPr/>
    </dgm:pt>
    <dgm:pt modelId="{D492F9E6-D123-504F-844F-F35FC73609DA}" type="pres">
      <dgm:prSet presAssocID="{24176523-10CC-6F4C-AFBF-D7604F94B6BA}" presName="thickLine" presStyleLbl="alignNode1" presStyleIdx="1" presStyleCnt="4"/>
      <dgm:spPr/>
    </dgm:pt>
    <dgm:pt modelId="{E49B9A33-5E5F-714E-B37A-93236B8079F7}" type="pres">
      <dgm:prSet presAssocID="{24176523-10CC-6F4C-AFBF-D7604F94B6BA}" presName="horz1" presStyleCnt="0"/>
      <dgm:spPr/>
    </dgm:pt>
    <dgm:pt modelId="{10BAD2A3-304B-3946-9394-9134C3F19802}" type="pres">
      <dgm:prSet presAssocID="{24176523-10CC-6F4C-AFBF-D7604F94B6BA}" presName="tx1" presStyleLbl="revTx" presStyleIdx="2" presStyleCnt="11"/>
      <dgm:spPr/>
    </dgm:pt>
    <dgm:pt modelId="{57978D0B-853B-C942-8714-B15AD4AAACAB}" type="pres">
      <dgm:prSet presAssocID="{24176523-10CC-6F4C-AFBF-D7604F94B6BA}" presName="vert1" presStyleCnt="0"/>
      <dgm:spPr/>
    </dgm:pt>
    <dgm:pt modelId="{CD0B7359-4D55-4643-A312-DDA0964FEAC6}" type="pres">
      <dgm:prSet presAssocID="{57C0B4B4-4A33-9D48-9FD3-9DCC1D19DBF0}" presName="vertSpace2a" presStyleCnt="0"/>
      <dgm:spPr/>
    </dgm:pt>
    <dgm:pt modelId="{AACE81C8-8CDE-3F49-B9A7-5FEE2AEFA443}" type="pres">
      <dgm:prSet presAssocID="{57C0B4B4-4A33-9D48-9FD3-9DCC1D19DBF0}" presName="horz2" presStyleCnt="0"/>
      <dgm:spPr/>
    </dgm:pt>
    <dgm:pt modelId="{369E010F-45FF-1C4C-8F76-4A19670D7E8E}" type="pres">
      <dgm:prSet presAssocID="{57C0B4B4-4A33-9D48-9FD3-9DCC1D19DBF0}" presName="horzSpace2" presStyleCnt="0"/>
      <dgm:spPr/>
    </dgm:pt>
    <dgm:pt modelId="{764B7674-A2D4-794B-999C-F01F74398AEE}" type="pres">
      <dgm:prSet presAssocID="{57C0B4B4-4A33-9D48-9FD3-9DCC1D19DBF0}" presName="tx2" presStyleLbl="revTx" presStyleIdx="3" presStyleCnt="11"/>
      <dgm:spPr/>
    </dgm:pt>
    <dgm:pt modelId="{12806AA2-FB98-2148-BA4B-2D1416029A92}" type="pres">
      <dgm:prSet presAssocID="{57C0B4B4-4A33-9D48-9FD3-9DCC1D19DBF0}" presName="vert2" presStyleCnt="0"/>
      <dgm:spPr/>
    </dgm:pt>
    <dgm:pt modelId="{9C541C40-A36E-864A-9135-EA68A0D81990}" type="pres">
      <dgm:prSet presAssocID="{57C0B4B4-4A33-9D48-9FD3-9DCC1D19DBF0}" presName="thinLine2b" presStyleLbl="callout" presStyleIdx="1" presStyleCnt="7"/>
      <dgm:spPr/>
    </dgm:pt>
    <dgm:pt modelId="{C5143BE1-F752-AE42-A179-0CAA32213029}" type="pres">
      <dgm:prSet presAssocID="{57C0B4B4-4A33-9D48-9FD3-9DCC1D19DBF0}" presName="vertSpace2b" presStyleCnt="0"/>
      <dgm:spPr/>
    </dgm:pt>
    <dgm:pt modelId="{A79AE21E-25CF-EC49-8A82-068A105FD2B6}" type="pres">
      <dgm:prSet presAssocID="{24C1DAF2-C9E3-BE47-8F05-D344EFE90552}" presName="horz2" presStyleCnt="0"/>
      <dgm:spPr/>
    </dgm:pt>
    <dgm:pt modelId="{C9019B7E-23B1-D547-9E46-C1EC910C7EB0}" type="pres">
      <dgm:prSet presAssocID="{24C1DAF2-C9E3-BE47-8F05-D344EFE90552}" presName="horzSpace2" presStyleCnt="0"/>
      <dgm:spPr/>
    </dgm:pt>
    <dgm:pt modelId="{4552AAFD-9201-2D4D-8C68-A976918DC477}" type="pres">
      <dgm:prSet presAssocID="{24C1DAF2-C9E3-BE47-8F05-D344EFE90552}" presName="tx2" presStyleLbl="revTx" presStyleIdx="4" presStyleCnt="11"/>
      <dgm:spPr/>
    </dgm:pt>
    <dgm:pt modelId="{2B0E4FC0-9EF5-074B-857A-B9C59DAAC1AB}" type="pres">
      <dgm:prSet presAssocID="{24C1DAF2-C9E3-BE47-8F05-D344EFE90552}" presName="vert2" presStyleCnt="0"/>
      <dgm:spPr/>
    </dgm:pt>
    <dgm:pt modelId="{8EA8B8B0-FAC9-9D46-8DDA-02620A422C1C}" type="pres">
      <dgm:prSet presAssocID="{24C1DAF2-C9E3-BE47-8F05-D344EFE90552}" presName="thinLine2b" presStyleLbl="callout" presStyleIdx="2" presStyleCnt="7"/>
      <dgm:spPr/>
    </dgm:pt>
    <dgm:pt modelId="{5EBE7429-34E0-CA4B-90E9-EA679F658908}" type="pres">
      <dgm:prSet presAssocID="{24C1DAF2-C9E3-BE47-8F05-D344EFE90552}" presName="vertSpace2b" presStyleCnt="0"/>
      <dgm:spPr/>
    </dgm:pt>
    <dgm:pt modelId="{7942E2CA-5914-D14E-970C-05CC493F0C33}" type="pres">
      <dgm:prSet presAssocID="{04F3E9F2-5CB2-5644-81D7-D97740BC68AC}" presName="thickLine" presStyleLbl="alignNode1" presStyleIdx="2" presStyleCnt="4"/>
      <dgm:spPr/>
    </dgm:pt>
    <dgm:pt modelId="{083CABDD-A390-0746-B4DB-C45CF62FB52E}" type="pres">
      <dgm:prSet presAssocID="{04F3E9F2-5CB2-5644-81D7-D97740BC68AC}" presName="horz1" presStyleCnt="0"/>
      <dgm:spPr/>
    </dgm:pt>
    <dgm:pt modelId="{A72A042A-95DD-EC49-BA6F-C89B0BF04D7B}" type="pres">
      <dgm:prSet presAssocID="{04F3E9F2-5CB2-5644-81D7-D97740BC68AC}" presName="tx1" presStyleLbl="revTx" presStyleIdx="5" presStyleCnt="11"/>
      <dgm:spPr/>
    </dgm:pt>
    <dgm:pt modelId="{BBD13A3F-758E-5B4C-93F5-A73264ED1528}" type="pres">
      <dgm:prSet presAssocID="{04F3E9F2-5CB2-5644-81D7-D97740BC68AC}" presName="vert1" presStyleCnt="0"/>
      <dgm:spPr/>
    </dgm:pt>
    <dgm:pt modelId="{999E52F7-86A4-ED4E-80B5-A627E97DC79F}" type="pres">
      <dgm:prSet presAssocID="{3258FB03-663F-FD40-B6C3-0D7139E66664}" presName="vertSpace2a" presStyleCnt="0"/>
      <dgm:spPr/>
    </dgm:pt>
    <dgm:pt modelId="{C95E634C-9C01-734D-8F34-BD740F3BB33B}" type="pres">
      <dgm:prSet presAssocID="{3258FB03-663F-FD40-B6C3-0D7139E66664}" presName="horz2" presStyleCnt="0"/>
      <dgm:spPr/>
    </dgm:pt>
    <dgm:pt modelId="{371AC29A-1054-5B44-91A1-12F7887A50FF}" type="pres">
      <dgm:prSet presAssocID="{3258FB03-663F-FD40-B6C3-0D7139E66664}" presName="horzSpace2" presStyleCnt="0"/>
      <dgm:spPr/>
    </dgm:pt>
    <dgm:pt modelId="{C0B41E48-4E01-C848-8048-A546BA7C84CB}" type="pres">
      <dgm:prSet presAssocID="{3258FB03-663F-FD40-B6C3-0D7139E66664}" presName="tx2" presStyleLbl="revTx" presStyleIdx="6" presStyleCnt="11"/>
      <dgm:spPr/>
    </dgm:pt>
    <dgm:pt modelId="{21A182A7-4593-FF48-81CF-763D9D93462D}" type="pres">
      <dgm:prSet presAssocID="{3258FB03-663F-FD40-B6C3-0D7139E66664}" presName="vert2" presStyleCnt="0"/>
      <dgm:spPr/>
    </dgm:pt>
    <dgm:pt modelId="{1CA50F1F-CD8B-7543-B750-0D3E703EB466}" type="pres">
      <dgm:prSet presAssocID="{3258FB03-663F-FD40-B6C3-0D7139E66664}" presName="thinLine2b" presStyleLbl="callout" presStyleIdx="3" presStyleCnt="7"/>
      <dgm:spPr/>
    </dgm:pt>
    <dgm:pt modelId="{681AE8A1-0F64-FA48-8A9F-4AB3E6137A71}" type="pres">
      <dgm:prSet presAssocID="{3258FB03-663F-FD40-B6C3-0D7139E66664}" presName="vertSpace2b" presStyleCnt="0"/>
      <dgm:spPr/>
    </dgm:pt>
    <dgm:pt modelId="{73C61FE4-13DD-B245-8C60-F60006293677}" type="pres">
      <dgm:prSet presAssocID="{ECDA8980-8BBA-6D43-B91D-34DD6A2AF554}" presName="horz2" presStyleCnt="0"/>
      <dgm:spPr/>
    </dgm:pt>
    <dgm:pt modelId="{B0C7F5C4-6C5A-8F40-9124-5C18D51D97D1}" type="pres">
      <dgm:prSet presAssocID="{ECDA8980-8BBA-6D43-B91D-34DD6A2AF554}" presName="horzSpace2" presStyleCnt="0"/>
      <dgm:spPr/>
    </dgm:pt>
    <dgm:pt modelId="{C5D441AF-77B4-5940-9790-74F7D1CA441A}" type="pres">
      <dgm:prSet presAssocID="{ECDA8980-8BBA-6D43-B91D-34DD6A2AF554}" presName="tx2" presStyleLbl="revTx" presStyleIdx="7" presStyleCnt="11"/>
      <dgm:spPr/>
    </dgm:pt>
    <dgm:pt modelId="{B1ED3F26-FF94-0240-AA08-E0BBB07CF3A9}" type="pres">
      <dgm:prSet presAssocID="{ECDA8980-8BBA-6D43-B91D-34DD6A2AF554}" presName="vert2" presStyleCnt="0"/>
      <dgm:spPr/>
    </dgm:pt>
    <dgm:pt modelId="{4D77CD7E-4C1C-2448-9AC0-349F9DA9C95E}" type="pres">
      <dgm:prSet presAssocID="{ECDA8980-8BBA-6D43-B91D-34DD6A2AF554}" presName="thinLine2b" presStyleLbl="callout" presStyleIdx="4" presStyleCnt="7"/>
      <dgm:spPr/>
    </dgm:pt>
    <dgm:pt modelId="{BA99544E-7E73-2442-87D2-7AEDABC76962}" type="pres">
      <dgm:prSet presAssocID="{ECDA8980-8BBA-6D43-B91D-34DD6A2AF554}" presName="vertSpace2b" presStyleCnt="0"/>
      <dgm:spPr/>
    </dgm:pt>
    <dgm:pt modelId="{AF07896F-E2EF-DF4F-B6EB-36376E3689FA}" type="pres">
      <dgm:prSet presAssocID="{D1064B80-3FB7-1C41-8E1E-9359FBC0FCAF}" presName="thickLine" presStyleLbl="alignNode1" presStyleIdx="3" presStyleCnt="4"/>
      <dgm:spPr/>
    </dgm:pt>
    <dgm:pt modelId="{87C411C1-54F7-FD4E-A34B-00D713C1BCB4}" type="pres">
      <dgm:prSet presAssocID="{D1064B80-3FB7-1C41-8E1E-9359FBC0FCAF}" presName="horz1" presStyleCnt="0"/>
      <dgm:spPr/>
    </dgm:pt>
    <dgm:pt modelId="{6461215E-AFC3-1C44-A57D-FF97F00A3CFF}" type="pres">
      <dgm:prSet presAssocID="{D1064B80-3FB7-1C41-8E1E-9359FBC0FCAF}" presName="tx1" presStyleLbl="revTx" presStyleIdx="8" presStyleCnt="11"/>
      <dgm:spPr/>
    </dgm:pt>
    <dgm:pt modelId="{F6105D0D-7777-CA4B-B7DB-EEE57172E2A3}" type="pres">
      <dgm:prSet presAssocID="{D1064B80-3FB7-1C41-8E1E-9359FBC0FCAF}" presName="vert1" presStyleCnt="0"/>
      <dgm:spPr/>
    </dgm:pt>
    <dgm:pt modelId="{CA2F8C85-5EA0-BB4C-98E2-5D98FAED429C}" type="pres">
      <dgm:prSet presAssocID="{1F45BC7C-2EA9-4747-B944-4C027F05389A}" presName="vertSpace2a" presStyleCnt="0"/>
      <dgm:spPr/>
    </dgm:pt>
    <dgm:pt modelId="{36AF5281-96D9-934A-9080-204C48821391}" type="pres">
      <dgm:prSet presAssocID="{1F45BC7C-2EA9-4747-B944-4C027F05389A}" presName="horz2" presStyleCnt="0"/>
      <dgm:spPr/>
    </dgm:pt>
    <dgm:pt modelId="{AD9BC8C4-2F53-1441-A292-BD8E33FFEC52}" type="pres">
      <dgm:prSet presAssocID="{1F45BC7C-2EA9-4747-B944-4C027F05389A}" presName="horzSpace2" presStyleCnt="0"/>
      <dgm:spPr/>
    </dgm:pt>
    <dgm:pt modelId="{6C44D500-221D-A942-A330-5DA7B2E692A9}" type="pres">
      <dgm:prSet presAssocID="{1F45BC7C-2EA9-4747-B944-4C027F05389A}" presName="tx2" presStyleLbl="revTx" presStyleIdx="9" presStyleCnt="11"/>
      <dgm:spPr/>
    </dgm:pt>
    <dgm:pt modelId="{CFCC8A27-70E5-154B-A304-B92F45BA6EF0}" type="pres">
      <dgm:prSet presAssocID="{1F45BC7C-2EA9-4747-B944-4C027F05389A}" presName="vert2" presStyleCnt="0"/>
      <dgm:spPr/>
    </dgm:pt>
    <dgm:pt modelId="{85A941C2-925F-E34D-8E8D-6959B6B3E7AB}" type="pres">
      <dgm:prSet presAssocID="{1F45BC7C-2EA9-4747-B944-4C027F05389A}" presName="thinLine2b" presStyleLbl="callout" presStyleIdx="5" presStyleCnt="7"/>
      <dgm:spPr/>
    </dgm:pt>
    <dgm:pt modelId="{B8280A28-32AA-1D44-BF2B-04F8B11FC41F}" type="pres">
      <dgm:prSet presAssocID="{1F45BC7C-2EA9-4747-B944-4C027F05389A}" presName="vertSpace2b" presStyleCnt="0"/>
      <dgm:spPr/>
    </dgm:pt>
    <dgm:pt modelId="{F91A8202-F123-6A4B-914F-AAB6B2D88DE5}" type="pres">
      <dgm:prSet presAssocID="{7A69A1A3-EF1C-4949-88EC-995D10E85775}" presName="horz2" presStyleCnt="0"/>
      <dgm:spPr/>
    </dgm:pt>
    <dgm:pt modelId="{A40D05C6-3C39-3D4B-8DF9-34539BDE9522}" type="pres">
      <dgm:prSet presAssocID="{7A69A1A3-EF1C-4949-88EC-995D10E85775}" presName="horzSpace2" presStyleCnt="0"/>
      <dgm:spPr/>
    </dgm:pt>
    <dgm:pt modelId="{E18143D8-BC7C-A54A-86DF-B8CB62E7FD43}" type="pres">
      <dgm:prSet presAssocID="{7A69A1A3-EF1C-4949-88EC-995D10E85775}" presName="tx2" presStyleLbl="revTx" presStyleIdx="10" presStyleCnt="11"/>
      <dgm:spPr/>
    </dgm:pt>
    <dgm:pt modelId="{7A94C35D-8B9A-E742-A2CF-9184183115C7}" type="pres">
      <dgm:prSet presAssocID="{7A69A1A3-EF1C-4949-88EC-995D10E85775}" presName="vert2" presStyleCnt="0"/>
      <dgm:spPr/>
    </dgm:pt>
    <dgm:pt modelId="{28138D3C-DF30-274F-8750-672012F3ABE6}" type="pres">
      <dgm:prSet presAssocID="{7A69A1A3-EF1C-4949-88EC-995D10E85775}" presName="thinLine2b" presStyleLbl="callout" presStyleIdx="6" presStyleCnt="7"/>
      <dgm:spPr/>
    </dgm:pt>
    <dgm:pt modelId="{C5E61B61-EB03-D448-9413-6EB909B4834C}" type="pres">
      <dgm:prSet presAssocID="{7A69A1A3-EF1C-4949-88EC-995D10E85775}" presName="vertSpace2b" presStyleCnt="0"/>
      <dgm:spPr/>
    </dgm:pt>
  </dgm:ptLst>
  <dgm:cxnLst>
    <dgm:cxn modelId="{055D6F02-1488-3441-A6C7-FC6C900FB1E9}" type="presOf" srcId="{24176523-10CC-6F4C-AFBF-D7604F94B6BA}" destId="{10BAD2A3-304B-3946-9394-9134C3F19802}" srcOrd="0" destOrd="0" presId="urn:microsoft.com/office/officeart/2008/layout/LinedList"/>
    <dgm:cxn modelId="{F1E4500C-5DA9-4F40-9DB9-58C5FF351950}" srcId="{D1064B80-3FB7-1C41-8E1E-9359FBC0FCAF}" destId="{7A69A1A3-EF1C-4949-88EC-995D10E85775}" srcOrd="1" destOrd="0" parTransId="{D11F02DB-D7EC-5445-8A6B-07F247D5DF88}" sibTransId="{78D6BA93-DBE1-7546-8E08-95A381485792}"/>
    <dgm:cxn modelId="{703F8317-9066-E442-8AE5-9F56811E5071}" srcId="{24176523-10CC-6F4C-AFBF-D7604F94B6BA}" destId="{24C1DAF2-C9E3-BE47-8F05-D344EFE90552}" srcOrd="1" destOrd="0" parTransId="{A1123AA4-E475-F84D-A71D-273573944753}" sibTransId="{75948DF6-1839-B742-BFE5-9861C1EDE5EE}"/>
    <dgm:cxn modelId="{4E44D522-3ADF-C543-8333-7E192C8F1531}" srcId="{04F3E9F2-5CB2-5644-81D7-D97740BC68AC}" destId="{ECDA8980-8BBA-6D43-B91D-34DD6A2AF554}" srcOrd="1" destOrd="0" parTransId="{90B99720-1BE6-194D-9658-FA8700EDA4EA}" sibTransId="{ACEB353B-B676-4848-A1E6-3EAB3EC283FC}"/>
    <dgm:cxn modelId="{847C4F27-17E2-6843-855E-B9A1524EF885}" type="presOf" srcId="{24C1DAF2-C9E3-BE47-8F05-D344EFE90552}" destId="{4552AAFD-9201-2D4D-8C68-A976918DC477}" srcOrd="0" destOrd="0" presId="urn:microsoft.com/office/officeart/2008/layout/LinedList"/>
    <dgm:cxn modelId="{6C653D2F-8162-4F49-9F8C-D5CCA5A56BF9}" type="presOf" srcId="{7A69A1A3-EF1C-4949-88EC-995D10E85775}" destId="{E18143D8-BC7C-A54A-86DF-B8CB62E7FD43}" srcOrd="0" destOrd="0" presId="urn:microsoft.com/office/officeart/2008/layout/LinedList"/>
    <dgm:cxn modelId="{2E8D1333-CA28-8446-897C-111647A88988}" type="presOf" srcId="{7DE4E9D3-641D-9442-A225-2115387D4654}" destId="{97579A03-407F-134A-A97D-D52A5458700F}" srcOrd="0" destOrd="0" presId="urn:microsoft.com/office/officeart/2008/layout/LinedList"/>
    <dgm:cxn modelId="{BCFD295D-1E22-B643-BE0D-81D761BB05BD}" type="presOf" srcId="{04F3E9F2-5CB2-5644-81D7-D97740BC68AC}" destId="{A72A042A-95DD-EC49-BA6F-C89B0BF04D7B}" srcOrd="0" destOrd="0" presId="urn:microsoft.com/office/officeart/2008/layout/LinedList"/>
    <dgm:cxn modelId="{556DB868-16A4-B24D-A390-701B1E19F726}" type="presOf" srcId="{ECDA8980-8BBA-6D43-B91D-34DD6A2AF554}" destId="{C5D441AF-77B4-5940-9790-74F7D1CA441A}" srcOrd="0" destOrd="0" presId="urn:microsoft.com/office/officeart/2008/layout/LinedList"/>
    <dgm:cxn modelId="{E18F684C-2A56-EC4F-9C92-C49F158B5406}" type="presOf" srcId="{36BFAA6F-3C34-6140-8555-554864B853F1}" destId="{1B7EF823-640C-9446-A1AA-F14015ACD82D}" srcOrd="0" destOrd="0" presId="urn:microsoft.com/office/officeart/2008/layout/LinedList"/>
    <dgm:cxn modelId="{3121A454-F381-6444-9D3F-0539860D954B}" srcId="{24176523-10CC-6F4C-AFBF-D7604F94B6BA}" destId="{57C0B4B4-4A33-9D48-9FD3-9DCC1D19DBF0}" srcOrd="0" destOrd="0" parTransId="{8EDA4600-48FD-FE40-9062-A9B7E5A2F19C}" sibTransId="{7A325529-840E-824B-AFAF-E89800C2345E}"/>
    <dgm:cxn modelId="{4E5FBA9C-2E03-B749-BC34-29B685043361}" type="presOf" srcId="{57C0B4B4-4A33-9D48-9FD3-9DCC1D19DBF0}" destId="{764B7674-A2D4-794B-999C-F01F74398AEE}" srcOrd="0" destOrd="0" presId="urn:microsoft.com/office/officeart/2008/layout/LinedList"/>
    <dgm:cxn modelId="{CBE57F9D-55BC-084B-A09F-D20A375E9C15}" srcId="{7DE4E9D3-641D-9442-A225-2115387D4654}" destId="{04F3E9F2-5CB2-5644-81D7-D97740BC68AC}" srcOrd="2" destOrd="0" parTransId="{BCFE2B94-B2E5-1C4B-8475-6D7EF2BA8D82}" sibTransId="{398D1E3E-371B-EB4F-BC0F-E9DDA68B1471}"/>
    <dgm:cxn modelId="{D0C80CA1-56DB-DE44-B10D-547C9A94DAD0}" type="presOf" srcId="{1F45BC7C-2EA9-4747-B944-4C027F05389A}" destId="{6C44D500-221D-A942-A330-5DA7B2E692A9}" srcOrd="0" destOrd="0" presId="urn:microsoft.com/office/officeart/2008/layout/LinedList"/>
    <dgm:cxn modelId="{568C90A2-EB38-234D-A133-D9780E866E1F}" srcId="{36BFAA6F-3C34-6140-8555-554864B853F1}" destId="{EDDA1717-4727-5747-BFC0-1852DECE2AA7}" srcOrd="0" destOrd="0" parTransId="{51E323A9-71F4-FB4B-A934-725052731A36}" sibTransId="{513FCFBB-B386-684F-9206-001AABCDB7C5}"/>
    <dgm:cxn modelId="{FB73A8B0-BC6D-1F43-BC63-BE1A13809DD5}" type="presOf" srcId="{3258FB03-663F-FD40-B6C3-0D7139E66664}" destId="{C0B41E48-4E01-C848-8048-A546BA7C84CB}" srcOrd="0" destOrd="0" presId="urn:microsoft.com/office/officeart/2008/layout/LinedList"/>
    <dgm:cxn modelId="{847C23B6-41BE-2142-BF0D-F7A0503512BD}" srcId="{04F3E9F2-5CB2-5644-81D7-D97740BC68AC}" destId="{3258FB03-663F-FD40-B6C3-0D7139E66664}" srcOrd="0" destOrd="0" parTransId="{96FC6819-D0DC-704D-ACBC-F2FC12845B61}" sibTransId="{5B68E379-D9A1-A64B-91A0-66BBACB76AFC}"/>
    <dgm:cxn modelId="{CDEE53C3-CE26-4C46-AA52-39675CC23F5E}" type="presOf" srcId="{D1064B80-3FB7-1C41-8E1E-9359FBC0FCAF}" destId="{6461215E-AFC3-1C44-A57D-FF97F00A3CFF}" srcOrd="0" destOrd="0" presId="urn:microsoft.com/office/officeart/2008/layout/LinedList"/>
    <dgm:cxn modelId="{F887B3D5-9E3C-C649-B32D-D0078298E885}" srcId="{7DE4E9D3-641D-9442-A225-2115387D4654}" destId="{24176523-10CC-6F4C-AFBF-D7604F94B6BA}" srcOrd="1" destOrd="0" parTransId="{FBC60E37-04BF-DB48-A08D-FEF83CBB6DAC}" sibTransId="{67591AEE-CE87-274B-B698-28A511D0D007}"/>
    <dgm:cxn modelId="{E6CBAEE0-4F39-054E-84F3-07182FD5B4C1}" srcId="{7DE4E9D3-641D-9442-A225-2115387D4654}" destId="{D1064B80-3FB7-1C41-8E1E-9359FBC0FCAF}" srcOrd="3" destOrd="0" parTransId="{9B4BD2F1-2229-044F-B22B-3C66554A53D7}" sibTransId="{00341143-38FC-DD4B-8B64-674070AA96E6}"/>
    <dgm:cxn modelId="{781BF7ED-15B1-8249-B59E-F3263A417616}" srcId="{D1064B80-3FB7-1C41-8E1E-9359FBC0FCAF}" destId="{1F45BC7C-2EA9-4747-B944-4C027F05389A}" srcOrd="0" destOrd="0" parTransId="{EFB6CE4B-A249-5343-99D8-50B580EF11AE}" sibTransId="{CC9BFE78-43C9-7646-A7E1-495505FEB4D0}"/>
    <dgm:cxn modelId="{F6978CEF-989C-2A48-9D09-D9D2975CFBAE}" type="presOf" srcId="{EDDA1717-4727-5747-BFC0-1852DECE2AA7}" destId="{432C9C93-2C1A-F24F-AAD6-ABE72914641A}" srcOrd="0" destOrd="0" presId="urn:microsoft.com/office/officeart/2008/layout/LinedList"/>
    <dgm:cxn modelId="{120E3DFF-6F29-4546-9DBC-23BC41540BF6}" srcId="{7DE4E9D3-641D-9442-A225-2115387D4654}" destId="{36BFAA6F-3C34-6140-8555-554864B853F1}" srcOrd="0" destOrd="0" parTransId="{1EE42CDB-1BDC-E848-8799-A3B8E2B3340A}" sibTransId="{2B2AFC96-FE90-CC44-B273-F6DE22D086CA}"/>
    <dgm:cxn modelId="{64581F70-2CFF-224B-876D-20488E2AFDC6}" type="presParOf" srcId="{97579A03-407F-134A-A97D-D52A5458700F}" destId="{CD6D43C1-7437-B14A-A346-CE4EDB3CE038}" srcOrd="0" destOrd="0" presId="urn:microsoft.com/office/officeart/2008/layout/LinedList"/>
    <dgm:cxn modelId="{A9EC4B11-3926-4245-B9C1-355D262395F0}" type="presParOf" srcId="{97579A03-407F-134A-A97D-D52A5458700F}" destId="{F77C9471-D046-4E45-942B-30854F56BE3B}" srcOrd="1" destOrd="0" presId="urn:microsoft.com/office/officeart/2008/layout/LinedList"/>
    <dgm:cxn modelId="{FF06C66B-E07C-4444-A16A-81EFC3C5BAA3}" type="presParOf" srcId="{F77C9471-D046-4E45-942B-30854F56BE3B}" destId="{1B7EF823-640C-9446-A1AA-F14015ACD82D}" srcOrd="0" destOrd="0" presId="urn:microsoft.com/office/officeart/2008/layout/LinedList"/>
    <dgm:cxn modelId="{12B6BE29-DDB0-3C44-8B0A-10EEABA93539}" type="presParOf" srcId="{F77C9471-D046-4E45-942B-30854F56BE3B}" destId="{69511D22-B45D-3B41-A883-738A36577442}" srcOrd="1" destOrd="0" presId="urn:microsoft.com/office/officeart/2008/layout/LinedList"/>
    <dgm:cxn modelId="{F37F14F5-A3B9-AC47-8CF8-AA8517B6D23D}" type="presParOf" srcId="{69511D22-B45D-3B41-A883-738A36577442}" destId="{2074AD48-DFF0-814D-8FFF-2666E7975474}" srcOrd="0" destOrd="0" presId="urn:microsoft.com/office/officeart/2008/layout/LinedList"/>
    <dgm:cxn modelId="{DE7971F5-C99E-1243-ADB2-3D00F1374E90}" type="presParOf" srcId="{69511D22-B45D-3B41-A883-738A36577442}" destId="{9C37D7E2-15FA-F04F-B5D3-1B0A0DDD91AA}" srcOrd="1" destOrd="0" presId="urn:microsoft.com/office/officeart/2008/layout/LinedList"/>
    <dgm:cxn modelId="{FF1AFB49-778D-BB42-9292-2D6A614B1C50}" type="presParOf" srcId="{9C37D7E2-15FA-F04F-B5D3-1B0A0DDD91AA}" destId="{AB0E3DF5-9B3E-E449-800E-B8037F1ED171}" srcOrd="0" destOrd="0" presId="urn:microsoft.com/office/officeart/2008/layout/LinedList"/>
    <dgm:cxn modelId="{314DF16F-A67D-ED44-AB67-220A4CAC844E}" type="presParOf" srcId="{9C37D7E2-15FA-F04F-B5D3-1B0A0DDD91AA}" destId="{432C9C93-2C1A-F24F-AAD6-ABE72914641A}" srcOrd="1" destOrd="0" presId="urn:microsoft.com/office/officeart/2008/layout/LinedList"/>
    <dgm:cxn modelId="{6F1B4D43-F5E5-0E42-940C-E772FACEA024}" type="presParOf" srcId="{9C37D7E2-15FA-F04F-B5D3-1B0A0DDD91AA}" destId="{F00368BE-C056-3E42-ABF2-7FEE249D26CF}" srcOrd="2" destOrd="0" presId="urn:microsoft.com/office/officeart/2008/layout/LinedList"/>
    <dgm:cxn modelId="{3DCDD7C5-AD13-F74D-A0AE-590A461CADB4}" type="presParOf" srcId="{69511D22-B45D-3B41-A883-738A36577442}" destId="{51037398-BCDA-BF42-B716-90D5275B1492}" srcOrd="2" destOrd="0" presId="urn:microsoft.com/office/officeart/2008/layout/LinedList"/>
    <dgm:cxn modelId="{05E7B79A-FA68-734F-A3BD-67EC8C9AED71}" type="presParOf" srcId="{69511D22-B45D-3B41-A883-738A36577442}" destId="{9B5DD99B-7DEA-454C-B8F7-359BE29A44DF}" srcOrd="3" destOrd="0" presId="urn:microsoft.com/office/officeart/2008/layout/LinedList"/>
    <dgm:cxn modelId="{FEFE94F6-446C-3247-84EB-773ACE6A59A4}" type="presParOf" srcId="{97579A03-407F-134A-A97D-D52A5458700F}" destId="{D492F9E6-D123-504F-844F-F35FC73609DA}" srcOrd="2" destOrd="0" presId="urn:microsoft.com/office/officeart/2008/layout/LinedList"/>
    <dgm:cxn modelId="{C5526504-B87E-6A47-95CB-B49B301127F2}" type="presParOf" srcId="{97579A03-407F-134A-A97D-D52A5458700F}" destId="{E49B9A33-5E5F-714E-B37A-93236B8079F7}" srcOrd="3" destOrd="0" presId="urn:microsoft.com/office/officeart/2008/layout/LinedList"/>
    <dgm:cxn modelId="{5F989F63-DEB6-8B4A-AFA2-A7AAF757F287}" type="presParOf" srcId="{E49B9A33-5E5F-714E-B37A-93236B8079F7}" destId="{10BAD2A3-304B-3946-9394-9134C3F19802}" srcOrd="0" destOrd="0" presId="urn:microsoft.com/office/officeart/2008/layout/LinedList"/>
    <dgm:cxn modelId="{1CB2DD97-3C35-0843-BC1C-5332CDE5C637}" type="presParOf" srcId="{E49B9A33-5E5F-714E-B37A-93236B8079F7}" destId="{57978D0B-853B-C942-8714-B15AD4AAACAB}" srcOrd="1" destOrd="0" presId="urn:microsoft.com/office/officeart/2008/layout/LinedList"/>
    <dgm:cxn modelId="{EBBEBBBA-61C8-054C-8F33-709D50FABA5E}" type="presParOf" srcId="{57978D0B-853B-C942-8714-B15AD4AAACAB}" destId="{CD0B7359-4D55-4643-A312-DDA0964FEAC6}" srcOrd="0" destOrd="0" presId="urn:microsoft.com/office/officeart/2008/layout/LinedList"/>
    <dgm:cxn modelId="{E10E0D6E-7235-594D-A141-9FF82E421A19}" type="presParOf" srcId="{57978D0B-853B-C942-8714-B15AD4AAACAB}" destId="{AACE81C8-8CDE-3F49-B9A7-5FEE2AEFA443}" srcOrd="1" destOrd="0" presId="urn:microsoft.com/office/officeart/2008/layout/LinedList"/>
    <dgm:cxn modelId="{9F488A80-397B-2F47-B5A5-3D8164D37CE6}" type="presParOf" srcId="{AACE81C8-8CDE-3F49-B9A7-5FEE2AEFA443}" destId="{369E010F-45FF-1C4C-8F76-4A19670D7E8E}" srcOrd="0" destOrd="0" presId="urn:microsoft.com/office/officeart/2008/layout/LinedList"/>
    <dgm:cxn modelId="{79602D83-FCE3-7647-B43E-B550A33FD80C}" type="presParOf" srcId="{AACE81C8-8CDE-3F49-B9A7-5FEE2AEFA443}" destId="{764B7674-A2D4-794B-999C-F01F74398AEE}" srcOrd="1" destOrd="0" presId="urn:microsoft.com/office/officeart/2008/layout/LinedList"/>
    <dgm:cxn modelId="{5F0540CC-C713-504B-A4C3-F7C976942BC4}" type="presParOf" srcId="{AACE81C8-8CDE-3F49-B9A7-5FEE2AEFA443}" destId="{12806AA2-FB98-2148-BA4B-2D1416029A92}" srcOrd="2" destOrd="0" presId="urn:microsoft.com/office/officeart/2008/layout/LinedList"/>
    <dgm:cxn modelId="{67EF2072-7E31-064B-A8FA-9A6BC9325A5D}" type="presParOf" srcId="{57978D0B-853B-C942-8714-B15AD4AAACAB}" destId="{9C541C40-A36E-864A-9135-EA68A0D81990}" srcOrd="2" destOrd="0" presId="urn:microsoft.com/office/officeart/2008/layout/LinedList"/>
    <dgm:cxn modelId="{0C661D2E-310E-2D4B-8579-86C8D6D88948}" type="presParOf" srcId="{57978D0B-853B-C942-8714-B15AD4AAACAB}" destId="{C5143BE1-F752-AE42-A179-0CAA32213029}" srcOrd="3" destOrd="0" presId="urn:microsoft.com/office/officeart/2008/layout/LinedList"/>
    <dgm:cxn modelId="{CB8F1965-62AA-0343-A563-43474EC464AE}" type="presParOf" srcId="{57978D0B-853B-C942-8714-B15AD4AAACAB}" destId="{A79AE21E-25CF-EC49-8A82-068A105FD2B6}" srcOrd="4" destOrd="0" presId="urn:microsoft.com/office/officeart/2008/layout/LinedList"/>
    <dgm:cxn modelId="{3050B0A0-9A7D-7947-B5DB-0D4D777E6F21}" type="presParOf" srcId="{A79AE21E-25CF-EC49-8A82-068A105FD2B6}" destId="{C9019B7E-23B1-D547-9E46-C1EC910C7EB0}" srcOrd="0" destOrd="0" presId="urn:microsoft.com/office/officeart/2008/layout/LinedList"/>
    <dgm:cxn modelId="{0A6212D9-484B-8240-AC83-EDE61480B37E}" type="presParOf" srcId="{A79AE21E-25CF-EC49-8A82-068A105FD2B6}" destId="{4552AAFD-9201-2D4D-8C68-A976918DC477}" srcOrd="1" destOrd="0" presId="urn:microsoft.com/office/officeart/2008/layout/LinedList"/>
    <dgm:cxn modelId="{69AFA72B-9E29-BC43-ABC2-876909023315}" type="presParOf" srcId="{A79AE21E-25CF-EC49-8A82-068A105FD2B6}" destId="{2B0E4FC0-9EF5-074B-857A-B9C59DAAC1AB}" srcOrd="2" destOrd="0" presId="urn:microsoft.com/office/officeart/2008/layout/LinedList"/>
    <dgm:cxn modelId="{25C5AEE9-6F6C-5D4E-849A-0E0A1D20DA09}" type="presParOf" srcId="{57978D0B-853B-C942-8714-B15AD4AAACAB}" destId="{8EA8B8B0-FAC9-9D46-8DDA-02620A422C1C}" srcOrd="5" destOrd="0" presId="urn:microsoft.com/office/officeart/2008/layout/LinedList"/>
    <dgm:cxn modelId="{5D07BE24-36C2-2744-A276-660D4E56DC6F}" type="presParOf" srcId="{57978D0B-853B-C942-8714-B15AD4AAACAB}" destId="{5EBE7429-34E0-CA4B-90E9-EA679F658908}" srcOrd="6" destOrd="0" presId="urn:microsoft.com/office/officeart/2008/layout/LinedList"/>
    <dgm:cxn modelId="{E0A5E949-5B13-1C47-B214-53B6912668AE}" type="presParOf" srcId="{97579A03-407F-134A-A97D-D52A5458700F}" destId="{7942E2CA-5914-D14E-970C-05CC493F0C33}" srcOrd="4" destOrd="0" presId="urn:microsoft.com/office/officeart/2008/layout/LinedList"/>
    <dgm:cxn modelId="{7432020E-15A0-2D42-8CD9-51548F4EC426}" type="presParOf" srcId="{97579A03-407F-134A-A97D-D52A5458700F}" destId="{083CABDD-A390-0746-B4DB-C45CF62FB52E}" srcOrd="5" destOrd="0" presId="urn:microsoft.com/office/officeart/2008/layout/LinedList"/>
    <dgm:cxn modelId="{91D12CCE-462B-4447-8485-6255303F0487}" type="presParOf" srcId="{083CABDD-A390-0746-B4DB-C45CF62FB52E}" destId="{A72A042A-95DD-EC49-BA6F-C89B0BF04D7B}" srcOrd="0" destOrd="0" presId="urn:microsoft.com/office/officeart/2008/layout/LinedList"/>
    <dgm:cxn modelId="{BDE37108-067C-8440-B76D-A5375E2CB40D}" type="presParOf" srcId="{083CABDD-A390-0746-B4DB-C45CF62FB52E}" destId="{BBD13A3F-758E-5B4C-93F5-A73264ED1528}" srcOrd="1" destOrd="0" presId="urn:microsoft.com/office/officeart/2008/layout/LinedList"/>
    <dgm:cxn modelId="{EDFEB603-1A19-0245-9ABB-BD25B453EE7D}" type="presParOf" srcId="{BBD13A3F-758E-5B4C-93F5-A73264ED1528}" destId="{999E52F7-86A4-ED4E-80B5-A627E97DC79F}" srcOrd="0" destOrd="0" presId="urn:microsoft.com/office/officeart/2008/layout/LinedList"/>
    <dgm:cxn modelId="{29FF24D3-256C-ED40-9F55-C11938E8653E}" type="presParOf" srcId="{BBD13A3F-758E-5B4C-93F5-A73264ED1528}" destId="{C95E634C-9C01-734D-8F34-BD740F3BB33B}" srcOrd="1" destOrd="0" presId="urn:microsoft.com/office/officeart/2008/layout/LinedList"/>
    <dgm:cxn modelId="{85DB7409-D00B-3840-B58D-E2C2F58F2206}" type="presParOf" srcId="{C95E634C-9C01-734D-8F34-BD740F3BB33B}" destId="{371AC29A-1054-5B44-91A1-12F7887A50FF}" srcOrd="0" destOrd="0" presId="urn:microsoft.com/office/officeart/2008/layout/LinedList"/>
    <dgm:cxn modelId="{75431428-788A-5947-967B-74A86237154A}" type="presParOf" srcId="{C95E634C-9C01-734D-8F34-BD740F3BB33B}" destId="{C0B41E48-4E01-C848-8048-A546BA7C84CB}" srcOrd="1" destOrd="0" presId="urn:microsoft.com/office/officeart/2008/layout/LinedList"/>
    <dgm:cxn modelId="{3D25B2AB-A037-9D43-9DEB-77241140C914}" type="presParOf" srcId="{C95E634C-9C01-734D-8F34-BD740F3BB33B}" destId="{21A182A7-4593-FF48-81CF-763D9D93462D}" srcOrd="2" destOrd="0" presId="urn:microsoft.com/office/officeart/2008/layout/LinedList"/>
    <dgm:cxn modelId="{3031F07A-DA7C-594C-B6C2-A06FE30AE59B}" type="presParOf" srcId="{BBD13A3F-758E-5B4C-93F5-A73264ED1528}" destId="{1CA50F1F-CD8B-7543-B750-0D3E703EB466}" srcOrd="2" destOrd="0" presId="urn:microsoft.com/office/officeart/2008/layout/LinedList"/>
    <dgm:cxn modelId="{132E905C-716C-4F4A-AC9C-C0C1868DF3DF}" type="presParOf" srcId="{BBD13A3F-758E-5B4C-93F5-A73264ED1528}" destId="{681AE8A1-0F64-FA48-8A9F-4AB3E6137A71}" srcOrd="3" destOrd="0" presId="urn:microsoft.com/office/officeart/2008/layout/LinedList"/>
    <dgm:cxn modelId="{775DAB48-7321-2449-A08D-D90CB75D20BC}" type="presParOf" srcId="{BBD13A3F-758E-5B4C-93F5-A73264ED1528}" destId="{73C61FE4-13DD-B245-8C60-F60006293677}" srcOrd="4" destOrd="0" presId="urn:microsoft.com/office/officeart/2008/layout/LinedList"/>
    <dgm:cxn modelId="{7A2384CE-1CC2-0A45-BA38-414D8EAB5651}" type="presParOf" srcId="{73C61FE4-13DD-B245-8C60-F60006293677}" destId="{B0C7F5C4-6C5A-8F40-9124-5C18D51D97D1}" srcOrd="0" destOrd="0" presId="urn:microsoft.com/office/officeart/2008/layout/LinedList"/>
    <dgm:cxn modelId="{769D24B3-7650-914A-9CE1-7D01CE4F20A0}" type="presParOf" srcId="{73C61FE4-13DD-B245-8C60-F60006293677}" destId="{C5D441AF-77B4-5940-9790-74F7D1CA441A}" srcOrd="1" destOrd="0" presId="urn:microsoft.com/office/officeart/2008/layout/LinedList"/>
    <dgm:cxn modelId="{1A6FC7AC-BD31-6445-A8B5-FFA3784CE62E}" type="presParOf" srcId="{73C61FE4-13DD-B245-8C60-F60006293677}" destId="{B1ED3F26-FF94-0240-AA08-E0BBB07CF3A9}" srcOrd="2" destOrd="0" presId="urn:microsoft.com/office/officeart/2008/layout/LinedList"/>
    <dgm:cxn modelId="{7367EA58-8479-B746-9511-07E30113A4B7}" type="presParOf" srcId="{BBD13A3F-758E-5B4C-93F5-A73264ED1528}" destId="{4D77CD7E-4C1C-2448-9AC0-349F9DA9C95E}" srcOrd="5" destOrd="0" presId="urn:microsoft.com/office/officeart/2008/layout/LinedList"/>
    <dgm:cxn modelId="{E4CD5C6A-E34B-F840-99C4-C50FE0CE174A}" type="presParOf" srcId="{BBD13A3F-758E-5B4C-93F5-A73264ED1528}" destId="{BA99544E-7E73-2442-87D2-7AEDABC76962}" srcOrd="6" destOrd="0" presId="urn:microsoft.com/office/officeart/2008/layout/LinedList"/>
    <dgm:cxn modelId="{C8ED42F8-FD53-9049-A5E4-E51327D1F20E}" type="presParOf" srcId="{97579A03-407F-134A-A97D-D52A5458700F}" destId="{AF07896F-E2EF-DF4F-B6EB-36376E3689FA}" srcOrd="6" destOrd="0" presId="urn:microsoft.com/office/officeart/2008/layout/LinedList"/>
    <dgm:cxn modelId="{F96395E0-EF69-504F-8EC7-A4972418AF7F}" type="presParOf" srcId="{97579A03-407F-134A-A97D-D52A5458700F}" destId="{87C411C1-54F7-FD4E-A34B-00D713C1BCB4}" srcOrd="7" destOrd="0" presId="urn:microsoft.com/office/officeart/2008/layout/LinedList"/>
    <dgm:cxn modelId="{A44C2C65-E53F-6D40-BC70-784416652F6C}" type="presParOf" srcId="{87C411C1-54F7-FD4E-A34B-00D713C1BCB4}" destId="{6461215E-AFC3-1C44-A57D-FF97F00A3CFF}" srcOrd="0" destOrd="0" presId="urn:microsoft.com/office/officeart/2008/layout/LinedList"/>
    <dgm:cxn modelId="{D741F6E4-8D77-8E42-90F9-B223E4B499B1}" type="presParOf" srcId="{87C411C1-54F7-FD4E-A34B-00D713C1BCB4}" destId="{F6105D0D-7777-CA4B-B7DB-EEE57172E2A3}" srcOrd="1" destOrd="0" presId="urn:microsoft.com/office/officeart/2008/layout/LinedList"/>
    <dgm:cxn modelId="{2A1E2EF9-070B-8F4E-A0BF-A5C04C4F7D50}" type="presParOf" srcId="{F6105D0D-7777-CA4B-B7DB-EEE57172E2A3}" destId="{CA2F8C85-5EA0-BB4C-98E2-5D98FAED429C}" srcOrd="0" destOrd="0" presId="urn:microsoft.com/office/officeart/2008/layout/LinedList"/>
    <dgm:cxn modelId="{6DE51342-E446-5841-8E61-498788BCEA00}" type="presParOf" srcId="{F6105D0D-7777-CA4B-B7DB-EEE57172E2A3}" destId="{36AF5281-96D9-934A-9080-204C48821391}" srcOrd="1" destOrd="0" presId="urn:microsoft.com/office/officeart/2008/layout/LinedList"/>
    <dgm:cxn modelId="{AF8A87BF-BB56-A44F-A055-410727070A8E}" type="presParOf" srcId="{36AF5281-96D9-934A-9080-204C48821391}" destId="{AD9BC8C4-2F53-1441-A292-BD8E33FFEC52}" srcOrd="0" destOrd="0" presId="urn:microsoft.com/office/officeart/2008/layout/LinedList"/>
    <dgm:cxn modelId="{DFEE52D6-E283-7141-A229-CA4727AEB5C9}" type="presParOf" srcId="{36AF5281-96D9-934A-9080-204C48821391}" destId="{6C44D500-221D-A942-A330-5DA7B2E692A9}" srcOrd="1" destOrd="0" presId="urn:microsoft.com/office/officeart/2008/layout/LinedList"/>
    <dgm:cxn modelId="{F09FEBD0-E85B-B241-B01C-CB11FD585BE6}" type="presParOf" srcId="{36AF5281-96D9-934A-9080-204C48821391}" destId="{CFCC8A27-70E5-154B-A304-B92F45BA6EF0}" srcOrd="2" destOrd="0" presId="urn:microsoft.com/office/officeart/2008/layout/LinedList"/>
    <dgm:cxn modelId="{97F96C73-DF69-B949-87AB-85A1E95D938D}" type="presParOf" srcId="{F6105D0D-7777-CA4B-B7DB-EEE57172E2A3}" destId="{85A941C2-925F-E34D-8E8D-6959B6B3E7AB}" srcOrd="2" destOrd="0" presId="urn:microsoft.com/office/officeart/2008/layout/LinedList"/>
    <dgm:cxn modelId="{9AB86631-18DE-254A-BDD4-4CEBAD309C3D}" type="presParOf" srcId="{F6105D0D-7777-CA4B-B7DB-EEE57172E2A3}" destId="{B8280A28-32AA-1D44-BF2B-04F8B11FC41F}" srcOrd="3" destOrd="0" presId="urn:microsoft.com/office/officeart/2008/layout/LinedList"/>
    <dgm:cxn modelId="{ECA3F85D-F26E-5E42-80CF-16308FDE7BD9}" type="presParOf" srcId="{F6105D0D-7777-CA4B-B7DB-EEE57172E2A3}" destId="{F91A8202-F123-6A4B-914F-AAB6B2D88DE5}" srcOrd="4" destOrd="0" presId="urn:microsoft.com/office/officeart/2008/layout/LinedList"/>
    <dgm:cxn modelId="{50406666-728F-4F44-854F-CFDDBB480219}" type="presParOf" srcId="{F91A8202-F123-6A4B-914F-AAB6B2D88DE5}" destId="{A40D05C6-3C39-3D4B-8DF9-34539BDE9522}" srcOrd="0" destOrd="0" presId="urn:microsoft.com/office/officeart/2008/layout/LinedList"/>
    <dgm:cxn modelId="{568079D4-E8B7-B54E-8507-DF9D7366218B}" type="presParOf" srcId="{F91A8202-F123-6A4B-914F-AAB6B2D88DE5}" destId="{E18143D8-BC7C-A54A-86DF-B8CB62E7FD43}" srcOrd="1" destOrd="0" presId="urn:microsoft.com/office/officeart/2008/layout/LinedList"/>
    <dgm:cxn modelId="{5E2133B8-AD3E-744C-A23C-5FF38DF3EA77}" type="presParOf" srcId="{F91A8202-F123-6A4B-914F-AAB6B2D88DE5}" destId="{7A94C35D-8B9A-E742-A2CF-9184183115C7}" srcOrd="2" destOrd="0" presId="urn:microsoft.com/office/officeart/2008/layout/LinedList"/>
    <dgm:cxn modelId="{7CEC216E-1922-144F-B1DB-AB7B009DB752}" type="presParOf" srcId="{F6105D0D-7777-CA4B-B7DB-EEE57172E2A3}" destId="{28138D3C-DF30-274F-8750-672012F3ABE6}" srcOrd="5" destOrd="0" presId="urn:microsoft.com/office/officeart/2008/layout/LinedList"/>
    <dgm:cxn modelId="{D7FD7B46-06FA-964A-B9D1-367A52F98BD3}" type="presParOf" srcId="{F6105D0D-7777-CA4B-B7DB-EEE57172E2A3}" destId="{C5E61B61-EB03-D448-9413-6EB909B4834C}" srcOrd="6" destOrd="0" presId="urn:microsoft.com/office/officeart/2008/layout/LinedList"/>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70B0CA-91B8-0840-A9E5-2BEC815C0F04}">
      <dsp:nvSpPr>
        <dsp:cNvPr id="0" name=""/>
        <dsp:cNvSpPr/>
      </dsp:nvSpPr>
      <dsp:spPr>
        <a:xfrm rot="5400000">
          <a:off x="-128302" y="122542"/>
          <a:ext cx="913284" cy="674057"/>
        </a:xfrm>
        <a:prstGeom prst="chevron">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GB" sz="1050" b="1" kern="1200"/>
            <a:t>Stage one </a:t>
          </a:r>
        </a:p>
      </dsp:txBody>
      <dsp:txXfrm rot="-5400000">
        <a:off x="-8688" y="339958"/>
        <a:ext cx="674057" cy="239227"/>
      </dsp:txXfrm>
    </dsp:sp>
    <dsp:sp modelId="{DC545B5B-9772-8548-8D77-1BC85D4F5CE7}">
      <dsp:nvSpPr>
        <dsp:cNvPr id="0" name=""/>
        <dsp:cNvSpPr/>
      </dsp:nvSpPr>
      <dsp:spPr>
        <a:xfrm rot="5400000">
          <a:off x="2844945" y="-2196954"/>
          <a:ext cx="593634" cy="4987548"/>
        </a:xfrm>
        <a:prstGeom prst="round2SameRect">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GB" sz="1100" kern="1200"/>
            <a:t>Blind thematic review - </a:t>
          </a:r>
          <a:r>
            <a:rPr lang="en-GB" sz="1100" i="1" kern="1200"/>
            <a:t>Undertaken by the research team individually</a:t>
          </a:r>
          <a:endParaRPr lang="en-GB" sz="1100" kern="1200"/>
        </a:p>
      </dsp:txBody>
      <dsp:txXfrm rot="-5400000">
        <a:off x="647989" y="28981"/>
        <a:ext cx="4958569" cy="535676"/>
      </dsp:txXfrm>
    </dsp:sp>
    <dsp:sp modelId="{0758CFF2-2C78-D04E-8430-3CBF5A90325D}">
      <dsp:nvSpPr>
        <dsp:cNvPr id="0" name=""/>
        <dsp:cNvSpPr/>
      </dsp:nvSpPr>
      <dsp:spPr>
        <a:xfrm rot="5400000">
          <a:off x="-128302" y="882961"/>
          <a:ext cx="913284" cy="674057"/>
        </a:xfrm>
        <a:prstGeom prst="chevron">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GB" sz="1050" b="1" kern="1200"/>
            <a:t>Stage two </a:t>
          </a:r>
        </a:p>
      </dsp:txBody>
      <dsp:txXfrm rot="-5400000">
        <a:off x="-8688" y="1100377"/>
        <a:ext cx="674057" cy="239227"/>
      </dsp:txXfrm>
    </dsp:sp>
    <dsp:sp modelId="{382C6953-905E-7C41-B9FB-74925DDEE4B8}">
      <dsp:nvSpPr>
        <dsp:cNvPr id="0" name=""/>
        <dsp:cNvSpPr/>
      </dsp:nvSpPr>
      <dsp:spPr>
        <a:xfrm rot="5400000">
          <a:off x="2844945" y="-1436541"/>
          <a:ext cx="593634" cy="4987548"/>
        </a:xfrm>
        <a:prstGeom prst="round2SameRect">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GB" sz="1100" kern="1200"/>
            <a:t>Developing theme categories - </a:t>
          </a:r>
          <a:r>
            <a:rPr lang="en-GB" sz="1100" i="1" kern="1200"/>
            <a:t>Undertaken by the research team</a:t>
          </a:r>
          <a:r>
            <a:rPr lang="en-GB" sz="1100" kern="1200"/>
            <a:t> </a:t>
          </a:r>
          <a:r>
            <a:rPr lang="en-GB" sz="1100" i="1" kern="1200"/>
            <a:t>collaboratively</a:t>
          </a:r>
        </a:p>
      </dsp:txBody>
      <dsp:txXfrm rot="-5400000">
        <a:off x="647989" y="789394"/>
        <a:ext cx="4958569" cy="535676"/>
      </dsp:txXfrm>
    </dsp:sp>
    <dsp:sp modelId="{2075028C-3C5A-B649-BFF1-AD835E627887}">
      <dsp:nvSpPr>
        <dsp:cNvPr id="0" name=""/>
        <dsp:cNvSpPr/>
      </dsp:nvSpPr>
      <dsp:spPr>
        <a:xfrm rot="5400000">
          <a:off x="-128302" y="1643380"/>
          <a:ext cx="913284" cy="674057"/>
        </a:xfrm>
        <a:prstGeom prst="chevron">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GB" sz="1050" b="1" kern="1200"/>
            <a:t>Stage three</a:t>
          </a:r>
        </a:p>
      </dsp:txBody>
      <dsp:txXfrm rot="-5400000">
        <a:off x="-8688" y="1860796"/>
        <a:ext cx="674057" cy="239227"/>
      </dsp:txXfrm>
    </dsp:sp>
    <dsp:sp modelId="{58C81AD9-261E-A94E-8917-D1A7EA615DBB}">
      <dsp:nvSpPr>
        <dsp:cNvPr id="0" name=""/>
        <dsp:cNvSpPr/>
      </dsp:nvSpPr>
      <dsp:spPr>
        <a:xfrm rot="5400000">
          <a:off x="2844789" y="-675967"/>
          <a:ext cx="593946" cy="4987548"/>
        </a:xfrm>
        <a:prstGeom prst="round2SameRect">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GB" sz="1100" kern="1200"/>
            <a:t>Drawing insights from themes - </a:t>
          </a:r>
          <a:r>
            <a:rPr lang="en-GB" sz="1100" i="1" kern="1200"/>
            <a:t>Undertaken by the research team collaboratively</a:t>
          </a:r>
          <a:endParaRPr lang="en-GB" sz="1100" kern="1200"/>
        </a:p>
      </dsp:txBody>
      <dsp:txXfrm rot="-5400000">
        <a:off x="647988" y="1549828"/>
        <a:ext cx="4958554" cy="535958"/>
      </dsp:txXfrm>
    </dsp:sp>
    <dsp:sp modelId="{CF67EF8C-6056-764A-B564-68935927AA19}">
      <dsp:nvSpPr>
        <dsp:cNvPr id="0" name=""/>
        <dsp:cNvSpPr/>
      </dsp:nvSpPr>
      <dsp:spPr>
        <a:xfrm rot="5400000">
          <a:off x="-128302" y="2403800"/>
          <a:ext cx="913284" cy="674057"/>
        </a:xfrm>
        <a:prstGeom prst="chevron">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GB" sz="1050" b="1" kern="1200"/>
            <a:t>Stage four</a:t>
          </a:r>
        </a:p>
      </dsp:txBody>
      <dsp:txXfrm rot="-5400000">
        <a:off x="-8688" y="2621216"/>
        <a:ext cx="674057" cy="239227"/>
      </dsp:txXfrm>
    </dsp:sp>
    <dsp:sp modelId="{4E301BCC-892A-FD4B-9AB2-D93171177BD0}">
      <dsp:nvSpPr>
        <dsp:cNvPr id="0" name=""/>
        <dsp:cNvSpPr/>
      </dsp:nvSpPr>
      <dsp:spPr>
        <a:xfrm rot="5400000">
          <a:off x="2844945" y="84297"/>
          <a:ext cx="593634" cy="4987548"/>
        </a:xfrm>
        <a:prstGeom prst="round2SameRect">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GB" sz="1100" kern="1200"/>
            <a:t>Drawing  connections between themes and policy - </a:t>
          </a:r>
          <a:r>
            <a:rPr lang="en-GB" sz="1100" i="1" kern="1200"/>
            <a:t>Undertaken by the research team collaboratively </a:t>
          </a:r>
          <a:endParaRPr lang="en-GB" sz="1100" kern="1200"/>
        </a:p>
      </dsp:txBody>
      <dsp:txXfrm rot="-5400000">
        <a:off x="647989" y="2310233"/>
        <a:ext cx="4958569" cy="53567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6D43C1-7437-B14A-A346-CE4EDB3CE038}">
      <dsp:nvSpPr>
        <dsp:cNvPr id="0" name=""/>
        <dsp:cNvSpPr/>
      </dsp:nvSpPr>
      <dsp:spPr>
        <a:xfrm>
          <a:off x="0" y="0"/>
          <a:ext cx="573151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B7EF823-640C-9446-A1AA-F14015ACD82D}">
      <dsp:nvSpPr>
        <dsp:cNvPr id="0" name=""/>
        <dsp:cNvSpPr/>
      </dsp:nvSpPr>
      <dsp:spPr>
        <a:xfrm>
          <a:off x="0" y="0"/>
          <a:ext cx="1146302" cy="84899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GB" sz="1000" b="1" kern="1200" dirty="0"/>
            <a:t>Approved Learning Frameworks (ALFs)</a:t>
          </a:r>
        </a:p>
        <a:p>
          <a:pPr marL="0" lvl="0" indent="0" algn="l" defTabSz="444500">
            <a:lnSpc>
              <a:spcPct val="90000"/>
            </a:lnSpc>
            <a:spcBef>
              <a:spcPct val="0"/>
            </a:spcBef>
            <a:spcAft>
              <a:spcPct val="35000"/>
            </a:spcAft>
            <a:buNone/>
          </a:pPr>
          <a:endParaRPr lang="en-GB" sz="1000" b="1" kern="1200" dirty="0"/>
        </a:p>
      </dsp:txBody>
      <dsp:txXfrm>
        <a:off x="0" y="0"/>
        <a:ext cx="1146302" cy="848994"/>
      </dsp:txXfrm>
    </dsp:sp>
    <dsp:sp modelId="{432C9C93-2C1A-F24F-AAD6-ABE72914641A}">
      <dsp:nvSpPr>
        <dsp:cNvPr id="0" name=""/>
        <dsp:cNvSpPr/>
      </dsp:nvSpPr>
      <dsp:spPr>
        <a:xfrm>
          <a:off x="1232274" y="38552"/>
          <a:ext cx="4499235" cy="7710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GB" sz="1000" kern="1200" dirty="0"/>
            <a:t>Children were consulted in updated (2023) versions of </a:t>
          </a:r>
          <a:r>
            <a:rPr lang="en-GB" sz="1000" i="1" kern="1200" dirty="0"/>
            <a:t>Belonging, Being and Becoming </a:t>
          </a:r>
          <a:r>
            <a:rPr lang="en-GB" sz="1000" i="0" kern="1200" dirty="0"/>
            <a:t>(The Early Years Learning Framework for Australia 2.0) and </a:t>
          </a:r>
          <a:r>
            <a:rPr lang="en-GB" sz="1000" i="1" kern="1200" dirty="0"/>
            <a:t>My Time Our Place</a:t>
          </a:r>
          <a:r>
            <a:rPr lang="en-GB" sz="1000" i="0" kern="1200" dirty="0"/>
            <a:t> (Framework for School Age Care in Australia 2.0)</a:t>
          </a:r>
          <a:endParaRPr lang="en-GB" sz="1000" kern="1200" dirty="0"/>
        </a:p>
      </dsp:txBody>
      <dsp:txXfrm>
        <a:off x="1232274" y="38552"/>
        <a:ext cx="4499235" cy="771059"/>
      </dsp:txXfrm>
    </dsp:sp>
    <dsp:sp modelId="{51037398-BCDA-BF42-B716-90D5275B1492}">
      <dsp:nvSpPr>
        <dsp:cNvPr id="0" name=""/>
        <dsp:cNvSpPr/>
      </dsp:nvSpPr>
      <dsp:spPr>
        <a:xfrm>
          <a:off x="1146302" y="809612"/>
          <a:ext cx="4585208"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492F9E6-D123-504F-844F-F35FC73609DA}">
      <dsp:nvSpPr>
        <dsp:cNvPr id="0" name=""/>
        <dsp:cNvSpPr/>
      </dsp:nvSpPr>
      <dsp:spPr>
        <a:xfrm>
          <a:off x="0" y="848995"/>
          <a:ext cx="573151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0BAD2A3-304B-3946-9394-9134C3F19802}">
      <dsp:nvSpPr>
        <dsp:cNvPr id="0" name=""/>
        <dsp:cNvSpPr/>
      </dsp:nvSpPr>
      <dsp:spPr>
        <a:xfrm>
          <a:off x="0" y="848994"/>
          <a:ext cx="1146302" cy="84899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GB" sz="1000" b="1" kern="1200" dirty="0"/>
            <a:t>Department of Social Services and Australian Human Rights Commission</a:t>
          </a:r>
        </a:p>
        <a:p>
          <a:pPr marL="0" lvl="0" indent="0" algn="l" defTabSz="444500">
            <a:lnSpc>
              <a:spcPct val="90000"/>
            </a:lnSpc>
            <a:spcBef>
              <a:spcPct val="0"/>
            </a:spcBef>
            <a:spcAft>
              <a:spcPct val="35000"/>
            </a:spcAft>
            <a:buNone/>
          </a:pPr>
          <a:endParaRPr lang="en-GB" sz="1000" b="1" kern="1200" dirty="0"/>
        </a:p>
      </dsp:txBody>
      <dsp:txXfrm>
        <a:off x="0" y="848994"/>
        <a:ext cx="1146302" cy="848994"/>
      </dsp:txXfrm>
    </dsp:sp>
    <dsp:sp modelId="{764B7674-A2D4-794B-999C-F01F74398AEE}">
      <dsp:nvSpPr>
        <dsp:cNvPr id="0" name=""/>
        <dsp:cNvSpPr/>
      </dsp:nvSpPr>
      <dsp:spPr>
        <a:xfrm>
          <a:off x="1232274" y="868727"/>
          <a:ext cx="4499235" cy="3946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GB" sz="1000" kern="1200" dirty="0"/>
            <a:t>Children consulted in development of </a:t>
          </a:r>
          <a:r>
            <a:rPr lang="en-GB" sz="1000" i="1" kern="1200" dirty="0"/>
            <a:t>Safe and Supported: The National Framework for Protecting Australia’s Children 2021-2031</a:t>
          </a:r>
          <a:endParaRPr lang="en-GB" sz="1000" kern="1200" dirty="0"/>
        </a:p>
      </dsp:txBody>
      <dsp:txXfrm>
        <a:off x="1232274" y="868727"/>
        <a:ext cx="4499235" cy="394650"/>
      </dsp:txXfrm>
    </dsp:sp>
    <dsp:sp modelId="{9C541C40-A36E-864A-9135-EA68A0D81990}">
      <dsp:nvSpPr>
        <dsp:cNvPr id="0" name=""/>
        <dsp:cNvSpPr/>
      </dsp:nvSpPr>
      <dsp:spPr>
        <a:xfrm>
          <a:off x="1146302" y="1263377"/>
          <a:ext cx="4585208"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552AAFD-9201-2D4D-8C68-A976918DC477}">
      <dsp:nvSpPr>
        <dsp:cNvPr id="0" name=""/>
        <dsp:cNvSpPr/>
      </dsp:nvSpPr>
      <dsp:spPr>
        <a:xfrm>
          <a:off x="1232274" y="1283110"/>
          <a:ext cx="4499235" cy="3946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GB" sz="1000" kern="1200" dirty="0"/>
            <a:t>Consultations led by National Children’s Commissioner Anne </a:t>
          </a:r>
          <a:r>
            <a:rPr lang="en-GB" sz="1000" kern="1200" dirty="0" err="1"/>
            <a:t>Hollonds</a:t>
          </a:r>
          <a:endParaRPr lang="en-GB" sz="1000" kern="1200" dirty="0"/>
        </a:p>
      </dsp:txBody>
      <dsp:txXfrm>
        <a:off x="1232274" y="1283110"/>
        <a:ext cx="4499235" cy="394650"/>
      </dsp:txXfrm>
    </dsp:sp>
    <dsp:sp modelId="{8EA8B8B0-FAC9-9D46-8DDA-02620A422C1C}">
      <dsp:nvSpPr>
        <dsp:cNvPr id="0" name=""/>
        <dsp:cNvSpPr/>
      </dsp:nvSpPr>
      <dsp:spPr>
        <a:xfrm>
          <a:off x="1146302" y="1677760"/>
          <a:ext cx="4585208"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942E2CA-5914-D14E-970C-05CC493F0C33}">
      <dsp:nvSpPr>
        <dsp:cNvPr id="0" name=""/>
        <dsp:cNvSpPr/>
      </dsp:nvSpPr>
      <dsp:spPr>
        <a:xfrm>
          <a:off x="0" y="1697990"/>
          <a:ext cx="573151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72A042A-95DD-EC49-BA6F-C89B0BF04D7B}">
      <dsp:nvSpPr>
        <dsp:cNvPr id="0" name=""/>
        <dsp:cNvSpPr/>
      </dsp:nvSpPr>
      <dsp:spPr>
        <a:xfrm>
          <a:off x="0" y="1697989"/>
          <a:ext cx="1146302" cy="84899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GB" sz="1000" b="1" kern="1200" dirty="0"/>
            <a:t>Australian Department of Education and </a:t>
          </a:r>
          <a:r>
            <a:rPr lang="en-GB" sz="1000" b="1" kern="1200" dirty="0" err="1"/>
            <a:t>UniSA</a:t>
          </a:r>
          <a:endParaRPr lang="en-GB" sz="1000" b="1" kern="1200" dirty="0"/>
        </a:p>
        <a:p>
          <a:pPr marL="0" lvl="0" indent="0" algn="l" defTabSz="444500">
            <a:lnSpc>
              <a:spcPct val="90000"/>
            </a:lnSpc>
            <a:spcBef>
              <a:spcPct val="0"/>
            </a:spcBef>
            <a:spcAft>
              <a:spcPct val="35000"/>
            </a:spcAft>
            <a:buNone/>
          </a:pPr>
          <a:endParaRPr lang="en-GB" sz="1000" b="1" kern="1200" dirty="0"/>
        </a:p>
      </dsp:txBody>
      <dsp:txXfrm>
        <a:off x="0" y="1697989"/>
        <a:ext cx="1146302" cy="848994"/>
      </dsp:txXfrm>
    </dsp:sp>
    <dsp:sp modelId="{C0B41E48-4E01-C848-8048-A546BA7C84CB}">
      <dsp:nvSpPr>
        <dsp:cNvPr id="0" name=""/>
        <dsp:cNvSpPr/>
      </dsp:nvSpPr>
      <dsp:spPr>
        <a:xfrm>
          <a:off x="1232274" y="1717722"/>
          <a:ext cx="4499235" cy="3946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GB" sz="1000" kern="1200" dirty="0"/>
            <a:t>This partnership consulted with children to inform its work developing child-friendly local councils</a:t>
          </a:r>
        </a:p>
      </dsp:txBody>
      <dsp:txXfrm>
        <a:off x="1232274" y="1717722"/>
        <a:ext cx="4499235" cy="394650"/>
      </dsp:txXfrm>
    </dsp:sp>
    <dsp:sp modelId="{1CA50F1F-CD8B-7543-B750-0D3E703EB466}">
      <dsp:nvSpPr>
        <dsp:cNvPr id="0" name=""/>
        <dsp:cNvSpPr/>
      </dsp:nvSpPr>
      <dsp:spPr>
        <a:xfrm>
          <a:off x="1146302" y="2112372"/>
          <a:ext cx="4585208"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5D441AF-77B4-5940-9790-74F7D1CA441A}">
      <dsp:nvSpPr>
        <dsp:cNvPr id="0" name=""/>
        <dsp:cNvSpPr/>
      </dsp:nvSpPr>
      <dsp:spPr>
        <a:xfrm>
          <a:off x="1232274" y="2132105"/>
          <a:ext cx="4499235" cy="3946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GB" sz="1000" kern="1200" dirty="0"/>
            <a:t>Findings from consultations led to three SA local councils becoming first UNICEF Australia-recognised ‘Child Friendly Communities’ in Australia in 2015</a:t>
          </a:r>
        </a:p>
      </dsp:txBody>
      <dsp:txXfrm>
        <a:off x="1232274" y="2132105"/>
        <a:ext cx="4499235" cy="394650"/>
      </dsp:txXfrm>
    </dsp:sp>
    <dsp:sp modelId="{4D77CD7E-4C1C-2448-9AC0-349F9DA9C95E}">
      <dsp:nvSpPr>
        <dsp:cNvPr id="0" name=""/>
        <dsp:cNvSpPr/>
      </dsp:nvSpPr>
      <dsp:spPr>
        <a:xfrm>
          <a:off x="1146302" y="2526755"/>
          <a:ext cx="4585208"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F07896F-E2EF-DF4F-B6EB-36376E3689FA}">
      <dsp:nvSpPr>
        <dsp:cNvPr id="0" name=""/>
        <dsp:cNvSpPr/>
      </dsp:nvSpPr>
      <dsp:spPr>
        <a:xfrm>
          <a:off x="0" y="2546984"/>
          <a:ext cx="573151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461215E-AFC3-1C44-A57D-FF97F00A3CFF}">
      <dsp:nvSpPr>
        <dsp:cNvPr id="0" name=""/>
        <dsp:cNvSpPr/>
      </dsp:nvSpPr>
      <dsp:spPr>
        <a:xfrm>
          <a:off x="0" y="2546984"/>
          <a:ext cx="1146302" cy="84899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GB" sz="1000" b="1" kern="1200" dirty="0"/>
            <a:t>NSW/ACT Inclusion Agency (IA)</a:t>
          </a:r>
        </a:p>
        <a:p>
          <a:pPr marL="0" lvl="0" indent="0" algn="l" defTabSz="444500">
            <a:lnSpc>
              <a:spcPct val="90000"/>
            </a:lnSpc>
            <a:spcBef>
              <a:spcPct val="0"/>
            </a:spcBef>
            <a:spcAft>
              <a:spcPct val="35000"/>
            </a:spcAft>
            <a:buNone/>
          </a:pPr>
          <a:endParaRPr lang="en-GB" sz="1000" b="1" kern="1200" dirty="0"/>
        </a:p>
      </dsp:txBody>
      <dsp:txXfrm>
        <a:off x="0" y="2546984"/>
        <a:ext cx="1146302" cy="848994"/>
      </dsp:txXfrm>
    </dsp:sp>
    <dsp:sp modelId="{6C44D500-221D-A942-A330-5DA7B2E692A9}">
      <dsp:nvSpPr>
        <dsp:cNvPr id="0" name=""/>
        <dsp:cNvSpPr/>
      </dsp:nvSpPr>
      <dsp:spPr>
        <a:xfrm>
          <a:off x="1232274" y="2566717"/>
          <a:ext cx="4499235" cy="3946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GB" sz="1000" kern="1200" dirty="0"/>
            <a:t>Funded by the Australian Government, the IA is managed by ECEC provider KU Children’s Services, in partnership with fellow provider Gowrie NSW and Include Me</a:t>
          </a:r>
        </a:p>
      </dsp:txBody>
      <dsp:txXfrm>
        <a:off x="1232274" y="2566717"/>
        <a:ext cx="4499235" cy="394650"/>
      </dsp:txXfrm>
    </dsp:sp>
    <dsp:sp modelId="{85A941C2-925F-E34D-8E8D-6959B6B3E7AB}">
      <dsp:nvSpPr>
        <dsp:cNvPr id="0" name=""/>
        <dsp:cNvSpPr/>
      </dsp:nvSpPr>
      <dsp:spPr>
        <a:xfrm>
          <a:off x="1146302" y="2961367"/>
          <a:ext cx="4585208"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18143D8-BC7C-A54A-86DF-B8CB62E7FD43}">
      <dsp:nvSpPr>
        <dsp:cNvPr id="0" name=""/>
        <dsp:cNvSpPr/>
      </dsp:nvSpPr>
      <dsp:spPr>
        <a:xfrm>
          <a:off x="1232274" y="2981100"/>
          <a:ext cx="4499235" cy="3946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GB" sz="1000" kern="1200" dirty="0"/>
            <a:t>In 2019, the IA ran a consultation seeking children’s perspectives on inclusion, diversity and fairness</a:t>
          </a:r>
        </a:p>
      </dsp:txBody>
      <dsp:txXfrm>
        <a:off x="1232274" y="2981100"/>
        <a:ext cx="4499235" cy="394650"/>
      </dsp:txXfrm>
    </dsp:sp>
    <dsp:sp modelId="{28138D3C-DF30-274F-8750-672012F3ABE6}">
      <dsp:nvSpPr>
        <dsp:cNvPr id="0" name=""/>
        <dsp:cNvSpPr/>
      </dsp:nvSpPr>
      <dsp:spPr>
        <a:xfrm>
          <a:off x="1146302" y="3375750"/>
          <a:ext cx="4585208"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TFP colours">
      <a:dk1>
        <a:srgbClr val="000000"/>
      </a:dk1>
      <a:lt1>
        <a:srgbClr val="FFFFFF"/>
      </a:lt1>
      <a:dk2>
        <a:srgbClr val="003B53"/>
      </a:dk2>
      <a:lt2>
        <a:srgbClr val="E7E6E6"/>
      </a:lt2>
      <a:accent1>
        <a:srgbClr val="0178A7"/>
      </a:accent1>
      <a:accent2>
        <a:srgbClr val="1EBDC4"/>
      </a:accent2>
      <a:accent3>
        <a:srgbClr val="92191C"/>
      </a:accent3>
      <a:accent4>
        <a:srgbClr val="F07A4D"/>
      </a:accent4>
      <a:accent5>
        <a:srgbClr val="595959"/>
      </a:accent5>
      <a:accent6>
        <a:srgbClr val="0F5E6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MPW Document" ma:contentTypeID="0x0101006C0B5E815648EF46B6FA6D42F17E5E9F000C963E276195B04F83BC027CFDC94A8D" ma:contentTypeVersion="20" ma:contentTypeDescription="" ma:contentTypeScope="" ma:versionID="f7ca9ce8b5506903c4a5b13cd87ab7ba">
  <xsd:schema xmlns:xsd="http://www.w3.org/2001/XMLSchema" xmlns:xs="http://www.w3.org/2001/XMLSchema" xmlns:p="http://schemas.microsoft.com/office/2006/metadata/properties" xmlns:ns2="20393cdf-440a-4521-8f19-00ba43423d00" xmlns:ns3="3d385984-9344-419b-a80b-49c06a2bdab8" targetNamespace="http://schemas.microsoft.com/office/2006/metadata/properties" ma:root="true" ma:fieldsID="972bb63a277f05d48633ea7658a57460" ns2:_="" ns3:_="">
    <xsd:import namespace="20393cdf-440a-4521-8f19-00ba43423d00"/>
    <xsd:import namespace="3d385984-9344-419b-a80b-49c06a2bdab8"/>
    <xsd:element name="properties">
      <xsd:complexType>
        <xsd:sequence>
          <xsd:element name="documentManagement">
            <xsd:complexType>
              <xsd:all>
                <xsd:element ref="ns2:_dlc_DocId" minOccurs="0"/>
                <xsd:element ref="ns2:_dlc_DocIdUrl" minOccurs="0"/>
                <xsd:element ref="ns2:_dlc_DocIdPersistId"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2:SharedWithUsers" minOccurs="0"/>
                <xsd:element ref="ns2:SharedWithDetails" minOccurs="0"/>
                <xsd:element ref="ns3:MediaServiceLocation" minOccurs="0"/>
                <xsd:element ref="ns2:i0f84bba906045b4af568ee102a52dcb" minOccurs="0"/>
                <xsd:element ref="ns2:TaxCatchAll" minOccurs="0"/>
                <xsd:element ref="ns3:MediaLengthInSeconds" minOccurs="0"/>
                <xsd:element ref="ns3:thumbnail" minOccurs="0"/>
                <xsd:element ref="ns3:lcf76f155ced4ddcb4097134ff3c332f" minOccurs="0"/>
                <xsd:element ref="ns3:_Flow_SignoffStatus" minOccurs="0"/>
                <xsd:element ref="ns3:MediaServiceObjectDetectorVersions" minOccurs="0"/>
                <xsd:element ref="ns3:MediaServiceSearchProperties" minOccurs="0"/>
                <xsd:element ref="ns3: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393cdf-440a-4521-8f19-00ba43423d0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i0f84bba906045b4af568ee102a52dcb" ma:index="20" nillable="true" ma:taxonomy="true" ma:internalName="i0f84bba906045b4af568ee102a52dcb" ma:taxonomyFieldName="RevIMBCS" ma:displayName="Record" ma:indexed="true" ma:default="1;#Unclassified|3955eeb1-2d18-4582-aeb2-00144ec3aaf5" ma:fieldId="{20f84bba-9060-45b4-af56-8ee102a52dcb}" ma:sspId="9e7832e3-0c1d-4697-8be2-0d137dca2da6" ma:termSetId="3c672b5e-1100-4960-a8a3-535520ee1155"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af6d4cc1-c529-4b5b-a8f1-9797b2b9eddf}" ma:internalName="TaxCatchAll" ma:showField="CatchAllData" ma:web="20393cdf-440a-4521-8f19-00ba43423d0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d385984-9344-419b-a80b-49c06a2bdab8" elementFormDefault="qualified">
    <xsd:import namespace="http://schemas.microsoft.com/office/2006/documentManagement/types"/>
    <xsd:import namespace="http://schemas.microsoft.com/office/infopath/2007/PartnerControls"/>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thumbnail" ma:index="23" nillable="true" ma:displayName="thumbnail" ma:format="Thumbnail" ma:internalName="thumbnail">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9e7832e3-0c1d-4697-8be2-0d137dca2da6" ma:termSetId="09814cd3-568e-fe90-9814-8d621ff8fb84" ma:anchorId="fba54fb3-c3e1-fe81-a776-ca4b69148c4d" ma:open="true" ma:isKeyword="false">
      <xsd:complexType>
        <xsd:sequence>
          <xsd:element ref="pc:Terms" minOccurs="0" maxOccurs="1"/>
        </xsd:sequence>
      </xsd:complexType>
    </xsd:element>
    <xsd:element name="_Flow_SignoffStatus" ma:index="26" nillable="true" ma:displayName="Sign-off status" ma:internalName="Sign_x002d_off_x0020_status">
      <xsd:simpleType>
        <xsd:restriction base="dms:Text"/>
      </xsd:simple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element name="Status" ma:index="29" nillable="true" ma:displayName="Status" ma:format="Dropdown" ma:internalName="Status">
      <xsd:simpleType>
        <xsd:restriction base="dms:Choice">
          <xsd:enumeration value="In progress"/>
          <xsd:enumeration value="Ready for review"/>
          <xsd:enumeration value="Sent"/>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20393cdf-440a-4521-8f19-00ba43423d00">
      <Value>1</Value>
    </TaxCatchAll>
    <lcf76f155ced4ddcb4097134ff3c332f xmlns="3d385984-9344-419b-a80b-49c06a2bdab8">
      <Terms xmlns="http://schemas.microsoft.com/office/infopath/2007/PartnerControls"/>
    </lcf76f155ced4ddcb4097134ff3c332f>
    <i0f84bba906045b4af568ee102a52dcb xmlns="20393cdf-440a-4521-8f19-00ba43423d00">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3955eeb1-2d18-4582-aeb2-00144ec3aaf5</TermId>
        </TermInfo>
      </Terms>
    </i0f84bba906045b4af568ee102a52dcb>
    <thumbnail xmlns="3d385984-9344-419b-a80b-49c06a2bdab8" xsi:nil="true"/>
    <Status xmlns="3d385984-9344-419b-a80b-49c06a2bdab8" xsi:nil="true"/>
    <_Flow_SignoffStatus xmlns="3d385984-9344-419b-a80b-49c06a2bdab8" xsi:nil="true"/>
    <_dlc_DocId xmlns="20393cdf-440a-4521-8f19-00ba43423d00">MPWT-2140667901-67335</_dlc_DocId>
    <_dlc_DocIdUrl xmlns="20393cdf-440a-4521-8f19-00ba43423d00">
      <Url>https://pcgov.sharepoint.com/sites/sceteam/_layouts/15/DocIdRedir.aspx?ID=MPWT-2140667901-67335</Url>
      <Description>MPWT-2140667901-67335</Description>
    </_dlc_DocIdUrl>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15286EB2-5864-4155-92DC-2E3C19169D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393cdf-440a-4521-8f19-00ba43423d00"/>
    <ds:schemaRef ds:uri="3d385984-9344-419b-a80b-49c06a2bda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1B1F3C3-CB42-4996-AD32-DFA3EE32D480}">
  <ds:schemaRefs>
    <ds:schemaRef ds:uri="http://schemas.microsoft.com/sharepoint/v3/contenttype/forms"/>
  </ds:schemaRefs>
</ds:datastoreItem>
</file>

<file path=customXml/itemProps3.xml><?xml version="1.0" encoding="utf-8"?>
<ds:datastoreItem xmlns:ds="http://schemas.openxmlformats.org/officeDocument/2006/customXml" ds:itemID="{17D204C0-F3F8-C74B-98B8-A17A96CE4AD4}">
  <ds:schemaRefs>
    <ds:schemaRef ds:uri="http://schemas.openxmlformats.org/officeDocument/2006/bibliography"/>
  </ds:schemaRefs>
</ds:datastoreItem>
</file>

<file path=customXml/itemProps4.xml><?xml version="1.0" encoding="utf-8"?>
<ds:datastoreItem xmlns:ds="http://schemas.openxmlformats.org/officeDocument/2006/customXml" ds:itemID="{C257D499-C892-4F4F-AB13-358B67A44171}">
  <ds:schemaRefs>
    <ds:schemaRef ds:uri="http://schemas.microsoft.com/office/2006/metadata/properties"/>
    <ds:schemaRef ds:uri="http://schemas.microsoft.com/office/infopath/2007/PartnerControls"/>
    <ds:schemaRef ds:uri="20393cdf-440a-4521-8f19-00ba43423d00"/>
    <ds:schemaRef ds:uri="3d385984-9344-419b-a80b-49c06a2bdab8"/>
  </ds:schemaRefs>
</ds:datastoreItem>
</file>

<file path=customXml/itemProps5.xml><?xml version="1.0" encoding="utf-8"?>
<ds:datastoreItem xmlns:ds="http://schemas.openxmlformats.org/officeDocument/2006/customXml" ds:itemID="{84089A1C-DB3F-460C-8CA0-C4CA4B88EADA}">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57</Pages>
  <Words>15784</Words>
  <Characters>89969</Characters>
  <Application>Microsoft Office Word</Application>
  <DocSecurity>0</DocSecurity>
  <Lines>749</Lines>
  <Paragraphs>211</Paragraphs>
  <ScaleCrop>false</ScaleCrop>
  <HeadingPairs>
    <vt:vector size="2" baseType="variant">
      <vt:variant>
        <vt:lpstr>Title</vt:lpstr>
      </vt:variant>
      <vt:variant>
        <vt:i4>1</vt:i4>
      </vt:variant>
    </vt:vector>
  </HeadingPairs>
  <TitlesOfParts>
    <vt:vector size="1" baseType="lpstr">
      <vt:lpstr>Children’s Perspectives of Early Childhood Education and Care</vt:lpstr>
    </vt:vector>
  </TitlesOfParts>
  <Company>Productivity Commission</Company>
  <LinksUpToDate>false</LinksUpToDate>
  <CharactersWithSpaces>105542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Children’s Perspectives of Early Childhood Education and Care</dc:title>
  <dc:subject/>
  <dc:creator>Front project - consultant report for Productivity Commission</dc:creator>
  <cp:keywords/>
  <dc:description/>
  <cp:lastModifiedBy>Chris Alston</cp:lastModifiedBy>
  <cp:revision>32</cp:revision>
  <cp:lastPrinted>2024-09-16T23:20:00Z</cp:lastPrinted>
  <dcterms:created xsi:type="dcterms:W3CDTF">2024-03-05T05:05:00Z</dcterms:created>
  <dcterms:modified xsi:type="dcterms:W3CDTF">2024-09-16T23:20:00Z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0x0101006C0B5E815648EF46B6FA6D42F17E5E9F000C963E276195B04F83BC027CFDC94A8D</vt:lpwstr>
  </property>
  <property fmtid="{D5CDD505-2E9C-101B-9397-08002B2CF9AE}" pid="3" name="MediaServiceImageTags">
    <vt:lpwstr/>
  </property>
  <property fmtid="{D5CDD505-2E9C-101B-9397-08002B2CF9AE}" pid="4" name="RevIMBCS">
    <vt:lpwstr>1;#Unclassified|3955eeb1-2d18-4582-aeb2-00144ec3aaf5</vt:lpwstr>
  </property>
  <property fmtid="{D5CDD505-2E9C-101B-9397-08002B2CF9AE}" pid="5" name="MSIP_Label_c1f2b1ce-4212-46db-a901-dd8453f57141_Enabled">
    <vt:lpwstr>true</vt:lpwstr>
  </property>
  <property fmtid="{D5CDD505-2E9C-101B-9397-08002B2CF9AE}" pid="6" name="MSIP_Label_c1f2b1ce-4212-46db-a901-dd8453f57141_SetDate">
    <vt:lpwstr>2024-09-13T06:05:28Z</vt:lpwstr>
  </property>
  <property fmtid="{D5CDD505-2E9C-101B-9397-08002B2CF9AE}" pid="7" name="MSIP_Label_c1f2b1ce-4212-46db-a901-dd8453f57141_Method">
    <vt:lpwstr>Privileged</vt:lpwstr>
  </property>
  <property fmtid="{D5CDD505-2E9C-101B-9397-08002B2CF9AE}" pid="8" name="MSIP_Label_c1f2b1ce-4212-46db-a901-dd8453f57141_Name">
    <vt:lpwstr>Publish</vt:lpwstr>
  </property>
  <property fmtid="{D5CDD505-2E9C-101B-9397-08002B2CF9AE}" pid="9" name="MSIP_Label_c1f2b1ce-4212-46db-a901-dd8453f57141_SiteId">
    <vt:lpwstr>29f9330b-c0fe-4244-830e-ba9f275d6c34</vt:lpwstr>
  </property>
  <property fmtid="{D5CDD505-2E9C-101B-9397-08002B2CF9AE}" pid="10" name="MSIP_Label_c1f2b1ce-4212-46db-a901-dd8453f57141_ActionId">
    <vt:lpwstr>e0765f3d-f401-4819-8395-6c86a1d177ec</vt:lpwstr>
  </property>
  <property fmtid="{D5CDD505-2E9C-101B-9397-08002B2CF9AE}" pid="11" name="MSIP_Label_c1f2b1ce-4212-46db-a901-dd8453f57141_ContentBits">
    <vt:lpwstr>0</vt:lpwstr>
  </property>
  <property fmtid="{D5CDD505-2E9C-101B-9397-08002B2CF9AE}" pid="12" name="_dlc_DocIdItemGuid">
    <vt:lpwstr>d0296f14-5588-4e78-b445-bfe4015a3b1e</vt:lpwstr>
  </property>
</Properties>
</file>