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28914026"/>
        <w:docPartObj>
          <w:docPartGallery w:val="Cover Pages"/>
          <w:docPartUnique/>
        </w:docPartObj>
      </w:sdtPr>
      <w:sdtContent>
        <w:p w14:paraId="47EC1BE7" w14:textId="77777777" w:rsidR="0049695F" w:rsidRPr="003967D2" w:rsidRDefault="0049695F" w:rsidP="008109C2">
          <w:pPr>
            <w:pStyle w:val="BodyText"/>
            <w:tabs>
              <w:tab w:val="left" w:pos="3544"/>
            </w:tabs>
            <w:spacing w:after="0"/>
            <w:rPr>
              <w:color w:val="FFFFFF" w:themeColor="background1"/>
            </w:rPr>
          </w:pPr>
        </w:p>
        <w:p w14:paraId="47F73CCB" w14:textId="20124B4E" w:rsidR="0049695F" w:rsidRPr="00165E55" w:rsidRDefault="004D109F" w:rsidP="0049695F">
          <w:pPr>
            <w:pStyle w:val="Coverdate"/>
            <w:framePr w:wrap="around"/>
          </w:pPr>
          <w:r w:rsidRPr="00165E55">
            <w:t xml:space="preserve">1 </w:t>
          </w:r>
          <w:r w:rsidR="001F7B7A" w:rsidRPr="00165E55">
            <w:t>November 2024</w:t>
          </w:r>
        </w:p>
        <w:p w14:paraId="72E40359" w14:textId="77777777" w:rsidR="0049695F" w:rsidRDefault="0049695F" w:rsidP="0049695F">
          <w:pPr>
            <w:pStyle w:val="CoverImage"/>
            <w:framePr w:h="10036" w:hRule="exact" w:wrap="around" w:y="6805" w:anchorLock="0"/>
          </w:pPr>
          <w:r>
            <w:rPr>
              <w:noProof/>
            </w:rPr>
            <w:drawing>
              <wp:inline distT="0" distB="0" distL="0" distR="0" wp14:anchorId="1F8823F0" wp14:editId="44D76675">
                <wp:extent cx="7704000" cy="77040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04000" cy="7704000"/>
                        </a:xfrm>
                        <a:prstGeom prst="rect">
                          <a:avLst/>
                        </a:prstGeom>
                      </pic:spPr>
                    </pic:pic>
                  </a:graphicData>
                </a:graphic>
              </wp:inline>
            </w:drawing>
          </w:r>
        </w:p>
        <w:p w14:paraId="306151BD" w14:textId="289158CE" w:rsidR="0049695F" w:rsidRPr="00C26A02" w:rsidRDefault="001C6314" w:rsidP="00165E55">
          <w:pPr>
            <w:pStyle w:val="Title"/>
            <w:spacing w:before="120"/>
            <w:ind w:right="1416"/>
          </w:pPr>
          <w:bookmarkStart w:id="0" w:name="_Toc181174198"/>
          <w:bookmarkStart w:id="1" w:name="_Toc181360229"/>
          <w:r>
            <w:rPr>
              <w:rStyle w:val="TitleChar"/>
              <w:color w:val="auto"/>
            </w:rPr>
            <w:t>National Competition Policy: modelling pro</w:t>
          </w:r>
          <w:r w:rsidR="00AD651B">
            <w:rPr>
              <w:rStyle w:val="TitleChar"/>
              <w:color w:val="auto"/>
            </w:rPr>
            <w:t>posed reforms</w:t>
          </w:r>
          <w:bookmarkEnd w:id="0"/>
          <w:bookmarkEnd w:id="1"/>
        </w:p>
        <w:p w14:paraId="2089826C" w14:textId="5967162A" w:rsidR="0049695F" w:rsidRPr="0049695F" w:rsidRDefault="00670F22" w:rsidP="0049695F">
          <w:pPr>
            <w:pStyle w:val="Subtitle"/>
            <w:rPr>
              <w:color w:val="auto"/>
            </w:rPr>
          </w:pPr>
          <w:r>
            <w:rPr>
              <w:color w:val="auto"/>
            </w:rPr>
            <w:t>Study</w:t>
          </w:r>
          <w:r w:rsidR="00B342E3">
            <w:rPr>
              <w:color w:val="auto"/>
            </w:rPr>
            <w:t xml:space="preserve"> </w:t>
          </w:r>
          <w:r>
            <w:rPr>
              <w:color w:val="auto"/>
            </w:rPr>
            <w:t>r</w:t>
          </w:r>
          <w:r w:rsidR="00B342E3">
            <w:rPr>
              <w:color w:val="auto"/>
            </w:rPr>
            <w:t>epor</w:t>
          </w:r>
          <w:r>
            <w:rPr>
              <w:color w:val="auto"/>
            </w:rPr>
            <w:t>t</w:t>
          </w:r>
        </w:p>
        <w:p w14:paraId="565D3D01" w14:textId="77777777" w:rsidR="0049695F" w:rsidRDefault="0049695F" w:rsidP="0049695F">
          <w:pPr>
            <w:spacing w:after="160" w:line="259" w:lineRule="auto"/>
          </w:pPr>
        </w:p>
        <w:p w14:paraId="51FA2C0C" w14:textId="77777777" w:rsidR="00B302FA" w:rsidRDefault="00B302FA" w:rsidP="0049695F">
          <w:pPr>
            <w:pStyle w:val="CoverImage"/>
            <w:framePr w:wrap="around"/>
            <w:sectPr w:rsidR="00B302FA" w:rsidSect="002E3F19">
              <w:footerReference w:type="even" r:id="rId15"/>
              <w:footerReference w:type="default" r:id="rId16"/>
              <w:headerReference w:type="first" r:id="rId17"/>
              <w:footerReference w:type="first" r:id="rId18"/>
              <w:pgSz w:w="11906" w:h="16838" w:code="9"/>
              <w:pgMar w:top="2835" w:right="1134" w:bottom="1134" w:left="1134" w:header="624" w:footer="510" w:gutter="0"/>
              <w:pgNumType w:fmt="lowerRoman"/>
              <w:cols w:space="708"/>
              <w:titlePg/>
              <w:docGrid w:linePitch="360"/>
            </w:sectPr>
          </w:pPr>
        </w:p>
        <w:tbl>
          <w:tblPr>
            <w:tblStyle w:val="CopyrightPage"/>
            <w:tblW w:w="0" w:type="auto"/>
            <w:tblLook w:val="04A0" w:firstRow="1" w:lastRow="0" w:firstColumn="1" w:lastColumn="0" w:noHBand="0" w:noVBand="1"/>
          </w:tblPr>
          <w:tblGrid>
            <w:gridCol w:w="9638"/>
          </w:tblGrid>
          <w:tr w:rsidR="00C31E23" w14:paraId="1218BF2B" w14:textId="77777777" w:rsidTr="00C14016">
            <w:trPr>
              <w:trHeight w:hRule="exact" w:val="12643"/>
            </w:trPr>
            <w:tc>
              <w:tcPr>
                <w:tcW w:w="9638" w:type="dxa"/>
                <w:tcMar>
                  <w:top w:w="113" w:type="dxa"/>
                </w:tcMar>
              </w:tcPr>
              <w:p w14:paraId="0578BCA7" w14:textId="77777777" w:rsidR="00C31E23" w:rsidRPr="000F4488" w:rsidRDefault="00B302FA">
                <w:pPr>
                  <w:pStyle w:val="Copyrightpage-BodyBold"/>
                  <w:ind w:right="-284"/>
                  <w:rPr>
                    <w:rFonts w:asciiTheme="majorHAnsi" w:hAnsiTheme="majorHAnsi"/>
                  </w:rPr>
                </w:pPr>
                <w:r>
                  <w:rPr>
                    <w:rStyle w:val="White"/>
                  </w:rPr>
                  <w:lastRenderedPageBreak/>
                  <w:br w:type="page"/>
                </w:r>
                <w:r w:rsidR="00C31E23" w:rsidRPr="000F4488">
                  <w:rPr>
                    <w:rFonts w:asciiTheme="majorHAnsi" w:hAnsiTheme="majorHAnsi"/>
                  </w:rPr>
                  <w:t xml:space="preserve">The Productivity Commission acknowledges the Traditional Owners of </w:t>
                </w:r>
                <w:r w:rsidR="00C31E23" w:rsidRPr="000F4488">
                  <w:rPr>
                    <w:rFonts w:asciiTheme="majorHAnsi" w:hAnsiTheme="majorHAnsi"/>
                  </w:rPr>
                  <w:br/>
                  <w:t xml:space="preserve">Country throughout Australia and their continuing connection to land, </w:t>
                </w:r>
                <w:r w:rsidR="00C31E23" w:rsidRPr="000F4488">
                  <w:rPr>
                    <w:rFonts w:asciiTheme="majorHAnsi" w:hAnsiTheme="majorHAnsi"/>
                  </w:rPr>
                  <w:br/>
                  <w:t>waters and community. We pay our respects to their Cultures, Country and Elders past and present.</w:t>
                </w:r>
              </w:p>
              <w:p w14:paraId="03EA028D" w14:textId="77777777" w:rsidR="00C31E23" w:rsidRPr="00F37CB6" w:rsidRDefault="00C31E23">
                <w:pPr>
                  <w:pStyle w:val="Copyrightpage-Keylinenotext"/>
                  <w:ind w:right="-284"/>
                </w:pPr>
              </w:p>
              <w:p w14:paraId="43709152" w14:textId="77777777" w:rsidR="00C31E23" w:rsidRPr="00D96F65" w:rsidRDefault="00C31E23">
                <w:pPr>
                  <w:pStyle w:val="Copyrightpage-Heading"/>
                  <w:ind w:right="-284"/>
                </w:pPr>
                <w:r w:rsidRPr="00D96F65">
                  <w:t>The Productivity Commission</w:t>
                </w:r>
              </w:p>
              <w:p w14:paraId="5083D62C" w14:textId="77777777" w:rsidR="00C31E23" w:rsidRPr="0049695F" w:rsidRDefault="00C31E23">
                <w:pPr>
                  <w:pStyle w:val="Copyrightpage-BodyBold"/>
                  <w:rPr>
                    <w:spacing w:val="-4"/>
                  </w:rPr>
                </w:pPr>
                <w:r w:rsidRPr="0049695F">
                  <w:rPr>
                    <w:spacing w:val="-4"/>
                  </w:rPr>
                  <w:t xml:space="preserve">The Productivity Commission is the Australian Government’s independent research and advisory body on a range of economic, social and environmental issues affecting the welfare of Australians. Its role, expressed most simply, is to help governments make better policies, in the </w:t>
                </w:r>
                <w:proofErr w:type="gramStart"/>
                <w:r w:rsidRPr="0049695F">
                  <w:rPr>
                    <w:spacing w:val="-4"/>
                  </w:rPr>
                  <w:t>long term</w:t>
                </w:r>
                <w:proofErr w:type="gramEnd"/>
                <w:r w:rsidRPr="0049695F">
                  <w:rPr>
                    <w:spacing w:val="-4"/>
                  </w:rPr>
                  <w:t xml:space="preserve"> interest of the Australian community.</w:t>
                </w:r>
              </w:p>
              <w:p w14:paraId="6CBC3896" w14:textId="77777777" w:rsidR="00C31E23" w:rsidRPr="000F4488" w:rsidRDefault="00C31E23">
                <w:pPr>
                  <w:pStyle w:val="Copyrightpage-BodyBold"/>
                </w:pPr>
                <w:r w:rsidRPr="000561CF">
                  <w:t>The Commission’s independence is underpinned by an Act of Parliament. Its processes and outputs are open to public scrutiny and are driven by concern for the wellbeing of the community as a whole.</w:t>
                </w:r>
              </w:p>
              <w:p w14:paraId="0BD3D432" w14:textId="77777777" w:rsidR="00C31E23" w:rsidRPr="000F4488" w:rsidRDefault="00C31E23">
                <w:pPr>
                  <w:pStyle w:val="Copyrightpage-BodyBold"/>
                </w:pPr>
                <w:r w:rsidRPr="000561CF">
                  <w:t>Further information on the Productivity Commission can be obtained from the Commission’s website (www.pc.gov.au).</w:t>
                </w:r>
              </w:p>
              <w:p w14:paraId="588045D3" w14:textId="77777777" w:rsidR="00C31E23" w:rsidRPr="000F4488" w:rsidRDefault="00C31E23">
                <w:pPr>
                  <w:pStyle w:val="Copyrightpage-Keylinenotext"/>
                  <w:ind w:right="-284"/>
                  <w:rPr>
                    <w:b/>
                    <w:bCs/>
                  </w:rPr>
                </w:pPr>
              </w:p>
              <w:p w14:paraId="4C038A51" w14:textId="77777777" w:rsidR="00C31E23" w:rsidRPr="000561CF" w:rsidRDefault="00C31E23">
                <w:pPr>
                  <w:pStyle w:val="Copyrightpage-BodyBold"/>
                </w:pPr>
                <w:r w:rsidRPr="00E72EE0">
                  <w:t>©</w:t>
                </w:r>
                <w:r w:rsidRPr="00137FAB">
                  <w:t xml:space="preserve"> Commonwealth of Australia 202</w:t>
                </w:r>
                <w:r w:rsidR="00442477">
                  <w:t>4</w:t>
                </w:r>
              </w:p>
              <w:p w14:paraId="3EDE1706" w14:textId="77777777" w:rsidR="00C31E23" w:rsidRPr="00E72EE0" w:rsidRDefault="00C31E23">
                <w:pPr>
                  <w:pStyle w:val="Copyrightpage-Heading2"/>
                  <w:spacing w:before="0"/>
                  <w:ind w:right="-284"/>
                  <w:rPr>
                    <w:bCs/>
                  </w:rPr>
                </w:pPr>
                <w:r w:rsidRPr="00E72EE0">
                  <w:rPr>
                    <w:bCs/>
                    <w:noProof/>
                  </w:rPr>
                  <w:drawing>
                    <wp:inline distT="0" distB="0" distL="0" distR="0" wp14:anchorId="16828028" wp14:editId="277B365B">
                      <wp:extent cx="774000" cy="270000"/>
                      <wp:effectExtent l="0" t="0" r="7620" b="0"/>
                      <wp:docPr id="6" name="Graphic 5" descr="CC By logo">
                        <a:extLst xmlns:a="http://schemas.openxmlformats.org/drawingml/2006/main">
                          <a:ext uri="{FF2B5EF4-FFF2-40B4-BE49-F238E27FC236}">
                            <a16:creationId xmlns:a16="http://schemas.microsoft.com/office/drawing/2014/main" id="{F54E5013-412A-4F91-9DD3-DA71DB133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CC By logo">
                                <a:extLst>
                                  <a:ext uri="{FF2B5EF4-FFF2-40B4-BE49-F238E27FC236}">
                                    <a16:creationId xmlns:a16="http://schemas.microsoft.com/office/drawing/2014/main" id="{F54E5013-412A-4F91-9DD3-DA71DB1337DF}"/>
                                  </a:ext>
                                </a:extLst>
                              </pic:cNvPr>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774000" cy="270000"/>
                              </a:xfrm>
                              <a:prstGeom prst="rect">
                                <a:avLst/>
                              </a:prstGeom>
                            </pic:spPr>
                          </pic:pic>
                        </a:graphicData>
                      </a:graphic>
                    </wp:inline>
                  </w:drawing>
                </w:r>
              </w:p>
              <w:p w14:paraId="69261399" w14:textId="77777777" w:rsidR="00C31E23" w:rsidRPr="000F4488" w:rsidRDefault="00C31E23">
                <w:pPr>
                  <w:pStyle w:val="Copyrightpage-BodyBold"/>
                  <w:ind w:right="-143"/>
                </w:pPr>
                <w:r w:rsidRPr="00E72EE0">
                  <w:t xml:space="preserve">With the exception of the Commonwealth Coat of Arms and content supplied by </w:t>
                </w:r>
                <w:r w:rsidRPr="00137FAB">
                  <w:t>third parties, this copyright work is licensed under a Creative Commons Attribution 4.0 In</w:t>
                </w:r>
                <w:r w:rsidRPr="00AC587D">
                  <w:t>ternational licence. In essence, you are free to copy, communicate and adapt the work, as long as you attribute the work to the Productivity Commission (but not in any way that suggests the Commission endorses you or your use) and abide b</w:t>
                </w:r>
                <w:r w:rsidRPr="000561CF">
                  <w:t>y the other licence terms. The licence can be viewed at: https://creativecommons.org/licenses/by/4.0.</w:t>
                </w:r>
              </w:p>
              <w:p w14:paraId="74CACD4A" w14:textId="77777777" w:rsidR="00C31E23" w:rsidRPr="000F4488" w:rsidRDefault="00C31E23">
                <w:pPr>
                  <w:pStyle w:val="Copyrightpage-BodyBold"/>
                </w:pPr>
                <w:r w:rsidRPr="000561CF">
                  <w:t>The terms under which the Coat of Arms can be used are detailed at: www.pmc.gov.au/government/commonwealth-coat-arms.</w:t>
                </w:r>
              </w:p>
              <w:p w14:paraId="233281A0" w14:textId="77777777" w:rsidR="00C31E23" w:rsidRPr="000561CF" w:rsidRDefault="00C31E23">
                <w:pPr>
                  <w:pStyle w:val="Copyrightpage-BodyBold"/>
                </w:pPr>
                <w:r w:rsidRPr="000561CF">
                  <w:t>Wherever a third party holds copyright in this material the copyright remains with that party. Their permission may be required to use the material, please contact them directly.</w:t>
                </w:r>
              </w:p>
              <w:p w14:paraId="63A3A6C6" w14:textId="0C0AF95D" w:rsidR="004F7CD4" w:rsidRPr="00844BDB" w:rsidRDefault="004F7CD4" w:rsidP="004F7CD4">
                <w:pPr>
                  <w:pStyle w:val="Copyrightpage-BodyBold"/>
                </w:pPr>
                <w:r w:rsidRPr="00844BDB">
                  <w:t xml:space="preserve">ISBN </w:t>
                </w:r>
                <w:r w:rsidR="00263FE3" w:rsidRPr="00844BDB">
                  <w:t>978-1-74037-806-2</w:t>
                </w:r>
                <w:r w:rsidRPr="00844BDB">
                  <w:t xml:space="preserve"> (online)</w:t>
                </w:r>
                <w:r w:rsidRPr="00844BDB">
                  <w:br/>
                  <w:t xml:space="preserve">ISBN </w:t>
                </w:r>
                <w:r w:rsidR="00844BDB" w:rsidRPr="00844BDB">
                  <w:t>978-1-74037-805-5</w:t>
                </w:r>
                <w:r w:rsidRPr="00844BDB">
                  <w:t xml:space="preserve"> (print)</w:t>
                </w:r>
              </w:p>
              <w:p w14:paraId="1841D6FE" w14:textId="15409134" w:rsidR="004F7CD4" w:rsidRPr="00137FAB" w:rsidRDefault="004F7CD4" w:rsidP="004F7CD4">
                <w:pPr>
                  <w:pStyle w:val="Copyrightpage-BodyBold"/>
                </w:pPr>
                <w:r w:rsidRPr="000F4488">
                  <w:t>An appropriate reference for this publication is:</w:t>
                </w:r>
                <w:r>
                  <w:br/>
                  <w:t>Productivity Commission</w:t>
                </w:r>
                <w:r w:rsidR="00531FFB">
                  <w:t xml:space="preserve"> </w:t>
                </w:r>
                <w:r w:rsidR="00AD651B">
                  <w:t>2024</w:t>
                </w:r>
                <w:r>
                  <w:t xml:space="preserve">, </w:t>
                </w:r>
                <w:r w:rsidR="00AD651B" w:rsidRPr="00165E55">
                  <w:rPr>
                    <w:i/>
                    <w:iCs/>
                  </w:rPr>
                  <w:t>National Competition Policy: modelling proposed reforms</w:t>
                </w:r>
                <w:r w:rsidRPr="00E72EE0">
                  <w:t xml:space="preserve">, </w:t>
                </w:r>
                <w:r w:rsidR="00670F22">
                  <w:t xml:space="preserve">Study </w:t>
                </w:r>
                <w:r w:rsidR="00165E55">
                  <w:t>r</w:t>
                </w:r>
                <w:r>
                  <w:t>eport, Canberra</w:t>
                </w:r>
              </w:p>
              <w:p w14:paraId="30E198AE" w14:textId="77777777" w:rsidR="00C31E23" w:rsidRDefault="00C31E23">
                <w:pPr>
                  <w:pStyle w:val="Copyrightpage-BodyBold"/>
                  <w:ind w:right="-284"/>
                </w:pPr>
              </w:p>
              <w:p w14:paraId="59AB0CD9" w14:textId="77777777" w:rsidR="00C31E23" w:rsidRDefault="00C31E23">
                <w:pPr>
                  <w:pStyle w:val="Copyrightpage-BodyBold"/>
                  <w:ind w:right="-284"/>
                </w:pPr>
                <w:r w:rsidRPr="00E72EE0">
                  <w:t xml:space="preserve">Publication enquiries: </w:t>
                </w:r>
                <w:r>
                  <w:br/>
                </w:r>
                <w:r w:rsidR="00AD7B96">
                  <w:t>P</w:t>
                </w:r>
                <w:r w:rsidRPr="00137FAB">
                  <w:t xml:space="preserve">hone 03 9653 2244 | </w:t>
                </w:r>
                <w:r w:rsidR="00AD7B96">
                  <w:t>E</w:t>
                </w:r>
                <w:r w:rsidRPr="00137FAB">
                  <w:t xml:space="preserve">mail </w:t>
                </w:r>
                <w:r w:rsidRPr="00AC587D">
                  <w:t>publications@pc.gov.au</w:t>
                </w:r>
              </w:p>
            </w:tc>
          </w:tr>
        </w:tbl>
        <w:p w14:paraId="5A6AA265" w14:textId="77777777" w:rsidR="00295330" w:rsidRPr="004A40A7" w:rsidRDefault="00000000" w:rsidP="00E83C1B">
          <w:pPr>
            <w:pStyle w:val="NoSpacing"/>
          </w:pPr>
        </w:p>
      </w:sdtContent>
    </w:sdt>
    <w:p w14:paraId="47E4EB5C" w14:textId="77777777" w:rsidR="00E41066" w:rsidRDefault="00E41066" w:rsidP="00181B5D">
      <w:pPr>
        <w:pStyle w:val="BodyText"/>
        <w:sectPr w:rsidR="00E41066" w:rsidSect="00181B5D">
          <w:headerReference w:type="even" r:id="rId21"/>
          <w:headerReference w:type="default" r:id="rId22"/>
          <w:footerReference w:type="even" r:id="rId23"/>
          <w:footerReference w:type="default" r:id="rId24"/>
          <w:headerReference w:type="first" r:id="rId25"/>
          <w:pgSz w:w="11906" w:h="16838" w:code="9"/>
          <w:pgMar w:top="1134" w:right="1134" w:bottom="1134" w:left="1134" w:header="794" w:footer="510" w:gutter="0"/>
          <w:pgNumType w:fmt="lowerRoman" w:start="2"/>
          <w:cols w:space="708"/>
          <w:docGrid w:linePitch="360"/>
        </w:sectPr>
      </w:pPr>
    </w:p>
    <w:p w14:paraId="713F18E6" w14:textId="6C13F2A8" w:rsidR="003B7DB1" w:rsidRPr="003B7DB1" w:rsidRDefault="003B7DB1" w:rsidP="00072247">
      <w:pPr>
        <w:pStyle w:val="Heading1-nobackground"/>
      </w:pPr>
      <w:bookmarkStart w:id="2" w:name="_Toc181107355"/>
      <w:bookmarkStart w:id="3" w:name="_Toc181360230"/>
      <w:r w:rsidRPr="003B7DB1">
        <w:lastRenderedPageBreak/>
        <w:t xml:space="preserve">Terms of </w:t>
      </w:r>
      <w:r w:rsidRPr="002E7A0E">
        <w:t>reference</w:t>
      </w:r>
      <w:bookmarkEnd w:id="2"/>
      <w:bookmarkEnd w:id="3"/>
    </w:p>
    <w:p w14:paraId="39B18CCE" w14:textId="77777777" w:rsidR="00D50E5F" w:rsidRPr="00D50E5F" w:rsidRDefault="00D50E5F" w:rsidP="00B63908">
      <w:pPr>
        <w:spacing w:line="260" w:lineRule="atLeast"/>
      </w:pPr>
      <w:r w:rsidRPr="00D50E5F">
        <w:t xml:space="preserve">I, Jim Chalmers, pursuant to Parts 2 and 4 of the </w:t>
      </w:r>
      <w:r w:rsidRPr="00D50E5F">
        <w:rPr>
          <w:i/>
          <w:iCs/>
        </w:rPr>
        <w:t>Productivity Commission Act 1998</w:t>
      </w:r>
      <w:r w:rsidRPr="00D50E5F">
        <w:t xml:space="preserve">, hereby request that the Productivity Commission undertake a Study to assess the impacts to GDP, economic growth, productivity, government revenue and consumer wellbeing from the implementation of competition reforms proposed by Commonwealth, State and Territory governments as part of a revitalised National Competition Policy being progressed through the Council on Federal Financial Relations (CFFR). </w:t>
      </w:r>
    </w:p>
    <w:p w14:paraId="6B73847D" w14:textId="77777777" w:rsidR="00D50E5F" w:rsidRPr="00D50E5F" w:rsidRDefault="00D50E5F" w:rsidP="00B63908">
      <w:pPr>
        <w:spacing w:line="260" w:lineRule="atLeast"/>
      </w:pPr>
      <w:r w:rsidRPr="00D50E5F">
        <w:t xml:space="preserve">In undertaking this work, the Commission should consider the November 2023 Statement of Expectations which directs the Commission to consider national prosperity and economic progress broadly, to ensure strong, sustainable and inclusive economic growth and rising living standards. </w:t>
      </w:r>
    </w:p>
    <w:p w14:paraId="6CEF8742" w14:textId="43EEB5D4" w:rsidR="003B7DB1" w:rsidRDefault="003B7DB1" w:rsidP="00A56C5D">
      <w:pPr>
        <w:pStyle w:val="Heading2-nonumber"/>
        <w:spacing w:before="240"/>
      </w:pPr>
      <w:bookmarkStart w:id="4" w:name="_Toc181107356"/>
      <w:bookmarkStart w:id="5" w:name="_Toc181174200"/>
      <w:bookmarkStart w:id="6" w:name="_Toc181339522"/>
      <w:bookmarkStart w:id="7" w:name="_Toc181339752"/>
      <w:bookmarkStart w:id="8" w:name="_Toc181360231"/>
      <w:r w:rsidRPr="003B7DB1">
        <w:t>Background</w:t>
      </w:r>
      <w:bookmarkEnd w:id="4"/>
      <w:bookmarkEnd w:id="5"/>
      <w:bookmarkEnd w:id="6"/>
      <w:bookmarkEnd w:id="7"/>
      <w:bookmarkEnd w:id="8"/>
      <w:r w:rsidR="00376491">
        <w:t xml:space="preserve"> </w:t>
      </w:r>
    </w:p>
    <w:p w14:paraId="07EB4FD5" w14:textId="77777777" w:rsidR="00710083" w:rsidRPr="00B315EE" w:rsidRDefault="00710083" w:rsidP="00B63908">
      <w:pPr>
        <w:spacing w:line="260" w:lineRule="atLeast"/>
      </w:pPr>
      <w:r w:rsidRPr="00B315EE">
        <w:t>The Australian Government recognises the importance of competition in lifting dynamism, productivity and wages growth, putting downward pressure on prices and delivering more choice for Australians dealing with cost-of-living pressures.</w:t>
      </w:r>
    </w:p>
    <w:p w14:paraId="69625034" w14:textId="77777777" w:rsidR="00710083" w:rsidRPr="00B315EE" w:rsidRDefault="00710083" w:rsidP="00B63908">
      <w:pPr>
        <w:spacing w:line="260" w:lineRule="atLeast"/>
      </w:pPr>
      <w:r w:rsidRPr="00B315EE">
        <w:t xml:space="preserve">Australia’s productivity growth has slowed over the past decade, and we are facing challenges from an uncertain international environment and structural changes taking place from the transition to net zero, digitalisation, and the expansion of the care and support economy. We need a competitive and resilient economy that can adapt to these challenges and make the most of opportunities in our economy. </w:t>
      </w:r>
    </w:p>
    <w:p w14:paraId="7BABD313" w14:textId="77777777" w:rsidR="00710083" w:rsidRPr="00B315EE" w:rsidRDefault="00710083" w:rsidP="00B63908">
      <w:pPr>
        <w:spacing w:line="260" w:lineRule="atLeast"/>
      </w:pPr>
      <w:r w:rsidRPr="00B315EE">
        <w:t>Laws and policies at all levels of government – Commonwealth, state</w:t>
      </w:r>
      <w:r w:rsidRPr="00B315EE" w:rsidDel="00E85E1D">
        <w:t xml:space="preserve"> and</w:t>
      </w:r>
      <w:r w:rsidRPr="00B315EE">
        <w:t xml:space="preserve"> territory, and local – impact the competitiveness of our economy. In this context, the Australian Government is committed to working with states and territories on reforming national competition settings to ensure these challenges are met. At the December 2023 CFFR meeting, Treasurers agreed to progress competition-enhancing reforms by revitalising National Competition Policy. </w:t>
      </w:r>
    </w:p>
    <w:p w14:paraId="09CD673B" w14:textId="77777777" w:rsidR="00710083" w:rsidRPr="00B315EE" w:rsidRDefault="00710083" w:rsidP="00B63908">
      <w:pPr>
        <w:spacing w:line="260" w:lineRule="atLeast"/>
      </w:pPr>
      <w:r w:rsidRPr="00B315EE">
        <w:t xml:space="preserve">To inform this </w:t>
      </w:r>
      <w:proofErr w:type="gramStart"/>
      <w:r w:rsidRPr="00B315EE">
        <w:t>work, and</w:t>
      </w:r>
      <w:proofErr w:type="gramEnd"/>
      <w:r w:rsidRPr="00B315EE">
        <w:t xml:space="preserve"> recognising the principle that all governments should share the benefits of economic growth and revenue from competition reforms to which they have contributed, CFFR agreed the need for economic modelling to assess the impact of proposed reforms, including impacts on government revenue. This will be required to inform any intergovernmental agreements associated with revitalised National Competition Policy, and to inform the National Reform Program – which consists of a National Reform Agenda and Jurisdiction-specific Reform Plans.</w:t>
      </w:r>
    </w:p>
    <w:p w14:paraId="6D0A4B49" w14:textId="6B04BC2C" w:rsidR="003B7DB1" w:rsidRDefault="003B7DB1" w:rsidP="00A56C5D">
      <w:pPr>
        <w:pStyle w:val="Heading2-nonumber"/>
        <w:spacing w:before="240"/>
      </w:pPr>
      <w:bookmarkStart w:id="9" w:name="_Toc181107357"/>
      <w:bookmarkStart w:id="10" w:name="_Toc181174201"/>
      <w:bookmarkStart w:id="11" w:name="_Toc181339523"/>
      <w:bookmarkStart w:id="12" w:name="_Toc181339753"/>
      <w:bookmarkStart w:id="13" w:name="_Toc181360232"/>
      <w:r w:rsidRPr="003B7DB1">
        <w:t>Scope of the inquiry</w:t>
      </w:r>
      <w:bookmarkEnd w:id="9"/>
      <w:bookmarkEnd w:id="10"/>
      <w:bookmarkEnd w:id="11"/>
      <w:bookmarkEnd w:id="12"/>
      <w:bookmarkEnd w:id="13"/>
      <w:r w:rsidR="00376491">
        <w:t xml:space="preserve"> </w:t>
      </w:r>
    </w:p>
    <w:p w14:paraId="7B393F4F" w14:textId="77777777" w:rsidR="008D7F46" w:rsidRPr="00165E55" w:rsidRDefault="008D7F46" w:rsidP="00B63908">
      <w:pPr>
        <w:spacing w:line="260" w:lineRule="atLeast"/>
        <w:rPr>
          <w:spacing w:val="-2"/>
        </w:rPr>
      </w:pPr>
      <w:r w:rsidRPr="00165E55">
        <w:rPr>
          <w:spacing w:val="-2"/>
        </w:rPr>
        <w:t xml:space="preserve">The Commission will undertake a study to assess reform options proposed by Commonwealth, state and territory governments as part of the revitalised National Competition Policy (as considered by CFFR in mid-2024) to understand the economic and other benefits to the Australian community, as well as the government revenue impacts. While the reform options are yet to be agreed by CFFR, it is important that they tackle shared priorities such as addressing cost-of-living pressures, and adapting to the net zero transition, digitalisation, expansion of the care and support economy, and creating a more dynamic business environment. </w:t>
      </w:r>
    </w:p>
    <w:p w14:paraId="5E3EBE52" w14:textId="77777777" w:rsidR="008D7F46" w:rsidRPr="00386286" w:rsidRDefault="008D7F46" w:rsidP="00B63908">
      <w:pPr>
        <w:spacing w:line="260" w:lineRule="atLeast"/>
      </w:pPr>
      <w:r w:rsidRPr="00386286">
        <w:t>In undertaking this assessment, the Commission should provide an assessment of:</w:t>
      </w:r>
    </w:p>
    <w:p w14:paraId="28183D1C" w14:textId="77777777" w:rsidR="008D7F46" w:rsidRPr="00DF5733" w:rsidRDefault="008D7F46" w:rsidP="00B63908">
      <w:pPr>
        <w:pStyle w:val="ListBullet"/>
        <w:spacing w:line="260" w:lineRule="atLeast"/>
      </w:pPr>
      <w:r w:rsidRPr="00DF5733">
        <w:t>The long-run economic impacts arising from the implementation by all levels of government of proposed reforms to revitalise National Competition Policy, including:</w:t>
      </w:r>
    </w:p>
    <w:p w14:paraId="44ED3589" w14:textId="77777777" w:rsidR="008D7F46" w:rsidRPr="00165E55" w:rsidRDefault="008D7F46" w:rsidP="00B63908">
      <w:pPr>
        <w:pStyle w:val="ListBullet2"/>
        <w:spacing w:line="260" w:lineRule="atLeast"/>
      </w:pPr>
      <w:r w:rsidRPr="00DF5733">
        <w:t xml:space="preserve">the </w:t>
      </w:r>
      <w:r w:rsidRPr="00165E55">
        <w:t>expected impact on GDP</w:t>
      </w:r>
    </w:p>
    <w:p w14:paraId="5B2BA4DB" w14:textId="6DDE42EF" w:rsidR="008D7F46" w:rsidRPr="00165E55" w:rsidRDefault="008D7F46" w:rsidP="00B63908">
      <w:pPr>
        <w:pStyle w:val="ListBullet2"/>
        <w:spacing w:line="260" w:lineRule="atLeast"/>
      </w:pPr>
      <w:r w:rsidRPr="00165E55">
        <w:lastRenderedPageBreak/>
        <w:t>to the extent possible, the analysis should separately identify the contribution to GDP that would arise from the reforms being implemented by (a) the Commonwealth government; and (b) state, territory, and local governments</w:t>
      </w:r>
    </w:p>
    <w:p w14:paraId="34604877" w14:textId="77777777" w:rsidR="008D7F46" w:rsidRPr="00165E55" w:rsidRDefault="008D7F46" w:rsidP="00B63908">
      <w:pPr>
        <w:pStyle w:val="ListBullet2"/>
        <w:spacing w:line="260" w:lineRule="atLeast"/>
      </w:pPr>
      <w:r w:rsidRPr="00165E55">
        <w:t>any impacts on dynamic efficiency and other measures of economic progress and national prosperity.</w:t>
      </w:r>
    </w:p>
    <w:p w14:paraId="6CC8CE13" w14:textId="77777777" w:rsidR="008D7F46" w:rsidRPr="00DF5733" w:rsidRDefault="008D7F46" w:rsidP="00B63908">
      <w:pPr>
        <w:pStyle w:val="ListBullet"/>
        <w:spacing w:line="260" w:lineRule="atLeast"/>
      </w:pPr>
      <w:r w:rsidRPr="00DF5733">
        <w:t>To the extent possible, the total additional revenue accruing to (a) the Commonwealth government, and (b) state, territory, and</w:t>
      </w:r>
      <w:r w:rsidRPr="00DF5733" w:rsidDel="009D33A1">
        <w:t xml:space="preserve"> </w:t>
      </w:r>
      <w:r w:rsidRPr="00DF5733">
        <w:t xml:space="preserve">local governments, arising from the proposed reform options. </w:t>
      </w:r>
    </w:p>
    <w:p w14:paraId="6E96AEBA" w14:textId="77777777" w:rsidR="008D7F46" w:rsidRPr="00DF5733" w:rsidRDefault="008D7F46" w:rsidP="00B63908">
      <w:pPr>
        <w:pStyle w:val="ListBullet"/>
        <w:spacing w:line="260" w:lineRule="atLeast"/>
      </w:pPr>
      <w:r w:rsidRPr="00DF5733">
        <w:t xml:space="preserve">Benefits accruing to Australian households and to the extent possible, distributional impacts. This should include estimated impacts on aggregate measures of incomes, prices and wages; the differential impacts across various groups (delineated, to the extent possible, by age, gender, income and education); and measures of consumer wellbeing, such as impacts on cost-of-living or consumer choice. </w:t>
      </w:r>
    </w:p>
    <w:p w14:paraId="25BA1147" w14:textId="77777777" w:rsidR="008D7F46" w:rsidRPr="00DF5733" w:rsidRDefault="008D7F46" w:rsidP="00B63908">
      <w:pPr>
        <w:pStyle w:val="ListBullet"/>
        <w:spacing w:line="260" w:lineRule="atLeast"/>
      </w:pPr>
      <w:r w:rsidRPr="00DF5733">
        <w:t>Where possible, other impacts on consumers that may be difficult to quantify, such as improved quality of service, living standards or other outcomes for consumers.</w:t>
      </w:r>
    </w:p>
    <w:p w14:paraId="6E35A66F" w14:textId="77777777" w:rsidR="008D7F46" w:rsidRPr="00DF5733" w:rsidRDefault="008D7F46" w:rsidP="00B63908">
      <w:pPr>
        <w:pStyle w:val="ListBullet"/>
        <w:spacing w:line="260" w:lineRule="atLeast"/>
      </w:pPr>
      <w:r w:rsidRPr="00DF5733">
        <w:t>Impacts, in terms of output, prices, productivity and growth on relevant industries and sectors.</w:t>
      </w:r>
    </w:p>
    <w:p w14:paraId="1B3EE1C5" w14:textId="77777777" w:rsidR="008D7F46" w:rsidRPr="00DF5733" w:rsidRDefault="008D7F46" w:rsidP="00B63908">
      <w:pPr>
        <w:spacing w:line="260" w:lineRule="atLeast"/>
      </w:pPr>
      <w:r w:rsidRPr="00DF5733">
        <w:t xml:space="preserve">Where possible, the Commission should provide an indication of the likely time over which any economic or other impacts are expected to occur. </w:t>
      </w:r>
    </w:p>
    <w:p w14:paraId="5667F657" w14:textId="77777777" w:rsidR="008D7F46" w:rsidRPr="00DF5733" w:rsidRDefault="008D7F46" w:rsidP="00B63908">
      <w:pPr>
        <w:spacing w:line="260" w:lineRule="atLeast"/>
      </w:pPr>
      <w:r w:rsidRPr="00DF5733">
        <w:t xml:space="preserve">In providing its assessment of the benefits to the Australian community, the Commission should provide an explanation of the methodology and assumptions used to derive the estimates. The Commission should also undertake sensitivity analysis of the results to the assumptions used. </w:t>
      </w:r>
    </w:p>
    <w:p w14:paraId="6D625526" w14:textId="77777777" w:rsidR="008D7F46" w:rsidRPr="00DF5733" w:rsidRDefault="008D7F46" w:rsidP="00B63908">
      <w:pPr>
        <w:spacing w:line="260" w:lineRule="atLeast"/>
      </w:pPr>
      <w:r w:rsidRPr="00DF5733">
        <w:t>The Commission should also consider any available reviews, estimates or analysis of the potential impacts of proposed reforms.</w:t>
      </w:r>
    </w:p>
    <w:p w14:paraId="286AE682" w14:textId="607497A1" w:rsidR="003B7DB1" w:rsidRPr="003B7DB1" w:rsidRDefault="003B7DB1" w:rsidP="00A56C5D">
      <w:pPr>
        <w:pStyle w:val="Heading2-nonumber"/>
        <w:spacing w:before="240"/>
      </w:pPr>
      <w:bookmarkStart w:id="14" w:name="_Toc181107358"/>
      <w:bookmarkStart w:id="15" w:name="_Toc181174202"/>
      <w:bookmarkStart w:id="16" w:name="_Toc181339524"/>
      <w:bookmarkStart w:id="17" w:name="_Toc181339754"/>
      <w:bookmarkStart w:id="18" w:name="_Toc181360233"/>
      <w:r w:rsidRPr="003B7DB1">
        <w:t>Process</w:t>
      </w:r>
      <w:bookmarkEnd w:id="14"/>
      <w:bookmarkEnd w:id="15"/>
      <w:bookmarkEnd w:id="16"/>
      <w:bookmarkEnd w:id="17"/>
      <w:bookmarkEnd w:id="18"/>
      <w:r w:rsidR="00376491">
        <w:t xml:space="preserve"> </w:t>
      </w:r>
    </w:p>
    <w:p w14:paraId="2518DD49" w14:textId="5014A65C" w:rsidR="00D72818" w:rsidRPr="00D72818" w:rsidRDefault="00D72818" w:rsidP="00B63908">
      <w:pPr>
        <w:keepNext/>
        <w:spacing w:line="260" w:lineRule="atLeast"/>
        <w:rPr>
          <w:rFonts w:cstheme="minorHAnsi"/>
        </w:rPr>
      </w:pPr>
      <w:r w:rsidRPr="00D72818">
        <w:rPr>
          <w:rFonts w:cstheme="minorHAnsi"/>
        </w:rPr>
        <w:t>The Commission should:</w:t>
      </w:r>
    </w:p>
    <w:p w14:paraId="45EE117C" w14:textId="77777777" w:rsidR="00D72818" w:rsidRPr="00D72818" w:rsidRDefault="00D72818" w:rsidP="00B63908">
      <w:pPr>
        <w:pStyle w:val="ListNumber"/>
        <w:spacing w:after="60" w:line="260" w:lineRule="atLeast"/>
        <w:ind w:left="227" w:hanging="227"/>
      </w:pPr>
      <w:r w:rsidRPr="00D72818">
        <w:t>Develop a suitable methodology and framework to model the direct and economy</w:t>
      </w:r>
      <w:r w:rsidRPr="00D72818">
        <w:noBreakHyphen/>
        <w:t xml:space="preserve">wide economic and revenue impacts of the proposed reform options and revisions to revitalise National Competition Policy. This should be informed by a review of previous modelling undertaken by the: </w:t>
      </w:r>
    </w:p>
    <w:p w14:paraId="5921A553" w14:textId="77777777" w:rsidR="00D72818" w:rsidRPr="00297D08" w:rsidRDefault="00D72818" w:rsidP="00B63908">
      <w:pPr>
        <w:pStyle w:val="ListBullet2"/>
        <w:spacing w:before="60" w:line="260" w:lineRule="atLeast"/>
      </w:pPr>
      <w:r w:rsidRPr="00297D08">
        <w:t xml:space="preserve">Industry Commission in 1995 on the growth and revenue impacts of the original National Competition Policy, and </w:t>
      </w:r>
    </w:p>
    <w:p w14:paraId="7AD054D7" w14:textId="77777777" w:rsidR="00D72818" w:rsidRPr="00297D08" w:rsidRDefault="00D72818" w:rsidP="00B63908">
      <w:pPr>
        <w:pStyle w:val="ListBullet2"/>
        <w:spacing w:line="260" w:lineRule="atLeast"/>
      </w:pPr>
      <w:r w:rsidRPr="00297D08">
        <w:t xml:space="preserve">Productivity Commission in 2005 to estimate the benefits of the original National Competition Policy. </w:t>
      </w:r>
    </w:p>
    <w:p w14:paraId="2553A754" w14:textId="6FE34791" w:rsidR="00D72818" w:rsidRPr="00D72818" w:rsidRDefault="00D72818" w:rsidP="00B63908">
      <w:pPr>
        <w:pStyle w:val="OutlineNumbered2"/>
        <w:numPr>
          <w:ilvl w:val="0"/>
          <w:numId w:val="0"/>
        </w:numPr>
        <w:spacing w:after="120" w:line="260" w:lineRule="atLeast"/>
        <w:ind w:left="227"/>
        <w:rPr>
          <w:rFonts w:cstheme="minorHAnsi"/>
          <w:sz w:val="20"/>
          <w:szCs w:val="20"/>
        </w:rPr>
      </w:pPr>
      <w:r w:rsidRPr="00D72818">
        <w:rPr>
          <w:rFonts w:cstheme="minorHAnsi"/>
          <w:sz w:val="20"/>
          <w:szCs w:val="20"/>
        </w:rPr>
        <w:t>The Commission will be provided with early indicative reform options to inform model development.</w:t>
      </w:r>
    </w:p>
    <w:p w14:paraId="154718A9" w14:textId="77777777" w:rsidR="00D72818" w:rsidRPr="00873482" w:rsidRDefault="00D72818" w:rsidP="00B63908">
      <w:pPr>
        <w:pStyle w:val="ListNumber"/>
        <w:spacing w:line="260" w:lineRule="atLeast"/>
        <w:ind w:left="227" w:hanging="227"/>
      </w:pPr>
      <w:r w:rsidRPr="00C754D2">
        <w:t xml:space="preserve">Model the impacts of reform options considered by CFFR using the </w:t>
      </w:r>
      <w:r w:rsidRPr="00873482">
        <w:t xml:space="preserve">developed methodology to estimate the overall economic and revenue impacts, and other outputs described above. </w:t>
      </w:r>
    </w:p>
    <w:p w14:paraId="6389C862" w14:textId="77777777" w:rsidR="00D72818" w:rsidRPr="00C754D2" w:rsidRDefault="00D72818" w:rsidP="00B63908">
      <w:pPr>
        <w:pStyle w:val="ListNumber"/>
        <w:spacing w:line="260" w:lineRule="atLeast"/>
        <w:ind w:left="227" w:hanging="227"/>
      </w:pPr>
      <w:r w:rsidRPr="00873482">
        <w:t>Prepare a report which provides analysis of the likely impacts of refo</w:t>
      </w:r>
      <w:r w:rsidRPr="00C754D2">
        <w:t>rms, covering the outputs and analysis described above.</w:t>
      </w:r>
    </w:p>
    <w:p w14:paraId="37D95243" w14:textId="77777777" w:rsidR="00D72818" w:rsidRPr="00F8605E" w:rsidRDefault="00D72818" w:rsidP="00B63908">
      <w:pPr>
        <w:spacing w:line="260" w:lineRule="atLeast"/>
        <w:rPr>
          <w:rFonts w:cstheme="minorHAnsi"/>
          <w:spacing w:val="-4"/>
        </w:rPr>
      </w:pPr>
      <w:r w:rsidRPr="00F8605E">
        <w:rPr>
          <w:rFonts w:cstheme="minorHAnsi"/>
          <w:spacing w:val="-4"/>
        </w:rPr>
        <w:t xml:space="preserve">The Commission will consult as required, including with state and territory governments, in completing this Study. </w:t>
      </w:r>
    </w:p>
    <w:p w14:paraId="27359514" w14:textId="77777777" w:rsidR="00D72818" w:rsidRDefault="00D72818" w:rsidP="00B63908">
      <w:pPr>
        <w:spacing w:line="260" w:lineRule="atLeast"/>
        <w:rPr>
          <w:rFonts w:cstheme="minorHAnsi"/>
        </w:rPr>
      </w:pPr>
      <w:r w:rsidRPr="00D72818">
        <w:rPr>
          <w:rFonts w:cstheme="minorHAnsi"/>
        </w:rPr>
        <w:t xml:space="preserve">The Commission should provide a report to the Government by 1 November 2024. </w:t>
      </w:r>
    </w:p>
    <w:p w14:paraId="47C2352A" w14:textId="77777777" w:rsidR="00584E06" w:rsidRPr="00D72818" w:rsidRDefault="00584E06" w:rsidP="00B63908">
      <w:pPr>
        <w:spacing w:line="260" w:lineRule="atLeast"/>
        <w:rPr>
          <w:rFonts w:cstheme="minorHAnsi"/>
        </w:rPr>
      </w:pPr>
    </w:p>
    <w:p w14:paraId="13E701A5" w14:textId="6F195E17" w:rsidR="003B7DB1" w:rsidRPr="003B7DB1" w:rsidRDefault="003B7DB1" w:rsidP="00B62D8B">
      <w:pPr>
        <w:pStyle w:val="BodyText"/>
        <w:spacing w:before="240"/>
      </w:pPr>
      <w:r w:rsidRPr="007D1569">
        <w:rPr>
          <w:b/>
          <w:bCs/>
        </w:rPr>
        <w:t xml:space="preserve">The Hon </w:t>
      </w:r>
      <w:r w:rsidR="009D1C07">
        <w:rPr>
          <w:b/>
          <w:bCs/>
        </w:rPr>
        <w:t xml:space="preserve">Dr </w:t>
      </w:r>
      <w:r w:rsidR="00C011E2">
        <w:rPr>
          <w:b/>
          <w:bCs/>
        </w:rPr>
        <w:t>Jim Chalmers</w:t>
      </w:r>
      <w:r w:rsidRPr="007D1569">
        <w:rPr>
          <w:b/>
          <w:bCs/>
        </w:rPr>
        <w:t xml:space="preserve"> MP</w:t>
      </w:r>
      <w:r w:rsidR="00221800">
        <w:br/>
      </w:r>
      <w:r w:rsidRPr="003B7DB1">
        <w:t>Treasurer</w:t>
      </w:r>
    </w:p>
    <w:p w14:paraId="2036E04C" w14:textId="3185F2C7" w:rsidR="003B7DB1" w:rsidRPr="003B7DB1" w:rsidRDefault="00873482" w:rsidP="00FB016C">
      <w:pPr>
        <w:pStyle w:val="BodyText"/>
      </w:pPr>
      <w:r>
        <w:t xml:space="preserve">[Received </w:t>
      </w:r>
      <w:r w:rsidR="00F8605E">
        <w:t>13 March 2024</w:t>
      </w:r>
      <w:r>
        <w:t>]</w:t>
      </w:r>
    </w:p>
    <w:p w14:paraId="12D924C0" w14:textId="77777777" w:rsidR="002457DE" w:rsidRDefault="002457DE" w:rsidP="000F4488">
      <w:pPr>
        <w:pStyle w:val="BodyText"/>
      </w:pPr>
    </w:p>
    <w:p w14:paraId="2F638882" w14:textId="77777777" w:rsidR="00840CAD" w:rsidRDefault="00840CAD">
      <w:pPr>
        <w:spacing w:before="0" w:after="160" w:line="259" w:lineRule="auto"/>
        <w:sectPr w:rsidR="00840CAD" w:rsidSect="000B4735">
          <w:headerReference w:type="even" r:id="rId26"/>
          <w:headerReference w:type="default" r:id="rId27"/>
          <w:headerReference w:type="first" r:id="rId28"/>
          <w:type w:val="oddPage"/>
          <w:pgSz w:w="11906" w:h="16838" w:code="9"/>
          <w:pgMar w:top="1134" w:right="1134" w:bottom="1134" w:left="1134" w:header="794" w:footer="510" w:gutter="0"/>
          <w:pgNumType w:fmt="lowerRoman"/>
          <w:cols w:space="708"/>
          <w:docGrid w:linePitch="360"/>
        </w:sectPr>
      </w:pPr>
    </w:p>
    <w:bookmarkStart w:id="19" w:name="_Toc181174206" w:displacedByCustomXml="next"/>
    <w:bookmarkStart w:id="20" w:name="_Toc181339527" w:displacedByCustomXml="next"/>
    <w:bookmarkStart w:id="21" w:name="_Toc181339757" w:displacedByCustomXml="next"/>
    <w:bookmarkStart w:id="22" w:name="_Toc181360236" w:displacedByCustomXml="next"/>
    <w:sdt>
      <w:sdtPr>
        <w:rPr>
          <w:rFonts w:asciiTheme="minorHAnsi" w:hAnsiTheme="minorHAnsi"/>
          <w:color w:val="auto"/>
          <w:sz w:val="20"/>
          <w:lang w:val="en-GB"/>
        </w:rPr>
        <w:id w:val="1388686733"/>
        <w:docPartObj>
          <w:docPartGallery w:val="Table of Contents"/>
          <w:docPartUnique/>
        </w:docPartObj>
      </w:sdtPr>
      <w:sdtContent>
        <w:p w14:paraId="5E9AF07F" w14:textId="444BC21F" w:rsidR="003034F5" w:rsidRDefault="003034F5">
          <w:pPr>
            <w:pStyle w:val="TOCHeading"/>
          </w:pPr>
          <w:r>
            <w:rPr>
              <w:lang w:val="en-GB"/>
            </w:rPr>
            <w:t>Contents</w:t>
          </w:r>
          <w:bookmarkEnd w:id="22"/>
          <w:bookmarkEnd w:id="21"/>
          <w:bookmarkEnd w:id="20"/>
          <w:bookmarkEnd w:id="19"/>
        </w:p>
        <w:p w14:paraId="014DA6E2" w14:textId="421E93DB" w:rsidR="008A7632" w:rsidRDefault="003034F5" w:rsidP="008A7632">
          <w:pPr>
            <w:pStyle w:val="TOC1"/>
            <w:rPr>
              <w:rFonts w:asciiTheme="minorHAnsi" w:eastAsiaTheme="minorEastAsia" w:hAnsiTheme="minorHAnsi"/>
              <w:noProof/>
              <w:color w:val="auto"/>
              <w:kern w:val="2"/>
              <w:sz w:val="24"/>
              <w:szCs w:val="24"/>
              <w:lang w:eastAsia="en-AU"/>
              <w14:ligatures w14:val="standardContextual"/>
            </w:rPr>
          </w:pPr>
          <w:r>
            <w:fldChar w:fldCharType="begin"/>
          </w:r>
          <w:r>
            <w:instrText xml:space="preserve"> TOC \o "1-3" \h \z \u </w:instrText>
          </w:r>
          <w:r>
            <w:fldChar w:fldCharType="separate"/>
          </w:r>
          <w:hyperlink w:anchor="_Toc181360229" w:history="1"/>
          <w:hyperlink w:anchor="_Toc181360230" w:history="1">
            <w:r w:rsidR="008A7632" w:rsidRPr="002A2F56">
              <w:rPr>
                <w:rStyle w:val="Hyperlink"/>
                <w:noProof/>
              </w:rPr>
              <w:t>Terms of reference</w:t>
            </w:r>
            <w:r w:rsidR="008A7632">
              <w:rPr>
                <w:noProof/>
                <w:webHidden/>
              </w:rPr>
              <w:tab/>
            </w:r>
            <w:r w:rsidR="008A7632">
              <w:rPr>
                <w:noProof/>
                <w:webHidden/>
              </w:rPr>
              <w:fldChar w:fldCharType="begin"/>
            </w:r>
            <w:r w:rsidR="008A7632">
              <w:rPr>
                <w:noProof/>
                <w:webHidden/>
              </w:rPr>
              <w:instrText xml:space="preserve"> PAGEREF _Toc181360230 \h </w:instrText>
            </w:r>
            <w:r w:rsidR="008A7632">
              <w:rPr>
                <w:noProof/>
                <w:webHidden/>
              </w:rPr>
            </w:r>
            <w:r w:rsidR="008A7632">
              <w:rPr>
                <w:noProof/>
                <w:webHidden/>
              </w:rPr>
              <w:fldChar w:fldCharType="separate"/>
            </w:r>
            <w:r w:rsidR="00D456A7">
              <w:rPr>
                <w:noProof/>
                <w:webHidden/>
              </w:rPr>
              <w:t>iii</w:t>
            </w:r>
            <w:r w:rsidR="008A7632">
              <w:rPr>
                <w:noProof/>
                <w:webHidden/>
              </w:rPr>
              <w:fldChar w:fldCharType="end"/>
            </w:r>
          </w:hyperlink>
        </w:p>
        <w:p w14:paraId="42436793" w14:textId="425C48CB" w:rsidR="008A7632" w:rsidRDefault="008A7632">
          <w:pPr>
            <w:pStyle w:val="TOC1"/>
            <w:rPr>
              <w:rFonts w:asciiTheme="minorHAnsi" w:eastAsiaTheme="minorEastAsia" w:hAnsiTheme="minorHAnsi"/>
              <w:noProof/>
              <w:color w:val="auto"/>
              <w:kern w:val="2"/>
              <w:sz w:val="24"/>
              <w:szCs w:val="24"/>
              <w:lang w:eastAsia="en-AU"/>
              <w14:ligatures w14:val="standardContextual"/>
            </w:rPr>
          </w:pPr>
          <w:hyperlink w:anchor="_Toc181360237" w:history="1">
            <w:r w:rsidRPr="002A2F56">
              <w:rPr>
                <w:rStyle w:val="Hyperlink"/>
                <w:noProof/>
              </w:rPr>
              <w:t>Study report</w:t>
            </w:r>
            <w:r>
              <w:rPr>
                <w:noProof/>
                <w:webHidden/>
              </w:rPr>
              <w:tab/>
            </w:r>
            <w:r>
              <w:rPr>
                <w:noProof/>
                <w:webHidden/>
              </w:rPr>
              <w:fldChar w:fldCharType="begin"/>
            </w:r>
            <w:r>
              <w:rPr>
                <w:noProof/>
                <w:webHidden/>
              </w:rPr>
              <w:instrText xml:space="preserve"> PAGEREF _Toc181360237 \h </w:instrText>
            </w:r>
            <w:r>
              <w:rPr>
                <w:noProof/>
                <w:webHidden/>
              </w:rPr>
            </w:r>
            <w:r>
              <w:rPr>
                <w:noProof/>
                <w:webHidden/>
              </w:rPr>
              <w:fldChar w:fldCharType="separate"/>
            </w:r>
            <w:r w:rsidR="00D456A7">
              <w:rPr>
                <w:noProof/>
                <w:webHidden/>
              </w:rPr>
              <w:t>1</w:t>
            </w:r>
            <w:r>
              <w:rPr>
                <w:noProof/>
                <w:webHidden/>
              </w:rPr>
              <w:fldChar w:fldCharType="end"/>
            </w:r>
          </w:hyperlink>
        </w:p>
        <w:p w14:paraId="2EE951F0" w14:textId="58967218" w:rsidR="008A7632" w:rsidRDefault="008A7632" w:rsidP="008A7632">
          <w:pPr>
            <w:pStyle w:val="TOC2"/>
            <w:rPr>
              <w:rFonts w:eastAsiaTheme="minorEastAsia"/>
              <w:kern w:val="2"/>
              <w:sz w:val="24"/>
              <w:szCs w:val="24"/>
              <w:lang w:eastAsia="en-AU"/>
              <w14:ligatures w14:val="standardContextual"/>
            </w:rPr>
          </w:pPr>
          <w:hyperlink w:anchor="_Toc181360238" w:history="1">
            <w:r w:rsidRPr="002A2F56">
              <w:rPr>
                <w:rStyle w:val="Hyperlink"/>
              </w:rPr>
              <w:t>Key points</w:t>
            </w:r>
            <w:r>
              <w:rPr>
                <w:webHidden/>
              </w:rPr>
              <w:tab/>
            </w:r>
            <w:r>
              <w:rPr>
                <w:webHidden/>
              </w:rPr>
              <w:fldChar w:fldCharType="begin"/>
            </w:r>
            <w:r>
              <w:rPr>
                <w:webHidden/>
              </w:rPr>
              <w:instrText xml:space="preserve"> PAGEREF _Toc181360238 \h </w:instrText>
            </w:r>
            <w:r>
              <w:rPr>
                <w:webHidden/>
              </w:rPr>
            </w:r>
            <w:r>
              <w:rPr>
                <w:webHidden/>
              </w:rPr>
              <w:fldChar w:fldCharType="separate"/>
            </w:r>
            <w:r w:rsidR="00D456A7">
              <w:rPr>
                <w:webHidden/>
              </w:rPr>
              <w:t>2</w:t>
            </w:r>
            <w:r>
              <w:rPr>
                <w:webHidden/>
              </w:rPr>
              <w:fldChar w:fldCharType="end"/>
            </w:r>
          </w:hyperlink>
        </w:p>
        <w:p w14:paraId="47F92E5E" w14:textId="13843B42" w:rsidR="008A7632" w:rsidRDefault="008A7632">
          <w:pPr>
            <w:pStyle w:val="TOC2"/>
            <w:rPr>
              <w:rFonts w:eastAsiaTheme="minorEastAsia"/>
              <w:kern w:val="2"/>
              <w:sz w:val="24"/>
              <w:szCs w:val="24"/>
              <w:lang w:eastAsia="en-AU"/>
              <w14:ligatures w14:val="standardContextual"/>
            </w:rPr>
          </w:pPr>
          <w:hyperlink w:anchor="_Toc181360239" w:history="1">
            <w:r w:rsidRPr="002A2F56">
              <w:rPr>
                <w:rStyle w:val="Hyperlink"/>
              </w:rPr>
              <w:t>What is this study about?</w:t>
            </w:r>
            <w:r>
              <w:rPr>
                <w:webHidden/>
              </w:rPr>
              <w:tab/>
            </w:r>
            <w:r>
              <w:rPr>
                <w:webHidden/>
              </w:rPr>
              <w:fldChar w:fldCharType="begin"/>
            </w:r>
            <w:r>
              <w:rPr>
                <w:webHidden/>
              </w:rPr>
              <w:instrText xml:space="preserve"> PAGEREF _Toc181360239 \h </w:instrText>
            </w:r>
            <w:r>
              <w:rPr>
                <w:webHidden/>
              </w:rPr>
            </w:r>
            <w:r>
              <w:rPr>
                <w:webHidden/>
              </w:rPr>
              <w:fldChar w:fldCharType="separate"/>
            </w:r>
            <w:r w:rsidR="00D456A7">
              <w:rPr>
                <w:webHidden/>
              </w:rPr>
              <w:t>3</w:t>
            </w:r>
            <w:r>
              <w:rPr>
                <w:webHidden/>
              </w:rPr>
              <w:fldChar w:fldCharType="end"/>
            </w:r>
          </w:hyperlink>
        </w:p>
        <w:p w14:paraId="3D749F3F" w14:textId="430A6E3A" w:rsidR="008A7632" w:rsidRDefault="008A7632">
          <w:pPr>
            <w:pStyle w:val="TOC2"/>
            <w:rPr>
              <w:rFonts w:eastAsiaTheme="minorEastAsia"/>
              <w:kern w:val="2"/>
              <w:sz w:val="24"/>
              <w:szCs w:val="24"/>
              <w:lang w:eastAsia="en-AU"/>
              <w14:ligatures w14:val="standardContextual"/>
            </w:rPr>
          </w:pPr>
          <w:hyperlink w:anchor="_Toc181360240" w:history="1">
            <w:r w:rsidRPr="002A2F56">
              <w:rPr>
                <w:rStyle w:val="Hyperlink"/>
              </w:rPr>
              <w:t>What reforms did we assess?</w:t>
            </w:r>
            <w:r>
              <w:rPr>
                <w:webHidden/>
              </w:rPr>
              <w:tab/>
            </w:r>
            <w:r>
              <w:rPr>
                <w:webHidden/>
              </w:rPr>
              <w:fldChar w:fldCharType="begin"/>
            </w:r>
            <w:r>
              <w:rPr>
                <w:webHidden/>
              </w:rPr>
              <w:instrText xml:space="preserve"> PAGEREF _Toc181360240 \h </w:instrText>
            </w:r>
            <w:r>
              <w:rPr>
                <w:webHidden/>
              </w:rPr>
            </w:r>
            <w:r>
              <w:rPr>
                <w:webHidden/>
              </w:rPr>
              <w:fldChar w:fldCharType="separate"/>
            </w:r>
            <w:r w:rsidR="00D456A7">
              <w:rPr>
                <w:webHidden/>
              </w:rPr>
              <w:t>5</w:t>
            </w:r>
            <w:r>
              <w:rPr>
                <w:webHidden/>
              </w:rPr>
              <w:fldChar w:fldCharType="end"/>
            </w:r>
          </w:hyperlink>
        </w:p>
        <w:p w14:paraId="3E0DF839" w14:textId="0E9FE867" w:rsidR="008A7632" w:rsidRDefault="008A7632">
          <w:pPr>
            <w:pStyle w:val="TOC2"/>
            <w:rPr>
              <w:rFonts w:eastAsiaTheme="minorEastAsia"/>
              <w:kern w:val="2"/>
              <w:sz w:val="24"/>
              <w:szCs w:val="24"/>
              <w:lang w:eastAsia="en-AU"/>
              <w14:ligatures w14:val="standardContextual"/>
            </w:rPr>
          </w:pPr>
          <w:hyperlink w:anchor="_Toc181360241" w:history="1">
            <w:r w:rsidRPr="002A2F56">
              <w:rPr>
                <w:rStyle w:val="Hyperlink"/>
              </w:rPr>
              <w:t>Our approach to assessing the reforms</w:t>
            </w:r>
            <w:r>
              <w:rPr>
                <w:webHidden/>
              </w:rPr>
              <w:tab/>
            </w:r>
            <w:r>
              <w:rPr>
                <w:webHidden/>
              </w:rPr>
              <w:fldChar w:fldCharType="begin"/>
            </w:r>
            <w:r>
              <w:rPr>
                <w:webHidden/>
              </w:rPr>
              <w:instrText xml:space="preserve"> PAGEREF _Toc181360241 \h </w:instrText>
            </w:r>
            <w:r>
              <w:rPr>
                <w:webHidden/>
              </w:rPr>
            </w:r>
            <w:r>
              <w:rPr>
                <w:webHidden/>
              </w:rPr>
              <w:fldChar w:fldCharType="separate"/>
            </w:r>
            <w:r w:rsidR="00D456A7">
              <w:rPr>
                <w:webHidden/>
              </w:rPr>
              <w:t>8</w:t>
            </w:r>
            <w:r>
              <w:rPr>
                <w:webHidden/>
              </w:rPr>
              <w:fldChar w:fldCharType="end"/>
            </w:r>
          </w:hyperlink>
        </w:p>
        <w:p w14:paraId="063A400E" w14:textId="45D81E61" w:rsidR="008A7632" w:rsidRDefault="008A7632">
          <w:pPr>
            <w:pStyle w:val="TOC2"/>
            <w:rPr>
              <w:rFonts w:eastAsiaTheme="minorEastAsia"/>
              <w:kern w:val="2"/>
              <w:sz w:val="24"/>
              <w:szCs w:val="24"/>
              <w:lang w:eastAsia="en-AU"/>
              <w14:ligatures w14:val="standardContextual"/>
            </w:rPr>
          </w:pPr>
          <w:hyperlink w:anchor="_Toc181360246" w:history="1">
            <w:r w:rsidRPr="002A2F56">
              <w:rPr>
                <w:rStyle w:val="Hyperlink"/>
              </w:rPr>
              <w:t>What did we find?</w:t>
            </w:r>
            <w:r>
              <w:rPr>
                <w:webHidden/>
              </w:rPr>
              <w:tab/>
            </w:r>
            <w:r>
              <w:rPr>
                <w:webHidden/>
              </w:rPr>
              <w:fldChar w:fldCharType="begin"/>
            </w:r>
            <w:r>
              <w:rPr>
                <w:webHidden/>
              </w:rPr>
              <w:instrText xml:space="preserve"> PAGEREF _Toc181360246 \h </w:instrText>
            </w:r>
            <w:r>
              <w:rPr>
                <w:webHidden/>
              </w:rPr>
            </w:r>
            <w:r>
              <w:rPr>
                <w:webHidden/>
              </w:rPr>
              <w:fldChar w:fldCharType="separate"/>
            </w:r>
            <w:r w:rsidR="00D456A7">
              <w:rPr>
                <w:webHidden/>
              </w:rPr>
              <w:t>13</w:t>
            </w:r>
            <w:r>
              <w:rPr>
                <w:webHidden/>
              </w:rPr>
              <w:fldChar w:fldCharType="end"/>
            </w:r>
          </w:hyperlink>
        </w:p>
        <w:p w14:paraId="2C9A1354" w14:textId="4D08A4BD" w:rsidR="008A7632" w:rsidRDefault="008A7632">
          <w:pPr>
            <w:pStyle w:val="TOC2"/>
            <w:rPr>
              <w:rFonts w:eastAsiaTheme="minorEastAsia"/>
              <w:kern w:val="2"/>
              <w:sz w:val="24"/>
              <w:szCs w:val="24"/>
              <w:lang w:eastAsia="en-AU"/>
              <w14:ligatures w14:val="standardContextual"/>
            </w:rPr>
          </w:pPr>
          <w:hyperlink w:anchor="_Toc181360252" w:history="1">
            <w:r w:rsidRPr="002A2F56">
              <w:rPr>
                <w:rStyle w:val="Hyperlink"/>
              </w:rPr>
              <w:t>A closer look at the reform areas</w:t>
            </w:r>
            <w:r>
              <w:rPr>
                <w:webHidden/>
              </w:rPr>
              <w:tab/>
            </w:r>
            <w:r>
              <w:rPr>
                <w:webHidden/>
              </w:rPr>
              <w:fldChar w:fldCharType="begin"/>
            </w:r>
            <w:r>
              <w:rPr>
                <w:webHidden/>
              </w:rPr>
              <w:instrText xml:space="preserve"> PAGEREF _Toc181360252 \h </w:instrText>
            </w:r>
            <w:r>
              <w:rPr>
                <w:webHidden/>
              </w:rPr>
            </w:r>
            <w:r>
              <w:rPr>
                <w:webHidden/>
              </w:rPr>
              <w:fldChar w:fldCharType="separate"/>
            </w:r>
            <w:r w:rsidR="00D456A7">
              <w:rPr>
                <w:webHidden/>
              </w:rPr>
              <w:t>17</w:t>
            </w:r>
            <w:r>
              <w:rPr>
                <w:webHidden/>
              </w:rPr>
              <w:fldChar w:fldCharType="end"/>
            </w:r>
          </w:hyperlink>
        </w:p>
        <w:p w14:paraId="52D03713" w14:textId="4CC1F3F5" w:rsidR="008A7632" w:rsidRDefault="008A7632">
          <w:pPr>
            <w:pStyle w:val="TOC2"/>
            <w:rPr>
              <w:rFonts w:eastAsiaTheme="minorEastAsia"/>
              <w:kern w:val="2"/>
              <w:sz w:val="24"/>
              <w:szCs w:val="24"/>
              <w:lang w:eastAsia="en-AU"/>
              <w14:ligatures w14:val="standardContextual"/>
            </w:rPr>
          </w:pPr>
          <w:hyperlink w:anchor="_Toc181360258" w:history="1">
            <w:r w:rsidRPr="002A2F56">
              <w:rPr>
                <w:rStyle w:val="Hyperlink"/>
              </w:rPr>
              <w:t>Where to begin?</w:t>
            </w:r>
            <w:r>
              <w:rPr>
                <w:webHidden/>
              </w:rPr>
              <w:tab/>
            </w:r>
            <w:r>
              <w:rPr>
                <w:webHidden/>
              </w:rPr>
              <w:fldChar w:fldCharType="begin"/>
            </w:r>
            <w:r>
              <w:rPr>
                <w:webHidden/>
              </w:rPr>
              <w:instrText xml:space="preserve"> PAGEREF _Toc181360258 \h </w:instrText>
            </w:r>
            <w:r>
              <w:rPr>
                <w:webHidden/>
              </w:rPr>
            </w:r>
            <w:r>
              <w:rPr>
                <w:webHidden/>
              </w:rPr>
              <w:fldChar w:fldCharType="separate"/>
            </w:r>
            <w:r w:rsidR="00D456A7">
              <w:rPr>
                <w:webHidden/>
              </w:rPr>
              <w:t>30</w:t>
            </w:r>
            <w:r>
              <w:rPr>
                <w:webHidden/>
              </w:rPr>
              <w:fldChar w:fldCharType="end"/>
            </w:r>
          </w:hyperlink>
        </w:p>
        <w:p w14:paraId="79091B7D" w14:textId="17FDD659" w:rsidR="003034F5" w:rsidRPr="005A19E2" w:rsidRDefault="003034F5" w:rsidP="005A19E2">
          <w:pPr>
            <w:spacing w:before="360"/>
          </w:pPr>
          <w:r>
            <w:rPr>
              <w:b/>
              <w:bCs/>
              <w:lang w:val="en-GB"/>
            </w:rPr>
            <w:fldChar w:fldCharType="end"/>
          </w:r>
          <w:r w:rsidR="00F007B9" w:rsidRPr="005A19E2">
            <w:rPr>
              <w:lang w:val="en-GB"/>
            </w:rPr>
            <w:t>The appendices and reference</w:t>
          </w:r>
          <w:r w:rsidR="005A19E2">
            <w:rPr>
              <w:lang w:val="en-GB"/>
            </w:rPr>
            <w:t xml:space="preserve"> list</w:t>
          </w:r>
          <w:r w:rsidR="00F007B9" w:rsidRPr="005A19E2">
            <w:rPr>
              <w:lang w:val="en-GB"/>
            </w:rPr>
            <w:t xml:space="preserve"> are available in the full report</w:t>
          </w:r>
          <w:r w:rsidR="005A19E2" w:rsidRPr="005A19E2">
            <w:rPr>
              <w:lang w:val="en-GB"/>
            </w:rPr>
            <w:t>.</w:t>
          </w:r>
        </w:p>
      </w:sdtContent>
    </w:sdt>
    <w:p w14:paraId="59810963" w14:textId="2A518E0F" w:rsidR="00AE1A42" w:rsidRPr="00F36A70" w:rsidRDefault="00AE1A42" w:rsidP="00F36A70">
      <w:pPr>
        <w:pStyle w:val="BodyText"/>
      </w:pPr>
      <w:r w:rsidRPr="00F36A70">
        <w:br w:type="page"/>
      </w:r>
    </w:p>
    <w:p w14:paraId="4FEE697A" w14:textId="77777777" w:rsidR="00AE1A42" w:rsidRPr="007D1569" w:rsidRDefault="00AE1A42" w:rsidP="00AE1A42">
      <w:pPr>
        <w:pStyle w:val="Heading2-nonumber"/>
      </w:pPr>
      <w:bookmarkStart w:id="23" w:name="_Toc181107359"/>
      <w:bookmarkStart w:id="24" w:name="_Toc181174203"/>
      <w:bookmarkStart w:id="25" w:name="_Toc181339525"/>
      <w:bookmarkStart w:id="26" w:name="_Toc181339755"/>
      <w:bookmarkStart w:id="27" w:name="_Toc181360234"/>
      <w:bookmarkStart w:id="28" w:name="_Toc87865130"/>
      <w:r w:rsidRPr="007D1569">
        <w:lastRenderedPageBreak/>
        <w:t>Acknowledgments</w:t>
      </w:r>
      <w:bookmarkEnd w:id="23"/>
      <w:bookmarkEnd w:id="24"/>
      <w:bookmarkEnd w:id="25"/>
      <w:bookmarkEnd w:id="26"/>
      <w:bookmarkEnd w:id="27"/>
    </w:p>
    <w:p w14:paraId="08514A16" w14:textId="77777777" w:rsidR="00AE1A42" w:rsidRDefault="00AE1A42" w:rsidP="00AE1A42">
      <w:pPr>
        <w:pStyle w:val="BodyText"/>
      </w:pPr>
      <w:r w:rsidRPr="00192C9E">
        <w:t xml:space="preserve">The Commission would like to acknowledge </w:t>
      </w:r>
      <w:r>
        <w:t xml:space="preserve">all those who have taken the time to contribute to this study, including the organisations and individuals who provided submissions to the study and the Australian, State and Territory </w:t>
      </w:r>
      <w:r w:rsidRPr="00192C9E">
        <w:t xml:space="preserve">Government bodies </w:t>
      </w:r>
      <w:r>
        <w:t xml:space="preserve">who participated in meetings and workshops. </w:t>
      </w:r>
    </w:p>
    <w:p w14:paraId="3193DC86" w14:textId="20BAC390" w:rsidR="00AE1A42" w:rsidRPr="008E21ED" w:rsidRDefault="009C4127" w:rsidP="00AE1A42">
      <w:pPr>
        <w:pStyle w:val="BodyText"/>
        <w:rPr>
          <w:spacing w:val="-4"/>
        </w:rPr>
      </w:pPr>
      <w:r w:rsidRPr="008E21ED">
        <w:rPr>
          <w:spacing w:val="-4"/>
        </w:rPr>
        <w:t xml:space="preserve">The Commissioners on this study were Alex Robson and Stephen King. </w:t>
      </w:r>
      <w:r w:rsidR="00AE1A42" w:rsidRPr="008E21ED">
        <w:rPr>
          <w:spacing w:val="-4"/>
        </w:rPr>
        <w:t xml:space="preserve">The Commissioners express their appreciation to the staff who worked on this report. The team included: Vanessa </w:t>
      </w:r>
      <w:proofErr w:type="spellStart"/>
      <w:r w:rsidR="00AE1A42" w:rsidRPr="008E21ED">
        <w:rPr>
          <w:spacing w:val="-4"/>
        </w:rPr>
        <w:t>Boltman</w:t>
      </w:r>
      <w:proofErr w:type="spellEnd"/>
      <w:r w:rsidR="00AE1A42" w:rsidRPr="008E21ED">
        <w:rPr>
          <w:spacing w:val="-4"/>
        </w:rPr>
        <w:t xml:space="preserve">, Sebastian Broadhurst, Peter Daniel, Zac </w:t>
      </w:r>
      <w:proofErr w:type="spellStart"/>
      <w:r w:rsidR="00AE1A42" w:rsidRPr="008E21ED">
        <w:rPr>
          <w:spacing w:val="-4"/>
        </w:rPr>
        <w:t>Duretto</w:t>
      </w:r>
      <w:proofErr w:type="spellEnd"/>
      <w:r w:rsidR="00AE1A42" w:rsidRPr="008E21ED">
        <w:rPr>
          <w:spacing w:val="-4"/>
        </w:rPr>
        <w:t>, Owen Gabbitas, Patrick Jomini, Aaron Korczak-</w:t>
      </w:r>
      <w:proofErr w:type="spellStart"/>
      <w:r w:rsidR="00AE1A42" w:rsidRPr="008E21ED">
        <w:rPr>
          <w:spacing w:val="-4"/>
        </w:rPr>
        <w:t>Krzeczowski</w:t>
      </w:r>
      <w:proofErr w:type="spellEnd"/>
      <w:r w:rsidR="00AE1A42" w:rsidRPr="008E21ED">
        <w:rPr>
          <w:spacing w:val="-4"/>
        </w:rPr>
        <w:t xml:space="preserve">, Eric Liu, Diego </w:t>
      </w:r>
      <w:proofErr w:type="spellStart"/>
      <w:r w:rsidR="00AE1A42" w:rsidRPr="008E21ED">
        <w:rPr>
          <w:spacing w:val="-4"/>
        </w:rPr>
        <w:t>Machillanda</w:t>
      </w:r>
      <w:proofErr w:type="spellEnd"/>
      <w:r w:rsidR="00AE1A42" w:rsidRPr="008E21ED">
        <w:rPr>
          <w:spacing w:val="-4"/>
        </w:rPr>
        <w:t>, Benjamin Mitra-Kahn, Bonnie Nguyen, Jessica Nugent, Nicholas Rathjen, George Steel, James Thiris, Michael Youren and Xiao-Guang Zhang, with administrative and project support from Athena Wicks.</w:t>
      </w:r>
    </w:p>
    <w:p w14:paraId="107FD2CE" w14:textId="77777777" w:rsidR="00AE1A42" w:rsidRPr="007D1569" w:rsidRDefault="00AE1A42" w:rsidP="00AE1A42">
      <w:pPr>
        <w:pStyle w:val="Heading2-nonumber"/>
      </w:pPr>
      <w:bookmarkStart w:id="29" w:name="_Toc181107360"/>
      <w:bookmarkStart w:id="30" w:name="_Toc181174204"/>
      <w:bookmarkStart w:id="31" w:name="_Toc181339526"/>
      <w:bookmarkStart w:id="32" w:name="_Toc181339756"/>
      <w:bookmarkStart w:id="33" w:name="_Toc181360235"/>
      <w:r w:rsidRPr="007D1569">
        <w:t>Disclosure of interests</w:t>
      </w:r>
      <w:bookmarkEnd w:id="29"/>
      <w:bookmarkEnd w:id="30"/>
      <w:bookmarkEnd w:id="31"/>
      <w:bookmarkEnd w:id="32"/>
      <w:bookmarkEnd w:id="33"/>
      <w:r>
        <w:t xml:space="preserve"> </w:t>
      </w:r>
      <w:bookmarkEnd w:id="28"/>
    </w:p>
    <w:p w14:paraId="12C6DF50" w14:textId="77777777" w:rsidR="00AE1A42" w:rsidRDefault="00AE1A42" w:rsidP="00AE1A42">
      <w:pPr>
        <w:pStyle w:val="BodyText"/>
      </w:pPr>
      <w:r w:rsidRPr="007641C8">
        <w:t xml:space="preserve">The </w:t>
      </w:r>
      <w:r w:rsidRPr="00F364C1">
        <w:rPr>
          <w:i/>
          <w:iCs/>
        </w:rPr>
        <w:t>Productivity Commission Act 1998</w:t>
      </w:r>
      <w:r w:rsidRPr="007641C8">
        <w:t xml:space="preserve"> specifies that where Commissioners have or acquire interests, pecuniary or otherwise, that could conflict with the proper performance of their functions they must disclose those interests. The Commissioners working on this report have no interests requiring disclosure</w:t>
      </w:r>
      <w:r w:rsidRPr="007D1569">
        <w:t>.</w:t>
      </w:r>
    </w:p>
    <w:p w14:paraId="15C39059" w14:textId="77777777" w:rsidR="002E3F19" w:rsidRDefault="002E3F19" w:rsidP="00AE1A42">
      <w:pPr>
        <w:pStyle w:val="BodyText"/>
        <w:rPr>
          <w:noProof/>
        </w:rPr>
      </w:pPr>
    </w:p>
    <w:p w14:paraId="3E00ED7E" w14:textId="77777777" w:rsidR="000376DB" w:rsidRDefault="000376DB" w:rsidP="00F2356E">
      <w:pPr>
        <w:pStyle w:val="Heading1"/>
        <w:numPr>
          <w:ilvl w:val="0"/>
          <w:numId w:val="0"/>
        </w:numPr>
        <w:ind w:left="1418"/>
        <w:sectPr w:rsidR="000376DB" w:rsidSect="007B1608">
          <w:headerReference w:type="even" r:id="rId29"/>
          <w:headerReference w:type="default" r:id="rId30"/>
          <w:headerReference w:type="first" r:id="rId31"/>
          <w:type w:val="oddPage"/>
          <w:pgSz w:w="11906" w:h="16838" w:code="9"/>
          <w:pgMar w:top="1134" w:right="1134" w:bottom="1134" w:left="1134" w:header="794" w:footer="510" w:gutter="0"/>
          <w:pgNumType w:fmt="lowerRoman"/>
          <w:cols w:space="708"/>
          <w:docGrid w:linePitch="360"/>
        </w:sectPr>
      </w:pPr>
    </w:p>
    <w:p w14:paraId="5EF522BA" w14:textId="77777777" w:rsidR="00DB2ED9" w:rsidRDefault="00DB2ED9" w:rsidP="00A46547">
      <w:pPr>
        <w:pStyle w:val="Heading1-Section-fullpage"/>
        <w:framePr w:wrap="around"/>
      </w:pPr>
      <w:bookmarkStart w:id="34" w:name="_Toc181107362"/>
      <w:bookmarkStart w:id="35" w:name="_Toc181360237"/>
      <w:r>
        <w:lastRenderedPageBreak/>
        <w:t xml:space="preserve">Study </w:t>
      </w:r>
      <w:r w:rsidRPr="00A46547">
        <w:t>report</w:t>
      </w:r>
      <w:bookmarkEnd w:id="34"/>
      <w:bookmarkEnd w:id="35"/>
    </w:p>
    <w:tbl>
      <w:tblPr>
        <w:tblStyle w:val="Texttable-Paleblue"/>
        <w:tblW w:w="5000" w:type="pct"/>
        <w:tblLook w:val="04A0" w:firstRow="1" w:lastRow="0" w:firstColumn="1" w:lastColumn="0" w:noHBand="0" w:noVBand="1"/>
      </w:tblPr>
      <w:tblGrid>
        <w:gridCol w:w="577"/>
        <w:gridCol w:w="9061"/>
      </w:tblGrid>
      <w:tr w:rsidR="00DB2ED9" w:rsidRPr="002F759A" w14:paraId="700E39D7" w14:textId="77777777">
        <w:tc>
          <w:tcPr>
            <w:tcW w:w="9638" w:type="dxa"/>
            <w:gridSpan w:val="2"/>
            <w:tcMar>
              <w:left w:w="170" w:type="dxa"/>
            </w:tcMar>
          </w:tcPr>
          <w:p w14:paraId="7D423593" w14:textId="77777777" w:rsidR="00DB2ED9" w:rsidRPr="002F759A" w:rsidRDefault="00DB2ED9">
            <w:pPr>
              <w:pStyle w:val="Keypoints-heading"/>
            </w:pPr>
            <w:bookmarkStart w:id="36" w:name="_Toc181360238"/>
            <w:r w:rsidRPr="002F759A">
              <w:lastRenderedPageBreak/>
              <w:t>Key points</w:t>
            </w:r>
            <w:bookmarkEnd w:id="36"/>
          </w:p>
        </w:tc>
      </w:tr>
      <w:tr w:rsidR="00DB2ED9" w14:paraId="1463ECC4" w14:textId="77777777">
        <w:tc>
          <w:tcPr>
            <w:tcW w:w="577" w:type="dxa"/>
            <w:tcMar>
              <w:top w:w="0" w:type="dxa"/>
              <w:bottom w:w="0" w:type="dxa"/>
              <w:right w:w="113" w:type="dxa"/>
            </w:tcMar>
          </w:tcPr>
          <w:p w14:paraId="6CCDED9B" w14:textId="77777777" w:rsidR="00DB2ED9" w:rsidRDefault="00DB2ED9" w:rsidP="000C6B77">
            <w:pPr>
              <w:pStyle w:val="KeyPointsicon"/>
            </w:pPr>
            <w:r w:rsidRPr="00A51374">
              <w:rPr>
                <w:noProof/>
              </w:rPr>
              <w:drawing>
                <wp:inline distT="0" distB="0" distL="0" distR="0" wp14:anchorId="7C17B3F4" wp14:editId="345FA3D5">
                  <wp:extent cx="180000" cy="180000"/>
                  <wp:effectExtent l="0" t="0" r="0" b="0"/>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32">
                            <a:extLst>
                              <a:ext uri="{96DAC541-7B7A-43D3-8B79-37D633B846F1}">
                                <asvg:svgBlip xmlns:asvg="http://schemas.microsoft.com/office/drawing/2016/SVG/main" r:embed="rId33"/>
                              </a:ext>
                            </a:extLst>
                          </a:blip>
                          <a:stretch>
                            <a:fillRect/>
                          </a:stretch>
                        </pic:blipFill>
                        <pic:spPr>
                          <a:xfrm>
                            <a:off x="0" y="0"/>
                            <a:ext cx="180000" cy="180000"/>
                          </a:xfrm>
                          <a:prstGeom prst="rect">
                            <a:avLst/>
                          </a:prstGeom>
                        </pic:spPr>
                      </pic:pic>
                    </a:graphicData>
                  </a:graphic>
                </wp:inline>
              </w:drawing>
            </w:r>
          </w:p>
        </w:tc>
        <w:tc>
          <w:tcPr>
            <w:tcW w:w="9061" w:type="dxa"/>
            <w:tcMar>
              <w:top w:w="28" w:type="dxa"/>
              <w:left w:w="28" w:type="dxa"/>
            </w:tcMar>
          </w:tcPr>
          <w:p w14:paraId="332140EE" w14:textId="4B539242" w:rsidR="00DB2ED9" w:rsidRDefault="00DB2ED9">
            <w:pPr>
              <w:pStyle w:val="KeyPoints-Bold"/>
            </w:pPr>
            <w:r w:rsidRPr="00D05EAD">
              <w:t>Australia has greatly benefited from past competition policy reforms</w:t>
            </w:r>
            <w:r>
              <w:t xml:space="preserve"> </w:t>
            </w:r>
            <w:r w:rsidR="008028DB">
              <w:t>–</w:t>
            </w:r>
            <w:r>
              <w:t xml:space="preserve"> but, in recent years, </w:t>
            </w:r>
            <w:r w:rsidRPr="00342EE7">
              <w:t>reform</w:t>
            </w:r>
            <w:r>
              <w:t xml:space="preserve"> efforts have stalled. A new round of National Competition Policy Reforms could boost GDP by an </w:t>
            </w:r>
            <w:r w:rsidRPr="00D63CD4">
              <w:t>estimated $26–45 billion in 2023</w:t>
            </w:r>
            <w:r w:rsidRPr="00D63CD4">
              <w:noBreakHyphen/>
              <w:t xml:space="preserve">24 dollars (or by 1.0–1.7% of GDP). </w:t>
            </w:r>
          </w:p>
          <w:p w14:paraId="1DC4BA69" w14:textId="77777777" w:rsidR="00DB2ED9" w:rsidRDefault="00DB2ED9">
            <w:pPr>
              <w:pStyle w:val="KeyPoints-Bullet"/>
            </w:pPr>
            <w:r>
              <w:t>We assessed the economic impact of 26 p</w:t>
            </w:r>
            <w:r w:rsidRPr="0012034F">
              <w:t>roposed</w:t>
            </w:r>
            <w:r>
              <w:t xml:space="preserve"> reforms identified by the Australian, state and territory governments through the Council for Federal Financial Relations. The reforms spanned five themes: </w:t>
            </w:r>
            <w:r w:rsidRPr="00745FBC">
              <w:t>dynamic business environment</w:t>
            </w:r>
            <w:r>
              <w:t>; net zero; labour mobility; human services; and data and digital.</w:t>
            </w:r>
          </w:p>
          <w:p w14:paraId="1F3020B8" w14:textId="77777777" w:rsidR="00DB2ED9" w:rsidRPr="00D05EAD" w:rsidRDefault="00DB2ED9">
            <w:pPr>
              <w:pStyle w:val="KeyPoints-Bullet"/>
            </w:pPr>
            <w:r w:rsidRPr="00F12240">
              <w:t xml:space="preserve">This is an </w:t>
            </w:r>
            <w:r>
              <w:t>estimate of potential benefits. For many reforms, key details about the reforms and implementation do not currently exist. In these cases, we assumed the intended outcomes are realised to their fullest extent.</w:t>
            </w:r>
          </w:p>
        </w:tc>
      </w:tr>
      <w:tr w:rsidR="00DB2ED9" w14:paraId="4B12E0DF" w14:textId="77777777">
        <w:tc>
          <w:tcPr>
            <w:tcW w:w="577" w:type="dxa"/>
            <w:tcMar>
              <w:top w:w="0" w:type="dxa"/>
              <w:bottom w:w="0" w:type="dxa"/>
              <w:right w:w="113" w:type="dxa"/>
            </w:tcMar>
          </w:tcPr>
          <w:p w14:paraId="587EDE56" w14:textId="77777777" w:rsidR="00DB2ED9" w:rsidRPr="00F31E73" w:rsidRDefault="00DB2ED9">
            <w:pPr>
              <w:pStyle w:val="KeyPointsicon"/>
              <w:rPr>
                <w:noProof/>
              </w:rPr>
            </w:pPr>
            <w:r w:rsidRPr="00F31E73">
              <w:rPr>
                <w:noProof/>
              </w:rPr>
              <w:drawing>
                <wp:inline distT="0" distB="0" distL="0" distR="0" wp14:anchorId="541CF686" wp14:editId="762A4BD7">
                  <wp:extent cx="180000" cy="180000"/>
                  <wp:effectExtent l="0" t="0" r="0" b="0"/>
                  <wp:docPr id="1089677941" name="Graphic 10896779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32">
                            <a:extLst>
                              <a:ext uri="{96DAC541-7B7A-43D3-8B79-37D633B846F1}">
                                <asvg:svgBlip xmlns:asvg="http://schemas.microsoft.com/office/drawing/2016/SVG/main" r:embed="rId33"/>
                              </a:ext>
                            </a:extLst>
                          </a:blip>
                          <a:stretch>
                            <a:fillRect/>
                          </a:stretch>
                        </pic:blipFill>
                        <pic:spPr>
                          <a:xfrm>
                            <a:off x="0" y="0"/>
                            <a:ext cx="180000" cy="180000"/>
                          </a:xfrm>
                          <a:prstGeom prst="rect">
                            <a:avLst/>
                          </a:prstGeom>
                        </pic:spPr>
                      </pic:pic>
                    </a:graphicData>
                  </a:graphic>
                </wp:inline>
              </w:drawing>
            </w:r>
          </w:p>
        </w:tc>
        <w:tc>
          <w:tcPr>
            <w:tcW w:w="9061" w:type="dxa"/>
            <w:tcMar>
              <w:top w:w="28" w:type="dxa"/>
              <w:left w:w="28" w:type="dxa"/>
            </w:tcMar>
          </w:tcPr>
          <w:p w14:paraId="16247FDB" w14:textId="77777777" w:rsidR="00DB2ED9" w:rsidRDefault="00DB2ED9">
            <w:pPr>
              <w:pStyle w:val="KeyPoints-Bold"/>
            </w:pPr>
            <w:r>
              <w:t xml:space="preserve">Overall, the </w:t>
            </w:r>
            <w:r w:rsidRPr="008A1500">
              <w:t xml:space="preserve">proposed reforms </w:t>
            </w:r>
            <w:r>
              <w:t>will be good for Australians, with the boost to GDP supplemented by other benefits such as improvements in consumer access and welfare, and contributions towards Australia’s emission reductions.</w:t>
            </w:r>
          </w:p>
          <w:p w14:paraId="1149BCA5" w14:textId="77777777" w:rsidR="00DB2ED9" w:rsidRDefault="00DB2ED9">
            <w:pPr>
              <w:pStyle w:val="KeyPoints-Bullet"/>
            </w:pPr>
            <w:r>
              <w:t>The impacts of many of the proposed reforms are likely to be far</w:t>
            </w:r>
            <w:r>
              <w:noBreakHyphen/>
              <w:t>reaching, but not all benefits can be quantified in dollar terms.</w:t>
            </w:r>
          </w:p>
          <w:p w14:paraId="54D6AF60" w14:textId="77777777" w:rsidR="00DB2ED9" w:rsidRDefault="00DB2ED9">
            <w:pPr>
              <w:pStyle w:val="KeyPoints-Bullet"/>
            </w:pPr>
            <w:r>
              <w:t xml:space="preserve">For many of the human services reforms, the most important benefits lie not with GDP, but with improving quality of care, consumer access and welfare. For many of the net zero reforms, the main benefits will be their contribution to Australia meeting its emission targets. </w:t>
            </w:r>
          </w:p>
        </w:tc>
      </w:tr>
      <w:tr w:rsidR="00DB2ED9" w14:paraId="3AEB009C" w14:textId="77777777">
        <w:tc>
          <w:tcPr>
            <w:tcW w:w="577" w:type="dxa"/>
            <w:tcMar>
              <w:top w:w="0" w:type="dxa"/>
              <w:bottom w:w="0" w:type="dxa"/>
              <w:right w:w="113" w:type="dxa"/>
            </w:tcMar>
          </w:tcPr>
          <w:p w14:paraId="2E49B38A" w14:textId="77777777" w:rsidR="00DB2ED9" w:rsidRPr="00A51374" w:rsidRDefault="00DB2ED9" w:rsidP="000C6B77">
            <w:pPr>
              <w:pStyle w:val="KeyPointsicon"/>
            </w:pPr>
            <w:r w:rsidRPr="00F31E73">
              <w:rPr>
                <w:noProof/>
              </w:rPr>
              <w:drawing>
                <wp:inline distT="0" distB="0" distL="0" distR="0" wp14:anchorId="4FAC7D27" wp14:editId="274A195C">
                  <wp:extent cx="180000" cy="180000"/>
                  <wp:effectExtent l="0" t="0" r="0" b="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32">
                            <a:extLst>
                              <a:ext uri="{96DAC541-7B7A-43D3-8B79-37D633B846F1}">
                                <asvg:svgBlip xmlns:asvg="http://schemas.microsoft.com/office/drawing/2016/SVG/main" r:embed="rId33"/>
                              </a:ext>
                            </a:extLst>
                          </a:blip>
                          <a:stretch>
                            <a:fillRect/>
                          </a:stretch>
                        </pic:blipFill>
                        <pic:spPr>
                          <a:xfrm>
                            <a:off x="0" y="0"/>
                            <a:ext cx="180000" cy="180000"/>
                          </a:xfrm>
                          <a:prstGeom prst="rect">
                            <a:avLst/>
                          </a:prstGeom>
                        </pic:spPr>
                      </pic:pic>
                    </a:graphicData>
                  </a:graphic>
                </wp:inline>
              </w:drawing>
            </w:r>
          </w:p>
        </w:tc>
        <w:tc>
          <w:tcPr>
            <w:tcW w:w="9061" w:type="dxa"/>
            <w:tcMar>
              <w:top w:w="28" w:type="dxa"/>
              <w:left w:w="28" w:type="dxa"/>
            </w:tcMar>
          </w:tcPr>
          <w:p w14:paraId="5C797785" w14:textId="77777777" w:rsidR="00DB2ED9" w:rsidRPr="002221A3" w:rsidRDefault="00DB2ED9" w:rsidP="00610627">
            <w:pPr>
              <w:pStyle w:val="KeyPoints-Bold"/>
              <w:rPr>
                <w:spacing w:val="-2"/>
              </w:rPr>
            </w:pPr>
            <w:r w:rsidRPr="002221A3">
              <w:rPr>
                <w:spacing w:val="-2"/>
              </w:rPr>
              <w:t>In the long run, the proposed reforms will ease cost of living pressures, reducing prices by an estimated 0.7–1.5%, but the effect of individual reforms is mixed. That said, short</w:t>
            </w:r>
            <w:r w:rsidRPr="002221A3">
              <w:rPr>
                <w:spacing w:val="-2"/>
              </w:rPr>
              <w:noBreakHyphen/>
              <w:t>run price effects could differ, so some reforms may ease cost of living pressures in the short run, even if they do not in the long run.</w:t>
            </w:r>
          </w:p>
        </w:tc>
      </w:tr>
      <w:tr w:rsidR="00DB2ED9" w:rsidRPr="00A313C5" w14:paraId="2EDA5E38" w14:textId="77777777">
        <w:tc>
          <w:tcPr>
            <w:tcW w:w="577" w:type="dxa"/>
            <w:tcMar>
              <w:top w:w="0" w:type="dxa"/>
              <w:bottom w:w="0" w:type="dxa"/>
              <w:right w:w="113" w:type="dxa"/>
            </w:tcMar>
          </w:tcPr>
          <w:p w14:paraId="64832B99" w14:textId="77777777" w:rsidR="00DB2ED9" w:rsidRPr="00A13CB3" w:rsidRDefault="00DB2ED9">
            <w:pPr>
              <w:pStyle w:val="KeyPointsicon"/>
            </w:pPr>
            <w:r w:rsidRPr="00A13CB3">
              <w:rPr>
                <w:noProof/>
              </w:rPr>
              <w:drawing>
                <wp:inline distT="0" distB="0" distL="0" distR="0" wp14:anchorId="60BBB03E" wp14:editId="1B6521DA">
                  <wp:extent cx="180000" cy="180000"/>
                  <wp:effectExtent l="0" t="0" r="0" b="0"/>
                  <wp:docPr id="1629770284" name="Graphic 16297702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32">
                            <a:extLst>
                              <a:ext uri="{96DAC541-7B7A-43D3-8B79-37D633B846F1}">
                                <asvg:svgBlip xmlns:asvg="http://schemas.microsoft.com/office/drawing/2016/SVG/main" r:embed="rId33"/>
                              </a:ext>
                            </a:extLst>
                          </a:blip>
                          <a:stretch>
                            <a:fillRect/>
                          </a:stretch>
                        </pic:blipFill>
                        <pic:spPr>
                          <a:xfrm>
                            <a:off x="0" y="0"/>
                            <a:ext cx="180000" cy="180000"/>
                          </a:xfrm>
                          <a:prstGeom prst="rect">
                            <a:avLst/>
                          </a:prstGeom>
                        </pic:spPr>
                      </pic:pic>
                    </a:graphicData>
                  </a:graphic>
                </wp:inline>
              </w:drawing>
            </w:r>
          </w:p>
        </w:tc>
        <w:tc>
          <w:tcPr>
            <w:tcW w:w="9061" w:type="dxa"/>
            <w:tcMar>
              <w:top w:w="28" w:type="dxa"/>
              <w:left w:w="28" w:type="dxa"/>
            </w:tcMar>
          </w:tcPr>
          <w:p w14:paraId="172C7F00" w14:textId="77777777" w:rsidR="00DB2ED9" w:rsidRDefault="00DB2ED9">
            <w:pPr>
              <w:pStyle w:val="KeyPoints-Bold"/>
            </w:pPr>
            <w:r>
              <w:t>T</w:t>
            </w:r>
            <w:r w:rsidRPr="008A1500">
              <w:t xml:space="preserve">he proposed reforms will increase net </w:t>
            </w:r>
            <w:r>
              <w:t xml:space="preserve">government </w:t>
            </w:r>
            <w:r w:rsidRPr="008A1500">
              <w:t xml:space="preserve">revenues in the long run. </w:t>
            </w:r>
            <w:r>
              <w:t xml:space="preserve">For the Australian Government, net revenues will be an </w:t>
            </w:r>
            <w:r w:rsidRPr="00D63CD4">
              <w:t>estimated $5.</w:t>
            </w:r>
            <w:r>
              <w:t>7</w:t>
            </w:r>
            <w:r w:rsidRPr="00D63CD4">
              <w:t>–9.2 billion higher. For state and territory governments as a whole, net revenues will be an estimated $2.</w:t>
            </w:r>
            <w:r>
              <w:t>4</w:t>
            </w:r>
            <w:r w:rsidRPr="00D63CD4">
              <w:t xml:space="preserve"> </w:t>
            </w:r>
            <w:r>
              <w:t>b</w:t>
            </w:r>
            <w:r w:rsidRPr="00C644B3">
              <w:t>illion h</w:t>
            </w:r>
            <w:r w:rsidRPr="00241057">
              <w:t>igher</w:t>
            </w:r>
            <w:r>
              <w:t xml:space="preserve"> overall.</w:t>
            </w:r>
          </w:p>
          <w:p w14:paraId="2110E47D" w14:textId="77777777" w:rsidR="00DB2ED9" w:rsidRDefault="00DB2ED9">
            <w:pPr>
              <w:pStyle w:val="KeyPoints-Bullet"/>
            </w:pPr>
            <w:r>
              <w:t xml:space="preserve">A key driver of this effect is that the boost to GDP leads to higher tax revenues for governments. </w:t>
            </w:r>
          </w:p>
          <w:p w14:paraId="201A5FCF" w14:textId="50814BF4" w:rsidR="00DB2ED9" w:rsidRPr="008A1500" w:rsidRDefault="00DB2ED9">
            <w:pPr>
              <w:pStyle w:val="KeyPoints-Bullet"/>
            </w:pPr>
            <w:r>
              <w:t>This represents the long</w:t>
            </w:r>
            <w:r>
              <w:noBreakHyphen/>
              <w:t xml:space="preserve">run effects on government budgets of the reforms being in place. It </w:t>
            </w:r>
            <w:r w:rsidRPr="004938EB">
              <w:t>do</w:t>
            </w:r>
            <w:r>
              <w:t>es</w:t>
            </w:r>
            <w:r w:rsidRPr="004938EB">
              <w:t xml:space="preserve"> not account for </w:t>
            </w:r>
            <w:r>
              <w:t xml:space="preserve">upfront or transition costs associated with rolling out the reforms </w:t>
            </w:r>
            <w:r w:rsidR="008028DB">
              <w:t>–</w:t>
            </w:r>
            <w:r>
              <w:t xml:space="preserve"> such estimates would require </w:t>
            </w:r>
            <w:r w:rsidRPr="004938EB">
              <w:t xml:space="preserve">significantly more </w:t>
            </w:r>
            <w:r>
              <w:t xml:space="preserve">detail about scope and </w:t>
            </w:r>
            <w:r w:rsidRPr="004938EB">
              <w:t xml:space="preserve">implementation </w:t>
            </w:r>
            <w:r>
              <w:t>than was available to us</w:t>
            </w:r>
            <w:r w:rsidRPr="004938EB">
              <w:t xml:space="preserve">. </w:t>
            </w:r>
          </w:p>
        </w:tc>
      </w:tr>
      <w:tr w:rsidR="00DB2ED9" w14:paraId="7B12FB73" w14:textId="77777777">
        <w:tc>
          <w:tcPr>
            <w:tcW w:w="577" w:type="dxa"/>
            <w:tcMar>
              <w:top w:w="0" w:type="dxa"/>
              <w:bottom w:w="0" w:type="dxa"/>
              <w:right w:w="113" w:type="dxa"/>
            </w:tcMar>
          </w:tcPr>
          <w:p w14:paraId="0A5D51E7" w14:textId="77777777" w:rsidR="00DB2ED9" w:rsidRPr="00A51374" w:rsidRDefault="00DB2ED9" w:rsidP="000C6B77">
            <w:pPr>
              <w:pStyle w:val="KeyPointsicon"/>
            </w:pPr>
            <w:r w:rsidRPr="00F31E73">
              <w:rPr>
                <w:noProof/>
              </w:rPr>
              <w:drawing>
                <wp:inline distT="0" distB="0" distL="0" distR="0" wp14:anchorId="11D06E2E" wp14:editId="041FA737">
                  <wp:extent cx="180000" cy="180000"/>
                  <wp:effectExtent l="0" t="0" r="0" b="0"/>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32">
                            <a:extLst>
                              <a:ext uri="{96DAC541-7B7A-43D3-8B79-37D633B846F1}">
                                <asvg:svgBlip xmlns:asvg="http://schemas.microsoft.com/office/drawing/2016/SVG/main" r:embed="rId33"/>
                              </a:ext>
                            </a:extLst>
                          </a:blip>
                          <a:stretch>
                            <a:fillRect/>
                          </a:stretch>
                        </pic:blipFill>
                        <pic:spPr>
                          <a:xfrm>
                            <a:off x="0" y="0"/>
                            <a:ext cx="180000" cy="180000"/>
                          </a:xfrm>
                          <a:prstGeom prst="rect">
                            <a:avLst/>
                          </a:prstGeom>
                        </pic:spPr>
                      </pic:pic>
                    </a:graphicData>
                  </a:graphic>
                </wp:inline>
              </w:drawing>
            </w:r>
          </w:p>
        </w:tc>
        <w:tc>
          <w:tcPr>
            <w:tcW w:w="9061" w:type="dxa"/>
            <w:tcMar>
              <w:top w:w="28" w:type="dxa"/>
              <w:left w:w="28" w:type="dxa"/>
            </w:tcMar>
          </w:tcPr>
          <w:p w14:paraId="391BD04D" w14:textId="77777777" w:rsidR="00DB2ED9" w:rsidRPr="00610627" w:rsidRDefault="00DB2ED9" w:rsidP="00610627">
            <w:pPr>
              <w:pStyle w:val="KeyPoints-Bold"/>
            </w:pPr>
            <w:r>
              <w:t xml:space="preserve">For many reforms, getting the scope and implementation right will be key. Particular caution should be taken for the reforms about consumer switching, data sharing, information provision in human services and efficient user charging. </w:t>
            </w:r>
          </w:p>
        </w:tc>
      </w:tr>
    </w:tbl>
    <w:p w14:paraId="2245770C" w14:textId="77777777" w:rsidR="00DB2ED9" w:rsidRPr="00481853" w:rsidRDefault="00DB2ED9" w:rsidP="00806085">
      <w:pPr>
        <w:pStyle w:val="BodyText"/>
      </w:pPr>
      <w:r w:rsidRPr="00481853">
        <w:br w:type="page"/>
      </w:r>
    </w:p>
    <w:p w14:paraId="5DF4BC08" w14:textId="77777777" w:rsidR="00DB2ED9" w:rsidRPr="00374968" w:rsidRDefault="00DB2ED9">
      <w:pPr>
        <w:pStyle w:val="Heading2-nonumber"/>
      </w:pPr>
      <w:bookmarkStart w:id="37" w:name="_Toc181107363"/>
      <w:bookmarkStart w:id="38" w:name="_Toc181339530"/>
      <w:bookmarkStart w:id="39" w:name="_Toc181360239"/>
      <w:r w:rsidRPr="00374968">
        <w:lastRenderedPageBreak/>
        <w:t>What is this study about?</w:t>
      </w:r>
      <w:bookmarkEnd w:id="37"/>
      <w:bookmarkEnd w:id="38"/>
      <w:bookmarkEnd w:id="39"/>
    </w:p>
    <w:p w14:paraId="10DE7359" w14:textId="049266F7" w:rsidR="00DB2ED9" w:rsidRPr="007C6603" w:rsidRDefault="00DB2ED9">
      <w:pPr>
        <w:pStyle w:val="BodyText"/>
      </w:pPr>
      <w:r>
        <w:t>The</w:t>
      </w:r>
      <w:r w:rsidRPr="00583217">
        <w:t xml:space="preserve"> Australian</w:t>
      </w:r>
      <w:r>
        <w:t xml:space="preserve"> G</w:t>
      </w:r>
      <w:r w:rsidRPr="00583217">
        <w:t>overnment</w:t>
      </w:r>
      <w:r>
        <w:t xml:space="preserve"> is currently </w:t>
      </w:r>
      <w:r w:rsidRPr="00583217">
        <w:t>undertaking a two</w:t>
      </w:r>
      <w:r>
        <w:noBreakHyphen/>
      </w:r>
      <w:r w:rsidRPr="00583217">
        <w:t xml:space="preserve">year </w:t>
      </w:r>
      <w:r>
        <w:t xml:space="preserve">competition </w:t>
      </w:r>
      <w:r w:rsidRPr="00583217">
        <w:t xml:space="preserve">review </w:t>
      </w:r>
      <w:r w:rsidR="00442DC5" w:rsidRPr="00442DC5">
        <w:rPr>
          <w:rFonts w:ascii="Arial" w:hAnsi="Arial" w:cs="Arial"/>
        </w:rPr>
        <w:t>(Treasury 2023b)</w:t>
      </w:r>
      <w:r w:rsidRPr="00583217">
        <w:t>.</w:t>
      </w:r>
      <w:r w:rsidRPr="00583217" w:rsidDel="001044BC">
        <w:t xml:space="preserve"> </w:t>
      </w:r>
      <w:r>
        <w:t>A</w:t>
      </w:r>
      <w:r w:rsidRPr="00583217">
        <w:t xml:space="preserve"> key focus of the review is to ‘look at competition laws, policies and institutions to ensure they remain fit for purpose, with a focus on reforms that would increase productivity, reduce the cost of living and boost wages’ </w:t>
      </w:r>
      <w:r w:rsidRPr="007C6603">
        <w:t xml:space="preserve">(Chalmers and Leigh 2023). This study focuses on estimating the economic benefits from a set of reforms to competition policy (box 1). </w:t>
      </w:r>
    </w:p>
    <w:p w14:paraId="40FBDB26" w14:textId="77777777" w:rsidR="00DB2ED9" w:rsidRDefault="00DB2ED9">
      <w:pPr>
        <w:pStyle w:val="BodyText"/>
      </w:pPr>
      <w:r w:rsidRPr="007315AB">
        <w:t>The Australian Government is working with state and territor</w:t>
      </w:r>
      <w:r>
        <w:t>y governments</w:t>
      </w:r>
      <w:r w:rsidRPr="007315AB">
        <w:t xml:space="preserve"> on reforming national competition </w:t>
      </w:r>
      <w:r>
        <w:t xml:space="preserve">policy </w:t>
      </w:r>
      <w:r w:rsidRPr="007315AB">
        <w:t xml:space="preserve">settings. In December 2023, </w:t>
      </w:r>
      <w:r>
        <w:t xml:space="preserve">Australian, State and Territory </w:t>
      </w:r>
      <w:r w:rsidRPr="007315AB">
        <w:t>Treasurers agreed to progress competition</w:t>
      </w:r>
      <w:r>
        <w:noBreakHyphen/>
      </w:r>
      <w:r w:rsidRPr="007315AB">
        <w:t xml:space="preserve">enhancing reforms </w:t>
      </w:r>
      <w:r>
        <w:t>to</w:t>
      </w:r>
      <w:r w:rsidRPr="007315AB">
        <w:t xml:space="preserve"> revitalis</w:t>
      </w:r>
      <w:r>
        <w:t>e</w:t>
      </w:r>
      <w:r w:rsidRPr="007315AB">
        <w:t xml:space="preserve"> National Competition Policy.</w:t>
      </w:r>
      <w:r>
        <w:t xml:space="preserve"> On 1 February 2024, the Australian Government Treasurer announced that this work:</w:t>
      </w:r>
    </w:p>
    <w:p w14:paraId="19131507" w14:textId="51CA4B58" w:rsidR="00DB2ED9" w:rsidRDefault="00DB2ED9">
      <w:pPr>
        <w:pStyle w:val="Quote"/>
      </w:pPr>
      <w:r>
        <w:t xml:space="preserve">… will be supported by the Productivity Commission, which will be tasked with assessing the economic, revenue and broader benefits of reform proposals considered by the Council on Federal Financial Relations. </w:t>
      </w:r>
      <w:r w:rsidRPr="0018326D">
        <w:rPr>
          <w:rFonts w:ascii="Arial" w:hAnsi="Arial" w:cs="Arial"/>
        </w:rPr>
        <w:t>(Chalmers 2024)</w:t>
      </w:r>
      <w:r>
        <w:t xml:space="preserve"> </w:t>
      </w:r>
    </w:p>
    <w:p w14:paraId="0C1A6751" w14:textId="77777777" w:rsidR="00DB2ED9" w:rsidRDefault="00DB2ED9">
      <w:pPr>
        <w:pStyle w:val="BodyText"/>
      </w:pPr>
      <w:r>
        <w:t xml:space="preserve">The terms of reference for this study were provided to the Commission on 15 March 2024. We were asked to look at possible competition reforms, </w:t>
      </w:r>
      <w:r w:rsidRPr="00583217">
        <w:t>developed through the Council on Federal Financial Relations (CFFR).</w:t>
      </w:r>
      <w:r>
        <w:t xml:space="preserve"> We were provided with early indicative reform options to inform model development in March, shortly after the commencement of this study. </w:t>
      </w:r>
      <w:r w:rsidRPr="00510839">
        <w:t xml:space="preserve">A final list of </w:t>
      </w:r>
      <w:r>
        <w:t xml:space="preserve">proposed </w:t>
      </w:r>
      <w:r w:rsidRPr="00510839">
        <w:t xml:space="preserve">reforms was provided to </w:t>
      </w:r>
      <w:r>
        <w:t>the</w:t>
      </w:r>
      <w:r w:rsidRPr="00510839">
        <w:t xml:space="preserve"> Commission </w:t>
      </w:r>
      <w:r>
        <w:t>on 19 </w:t>
      </w:r>
      <w:r w:rsidRPr="00510839">
        <w:t>August 2024.</w:t>
      </w:r>
      <w:r>
        <w:t xml:space="preserve"> We were requested to provide a preliminary report at the beginning of October 2024 to enable CFFR decision making, with a final report to be provided to the Treasurer on 1 November 2024. </w:t>
      </w:r>
    </w:p>
    <w:p w14:paraId="6BFA439F" w14:textId="77777777" w:rsidR="00DB2ED9" w:rsidRDefault="00DB2ED9">
      <w:pPr>
        <w:pStyle w:val="BodyText"/>
      </w:pPr>
      <w:r>
        <w:t xml:space="preserve">The focus of this study is to assess the economic impacts of the proposed reforms. This includes the scale of any benefits from the reforms, and how those benefits are distributed. As such, this study looks at the likely impacts on Australia’s national economy, as well as on individual states and territories. It also considers how segments of the economy are likely to be affected, including consumers and households, relevant industries and sectors (including small businesses), and the government sector. Figure 1 summarises the types of impacts that we were asked to consider. </w:t>
      </w:r>
    </w:p>
    <w:p w14:paraId="7B01299D" w14:textId="77777777" w:rsidR="00DB2ED9" w:rsidRPr="00FA13FB" w:rsidRDefault="00DB2ED9">
      <w:pPr>
        <w:pStyle w:val="FigureTableHeading"/>
        <w:rPr>
          <w:b/>
        </w:rPr>
      </w:pPr>
      <w:r w:rsidRPr="00FA13FB">
        <w:rPr>
          <w:b/>
        </w:rPr>
        <w:t>Figure</w:t>
      </w:r>
      <w:r>
        <w:rPr>
          <w:b/>
        </w:rPr>
        <w:t> </w:t>
      </w:r>
      <w:r>
        <w:rPr>
          <w:b/>
          <w:bCs/>
        </w:rPr>
        <w:t>1</w:t>
      </w:r>
      <w:r w:rsidRPr="00FA13FB">
        <w:rPr>
          <w:b/>
        </w:rPr>
        <w:t xml:space="preserve"> – What economic impacts </w:t>
      </w:r>
      <w:r>
        <w:rPr>
          <w:b/>
        </w:rPr>
        <w:t>did we look at?</w:t>
      </w:r>
    </w:p>
    <w:p w14:paraId="76A659CD" w14:textId="77777777" w:rsidR="00DB2ED9" w:rsidRDefault="00DB2ED9">
      <w:pPr>
        <w:pStyle w:val="Note"/>
        <w:keepLines/>
      </w:pPr>
      <w:r w:rsidRPr="00A4119E">
        <w:rPr>
          <w:noProof/>
        </w:rPr>
        <w:drawing>
          <wp:inline distT="0" distB="0" distL="0" distR="0" wp14:anchorId="4D5EADEA" wp14:editId="158E00FD">
            <wp:extent cx="6120130" cy="2761615"/>
            <wp:effectExtent l="0" t="0" r="0" b="635"/>
            <wp:docPr id="2085315811" name="Picture 9" descr="This figure shows what economic impacts were considered in the study. This includes national (GDP), states and territories (GSP), consumers and households (incomes, prices, wages, consumer choice, product quality), industry (output, prices, employment) and government (government reven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315811" name="Picture 9" descr="This figure shows what economic impacts were considered in the study. This includes national (GDP), states and territories (GSP), consumers and households (incomes, prices, wages, consumer choice, product quality), industry (output, prices, employment) and government (government revenue).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130" cy="2761615"/>
                    </a:xfrm>
                    <a:prstGeom prst="rect">
                      <a:avLst/>
                    </a:prstGeom>
                    <a:noFill/>
                    <a:ln>
                      <a:noFill/>
                    </a:ln>
                  </pic:spPr>
                </pic:pic>
              </a:graphicData>
            </a:graphic>
          </wp:inline>
        </w:drawing>
      </w:r>
    </w:p>
    <w:p w14:paraId="66D011B8" w14:textId="7B7ABD46" w:rsidR="00DB2ED9" w:rsidRDefault="00DB2ED9">
      <w:pPr>
        <w:pStyle w:val="NoSpacing"/>
      </w:pPr>
    </w:p>
    <w:tbl>
      <w:tblPr>
        <w:tblStyle w:val="Boxtable"/>
        <w:tblW w:w="5000" w:type="pct"/>
        <w:tblLook w:val="04A0" w:firstRow="1" w:lastRow="0" w:firstColumn="1" w:lastColumn="0" w:noHBand="0" w:noVBand="1"/>
      </w:tblPr>
      <w:tblGrid>
        <w:gridCol w:w="9638"/>
      </w:tblGrid>
      <w:tr w:rsidR="00DB2ED9" w14:paraId="013838AD" w14:textId="77777777">
        <w:trPr>
          <w:tblHeader/>
        </w:trPr>
        <w:tc>
          <w:tcPr>
            <w:tcW w:w="9638" w:type="dxa"/>
            <w:shd w:val="clear" w:color="auto" w:fill="EBEBEB"/>
            <w:tcMar>
              <w:top w:w="170" w:type="dxa"/>
              <w:left w:w="170" w:type="dxa"/>
              <w:bottom w:w="113" w:type="dxa"/>
              <w:right w:w="170" w:type="dxa"/>
            </w:tcMar>
            <w:hideMark/>
          </w:tcPr>
          <w:p w14:paraId="5744B09C" w14:textId="77777777" w:rsidR="00DB2ED9" w:rsidRDefault="00DB2ED9">
            <w:pPr>
              <w:pStyle w:val="BoxHeading1"/>
            </w:pPr>
            <w:r>
              <w:lastRenderedPageBreak/>
              <w:t xml:space="preserve">Box 1 – </w:t>
            </w:r>
            <w:r w:rsidRPr="009B53C2">
              <w:t>Why does competition policy matter?</w:t>
            </w:r>
          </w:p>
        </w:tc>
      </w:tr>
      <w:tr w:rsidR="00DB2ED9" w14:paraId="4143E925" w14:textId="77777777">
        <w:tc>
          <w:tcPr>
            <w:tcW w:w="9638" w:type="dxa"/>
            <w:shd w:val="clear" w:color="auto" w:fill="EBEBEB"/>
            <w:tcMar>
              <w:top w:w="28" w:type="dxa"/>
              <w:left w:w="170" w:type="dxa"/>
              <w:bottom w:w="170" w:type="dxa"/>
              <w:right w:w="170" w:type="dxa"/>
            </w:tcMar>
            <w:hideMark/>
          </w:tcPr>
          <w:p w14:paraId="64E2FCD1" w14:textId="6B483CD1" w:rsidR="00DB2ED9" w:rsidRDefault="00DB2ED9">
            <w:pPr>
              <w:pStyle w:val="BodyText"/>
            </w:pPr>
            <w:r w:rsidRPr="009F117B">
              <w:t xml:space="preserve">Competition refers to a process of </w:t>
            </w:r>
            <w:r>
              <w:t xml:space="preserve">market </w:t>
            </w:r>
            <w:r w:rsidRPr="009F117B">
              <w:t>rivalry</w:t>
            </w:r>
            <w:r>
              <w:t xml:space="preserve">, fuelled by businesses striving to achieve their own objectives </w:t>
            </w:r>
            <w:r w:rsidR="008028DB">
              <w:t>–</w:t>
            </w:r>
            <w:r>
              <w:t xml:space="preserve"> such as attracting customers, increasing their profits, avoiding losses or gaining market share. </w:t>
            </w:r>
            <w:r w:rsidRPr="0033696D">
              <w:t>Competition plays a pivotal role in driving economic growth</w:t>
            </w:r>
            <w:r>
              <w:t>, dynamism</w:t>
            </w:r>
            <w:r w:rsidRPr="0033696D">
              <w:t xml:space="preserve"> and prosperity</w:t>
            </w:r>
            <w:r>
              <w:t>. Strong</w:t>
            </w:r>
            <w:r w:rsidRPr="0033696D">
              <w:t xml:space="preserve"> competition</w:t>
            </w:r>
            <w:r>
              <w:t xml:space="preserve"> makes it difficult for individual businesses to accrue excessive market power, which in turn encourages fair and efficient market dynamics and keeps prices in check </w:t>
            </w:r>
            <w:r w:rsidRPr="006A064B">
              <w:t>(Banks 2000)</w:t>
            </w:r>
            <w:r>
              <w:t xml:space="preserve">. It </w:t>
            </w:r>
            <w:r w:rsidRPr="0035160F">
              <w:t>motivates businesses</w:t>
            </w:r>
            <w:r w:rsidRPr="0033696D">
              <w:t xml:space="preserve"> </w:t>
            </w:r>
            <w:r>
              <w:t>to</w:t>
            </w:r>
            <w:r w:rsidRPr="0033696D">
              <w:t xml:space="preserve"> </w:t>
            </w:r>
            <w:r>
              <w:t xml:space="preserve">respond to the needs of consumers by </w:t>
            </w:r>
            <w:r w:rsidRPr="0033696D">
              <w:t>offer</w:t>
            </w:r>
            <w:r>
              <w:t>ing</w:t>
            </w:r>
            <w:r w:rsidRPr="0033696D">
              <w:t xml:space="preserve"> better products and services, leading to improved</w:t>
            </w:r>
            <w:r>
              <w:t xml:space="preserve"> </w:t>
            </w:r>
            <w:r w:rsidRPr="0033696D">
              <w:t xml:space="preserve">standards of living. </w:t>
            </w:r>
            <w:r>
              <w:t xml:space="preserve">Competition principles have also been extended beyond private markets. One such area is the provision of human services, where embedding the principles of </w:t>
            </w:r>
            <w:r w:rsidRPr="00E25AB0">
              <w:t xml:space="preserve">choice and competition </w:t>
            </w:r>
            <w:r>
              <w:t xml:space="preserve">is intended to encourage those markets to respond to consumer needs and preferences. </w:t>
            </w:r>
          </w:p>
          <w:p w14:paraId="7309D210" w14:textId="6AE29138" w:rsidR="00DB2ED9" w:rsidRPr="007816AD" w:rsidRDefault="00DB2ED9" w:rsidP="00496D3D">
            <w:pPr>
              <w:pStyle w:val="BodyText"/>
            </w:pPr>
            <w:r>
              <w:t>G</w:t>
            </w:r>
            <w:r w:rsidRPr="0033696D">
              <w:t xml:space="preserve">lobally, </w:t>
            </w:r>
            <w:r>
              <w:t xml:space="preserve">governments and </w:t>
            </w:r>
            <w:r w:rsidRPr="0033696D">
              <w:t>policymakers recognise the need to maintain robust competition policies to support thriving economies</w:t>
            </w:r>
            <w:r>
              <w:t xml:space="preserve"> </w:t>
            </w:r>
            <w:r w:rsidRPr="00496D3D">
              <w:t>(OECD 2014). C</w:t>
            </w:r>
            <w:r w:rsidRPr="007816AD">
              <w:t xml:space="preserve">ompetition policy is </w:t>
            </w:r>
            <w:r w:rsidRPr="00496D3D">
              <w:t xml:space="preserve">about enabling </w:t>
            </w:r>
            <w:r w:rsidRPr="007816AD">
              <w:t xml:space="preserve">markets to function as well as they can and competitive processes to thrive. The overarching objective of competition policy can be seen as improving community welfare by increasing economic efficiency </w:t>
            </w:r>
            <w:r w:rsidR="00442DC5" w:rsidRPr="00496D3D">
              <w:t>(PC 2014e, p. 8)</w:t>
            </w:r>
            <w:r w:rsidRPr="007816AD">
              <w:t xml:space="preserve">. </w:t>
            </w:r>
          </w:p>
          <w:p w14:paraId="5ACCA9F2" w14:textId="77777777" w:rsidR="00DB2ED9" w:rsidRPr="00721900" w:rsidRDefault="00DB2ED9" w:rsidP="00496D3D">
            <w:pPr>
              <w:pStyle w:val="BodyText"/>
            </w:pPr>
            <w:r w:rsidRPr="00496D3D">
              <w:t>Competition policy settings affect Australia’s o</w:t>
            </w:r>
            <w:r>
              <w:t>verall economic performance,</w:t>
            </w:r>
            <w:r w:rsidRPr="001E039D">
              <w:t xml:space="preserve"> </w:t>
            </w:r>
            <w:r>
              <w:t xml:space="preserve">as well as </w:t>
            </w:r>
            <w:r w:rsidRPr="00721900">
              <w:t>the lives of all Australians.</w:t>
            </w:r>
            <w:r>
              <w:t xml:space="preserve"> Previous competition policy reforms have changed the economic landscape in ways that are now taken for granted. For example, in the past: </w:t>
            </w:r>
          </w:p>
          <w:p w14:paraId="78A085BF" w14:textId="23E043F4" w:rsidR="00DB2ED9" w:rsidRDefault="00DB2ED9" w:rsidP="00DB2ED9">
            <w:pPr>
              <w:pStyle w:val="QuoteBullet"/>
              <w:ind w:right="1134"/>
            </w:pPr>
            <w:r>
              <w:t xml:space="preserve">consumers had no choice of electricity or gas provider </w:t>
            </w:r>
            <w:r w:rsidR="008028DB">
              <w:t>–</w:t>
            </w:r>
            <w:r>
              <w:t xml:space="preserve"> they paid regulated tariffs and customer service was poor or non</w:t>
            </w:r>
            <w:r>
              <w:noBreakHyphen/>
            </w:r>
            <w:proofErr w:type="gramStart"/>
            <w:r>
              <w:t>existent;</w:t>
            </w:r>
            <w:proofErr w:type="gramEnd"/>
            <w:r>
              <w:t xml:space="preserve"> </w:t>
            </w:r>
          </w:p>
          <w:p w14:paraId="4137F29D" w14:textId="77777777" w:rsidR="00DB2ED9" w:rsidRDefault="00DB2ED9" w:rsidP="00DB2ED9">
            <w:pPr>
              <w:pStyle w:val="QuoteBullet"/>
              <w:ind w:right="1134"/>
            </w:pPr>
            <w:r>
              <w:t xml:space="preserve">telecommunications services operated as a monopoly, which only ended in 1992 when Australia’s second telecommunications provider, Optus, entered the </w:t>
            </w:r>
            <w:proofErr w:type="gramStart"/>
            <w:r>
              <w:t>market;</w:t>
            </w:r>
            <w:proofErr w:type="gramEnd"/>
            <w:r>
              <w:t xml:space="preserve"> </w:t>
            </w:r>
          </w:p>
          <w:p w14:paraId="1A633F30" w14:textId="77777777" w:rsidR="00DB2ED9" w:rsidRDefault="00DB2ED9" w:rsidP="00DB2ED9">
            <w:pPr>
              <w:pStyle w:val="QuoteBullet"/>
              <w:ind w:right="1134"/>
            </w:pPr>
            <w:r>
              <w:t xml:space="preserve">there were price controls and supply restrictions on food products such as eggs, poultry … rice, and </w:t>
            </w:r>
            <w:proofErr w:type="gramStart"/>
            <w:r>
              <w:t>sugar;</w:t>
            </w:r>
            <w:proofErr w:type="gramEnd"/>
            <w:r>
              <w:t xml:space="preserve"> </w:t>
            </w:r>
          </w:p>
          <w:p w14:paraId="6C7BD938" w14:textId="77777777" w:rsidR="00DB2ED9" w:rsidRDefault="00DB2ED9" w:rsidP="00DB2ED9">
            <w:pPr>
              <w:pStyle w:val="QuoteBullet"/>
              <w:ind w:right="1134"/>
            </w:pPr>
            <w:r>
              <w:t>retail trading hours were restricted for most stores, with limited trading on weekends …</w:t>
            </w:r>
          </w:p>
          <w:p w14:paraId="66492FCE" w14:textId="0A73218E" w:rsidR="00DB2ED9" w:rsidRDefault="00DB2ED9" w:rsidP="00DB2ED9">
            <w:pPr>
              <w:pStyle w:val="QuoteBullet"/>
              <w:ind w:right="1134"/>
            </w:pPr>
            <w:r w:rsidRPr="00537BBE">
              <w:t>only lawyers could offer land conveyancing services … (Harper et al. 2015, p. 17)</w:t>
            </w:r>
          </w:p>
          <w:p w14:paraId="20BBD26C" w14:textId="77777777" w:rsidR="00DB2ED9" w:rsidRDefault="00DB2ED9">
            <w:pPr>
              <w:pStyle w:val="BodyText"/>
            </w:pPr>
            <w:r>
              <w:t xml:space="preserve">And, in more recent years, competition and competition policy settings have continued (and will continue) to shape the everyday experience of individuals and households. </w:t>
            </w:r>
          </w:p>
          <w:p w14:paraId="608431E1" w14:textId="4431C6D1" w:rsidR="00DB2ED9" w:rsidRDefault="00DB2ED9">
            <w:pPr>
              <w:pStyle w:val="ListBullet"/>
            </w:pPr>
            <w:r>
              <w:t xml:space="preserve">Over the past decade, the growth of ridesharing has disrupted the taxi monopoly in Australia. In 2019, demand for Uber services outstripped taxis for the first time </w:t>
            </w:r>
            <w:r w:rsidRPr="006A064B">
              <w:t>(Roy Morgan 2019)</w:t>
            </w:r>
            <w:r>
              <w:t xml:space="preserve">. This followed decisions in all states and territories to legalise ridesharing </w:t>
            </w:r>
            <w:r w:rsidR="00442DC5" w:rsidRPr="00442DC5">
              <w:rPr>
                <w:rFonts w:ascii="Arial" w:hAnsi="Arial" w:cs="Arial"/>
              </w:rPr>
              <w:t>(ABC 2016, 2018)</w:t>
            </w:r>
            <w:r>
              <w:t xml:space="preserve">. </w:t>
            </w:r>
          </w:p>
          <w:p w14:paraId="4A7A6ADD" w14:textId="2C30CBA5" w:rsidR="00DB2ED9" w:rsidRPr="000534E3" w:rsidRDefault="00DB2ED9">
            <w:pPr>
              <w:pStyle w:val="ListBullet"/>
            </w:pPr>
            <w:r>
              <w:t xml:space="preserve">In the 1990s, changes to regulatory settings allowed new players to enter Australia’s retail lending markets (including mortgage brokers and international banks), leading to increased competition for banks </w:t>
            </w:r>
            <w:r w:rsidRPr="000F18DB">
              <w:rPr>
                <w:rFonts w:ascii="Arial" w:hAnsi="Arial" w:cs="Arial"/>
              </w:rPr>
              <w:t>(PC 2018a)</w:t>
            </w:r>
            <w:r w:rsidRPr="00423275">
              <w:t>.</w:t>
            </w:r>
            <w:r>
              <w:t xml:space="preserve"> However, concerns remain that poor competition has contributed to high interest rates and increased cost</w:t>
            </w:r>
            <w:r>
              <w:noBreakHyphen/>
              <w:t>of</w:t>
            </w:r>
            <w:r>
              <w:noBreakHyphen/>
              <w:t xml:space="preserve">living pressures </w:t>
            </w:r>
            <w:r w:rsidRPr="006A064B">
              <w:t>(SSCCL 2024, p. 52)</w:t>
            </w:r>
            <w:r>
              <w:t>.</w:t>
            </w:r>
          </w:p>
          <w:p w14:paraId="5562903A" w14:textId="4C8E030D" w:rsidR="00DB2ED9" w:rsidRDefault="00DB2ED9">
            <w:pPr>
              <w:pStyle w:val="ListBullet"/>
            </w:pPr>
            <w:r>
              <w:t xml:space="preserve">Digital platforms have become ubiquitous over the past decade but remain concentrated around a few ‘tech </w:t>
            </w:r>
            <w:proofErr w:type="gramStart"/>
            <w:r>
              <w:t>giants’</w:t>
            </w:r>
            <w:proofErr w:type="gramEnd"/>
            <w:r>
              <w:t xml:space="preserve">. There is growing regulatory appetite to reign in the market power of those giants. In 2020, the US Department of Justice brought a successful antitrust lawsuit claiming that Google had maintained a monopoly in search and services by paying to appear as the default search engine on mobile devices </w:t>
            </w:r>
            <w:r w:rsidRPr="006A064B">
              <w:t>(US DOJ 2020)</w:t>
            </w:r>
            <w:r>
              <w:t xml:space="preserve">. And in 2023 the European Union enacted the Digital Markets Act, giving it more power over large tech firms </w:t>
            </w:r>
            <w:r w:rsidRPr="006A064B">
              <w:t>(EC 2024)</w:t>
            </w:r>
            <w:r>
              <w:t xml:space="preserve">. Stronger regulatory action has the potential to change how these markets </w:t>
            </w:r>
            <w:proofErr w:type="gramStart"/>
            <w:r>
              <w:t>develop, and</w:t>
            </w:r>
            <w:proofErr w:type="gramEnd"/>
            <w:r>
              <w:t xml:space="preserve"> shape the experience of platform users.</w:t>
            </w:r>
          </w:p>
        </w:tc>
      </w:tr>
      <w:tr w:rsidR="00DB2ED9" w:rsidRPr="00465191" w14:paraId="65D30A0A" w14:textId="77777777">
        <w:trPr>
          <w:hidden/>
        </w:trPr>
        <w:tc>
          <w:tcPr>
            <w:tcW w:w="9638" w:type="dxa"/>
            <w:shd w:val="clear" w:color="auto" w:fill="auto"/>
            <w:tcMar>
              <w:top w:w="0" w:type="dxa"/>
              <w:left w:w="170" w:type="dxa"/>
              <w:bottom w:w="0" w:type="dxa"/>
              <w:right w:w="170" w:type="dxa"/>
            </w:tcMar>
          </w:tcPr>
          <w:p w14:paraId="655415BE" w14:textId="014AA0E4" w:rsidR="00DB2ED9" w:rsidRPr="00465191" w:rsidRDefault="00DB2ED9">
            <w:pPr>
              <w:pStyle w:val="BodyText"/>
              <w:spacing w:before="0" w:after="0" w:line="80" w:lineRule="atLeast"/>
              <w:rPr>
                <w:smallCaps/>
                <w:vanish/>
              </w:rPr>
            </w:pPr>
          </w:p>
        </w:tc>
      </w:tr>
    </w:tbl>
    <w:p w14:paraId="6C3510AD" w14:textId="77777777" w:rsidR="00DB2ED9" w:rsidRDefault="00DB2ED9">
      <w:pPr>
        <w:pStyle w:val="Heading2-nonumber"/>
      </w:pPr>
      <w:bookmarkStart w:id="40" w:name="_Toc181107364"/>
      <w:bookmarkStart w:id="41" w:name="_Toc181339531"/>
      <w:bookmarkStart w:id="42" w:name="_Toc181360240"/>
      <w:r w:rsidRPr="00374968">
        <w:lastRenderedPageBreak/>
        <w:t xml:space="preserve">What </w:t>
      </w:r>
      <w:r>
        <w:t>reforms did we assess?</w:t>
      </w:r>
      <w:bookmarkEnd w:id="40"/>
      <w:bookmarkEnd w:id="41"/>
      <w:bookmarkEnd w:id="42"/>
    </w:p>
    <w:p w14:paraId="4ACD9E08" w14:textId="77777777" w:rsidR="00DB2ED9" w:rsidRDefault="00DB2ED9">
      <w:pPr>
        <w:pStyle w:val="BodyText"/>
      </w:pPr>
      <w:r>
        <w:t xml:space="preserve">We were asked to analyse the </w:t>
      </w:r>
      <w:r w:rsidRPr="0005495E">
        <w:t xml:space="preserve">impacts of </w:t>
      </w:r>
      <w:r w:rsidRPr="008D46D9">
        <w:t>26</w:t>
      </w:r>
      <w:r w:rsidRPr="0005495E">
        <w:t xml:space="preserve"> </w:t>
      </w:r>
      <w:r>
        <w:t xml:space="preserve">proposed </w:t>
      </w:r>
      <w:r w:rsidRPr="0005495E">
        <w:t>reform</w:t>
      </w:r>
      <w:r>
        <w:t>s, spanning five themes. A brief outline of the proposed reforms is included in table 1 and they are discussed in greater depth in appendices B1</w:t>
      </w:r>
      <w:r>
        <w:noBreakHyphen/>
        <w:t xml:space="preserve">B5. </w:t>
      </w:r>
    </w:p>
    <w:p w14:paraId="4D346303" w14:textId="77777777" w:rsidR="00DB2ED9" w:rsidRDefault="00DB2ED9">
      <w:pPr>
        <w:pStyle w:val="FigureTableHeading"/>
      </w:pPr>
      <w:r>
        <w:t xml:space="preserve">Table 1 </w:t>
      </w:r>
      <w:r>
        <w:rPr>
          <w:noProof/>
        </w:rPr>
        <w:t xml:space="preserve">– </w:t>
      </w:r>
      <w:r>
        <w:t>Proposed National Competition Policy reforms</w:t>
      </w:r>
    </w:p>
    <w:tbl>
      <w:tblPr>
        <w:tblW w:w="9639" w:type="dxa"/>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426"/>
        <w:gridCol w:w="1545"/>
        <w:gridCol w:w="7668"/>
      </w:tblGrid>
      <w:tr w:rsidR="00DB2ED9" w:rsidRPr="00030C67" w14:paraId="71C30A03" w14:textId="77777777">
        <w:trPr>
          <w:tblHeader/>
        </w:trPr>
        <w:tc>
          <w:tcPr>
            <w:tcW w:w="426" w:type="dxa"/>
            <w:tcBorders>
              <w:bottom w:val="single" w:sz="4" w:space="0" w:color="B3B3B3"/>
            </w:tcBorders>
            <w:shd w:val="clear" w:color="auto" w:fill="auto"/>
            <w:vAlign w:val="bottom"/>
          </w:tcPr>
          <w:p w14:paraId="6DC73637" w14:textId="77777777" w:rsidR="00DB2ED9" w:rsidRPr="00E5376E" w:rsidRDefault="00DB2ED9">
            <w:pPr>
              <w:pStyle w:val="TableBodyHeading"/>
            </w:pPr>
            <w:r w:rsidRPr="00E5376E">
              <w:t>No.</w:t>
            </w:r>
          </w:p>
        </w:tc>
        <w:tc>
          <w:tcPr>
            <w:tcW w:w="1545" w:type="dxa"/>
            <w:tcBorders>
              <w:bottom w:val="single" w:sz="4" w:space="0" w:color="B3B3B3"/>
            </w:tcBorders>
            <w:shd w:val="clear" w:color="auto" w:fill="auto"/>
            <w:vAlign w:val="bottom"/>
          </w:tcPr>
          <w:p w14:paraId="0E77CACE" w14:textId="77777777" w:rsidR="00DB2ED9" w:rsidRDefault="00DB2ED9">
            <w:pPr>
              <w:pStyle w:val="TableBodyHeading"/>
            </w:pPr>
            <w:r>
              <w:t>Short name</w:t>
            </w:r>
          </w:p>
        </w:tc>
        <w:tc>
          <w:tcPr>
            <w:tcW w:w="7668" w:type="dxa"/>
            <w:tcBorders>
              <w:bottom w:val="single" w:sz="4" w:space="0" w:color="B3B3B3"/>
            </w:tcBorders>
            <w:shd w:val="clear" w:color="auto" w:fill="auto"/>
            <w:vAlign w:val="bottom"/>
          </w:tcPr>
          <w:p w14:paraId="24ABE6D4" w14:textId="77777777" w:rsidR="00DB2ED9" w:rsidRPr="00E5376E" w:rsidRDefault="00DB2ED9">
            <w:pPr>
              <w:pStyle w:val="TableBodyHeading"/>
            </w:pPr>
            <w:r>
              <w:t xml:space="preserve">Long name and </w:t>
            </w:r>
            <w:proofErr w:type="spellStart"/>
            <w:r>
              <w:t>d</w:t>
            </w:r>
            <w:r w:rsidRPr="00F5280C">
              <w:t>escription</w:t>
            </w:r>
            <w:r w:rsidRPr="00BD7690">
              <w:rPr>
                <w:vertAlign w:val="superscript"/>
              </w:rPr>
              <w:t>a</w:t>
            </w:r>
            <w:proofErr w:type="spellEnd"/>
          </w:p>
        </w:tc>
      </w:tr>
      <w:tr w:rsidR="00DB2ED9" w:rsidRPr="00030C67" w14:paraId="30AF1CBE" w14:textId="77777777">
        <w:tc>
          <w:tcPr>
            <w:tcW w:w="9639" w:type="dxa"/>
            <w:gridSpan w:val="3"/>
            <w:tcBorders>
              <w:top w:val="single" w:sz="4" w:space="0" w:color="B3B3B3"/>
              <w:bottom w:val="nil"/>
            </w:tcBorders>
            <w:shd w:val="clear" w:color="auto" w:fill="CBDDF2" w:themeFill="background2" w:themeFillTint="33"/>
          </w:tcPr>
          <w:p w14:paraId="6263FB5D" w14:textId="77777777" w:rsidR="00DB2ED9" w:rsidRPr="00030C67" w:rsidRDefault="00DB2ED9">
            <w:pPr>
              <w:pStyle w:val="TableBodyHeading"/>
            </w:pPr>
            <w:r>
              <w:t>Dynamic business environment</w:t>
            </w:r>
          </w:p>
        </w:tc>
      </w:tr>
      <w:tr w:rsidR="00DB2ED9" w:rsidRPr="00030C67" w14:paraId="5B3D59C6" w14:textId="77777777">
        <w:tc>
          <w:tcPr>
            <w:tcW w:w="426" w:type="dxa"/>
            <w:tcBorders>
              <w:top w:val="nil"/>
              <w:bottom w:val="nil"/>
            </w:tcBorders>
            <w:shd w:val="clear" w:color="auto" w:fill="auto"/>
          </w:tcPr>
          <w:p w14:paraId="48EE6576" w14:textId="77777777" w:rsidR="00DB2ED9" w:rsidRPr="00611CB4" w:rsidRDefault="00DB2ED9">
            <w:pPr>
              <w:pStyle w:val="TableBodyHeading"/>
              <w:rPr>
                <w:color w:val="auto"/>
              </w:rPr>
            </w:pPr>
            <w:r>
              <w:t>B1</w:t>
            </w:r>
          </w:p>
        </w:tc>
        <w:tc>
          <w:tcPr>
            <w:tcW w:w="1545" w:type="dxa"/>
            <w:tcBorders>
              <w:top w:val="nil"/>
              <w:bottom w:val="nil"/>
            </w:tcBorders>
            <w:shd w:val="clear" w:color="auto" w:fill="auto"/>
          </w:tcPr>
          <w:p w14:paraId="7CB741CC" w14:textId="77777777" w:rsidR="00DB2ED9" w:rsidRDefault="00DB2ED9">
            <w:pPr>
              <w:pStyle w:val="TableBody"/>
            </w:pPr>
            <w:r>
              <w:t xml:space="preserve">Overseas standards </w:t>
            </w:r>
          </w:p>
        </w:tc>
        <w:tc>
          <w:tcPr>
            <w:tcW w:w="7668" w:type="dxa"/>
            <w:tcBorders>
              <w:top w:val="nil"/>
              <w:bottom w:val="nil"/>
            </w:tcBorders>
            <w:shd w:val="clear" w:color="auto" w:fill="auto"/>
          </w:tcPr>
          <w:p w14:paraId="1D641876" w14:textId="77777777" w:rsidR="00DB2ED9" w:rsidRPr="003D2F30" w:rsidRDefault="00DB2ED9">
            <w:pPr>
              <w:pStyle w:val="TableBody"/>
              <w:rPr>
                <w:b/>
                <w:bCs/>
              </w:rPr>
            </w:pPr>
            <w:r w:rsidRPr="003D2F30">
              <w:rPr>
                <w:b/>
                <w:bCs/>
              </w:rPr>
              <w:t>Lower barriers to the adoption of trusted overseas standards</w:t>
            </w:r>
          </w:p>
          <w:p w14:paraId="240B2955" w14:textId="77777777" w:rsidR="00DB2ED9" w:rsidRPr="005838F7" w:rsidRDefault="00DB2ED9">
            <w:pPr>
              <w:pStyle w:val="TableBody"/>
            </w:pPr>
            <w:r w:rsidRPr="003D2F30">
              <w:t>Adopting an expedited or default approach to recognising trusted overseas standards and processes – where they fulfill an equivalent regulatory purpose (e.g., provide protection to consumers) – to existing and future references to Australian standards in regulation.</w:t>
            </w:r>
          </w:p>
        </w:tc>
      </w:tr>
      <w:tr w:rsidR="00DB2ED9" w:rsidRPr="00030C67" w14:paraId="2E3E39BB" w14:textId="77777777">
        <w:tc>
          <w:tcPr>
            <w:tcW w:w="426" w:type="dxa"/>
            <w:tcBorders>
              <w:top w:val="nil"/>
              <w:bottom w:val="nil"/>
            </w:tcBorders>
            <w:shd w:val="clear" w:color="auto" w:fill="F2F2F2" w:themeFill="background1" w:themeFillShade="F2"/>
          </w:tcPr>
          <w:p w14:paraId="5BA9EE19" w14:textId="77777777" w:rsidR="00DB2ED9" w:rsidRPr="00611CB4" w:rsidRDefault="00DB2ED9">
            <w:pPr>
              <w:pStyle w:val="TableBodyHeading"/>
              <w:rPr>
                <w:color w:val="auto"/>
              </w:rPr>
            </w:pPr>
            <w:r>
              <w:t>B2</w:t>
            </w:r>
          </w:p>
        </w:tc>
        <w:tc>
          <w:tcPr>
            <w:tcW w:w="1545" w:type="dxa"/>
            <w:tcBorders>
              <w:top w:val="nil"/>
              <w:bottom w:val="nil"/>
            </w:tcBorders>
            <w:shd w:val="clear" w:color="auto" w:fill="F2F2F2" w:themeFill="background1" w:themeFillShade="F2"/>
          </w:tcPr>
          <w:p w14:paraId="212027E0" w14:textId="77777777" w:rsidR="00DB2ED9" w:rsidRDefault="00DB2ED9">
            <w:pPr>
              <w:pStyle w:val="TableBody"/>
            </w:pPr>
            <w:r>
              <w:t>Commercial planning and zoning</w:t>
            </w:r>
          </w:p>
        </w:tc>
        <w:tc>
          <w:tcPr>
            <w:tcW w:w="7668" w:type="dxa"/>
            <w:tcBorders>
              <w:top w:val="nil"/>
              <w:bottom w:val="nil"/>
            </w:tcBorders>
            <w:shd w:val="clear" w:color="auto" w:fill="F2F2F2" w:themeFill="background1" w:themeFillShade="F2"/>
          </w:tcPr>
          <w:p w14:paraId="69A67A57" w14:textId="77777777" w:rsidR="00DB2ED9" w:rsidRPr="003D2F30" w:rsidRDefault="00DB2ED9">
            <w:pPr>
              <w:pStyle w:val="TableBody"/>
              <w:rPr>
                <w:b/>
                <w:bCs/>
              </w:rPr>
            </w:pPr>
            <w:r w:rsidRPr="003D2F30">
              <w:rPr>
                <w:b/>
                <w:bCs/>
              </w:rPr>
              <w:t>Liberalise and standardise commercial zoning rules and review planning requirements to ensure they do not distort competition</w:t>
            </w:r>
          </w:p>
          <w:p w14:paraId="32B03DC3" w14:textId="77777777" w:rsidR="00DB2ED9" w:rsidRPr="003D2F30" w:rsidRDefault="00DB2ED9">
            <w:pPr>
              <w:pStyle w:val="TableBody"/>
            </w:pPr>
            <w:r w:rsidRPr="003D2F30">
              <w:t>Adopt a liberalised, pro</w:t>
            </w:r>
            <w:r>
              <w:noBreakHyphen/>
            </w:r>
            <w:r w:rsidRPr="003D2F30">
              <w:t>competition and nationally consistent approach to commercial planning and zoning regulations.</w:t>
            </w:r>
          </w:p>
        </w:tc>
      </w:tr>
      <w:tr w:rsidR="00DB2ED9" w:rsidRPr="00030C67" w14:paraId="44AE3186" w14:textId="77777777">
        <w:tc>
          <w:tcPr>
            <w:tcW w:w="426" w:type="dxa"/>
            <w:tcBorders>
              <w:top w:val="nil"/>
              <w:bottom w:val="nil"/>
            </w:tcBorders>
            <w:shd w:val="clear" w:color="auto" w:fill="auto"/>
          </w:tcPr>
          <w:p w14:paraId="2439973F" w14:textId="77777777" w:rsidR="00DB2ED9" w:rsidRPr="00611CB4" w:rsidRDefault="00DB2ED9">
            <w:pPr>
              <w:pStyle w:val="TableBodyHeading"/>
              <w:rPr>
                <w:color w:val="auto"/>
              </w:rPr>
            </w:pPr>
            <w:r>
              <w:t>B3</w:t>
            </w:r>
          </w:p>
        </w:tc>
        <w:tc>
          <w:tcPr>
            <w:tcW w:w="1545" w:type="dxa"/>
            <w:tcBorders>
              <w:top w:val="nil"/>
              <w:bottom w:val="nil"/>
            </w:tcBorders>
            <w:shd w:val="clear" w:color="auto" w:fill="auto"/>
          </w:tcPr>
          <w:p w14:paraId="506C1D55" w14:textId="77777777" w:rsidR="00DB2ED9" w:rsidRDefault="00DB2ED9">
            <w:pPr>
              <w:pStyle w:val="TableBody"/>
            </w:pPr>
            <w:r>
              <w:t>Public procurement</w:t>
            </w:r>
          </w:p>
        </w:tc>
        <w:tc>
          <w:tcPr>
            <w:tcW w:w="7668" w:type="dxa"/>
            <w:tcBorders>
              <w:top w:val="nil"/>
              <w:bottom w:val="nil"/>
            </w:tcBorders>
            <w:shd w:val="clear" w:color="auto" w:fill="auto"/>
          </w:tcPr>
          <w:p w14:paraId="5EAE30BA" w14:textId="77777777" w:rsidR="00DB2ED9" w:rsidRPr="003D2F30" w:rsidRDefault="00DB2ED9">
            <w:pPr>
              <w:pStyle w:val="TableBody"/>
              <w:rPr>
                <w:b/>
                <w:bCs/>
              </w:rPr>
            </w:pPr>
            <w:r w:rsidRPr="003D2F30">
              <w:rPr>
                <w:b/>
                <w:bCs/>
              </w:rPr>
              <w:t>Improve contestability and value for money in public procurement</w:t>
            </w:r>
          </w:p>
          <w:p w14:paraId="5B902A28" w14:textId="77777777" w:rsidR="00DB2ED9" w:rsidRPr="005838F7" w:rsidRDefault="00DB2ED9">
            <w:pPr>
              <w:pStyle w:val="TableBody"/>
            </w:pPr>
            <w:r w:rsidRPr="003D2F30">
              <w:t>Governments develop a nationally consistent best practice procurement framework.</w:t>
            </w:r>
          </w:p>
        </w:tc>
      </w:tr>
      <w:tr w:rsidR="00DB2ED9" w:rsidRPr="00030C67" w14:paraId="3CEBC4EA" w14:textId="77777777">
        <w:tc>
          <w:tcPr>
            <w:tcW w:w="426" w:type="dxa"/>
            <w:tcBorders>
              <w:top w:val="nil"/>
              <w:bottom w:val="nil"/>
            </w:tcBorders>
            <w:shd w:val="clear" w:color="auto" w:fill="F2F2F2" w:themeFill="background1" w:themeFillShade="F2"/>
          </w:tcPr>
          <w:p w14:paraId="69AEB838" w14:textId="77777777" w:rsidR="00DB2ED9" w:rsidRPr="00611CB4" w:rsidRDefault="00DB2ED9">
            <w:pPr>
              <w:pStyle w:val="TableBodyHeading"/>
              <w:rPr>
                <w:color w:val="auto"/>
              </w:rPr>
            </w:pPr>
            <w:r>
              <w:t>B4</w:t>
            </w:r>
          </w:p>
        </w:tc>
        <w:tc>
          <w:tcPr>
            <w:tcW w:w="1545" w:type="dxa"/>
            <w:tcBorders>
              <w:top w:val="nil"/>
              <w:bottom w:val="nil"/>
            </w:tcBorders>
            <w:shd w:val="clear" w:color="auto" w:fill="F2F2F2" w:themeFill="background1" w:themeFillShade="F2"/>
          </w:tcPr>
          <w:p w14:paraId="6EDE34AD" w14:textId="77777777" w:rsidR="00DB2ED9" w:rsidRDefault="00DB2ED9">
            <w:pPr>
              <w:pStyle w:val="TableBody"/>
            </w:pPr>
            <w:proofErr w:type="spellStart"/>
            <w:r>
              <w:t>Phoenixing</w:t>
            </w:r>
            <w:proofErr w:type="spellEnd"/>
          </w:p>
        </w:tc>
        <w:tc>
          <w:tcPr>
            <w:tcW w:w="7668" w:type="dxa"/>
            <w:tcBorders>
              <w:top w:val="nil"/>
              <w:bottom w:val="nil"/>
            </w:tcBorders>
            <w:shd w:val="clear" w:color="auto" w:fill="F2F2F2" w:themeFill="background1" w:themeFillShade="F2"/>
          </w:tcPr>
          <w:p w14:paraId="5D97C61C" w14:textId="77777777" w:rsidR="00DB2ED9" w:rsidRPr="003D2F30" w:rsidRDefault="00DB2ED9">
            <w:pPr>
              <w:pStyle w:val="TableBody"/>
              <w:rPr>
                <w:b/>
                <w:bCs/>
              </w:rPr>
            </w:pPr>
            <w:r w:rsidRPr="003D2F30">
              <w:rPr>
                <w:b/>
                <w:bCs/>
              </w:rPr>
              <w:t xml:space="preserve">Efforts to prevent </w:t>
            </w:r>
            <w:proofErr w:type="spellStart"/>
            <w:r w:rsidRPr="003D2F30">
              <w:rPr>
                <w:b/>
                <w:bCs/>
              </w:rPr>
              <w:t>phoenixing</w:t>
            </w:r>
            <w:proofErr w:type="spellEnd"/>
            <w:r w:rsidRPr="003D2F30">
              <w:rPr>
                <w:b/>
                <w:bCs/>
              </w:rPr>
              <w:t xml:space="preserve"> in the building sector</w:t>
            </w:r>
          </w:p>
          <w:p w14:paraId="2298045A" w14:textId="77777777" w:rsidR="00DB2ED9" w:rsidRPr="003D2F30" w:rsidRDefault="00DB2ED9">
            <w:pPr>
              <w:pStyle w:val="TableBody"/>
            </w:pPr>
            <w:r w:rsidRPr="003D2F30">
              <w:t>Improving information</w:t>
            </w:r>
            <w:r>
              <w:noBreakHyphen/>
            </w:r>
            <w:r w:rsidRPr="003D2F30">
              <w:t xml:space="preserve">sharing between regulators and the collection of statistical data on </w:t>
            </w:r>
            <w:proofErr w:type="spellStart"/>
            <w:r w:rsidRPr="003D2F30">
              <w:t>phoenixing</w:t>
            </w:r>
            <w:proofErr w:type="spellEnd"/>
            <w:r w:rsidRPr="003D2F30">
              <w:t xml:space="preserve"> activities to facilitate a better response.</w:t>
            </w:r>
          </w:p>
        </w:tc>
      </w:tr>
      <w:tr w:rsidR="00DB2ED9" w:rsidRPr="00030C67" w14:paraId="288B77DB" w14:textId="77777777">
        <w:tc>
          <w:tcPr>
            <w:tcW w:w="426" w:type="dxa"/>
            <w:tcBorders>
              <w:top w:val="nil"/>
              <w:bottom w:val="nil"/>
            </w:tcBorders>
            <w:shd w:val="clear" w:color="auto" w:fill="auto"/>
          </w:tcPr>
          <w:p w14:paraId="3BEE2524" w14:textId="77777777" w:rsidR="00DB2ED9" w:rsidRPr="00611CB4" w:rsidRDefault="00DB2ED9">
            <w:pPr>
              <w:pStyle w:val="TableBodyHeading"/>
              <w:rPr>
                <w:color w:val="auto"/>
              </w:rPr>
            </w:pPr>
            <w:r>
              <w:t>B5</w:t>
            </w:r>
          </w:p>
        </w:tc>
        <w:tc>
          <w:tcPr>
            <w:tcW w:w="1545" w:type="dxa"/>
            <w:tcBorders>
              <w:top w:val="nil"/>
              <w:bottom w:val="nil"/>
            </w:tcBorders>
            <w:shd w:val="clear" w:color="auto" w:fill="auto"/>
          </w:tcPr>
          <w:p w14:paraId="3A13B1A4" w14:textId="77777777" w:rsidR="00DB2ED9" w:rsidRDefault="00DB2ED9">
            <w:pPr>
              <w:pStyle w:val="TableBody"/>
            </w:pPr>
            <w:r>
              <w:t>E</w:t>
            </w:r>
            <w:r>
              <w:noBreakHyphen/>
              <w:t>conveyancing</w:t>
            </w:r>
          </w:p>
        </w:tc>
        <w:tc>
          <w:tcPr>
            <w:tcW w:w="7668" w:type="dxa"/>
            <w:tcBorders>
              <w:top w:val="nil"/>
              <w:bottom w:val="nil"/>
            </w:tcBorders>
            <w:shd w:val="clear" w:color="auto" w:fill="auto"/>
          </w:tcPr>
          <w:p w14:paraId="2092B912" w14:textId="77777777" w:rsidR="00DB2ED9" w:rsidRPr="003D2F30" w:rsidRDefault="00DB2ED9">
            <w:pPr>
              <w:pStyle w:val="TableBody"/>
              <w:rPr>
                <w:b/>
                <w:bCs/>
              </w:rPr>
            </w:pPr>
            <w:r w:rsidRPr="003D2F30">
              <w:rPr>
                <w:b/>
                <w:bCs/>
              </w:rPr>
              <w:t>Reform e</w:t>
            </w:r>
            <w:r>
              <w:rPr>
                <w:b/>
                <w:bCs/>
              </w:rPr>
              <w:noBreakHyphen/>
            </w:r>
            <w:r w:rsidRPr="003D2F30">
              <w:rPr>
                <w:b/>
                <w:bCs/>
              </w:rPr>
              <w:t>conveyancing market</w:t>
            </w:r>
          </w:p>
          <w:p w14:paraId="37D2AEDF" w14:textId="77777777" w:rsidR="00DB2ED9" w:rsidRPr="005838F7" w:rsidRDefault="00DB2ED9">
            <w:pPr>
              <w:pStyle w:val="TableBody"/>
            </w:pPr>
            <w:r w:rsidRPr="003D2F30">
              <w:t>State and territory government reforms to the e</w:t>
            </w:r>
            <w:r>
              <w:noBreakHyphen/>
            </w:r>
            <w:r w:rsidRPr="003D2F30">
              <w:t>conveyancing market to implement competition through interoperability</w:t>
            </w:r>
            <w:r>
              <w:t>.</w:t>
            </w:r>
          </w:p>
        </w:tc>
      </w:tr>
      <w:tr w:rsidR="00DB2ED9" w:rsidRPr="00030C67" w14:paraId="5EE65491" w14:textId="77777777">
        <w:tc>
          <w:tcPr>
            <w:tcW w:w="426" w:type="dxa"/>
            <w:tcBorders>
              <w:top w:val="nil"/>
              <w:bottom w:val="nil"/>
            </w:tcBorders>
            <w:shd w:val="clear" w:color="auto" w:fill="F2F2F2" w:themeFill="background1" w:themeFillShade="F2"/>
          </w:tcPr>
          <w:p w14:paraId="0981D40B" w14:textId="77777777" w:rsidR="00DB2ED9" w:rsidRPr="00611CB4" w:rsidRDefault="00DB2ED9">
            <w:pPr>
              <w:pStyle w:val="TableBodyHeading"/>
              <w:rPr>
                <w:color w:val="auto"/>
              </w:rPr>
            </w:pPr>
            <w:r>
              <w:t>B6</w:t>
            </w:r>
          </w:p>
        </w:tc>
        <w:tc>
          <w:tcPr>
            <w:tcW w:w="1545" w:type="dxa"/>
            <w:tcBorders>
              <w:top w:val="nil"/>
              <w:bottom w:val="nil"/>
            </w:tcBorders>
            <w:shd w:val="clear" w:color="auto" w:fill="F2F2F2" w:themeFill="background1" w:themeFillShade="F2"/>
          </w:tcPr>
          <w:p w14:paraId="54B06869" w14:textId="77777777" w:rsidR="00DB2ED9" w:rsidRDefault="00DB2ED9">
            <w:pPr>
              <w:pStyle w:val="TableBody"/>
            </w:pPr>
            <w:r>
              <w:t>Marine freight industry</w:t>
            </w:r>
          </w:p>
        </w:tc>
        <w:tc>
          <w:tcPr>
            <w:tcW w:w="7668" w:type="dxa"/>
            <w:tcBorders>
              <w:top w:val="nil"/>
              <w:bottom w:val="nil"/>
            </w:tcBorders>
            <w:shd w:val="clear" w:color="auto" w:fill="F2F2F2" w:themeFill="background1" w:themeFillShade="F2"/>
          </w:tcPr>
          <w:p w14:paraId="0EA269C0" w14:textId="77777777" w:rsidR="00DB2ED9" w:rsidRPr="003D2F30" w:rsidRDefault="00DB2ED9">
            <w:pPr>
              <w:pStyle w:val="TableBody"/>
              <w:rPr>
                <w:b/>
                <w:bCs/>
              </w:rPr>
            </w:pPr>
            <w:r w:rsidRPr="003D2F30">
              <w:rPr>
                <w:b/>
                <w:bCs/>
              </w:rPr>
              <w:t>Lower competition barriers in the marine freight industry</w:t>
            </w:r>
          </w:p>
          <w:p w14:paraId="07BFA9EB" w14:textId="77777777" w:rsidR="00DB2ED9" w:rsidRPr="003D2F30" w:rsidRDefault="00DB2ED9">
            <w:pPr>
              <w:pStyle w:val="TableBody"/>
            </w:pPr>
            <w:r w:rsidRPr="003D2F30">
              <w:t>Lowering competition barriers in the marine freight industry</w:t>
            </w:r>
            <w:r>
              <w:t>.</w:t>
            </w:r>
          </w:p>
        </w:tc>
      </w:tr>
      <w:tr w:rsidR="00DB2ED9" w:rsidRPr="00030C67" w14:paraId="0ADFB402" w14:textId="77777777">
        <w:tc>
          <w:tcPr>
            <w:tcW w:w="426" w:type="dxa"/>
            <w:tcBorders>
              <w:top w:val="nil"/>
              <w:bottom w:val="nil"/>
            </w:tcBorders>
            <w:shd w:val="clear" w:color="auto" w:fill="auto"/>
          </w:tcPr>
          <w:p w14:paraId="4547215B" w14:textId="77777777" w:rsidR="00DB2ED9" w:rsidRPr="00611CB4" w:rsidRDefault="00DB2ED9">
            <w:pPr>
              <w:pStyle w:val="TableBodyHeading"/>
              <w:rPr>
                <w:color w:val="auto"/>
              </w:rPr>
            </w:pPr>
            <w:r>
              <w:t>B7</w:t>
            </w:r>
          </w:p>
        </w:tc>
        <w:tc>
          <w:tcPr>
            <w:tcW w:w="1545" w:type="dxa"/>
            <w:tcBorders>
              <w:top w:val="nil"/>
              <w:bottom w:val="nil"/>
            </w:tcBorders>
            <w:shd w:val="clear" w:color="auto" w:fill="auto"/>
          </w:tcPr>
          <w:p w14:paraId="54D7825D" w14:textId="77777777" w:rsidR="00DB2ED9" w:rsidRDefault="00DB2ED9">
            <w:pPr>
              <w:pStyle w:val="TableBody"/>
            </w:pPr>
            <w:r>
              <w:t>Distribution networks</w:t>
            </w:r>
          </w:p>
        </w:tc>
        <w:tc>
          <w:tcPr>
            <w:tcW w:w="7668" w:type="dxa"/>
            <w:tcBorders>
              <w:top w:val="nil"/>
              <w:bottom w:val="nil"/>
            </w:tcBorders>
            <w:shd w:val="clear" w:color="auto" w:fill="auto"/>
          </w:tcPr>
          <w:p w14:paraId="6AB10F9C" w14:textId="77777777" w:rsidR="00DB2ED9" w:rsidRPr="003D2F30" w:rsidRDefault="00DB2ED9">
            <w:pPr>
              <w:pStyle w:val="TableBody"/>
              <w:rPr>
                <w:b/>
                <w:bCs/>
              </w:rPr>
            </w:pPr>
            <w:r w:rsidRPr="003D2F30">
              <w:rPr>
                <w:b/>
                <w:bCs/>
              </w:rPr>
              <w:t>Improve domestic distribution networks</w:t>
            </w:r>
          </w:p>
          <w:p w14:paraId="25B0CE1B" w14:textId="77777777" w:rsidR="00DB2ED9" w:rsidRPr="005838F7" w:rsidRDefault="00DB2ED9">
            <w:pPr>
              <w:pStyle w:val="TableBody"/>
            </w:pPr>
            <w:r w:rsidRPr="003D2F30">
              <w:t>Address barriers that restrict distribution networks, including regulatory barriers on specific imported products that are safe and useful for Australian markets.</w:t>
            </w:r>
          </w:p>
        </w:tc>
      </w:tr>
      <w:tr w:rsidR="00DB2ED9" w:rsidRPr="00030C67" w14:paraId="145FED4E" w14:textId="77777777">
        <w:tc>
          <w:tcPr>
            <w:tcW w:w="426" w:type="dxa"/>
            <w:tcBorders>
              <w:top w:val="nil"/>
              <w:bottom w:val="nil"/>
            </w:tcBorders>
            <w:shd w:val="clear" w:color="auto" w:fill="F2F2F2" w:themeFill="background1" w:themeFillShade="F2"/>
          </w:tcPr>
          <w:p w14:paraId="43096E2B" w14:textId="77777777" w:rsidR="00DB2ED9" w:rsidRPr="00611CB4" w:rsidRDefault="00DB2ED9">
            <w:pPr>
              <w:pStyle w:val="TableBodyHeading"/>
              <w:rPr>
                <w:color w:val="auto"/>
              </w:rPr>
            </w:pPr>
            <w:r>
              <w:t>B8</w:t>
            </w:r>
          </w:p>
        </w:tc>
        <w:tc>
          <w:tcPr>
            <w:tcW w:w="1545" w:type="dxa"/>
            <w:tcBorders>
              <w:top w:val="nil"/>
              <w:bottom w:val="nil"/>
            </w:tcBorders>
            <w:shd w:val="clear" w:color="auto" w:fill="F2F2F2" w:themeFill="background1" w:themeFillShade="F2"/>
          </w:tcPr>
          <w:p w14:paraId="5BD43F5C" w14:textId="77777777" w:rsidR="00DB2ED9" w:rsidRPr="00611CB4" w:rsidRDefault="00DB2ED9">
            <w:pPr>
              <w:pStyle w:val="TableBody"/>
            </w:pPr>
            <w:r>
              <w:t>Efficient user charging</w:t>
            </w:r>
          </w:p>
        </w:tc>
        <w:tc>
          <w:tcPr>
            <w:tcW w:w="7668" w:type="dxa"/>
            <w:tcBorders>
              <w:top w:val="nil"/>
              <w:bottom w:val="nil"/>
            </w:tcBorders>
            <w:shd w:val="clear" w:color="auto" w:fill="F2F2F2" w:themeFill="background1" w:themeFillShade="F2"/>
          </w:tcPr>
          <w:p w14:paraId="788FA128" w14:textId="77777777" w:rsidR="00DB2ED9" w:rsidRPr="003D2F30" w:rsidRDefault="00DB2ED9">
            <w:pPr>
              <w:pStyle w:val="TableBody"/>
              <w:rPr>
                <w:b/>
                <w:bCs/>
              </w:rPr>
            </w:pPr>
            <w:r w:rsidRPr="003D2F30">
              <w:rPr>
                <w:b/>
                <w:bCs/>
              </w:rPr>
              <w:t>Implement forward</w:t>
            </w:r>
            <w:r>
              <w:rPr>
                <w:b/>
                <w:bCs/>
              </w:rPr>
              <w:noBreakHyphen/>
            </w:r>
            <w:r w:rsidRPr="003D2F30">
              <w:rPr>
                <w:b/>
                <w:bCs/>
              </w:rPr>
              <w:t>looking efficient user charging approaches</w:t>
            </w:r>
          </w:p>
          <w:p w14:paraId="39267B96" w14:textId="77777777" w:rsidR="00DB2ED9" w:rsidRPr="003D2F30" w:rsidRDefault="00DB2ED9">
            <w:pPr>
              <w:pStyle w:val="TableBody"/>
            </w:pPr>
            <w:r>
              <w:t>Develop prospective benchmark user charging guidelines that can be adopted nationally.</w:t>
            </w:r>
          </w:p>
        </w:tc>
      </w:tr>
      <w:tr w:rsidR="00DB2ED9" w:rsidRPr="00030C67" w14:paraId="7006A033" w14:textId="77777777">
        <w:tc>
          <w:tcPr>
            <w:tcW w:w="426" w:type="dxa"/>
            <w:tcBorders>
              <w:top w:val="nil"/>
              <w:bottom w:val="nil"/>
            </w:tcBorders>
            <w:shd w:val="clear" w:color="auto" w:fill="auto"/>
          </w:tcPr>
          <w:p w14:paraId="3F1F8B93" w14:textId="77777777" w:rsidR="00DB2ED9" w:rsidRPr="00611CB4" w:rsidRDefault="00DB2ED9">
            <w:pPr>
              <w:pStyle w:val="TableBodyHeading"/>
              <w:rPr>
                <w:color w:val="auto"/>
              </w:rPr>
            </w:pPr>
            <w:r>
              <w:t>B9</w:t>
            </w:r>
          </w:p>
        </w:tc>
        <w:tc>
          <w:tcPr>
            <w:tcW w:w="1545" w:type="dxa"/>
            <w:tcBorders>
              <w:top w:val="nil"/>
              <w:bottom w:val="nil"/>
            </w:tcBorders>
            <w:shd w:val="clear" w:color="auto" w:fill="auto"/>
          </w:tcPr>
          <w:p w14:paraId="383A4FC2" w14:textId="77777777" w:rsidR="00DB2ED9" w:rsidRPr="00611CB4" w:rsidRDefault="00DB2ED9">
            <w:pPr>
              <w:pStyle w:val="TableBody"/>
            </w:pPr>
            <w:r>
              <w:t>M</w:t>
            </w:r>
            <w:r w:rsidRPr="00D05C95">
              <w:t>odern methods of construction</w:t>
            </w:r>
          </w:p>
        </w:tc>
        <w:tc>
          <w:tcPr>
            <w:tcW w:w="7668" w:type="dxa"/>
            <w:tcBorders>
              <w:top w:val="nil"/>
              <w:bottom w:val="nil"/>
            </w:tcBorders>
            <w:shd w:val="clear" w:color="auto" w:fill="auto"/>
          </w:tcPr>
          <w:p w14:paraId="301298A6" w14:textId="77777777" w:rsidR="00DB2ED9" w:rsidRPr="003D2F30" w:rsidRDefault="00DB2ED9">
            <w:pPr>
              <w:pStyle w:val="TableBody"/>
              <w:rPr>
                <w:b/>
                <w:bCs/>
              </w:rPr>
            </w:pPr>
            <w:r w:rsidRPr="003D2F30">
              <w:rPr>
                <w:b/>
                <w:bCs/>
              </w:rPr>
              <w:t>Lower barriers to modern methods of construction</w:t>
            </w:r>
          </w:p>
          <w:p w14:paraId="5476E39B" w14:textId="77777777" w:rsidR="00DB2ED9" w:rsidRPr="003D2F30" w:rsidRDefault="00DB2ED9">
            <w:pPr>
              <w:pStyle w:val="TableBody"/>
            </w:pPr>
            <w:r w:rsidRPr="003D2F30">
              <w:t>Lower barriers to the growth in nascent innovative construction businesses including increased automation, modular/prefabricated, off</w:t>
            </w:r>
            <w:r>
              <w:noBreakHyphen/>
            </w:r>
            <w:r w:rsidRPr="003D2F30">
              <w:t>site housing, 3D printing housing, and transportable housing.</w:t>
            </w:r>
          </w:p>
        </w:tc>
      </w:tr>
      <w:tr w:rsidR="00DB2ED9" w:rsidRPr="00030C67" w14:paraId="3A571710" w14:textId="77777777">
        <w:tc>
          <w:tcPr>
            <w:tcW w:w="9639" w:type="dxa"/>
            <w:gridSpan w:val="3"/>
            <w:tcBorders>
              <w:top w:val="nil"/>
              <w:bottom w:val="nil"/>
            </w:tcBorders>
            <w:shd w:val="clear" w:color="auto" w:fill="CBDDF2" w:themeFill="background2" w:themeFillTint="33"/>
          </w:tcPr>
          <w:p w14:paraId="493CBE23" w14:textId="77777777" w:rsidR="00DB2ED9" w:rsidRPr="00611CB4" w:rsidRDefault="00DB2ED9">
            <w:pPr>
              <w:pStyle w:val="TableBodyHeading"/>
              <w:keepNext/>
              <w:rPr>
                <w:color w:val="auto"/>
              </w:rPr>
            </w:pPr>
            <w:r>
              <w:t>Net zero</w:t>
            </w:r>
          </w:p>
        </w:tc>
      </w:tr>
      <w:tr w:rsidR="00DB2ED9" w:rsidRPr="00030C67" w14:paraId="650563D2" w14:textId="77777777">
        <w:tc>
          <w:tcPr>
            <w:tcW w:w="426" w:type="dxa"/>
            <w:tcBorders>
              <w:top w:val="nil"/>
              <w:bottom w:val="nil"/>
            </w:tcBorders>
            <w:shd w:val="clear" w:color="auto" w:fill="auto"/>
          </w:tcPr>
          <w:p w14:paraId="3A1C8C31" w14:textId="77777777" w:rsidR="00DB2ED9" w:rsidRPr="00A21E4E" w:rsidRDefault="00DB2ED9">
            <w:pPr>
              <w:pStyle w:val="TableBodyHeading"/>
            </w:pPr>
            <w:r w:rsidRPr="00A21E4E">
              <w:t>NZ1</w:t>
            </w:r>
          </w:p>
        </w:tc>
        <w:tc>
          <w:tcPr>
            <w:tcW w:w="1545" w:type="dxa"/>
            <w:tcBorders>
              <w:top w:val="nil"/>
              <w:bottom w:val="nil"/>
            </w:tcBorders>
            <w:shd w:val="clear" w:color="auto" w:fill="auto"/>
          </w:tcPr>
          <w:p w14:paraId="743B034C" w14:textId="77777777" w:rsidR="00DB2ED9" w:rsidRPr="00611CB4" w:rsidRDefault="00DB2ED9">
            <w:pPr>
              <w:pStyle w:val="TableBody"/>
            </w:pPr>
            <w:r>
              <w:t>Right to repair</w:t>
            </w:r>
          </w:p>
        </w:tc>
        <w:tc>
          <w:tcPr>
            <w:tcW w:w="7668" w:type="dxa"/>
            <w:tcBorders>
              <w:top w:val="nil"/>
              <w:bottom w:val="nil"/>
            </w:tcBorders>
            <w:shd w:val="clear" w:color="auto" w:fill="auto"/>
          </w:tcPr>
          <w:p w14:paraId="16FA701A" w14:textId="77777777" w:rsidR="00DB2ED9" w:rsidRDefault="00DB2ED9">
            <w:pPr>
              <w:pStyle w:val="TableBody"/>
              <w:keepNext/>
              <w:rPr>
                <w:b/>
                <w:bCs/>
              </w:rPr>
            </w:pPr>
            <w:r w:rsidRPr="004B5A65">
              <w:rPr>
                <w:b/>
                <w:bCs/>
              </w:rPr>
              <w:t xml:space="preserve">Remove barriers to the </w:t>
            </w:r>
            <w:r>
              <w:rPr>
                <w:b/>
                <w:bCs/>
              </w:rPr>
              <w:t>‘</w:t>
            </w:r>
            <w:r w:rsidRPr="004B5A65">
              <w:rPr>
                <w:b/>
                <w:bCs/>
              </w:rPr>
              <w:t>right to repair</w:t>
            </w:r>
            <w:r>
              <w:rPr>
                <w:b/>
                <w:bCs/>
              </w:rPr>
              <w:t>’</w:t>
            </w:r>
          </w:p>
          <w:p w14:paraId="20AB41BB" w14:textId="77777777" w:rsidR="00DB2ED9" w:rsidRPr="00611CB4" w:rsidRDefault="00DB2ED9">
            <w:pPr>
              <w:pStyle w:val="TableBody"/>
              <w:keepNext/>
            </w:pPr>
            <w:r w:rsidRPr="000238A1">
              <w:t>Addressing barriers to third</w:t>
            </w:r>
            <w:r>
              <w:noBreakHyphen/>
            </w:r>
            <w:r w:rsidRPr="000238A1">
              <w:t>party repair of consumer products. Primarily this would enable independent repairers and consumers access to the necessary parts, information and equipment needed to repair products, including access to embedded software in products.</w:t>
            </w:r>
          </w:p>
        </w:tc>
      </w:tr>
      <w:tr w:rsidR="00DB2ED9" w:rsidRPr="00030C67" w14:paraId="52A0D89D" w14:textId="77777777">
        <w:tc>
          <w:tcPr>
            <w:tcW w:w="426" w:type="dxa"/>
            <w:tcBorders>
              <w:top w:val="nil"/>
              <w:bottom w:val="nil"/>
            </w:tcBorders>
            <w:shd w:val="clear" w:color="auto" w:fill="F2F2F2" w:themeFill="background1" w:themeFillShade="F2"/>
          </w:tcPr>
          <w:p w14:paraId="1AD354AB" w14:textId="77777777" w:rsidR="00DB2ED9" w:rsidRPr="00A21E4E" w:rsidRDefault="00DB2ED9">
            <w:pPr>
              <w:pStyle w:val="TableBodyHeading"/>
            </w:pPr>
            <w:r w:rsidRPr="00A21E4E">
              <w:t>NZ</w:t>
            </w:r>
            <w:r>
              <w:t>2</w:t>
            </w:r>
          </w:p>
        </w:tc>
        <w:tc>
          <w:tcPr>
            <w:tcW w:w="1545" w:type="dxa"/>
            <w:tcBorders>
              <w:top w:val="nil"/>
              <w:bottom w:val="nil"/>
            </w:tcBorders>
            <w:shd w:val="clear" w:color="auto" w:fill="F2F2F2" w:themeFill="background1" w:themeFillShade="F2"/>
          </w:tcPr>
          <w:p w14:paraId="3863F4BF" w14:textId="77777777" w:rsidR="00DB2ED9" w:rsidRPr="00611CB4" w:rsidRDefault="00DB2ED9">
            <w:pPr>
              <w:pStyle w:val="TableBody"/>
            </w:pPr>
            <w:r>
              <w:t>Overseas standards</w:t>
            </w:r>
          </w:p>
        </w:tc>
        <w:tc>
          <w:tcPr>
            <w:tcW w:w="7668" w:type="dxa"/>
            <w:tcBorders>
              <w:top w:val="nil"/>
              <w:bottom w:val="nil"/>
            </w:tcBorders>
            <w:shd w:val="clear" w:color="auto" w:fill="F2F2F2" w:themeFill="background1" w:themeFillShade="F2"/>
          </w:tcPr>
          <w:p w14:paraId="6DB107F2" w14:textId="77777777" w:rsidR="00DB2ED9" w:rsidRDefault="00DB2ED9">
            <w:pPr>
              <w:pStyle w:val="TableBody"/>
              <w:rPr>
                <w:b/>
                <w:bCs/>
              </w:rPr>
            </w:pPr>
            <w:r w:rsidRPr="000238A1">
              <w:rPr>
                <w:b/>
                <w:bCs/>
              </w:rPr>
              <w:t>Streamline the adoption of trusted overseas standards to enable an efficient net zero transformation</w:t>
            </w:r>
          </w:p>
          <w:p w14:paraId="3B8AB079" w14:textId="77777777" w:rsidR="00DB2ED9" w:rsidRPr="00611CB4" w:rsidRDefault="00DB2ED9">
            <w:pPr>
              <w:pStyle w:val="TableBody"/>
            </w:pPr>
            <w:r w:rsidRPr="00F710C7">
              <w:t>Streamline the adoption of trusted overseas standards that support the net zero transformation</w:t>
            </w:r>
            <w:r>
              <w:t>.</w:t>
            </w:r>
          </w:p>
        </w:tc>
      </w:tr>
      <w:tr w:rsidR="00DB2ED9" w:rsidRPr="00030C67" w14:paraId="52DB6432" w14:textId="77777777">
        <w:tc>
          <w:tcPr>
            <w:tcW w:w="426" w:type="dxa"/>
            <w:tcBorders>
              <w:top w:val="nil"/>
              <w:bottom w:val="nil"/>
            </w:tcBorders>
            <w:shd w:val="clear" w:color="auto" w:fill="auto"/>
          </w:tcPr>
          <w:p w14:paraId="7FA2E3E3" w14:textId="77777777" w:rsidR="00DB2ED9" w:rsidRPr="00A21E4E" w:rsidRDefault="00DB2ED9">
            <w:pPr>
              <w:pStyle w:val="TableBodyHeading"/>
            </w:pPr>
            <w:r w:rsidRPr="00A21E4E">
              <w:lastRenderedPageBreak/>
              <w:t>NZ</w:t>
            </w:r>
            <w:r>
              <w:t>3</w:t>
            </w:r>
          </w:p>
        </w:tc>
        <w:tc>
          <w:tcPr>
            <w:tcW w:w="1545" w:type="dxa"/>
            <w:tcBorders>
              <w:top w:val="nil"/>
              <w:bottom w:val="nil"/>
            </w:tcBorders>
            <w:shd w:val="clear" w:color="auto" w:fill="auto"/>
          </w:tcPr>
          <w:p w14:paraId="270D680A" w14:textId="77777777" w:rsidR="00DB2ED9" w:rsidRPr="00611CB4" w:rsidRDefault="00DB2ED9">
            <w:pPr>
              <w:pStyle w:val="TableBody"/>
            </w:pPr>
            <w:r>
              <w:t>Heavy EVs</w:t>
            </w:r>
          </w:p>
        </w:tc>
        <w:tc>
          <w:tcPr>
            <w:tcW w:w="7668" w:type="dxa"/>
            <w:tcBorders>
              <w:top w:val="nil"/>
              <w:bottom w:val="nil"/>
            </w:tcBorders>
            <w:shd w:val="clear" w:color="auto" w:fill="auto"/>
          </w:tcPr>
          <w:p w14:paraId="485D02C0" w14:textId="77777777" w:rsidR="00DB2ED9" w:rsidRDefault="00DB2ED9">
            <w:pPr>
              <w:pStyle w:val="TableBody"/>
              <w:keepNext/>
              <w:rPr>
                <w:b/>
                <w:bCs/>
              </w:rPr>
            </w:pPr>
            <w:r w:rsidRPr="00F710C7">
              <w:rPr>
                <w:b/>
                <w:bCs/>
              </w:rPr>
              <w:t>Lower barriers to the adoption of electric vehicle (EV) trucks and buses that meet trusted overseas standards</w:t>
            </w:r>
          </w:p>
          <w:p w14:paraId="333F65A7" w14:textId="77777777" w:rsidR="00DB2ED9" w:rsidRDefault="00DB2ED9">
            <w:pPr>
              <w:pStyle w:val="TableBody"/>
              <w:keepNext/>
            </w:pPr>
            <w:r>
              <w:t>Lower barriers to the adoption of electric trucks and buses that meet trusted overseas standards by:</w:t>
            </w:r>
          </w:p>
          <w:p w14:paraId="222B92B5" w14:textId="77777777" w:rsidR="00DB2ED9" w:rsidRPr="007B0412" w:rsidRDefault="00DB2ED9">
            <w:pPr>
              <w:pStyle w:val="TableListBullet"/>
            </w:pPr>
            <w:r w:rsidRPr="007B0412">
              <w:t>Ensure Australian Design Rules (ADRs) for heavy vehicles align with trusted overseas standards, where they are at least as safe as Australian standards</w:t>
            </w:r>
            <w:r>
              <w:t>;</w:t>
            </w:r>
            <w:r w:rsidRPr="007B0412">
              <w:t xml:space="preserve"> </w:t>
            </w:r>
            <w:r>
              <w:t>a</w:t>
            </w:r>
            <w:r w:rsidRPr="007B0412">
              <w:t>nd can be updated as they develop without undue delay</w:t>
            </w:r>
          </w:p>
          <w:p w14:paraId="7CA7F7D3" w14:textId="77777777" w:rsidR="00DB2ED9" w:rsidRPr="00611CB4" w:rsidRDefault="00DB2ED9">
            <w:pPr>
              <w:pStyle w:val="TableListBullet"/>
            </w:pPr>
            <w:r w:rsidRPr="007B0412">
              <w:t>Ensure road use regulation supports adoption of updated ADRs on Australian roads (which could include heavier and wider EV trucks).</w:t>
            </w:r>
          </w:p>
        </w:tc>
      </w:tr>
      <w:tr w:rsidR="00DB2ED9" w:rsidRPr="00030C67" w14:paraId="6405E135" w14:textId="77777777">
        <w:tc>
          <w:tcPr>
            <w:tcW w:w="426" w:type="dxa"/>
            <w:tcBorders>
              <w:top w:val="nil"/>
              <w:bottom w:val="nil"/>
            </w:tcBorders>
            <w:shd w:val="clear" w:color="auto" w:fill="F2F2F2" w:themeFill="background1" w:themeFillShade="F2"/>
          </w:tcPr>
          <w:p w14:paraId="459FA675" w14:textId="77777777" w:rsidR="00DB2ED9" w:rsidRPr="00A21E4E" w:rsidRDefault="00DB2ED9">
            <w:pPr>
              <w:pStyle w:val="TableBodyHeading"/>
            </w:pPr>
            <w:r w:rsidRPr="00A21E4E">
              <w:t>NZ</w:t>
            </w:r>
            <w:r>
              <w:t>4</w:t>
            </w:r>
          </w:p>
        </w:tc>
        <w:tc>
          <w:tcPr>
            <w:tcW w:w="1545" w:type="dxa"/>
            <w:tcBorders>
              <w:top w:val="nil"/>
              <w:bottom w:val="nil"/>
            </w:tcBorders>
            <w:shd w:val="clear" w:color="auto" w:fill="F2F2F2" w:themeFill="background1" w:themeFillShade="F2"/>
          </w:tcPr>
          <w:p w14:paraId="18C1BD9C" w14:textId="77777777" w:rsidR="00DB2ED9" w:rsidRPr="00611CB4" w:rsidRDefault="00DB2ED9">
            <w:pPr>
              <w:pStyle w:val="TableBody"/>
            </w:pPr>
            <w:r>
              <w:t xml:space="preserve">EV charging </w:t>
            </w:r>
          </w:p>
        </w:tc>
        <w:tc>
          <w:tcPr>
            <w:tcW w:w="7668" w:type="dxa"/>
            <w:tcBorders>
              <w:top w:val="nil"/>
              <w:bottom w:val="nil"/>
            </w:tcBorders>
            <w:shd w:val="clear" w:color="auto" w:fill="F2F2F2" w:themeFill="background1" w:themeFillShade="F2"/>
          </w:tcPr>
          <w:p w14:paraId="5B93BAC0" w14:textId="77777777" w:rsidR="00DB2ED9" w:rsidRDefault="00DB2ED9">
            <w:pPr>
              <w:pStyle w:val="TableBody"/>
              <w:rPr>
                <w:b/>
                <w:bCs/>
              </w:rPr>
            </w:pPr>
            <w:r w:rsidRPr="00F5772F">
              <w:rPr>
                <w:b/>
                <w:bCs/>
              </w:rPr>
              <w:t>Support competition in EV charging infrastructure (EVCI) rollout</w:t>
            </w:r>
          </w:p>
          <w:p w14:paraId="4D70309D" w14:textId="77777777" w:rsidR="00DB2ED9" w:rsidRPr="00611CB4" w:rsidRDefault="00DB2ED9">
            <w:pPr>
              <w:pStyle w:val="TableBody"/>
            </w:pPr>
            <w:r w:rsidRPr="00533939">
              <w:t>Adopt consistent policy settings in the national rollout of EVCI that promote efficiency and address potential competition risks.</w:t>
            </w:r>
          </w:p>
        </w:tc>
      </w:tr>
      <w:tr w:rsidR="00DB2ED9" w:rsidRPr="00030C67" w14:paraId="3B77CDFC" w14:textId="77777777">
        <w:tc>
          <w:tcPr>
            <w:tcW w:w="426" w:type="dxa"/>
            <w:tcBorders>
              <w:top w:val="nil"/>
              <w:bottom w:val="nil"/>
            </w:tcBorders>
            <w:shd w:val="clear" w:color="auto" w:fill="auto"/>
          </w:tcPr>
          <w:p w14:paraId="509D96DA" w14:textId="77777777" w:rsidR="00DB2ED9" w:rsidRPr="00A21E4E" w:rsidRDefault="00DB2ED9">
            <w:pPr>
              <w:pStyle w:val="TableBodyHeading"/>
            </w:pPr>
            <w:r w:rsidRPr="00A21E4E">
              <w:t>NZ</w:t>
            </w:r>
            <w:r>
              <w:t>5</w:t>
            </w:r>
          </w:p>
        </w:tc>
        <w:tc>
          <w:tcPr>
            <w:tcW w:w="1545" w:type="dxa"/>
            <w:tcBorders>
              <w:top w:val="nil"/>
              <w:bottom w:val="nil"/>
            </w:tcBorders>
            <w:shd w:val="clear" w:color="auto" w:fill="auto"/>
          </w:tcPr>
          <w:p w14:paraId="48B118EA" w14:textId="77777777" w:rsidR="00DB2ED9" w:rsidRPr="00611CB4" w:rsidRDefault="00DB2ED9">
            <w:pPr>
              <w:pStyle w:val="TableBody"/>
            </w:pPr>
            <w:r>
              <w:t>EV imports</w:t>
            </w:r>
          </w:p>
        </w:tc>
        <w:tc>
          <w:tcPr>
            <w:tcW w:w="7668" w:type="dxa"/>
            <w:tcBorders>
              <w:top w:val="nil"/>
              <w:bottom w:val="nil"/>
            </w:tcBorders>
            <w:shd w:val="clear" w:color="auto" w:fill="auto"/>
          </w:tcPr>
          <w:p w14:paraId="4D159C2E" w14:textId="77777777" w:rsidR="00DB2ED9" w:rsidRDefault="00DB2ED9">
            <w:pPr>
              <w:pStyle w:val="TableBody"/>
              <w:rPr>
                <w:b/>
                <w:bCs/>
              </w:rPr>
            </w:pPr>
            <w:r w:rsidRPr="00B53621">
              <w:rPr>
                <w:b/>
                <w:bCs/>
              </w:rPr>
              <w:t>Lower barriers to the uptake of imported EVs</w:t>
            </w:r>
          </w:p>
          <w:p w14:paraId="51155C03" w14:textId="77777777" w:rsidR="00DB2ED9" w:rsidRPr="00611CB4" w:rsidRDefault="00DB2ED9">
            <w:pPr>
              <w:pStyle w:val="TableBody"/>
            </w:pPr>
            <w:r w:rsidRPr="00B53621">
              <w:t>Remove barriers that prevent independent EV imports and ensure these vehicles can be used on Australian roads.</w:t>
            </w:r>
          </w:p>
        </w:tc>
      </w:tr>
      <w:tr w:rsidR="00DB2ED9" w:rsidRPr="00030C67" w14:paraId="1538B105" w14:textId="77777777">
        <w:tc>
          <w:tcPr>
            <w:tcW w:w="9639" w:type="dxa"/>
            <w:gridSpan w:val="3"/>
            <w:tcBorders>
              <w:top w:val="nil"/>
              <w:bottom w:val="nil"/>
            </w:tcBorders>
            <w:shd w:val="clear" w:color="auto" w:fill="CBDDF2" w:themeFill="background2" w:themeFillTint="33"/>
          </w:tcPr>
          <w:p w14:paraId="7E260FCA" w14:textId="77777777" w:rsidR="00DB2ED9" w:rsidRPr="00611CB4" w:rsidRDefault="00DB2ED9">
            <w:pPr>
              <w:pStyle w:val="TableBodyHeading"/>
              <w:rPr>
                <w:color w:val="auto"/>
              </w:rPr>
            </w:pPr>
            <w:r>
              <w:t>Labour mobility</w:t>
            </w:r>
          </w:p>
        </w:tc>
      </w:tr>
      <w:tr w:rsidR="00DB2ED9" w:rsidRPr="00030C67" w14:paraId="334A490F" w14:textId="77777777">
        <w:tc>
          <w:tcPr>
            <w:tcW w:w="426" w:type="dxa"/>
            <w:tcBorders>
              <w:top w:val="nil"/>
              <w:bottom w:val="nil"/>
            </w:tcBorders>
            <w:shd w:val="clear" w:color="auto" w:fill="auto"/>
          </w:tcPr>
          <w:p w14:paraId="3AEBD160" w14:textId="77777777" w:rsidR="00DB2ED9" w:rsidRPr="00A21E4E" w:rsidRDefault="00DB2ED9">
            <w:pPr>
              <w:pStyle w:val="TableBodyHeading"/>
            </w:pPr>
            <w:r>
              <w:t>L1</w:t>
            </w:r>
          </w:p>
        </w:tc>
        <w:tc>
          <w:tcPr>
            <w:tcW w:w="1545" w:type="dxa"/>
            <w:tcBorders>
              <w:top w:val="nil"/>
              <w:bottom w:val="nil"/>
            </w:tcBorders>
            <w:shd w:val="clear" w:color="auto" w:fill="auto"/>
          </w:tcPr>
          <w:p w14:paraId="03CC3170" w14:textId="77777777" w:rsidR="00DB2ED9" w:rsidRPr="00611CB4" w:rsidRDefault="00DB2ED9">
            <w:pPr>
              <w:pStyle w:val="TableBody"/>
            </w:pPr>
            <w:r>
              <w:t>Restraint of trade clauses</w:t>
            </w:r>
          </w:p>
        </w:tc>
        <w:tc>
          <w:tcPr>
            <w:tcW w:w="7668" w:type="dxa"/>
            <w:tcBorders>
              <w:top w:val="nil"/>
              <w:bottom w:val="nil"/>
            </w:tcBorders>
            <w:shd w:val="clear" w:color="auto" w:fill="auto"/>
          </w:tcPr>
          <w:p w14:paraId="4B9135D5" w14:textId="77777777" w:rsidR="00DB2ED9" w:rsidRDefault="00DB2ED9">
            <w:pPr>
              <w:pStyle w:val="TableBody"/>
              <w:rPr>
                <w:b/>
                <w:bCs/>
              </w:rPr>
            </w:pPr>
            <w:r w:rsidRPr="002B53A7">
              <w:rPr>
                <w:b/>
                <w:bCs/>
              </w:rPr>
              <w:t>Limit the unreasonable use of restraint of trade clauses</w:t>
            </w:r>
          </w:p>
          <w:p w14:paraId="1CCB034C" w14:textId="77777777" w:rsidR="00DB2ED9" w:rsidRPr="00611CB4" w:rsidRDefault="00DB2ED9">
            <w:pPr>
              <w:pStyle w:val="TableBody"/>
            </w:pPr>
            <w:r w:rsidRPr="002B53A7">
              <w:t>Adopt a nationally consistent approach to limiting the unreasonable use of restraint of trade clauses in employment agreements to improve job mobility.</w:t>
            </w:r>
          </w:p>
        </w:tc>
      </w:tr>
      <w:tr w:rsidR="00DB2ED9" w:rsidRPr="00030C67" w14:paraId="02227FE0" w14:textId="77777777">
        <w:tc>
          <w:tcPr>
            <w:tcW w:w="426" w:type="dxa"/>
            <w:tcBorders>
              <w:top w:val="nil"/>
              <w:bottom w:val="nil"/>
            </w:tcBorders>
            <w:shd w:val="clear" w:color="auto" w:fill="F2F2F2" w:themeFill="background1" w:themeFillShade="F2"/>
          </w:tcPr>
          <w:p w14:paraId="43E1A51B" w14:textId="77777777" w:rsidR="00DB2ED9" w:rsidRPr="0088052A" w:rsidRDefault="00DB2ED9">
            <w:pPr>
              <w:pStyle w:val="TableBodyHeading"/>
              <w:rPr>
                <w:b w:val="0"/>
                <w:bCs/>
              </w:rPr>
            </w:pPr>
            <w:r>
              <w:t>L2</w:t>
            </w:r>
          </w:p>
        </w:tc>
        <w:tc>
          <w:tcPr>
            <w:tcW w:w="1545" w:type="dxa"/>
            <w:tcBorders>
              <w:top w:val="nil"/>
              <w:bottom w:val="nil"/>
            </w:tcBorders>
            <w:shd w:val="clear" w:color="auto" w:fill="F2F2F2" w:themeFill="background1" w:themeFillShade="F2"/>
          </w:tcPr>
          <w:p w14:paraId="4287E2C9" w14:textId="77777777" w:rsidR="00DB2ED9" w:rsidRPr="00611CB4" w:rsidRDefault="00DB2ED9">
            <w:pPr>
              <w:pStyle w:val="TableBody"/>
            </w:pPr>
            <w:r>
              <w:t>O</w:t>
            </w:r>
            <w:r w:rsidRPr="0088052A">
              <w:t>ccupational licensing</w:t>
            </w:r>
          </w:p>
        </w:tc>
        <w:tc>
          <w:tcPr>
            <w:tcW w:w="7668" w:type="dxa"/>
            <w:tcBorders>
              <w:top w:val="nil"/>
              <w:bottom w:val="nil"/>
            </w:tcBorders>
            <w:shd w:val="clear" w:color="auto" w:fill="F2F2F2" w:themeFill="background1" w:themeFillShade="F2"/>
          </w:tcPr>
          <w:p w14:paraId="72141B06" w14:textId="77777777" w:rsidR="00DB2ED9" w:rsidRDefault="00DB2ED9">
            <w:pPr>
              <w:pStyle w:val="TableBody"/>
              <w:rPr>
                <w:b/>
                <w:bCs/>
              </w:rPr>
            </w:pPr>
            <w:r w:rsidRPr="00C55C10">
              <w:rPr>
                <w:b/>
                <w:bCs/>
              </w:rPr>
              <w:t>Streamline occupational licensing and registration requirements</w:t>
            </w:r>
          </w:p>
          <w:p w14:paraId="085DA580" w14:textId="77777777" w:rsidR="00DB2ED9" w:rsidRDefault="00DB2ED9">
            <w:pPr>
              <w:pStyle w:val="TableBody"/>
            </w:pPr>
            <w:r>
              <w:t xml:space="preserve">L2.1 – </w:t>
            </w:r>
            <w:r w:rsidRPr="00C55C10">
              <w:t>Remove unnecessary licensing and registration requirements and streamline remaining requirements to ensure they are justified by consumer safety risks.</w:t>
            </w:r>
          </w:p>
          <w:p w14:paraId="0BA2DDC5" w14:textId="77777777" w:rsidR="00DB2ED9" w:rsidRPr="00611CB4" w:rsidRDefault="00DB2ED9">
            <w:pPr>
              <w:pStyle w:val="TableBody"/>
            </w:pPr>
            <w:r>
              <w:t xml:space="preserve">L2.2 – </w:t>
            </w:r>
            <w:r w:rsidRPr="00C55C10">
              <w:t>Reform the structure and governance of national professional bodies that make occupational registration and licensing decisions to address conflicts of interest.</w:t>
            </w:r>
          </w:p>
        </w:tc>
      </w:tr>
      <w:tr w:rsidR="00DB2ED9" w:rsidRPr="00030C67" w14:paraId="3C29C7AF" w14:textId="77777777">
        <w:tc>
          <w:tcPr>
            <w:tcW w:w="9639" w:type="dxa"/>
            <w:gridSpan w:val="3"/>
            <w:tcBorders>
              <w:top w:val="nil"/>
              <w:bottom w:val="nil"/>
            </w:tcBorders>
            <w:shd w:val="clear" w:color="auto" w:fill="CBDDF2" w:themeFill="background2" w:themeFillTint="33"/>
          </w:tcPr>
          <w:p w14:paraId="0090556C" w14:textId="77777777" w:rsidR="00DB2ED9" w:rsidRPr="00611CB4" w:rsidRDefault="00DB2ED9">
            <w:pPr>
              <w:pStyle w:val="TableBodyHeading"/>
              <w:rPr>
                <w:color w:val="auto"/>
              </w:rPr>
            </w:pPr>
            <w:r>
              <w:t>Human services</w:t>
            </w:r>
          </w:p>
        </w:tc>
      </w:tr>
      <w:tr w:rsidR="00DB2ED9" w:rsidRPr="00030C67" w14:paraId="05DDA14D" w14:textId="77777777">
        <w:tc>
          <w:tcPr>
            <w:tcW w:w="426" w:type="dxa"/>
            <w:tcBorders>
              <w:top w:val="nil"/>
              <w:bottom w:val="nil"/>
            </w:tcBorders>
            <w:shd w:val="clear" w:color="auto" w:fill="F2F2F2" w:themeFill="background1" w:themeFillShade="F2"/>
          </w:tcPr>
          <w:p w14:paraId="29DE5EEF" w14:textId="77777777" w:rsidR="00DB2ED9" w:rsidRPr="00A21E4E" w:rsidRDefault="00DB2ED9">
            <w:pPr>
              <w:pStyle w:val="TableBodyHeading"/>
            </w:pPr>
            <w:r>
              <w:t>H1</w:t>
            </w:r>
          </w:p>
        </w:tc>
        <w:tc>
          <w:tcPr>
            <w:tcW w:w="1545" w:type="dxa"/>
            <w:tcBorders>
              <w:top w:val="nil"/>
              <w:bottom w:val="nil"/>
            </w:tcBorders>
            <w:shd w:val="clear" w:color="auto" w:fill="F2F2F2" w:themeFill="background1" w:themeFillShade="F2"/>
          </w:tcPr>
          <w:p w14:paraId="52ECBFCE" w14:textId="77777777" w:rsidR="00DB2ED9" w:rsidRPr="00611CB4" w:rsidRDefault="00DB2ED9">
            <w:pPr>
              <w:pStyle w:val="TableBody"/>
            </w:pPr>
            <w:r>
              <w:t xml:space="preserve">Matching </w:t>
            </w:r>
          </w:p>
        </w:tc>
        <w:tc>
          <w:tcPr>
            <w:tcW w:w="7668" w:type="dxa"/>
            <w:tcBorders>
              <w:top w:val="nil"/>
              <w:bottom w:val="nil"/>
            </w:tcBorders>
            <w:shd w:val="clear" w:color="auto" w:fill="F2F2F2" w:themeFill="background1" w:themeFillShade="F2"/>
          </w:tcPr>
          <w:p w14:paraId="5F871887" w14:textId="77777777" w:rsidR="00DB2ED9" w:rsidRDefault="00DB2ED9">
            <w:pPr>
              <w:pStyle w:val="TableBody"/>
              <w:rPr>
                <w:b/>
                <w:bCs/>
              </w:rPr>
            </w:pPr>
            <w:r w:rsidRPr="003F288A">
              <w:rPr>
                <w:b/>
                <w:bCs/>
              </w:rPr>
              <w:t>Assist health and care service users to find the best service providers</w:t>
            </w:r>
          </w:p>
          <w:p w14:paraId="5CC4D2F3" w14:textId="77777777" w:rsidR="00DB2ED9" w:rsidRPr="00611CB4" w:rsidRDefault="00DB2ED9">
            <w:pPr>
              <w:pStyle w:val="TableBody"/>
            </w:pPr>
            <w:r w:rsidRPr="003F288A">
              <w:t>Facilitate the availability and accessibility of service information to better match service users to providers across the health, care and support sectors.</w:t>
            </w:r>
          </w:p>
        </w:tc>
      </w:tr>
      <w:tr w:rsidR="00DB2ED9" w:rsidRPr="00030C67" w14:paraId="1C7D76D4" w14:textId="77777777">
        <w:tc>
          <w:tcPr>
            <w:tcW w:w="426" w:type="dxa"/>
            <w:tcBorders>
              <w:top w:val="nil"/>
              <w:bottom w:val="nil"/>
            </w:tcBorders>
            <w:shd w:val="clear" w:color="auto" w:fill="auto"/>
          </w:tcPr>
          <w:p w14:paraId="2281C577" w14:textId="77777777" w:rsidR="00DB2ED9" w:rsidRPr="00A21E4E" w:rsidRDefault="00DB2ED9">
            <w:pPr>
              <w:pStyle w:val="TableBodyHeading"/>
            </w:pPr>
            <w:r>
              <w:t>H2</w:t>
            </w:r>
          </w:p>
        </w:tc>
        <w:tc>
          <w:tcPr>
            <w:tcW w:w="1545" w:type="dxa"/>
            <w:tcBorders>
              <w:top w:val="nil"/>
              <w:bottom w:val="nil"/>
            </w:tcBorders>
            <w:shd w:val="clear" w:color="auto" w:fill="auto"/>
          </w:tcPr>
          <w:p w14:paraId="67812C70" w14:textId="77777777" w:rsidR="00DB2ED9" w:rsidRPr="00611CB4" w:rsidRDefault="00DB2ED9">
            <w:pPr>
              <w:pStyle w:val="TableBody"/>
            </w:pPr>
            <w:r>
              <w:t>Labour mobility</w:t>
            </w:r>
          </w:p>
        </w:tc>
        <w:tc>
          <w:tcPr>
            <w:tcW w:w="7668" w:type="dxa"/>
            <w:tcBorders>
              <w:top w:val="nil"/>
              <w:bottom w:val="nil"/>
            </w:tcBorders>
            <w:shd w:val="clear" w:color="auto" w:fill="auto"/>
          </w:tcPr>
          <w:p w14:paraId="6192A618" w14:textId="77777777" w:rsidR="00DB2ED9" w:rsidRDefault="00DB2ED9">
            <w:pPr>
              <w:pStyle w:val="TableBody"/>
              <w:rPr>
                <w:b/>
                <w:bCs/>
              </w:rPr>
            </w:pPr>
            <w:r w:rsidRPr="00425D00">
              <w:rPr>
                <w:b/>
                <w:bCs/>
              </w:rPr>
              <w:t>Improve labour mobility in health care</w:t>
            </w:r>
          </w:p>
          <w:p w14:paraId="51FAC5A7" w14:textId="77777777" w:rsidR="00DB2ED9" w:rsidRPr="00611CB4" w:rsidRDefault="00DB2ED9">
            <w:pPr>
              <w:pStyle w:val="TableBody"/>
            </w:pPr>
            <w:r w:rsidRPr="00425D00">
              <w:t>Remove unnecessary barriers to labour mobility in the health, care and support services, including barriers to workers performing their full scope of practice.</w:t>
            </w:r>
          </w:p>
        </w:tc>
      </w:tr>
      <w:tr w:rsidR="00DB2ED9" w:rsidRPr="00030C67" w14:paraId="199210DE" w14:textId="77777777">
        <w:tc>
          <w:tcPr>
            <w:tcW w:w="426" w:type="dxa"/>
            <w:tcBorders>
              <w:top w:val="nil"/>
              <w:bottom w:val="nil"/>
            </w:tcBorders>
            <w:shd w:val="clear" w:color="auto" w:fill="F2F2F2" w:themeFill="background1" w:themeFillShade="F2"/>
          </w:tcPr>
          <w:p w14:paraId="144470B8" w14:textId="77777777" w:rsidR="00DB2ED9" w:rsidRPr="00A21E4E" w:rsidRDefault="00DB2ED9">
            <w:pPr>
              <w:pStyle w:val="TableBodyHeading"/>
            </w:pPr>
            <w:r>
              <w:t>H3</w:t>
            </w:r>
          </w:p>
        </w:tc>
        <w:tc>
          <w:tcPr>
            <w:tcW w:w="1545" w:type="dxa"/>
            <w:tcBorders>
              <w:top w:val="nil"/>
              <w:bottom w:val="nil"/>
            </w:tcBorders>
            <w:shd w:val="clear" w:color="auto" w:fill="F2F2F2" w:themeFill="background1" w:themeFillShade="F2"/>
          </w:tcPr>
          <w:p w14:paraId="20A5042F" w14:textId="77777777" w:rsidR="00DB2ED9" w:rsidRPr="00611CB4" w:rsidRDefault="00DB2ED9">
            <w:pPr>
              <w:pStyle w:val="TableBody"/>
            </w:pPr>
            <w:r>
              <w:t>Access arrangements</w:t>
            </w:r>
          </w:p>
        </w:tc>
        <w:tc>
          <w:tcPr>
            <w:tcW w:w="7668" w:type="dxa"/>
            <w:tcBorders>
              <w:top w:val="nil"/>
              <w:bottom w:val="nil"/>
            </w:tcBorders>
            <w:shd w:val="clear" w:color="auto" w:fill="F2F2F2" w:themeFill="background1" w:themeFillShade="F2"/>
          </w:tcPr>
          <w:p w14:paraId="759E4188" w14:textId="77777777" w:rsidR="00DB2ED9" w:rsidRDefault="00DB2ED9">
            <w:pPr>
              <w:pStyle w:val="TableBody"/>
              <w:rPr>
                <w:b/>
                <w:bCs/>
              </w:rPr>
            </w:pPr>
            <w:r w:rsidRPr="00425D00">
              <w:rPr>
                <w:b/>
                <w:bCs/>
              </w:rPr>
              <w:t>Reform market access arrangements for service providers</w:t>
            </w:r>
          </w:p>
          <w:p w14:paraId="53450307" w14:textId="77777777" w:rsidR="00DB2ED9" w:rsidRPr="00611CB4" w:rsidRDefault="00DB2ED9">
            <w:pPr>
              <w:pStyle w:val="TableBody"/>
            </w:pPr>
            <w:r w:rsidRPr="00425D00">
              <w:t>Reform market access arrangements (including commissioning and other approaches) for human services to improve market functioning and better address thin markets.</w:t>
            </w:r>
          </w:p>
        </w:tc>
      </w:tr>
      <w:tr w:rsidR="00DB2ED9" w:rsidRPr="00030C67" w14:paraId="620F7467" w14:textId="77777777">
        <w:tc>
          <w:tcPr>
            <w:tcW w:w="426" w:type="dxa"/>
            <w:tcBorders>
              <w:top w:val="nil"/>
              <w:bottom w:val="nil"/>
            </w:tcBorders>
            <w:shd w:val="clear" w:color="auto" w:fill="auto"/>
          </w:tcPr>
          <w:p w14:paraId="139DC8A7" w14:textId="77777777" w:rsidR="00DB2ED9" w:rsidRPr="00A21E4E" w:rsidRDefault="00DB2ED9">
            <w:pPr>
              <w:pStyle w:val="TableBodyHeading"/>
            </w:pPr>
            <w:r>
              <w:t>H4</w:t>
            </w:r>
          </w:p>
        </w:tc>
        <w:tc>
          <w:tcPr>
            <w:tcW w:w="1545" w:type="dxa"/>
            <w:tcBorders>
              <w:top w:val="nil"/>
              <w:bottom w:val="nil"/>
            </w:tcBorders>
            <w:shd w:val="clear" w:color="auto" w:fill="auto"/>
          </w:tcPr>
          <w:p w14:paraId="27276465" w14:textId="77777777" w:rsidR="00DB2ED9" w:rsidRPr="00611CB4" w:rsidRDefault="00DB2ED9">
            <w:pPr>
              <w:pStyle w:val="TableBody"/>
            </w:pPr>
            <w:r>
              <w:t>Medicine pricing</w:t>
            </w:r>
          </w:p>
        </w:tc>
        <w:tc>
          <w:tcPr>
            <w:tcW w:w="7668" w:type="dxa"/>
            <w:tcBorders>
              <w:top w:val="nil"/>
              <w:bottom w:val="nil"/>
            </w:tcBorders>
            <w:shd w:val="clear" w:color="auto" w:fill="auto"/>
          </w:tcPr>
          <w:p w14:paraId="2D43333C" w14:textId="77777777" w:rsidR="00DB2ED9" w:rsidRDefault="00DB2ED9">
            <w:pPr>
              <w:pStyle w:val="TableBody"/>
              <w:keepNext/>
              <w:rPr>
                <w:b/>
                <w:bCs/>
              </w:rPr>
            </w:pPr>
            <w:r w:rsidRPr="004B10D7">
              <w:rPr>
                <w:b/>
                <w:bCs/>
              </w:rPr>
              <w:t>Reduce the cost of medicine</w:t>
            </w:r>
          </w:p>
          <w:p w14:paraId="061155A6" w14:textId="77777777" w:rsidR="00DB2ED9" w:rsidRPr="00611CB4" w:rsidRDefault="00DB2ED9">
            <w:pPr>
              <w:pStyle w:val="TableBody"/>
            </w:pPr>
            <w:r w:rsidRPr="004B10D7">
              <w:t>Reduce the wholesale cost of medicines by adjusting pricing strategies and addressing anti</w:t>
            </w:r>
            <w:r>
              <w:noBreakHyphen/>
            </w:r>
            <w:r w:rsidRPr="004B10D7">
              <w:t>competitive agreements.</w:t>
            </w:r>
          </w:p>
        </w:tc>
      </w:tr>
      <w:tr w:rsidR="00DB2ED9" w:rsidRPr="00030C67" w14:paraId="3D5EA3A1" w14:textId="77777777">
        <w:tc>
          <w:tcPr>
            <w:tcW w:w="426" w:type="dxa"/>
            <w:tcBorders>
              <w:top w:val="nil"/>
              <w:bottom w:val="nil"/>
            </w:tcBorders>
            <w:shd w:val="clear" w:color="auto" w:fill="F2F2F2" w:themeFill="background1" w:themeFillShade="F2"/>
          </w:tcPr>
          <w:p w14:paraId="05F18EFB" w14:textId="77777777" w:rsidR="00DB2ED9" w:rsidRPr="00A21E4E" w:rsidRDefault="00DB2ED9">
            <w:pPr>
              <w:pStyle w:val="TableBodyHeading"/>
            </w:pPr>
            <w:r>
              <w:t>H5</w:t>
            </w:r>
          </w:p>
        </w:tc>
        <w:tc>
          <w:tcPr>
            <w:tcW w:w="1545" w:type="dxa"/>
            <w:tcBorders>
              <w:top w:val="nil"/>
              <w:bottom w:val="nil"/>
            </w:tcBorders>
            <w:shd w:val="clear" w:color="auto" w:fill="F2F2F2" w:themeFill="background1" w:themeFillShade="F2"/>
          </w:tcPr>
          <w:p w14:paraId="1F06D474" w14:textId="77777777" w:rsidR="00DB2ED9" w:rsidRPr="00611CB4" w:rsidRDefault="00DB2ED9">
            <w:pPr>
              <w:pStyle w:val="TableBody"/>
            </w:pPr>
            <w:r>
              <w:t>Telehealth</w:t>
            </w:r>
          </w:p>
        </w:tc>
        <w:tc>
          <w:tcPr>
            <w:tcW w:w="7668" w:type="dxa"/>
            <w:tcBorders>
              <w:top w:val="nil"/>
              <w:bottom w:val="nil"/>
            </w:tcBorders>
            <w:shd w:val="clear" w:color="auto" w:fill="F2F2F2" w:themeFill="background1" w:themeFillShade="F2"/>
          </w:tcPr>
          <w:p w14:paraId="6411327E" w14:textId="77777777" w:rsidR="00DB2ED9" w:rsidRDefault="00DB2ED9">
            <w:pPr>
              <w:pStyle w:val="TableBody"/>
              <w:rPr>
                <w:b/>
                <w:bCs/>
              </w:rPr>
            </w:pPr>
            <w:r w:rsidRPr="00307A51">
              <w:rPr>
                <w:b/>
                <w:bCs/>
              </w:rPr>
              <w:t>Remove barriers to Telehealth</w:t>
            </w:r>
          </w:p>
          <w:p w14:paraId="02CAE923" w14:textId="77777777" w:rsidR="00DB2ED9" w:rsidRPr="00611CB4" w:rsidRDefault="00DB2ED9">
            <w:pPr>
              <w:pStyle w:val="TableBody"/>
            </w:pPr>
            <w:r w:rsidRPr="00307A51">
              <w:t>Remove unnecessary barriers to consumer access to telehealth and other digital health services.</w:t>
            </w:r>
          </w:p>
        </w:tc>
      </w:tr>
      <w:tr w:rsidR="00DB2ED9" w:rsidRPr="00030C67" w14:paraId="1EF03034" w14:textId="77777777">
        <w:tc>
          <w:tcPr>
            <w:tcW w:w="9639" w:type="dxa"/>
            <w:gridSpan w:val="3"/>
            <w:tcBorders>
              <w:top w:val="nil"/>
              <w:bottom w:val="nil"/>
            </w:tcBorders>
            <w:shd w:val="clear" w:color="auto" w:fill="CBDDF2" w:themeFill="background2" w:themeFillTint="33"/>
          </w:tcPr>
          <w:p w14:paraId="72B82F01" w14:textId="77777777" w:rsidR="00DB2ED9" w:rsidRPr="00611CB4" w:rsidRDefault="00DB2ED9">
            <w:pPr>
              <w:pStyle w:val="TableBodyHeading"/>
              <w:rPr>
                <w:color w:val="auto"/>
              </w:rPr>
            </w:pPr>
            <w:r>
              <w:t>Data and digital</w:t>
            </w:r>
          </w:p>
        </w:tc>
      </w:tr>
      <w:tr w:rsidR="00DB2ED9" w:rsidRPr="00030C67" w14:paraId="6D787353" w14:textId="77777777">
        <w:tc>
          <w:tcPr>
            <w:tcW w:w="426" w:type="dxa"/>
            <w:tcBorders>
              <w:top w:val="nil"/>
              <w:bottom w:val="nil"/>
            </w:tcBorders>
            <w:shd w:val="clear" w:color="auto" w:fill="F2F2F2" w:themeFill="background1" w:themeFillShade="F2"/>
          </w:tcPr>
          <w:p w14:paraId="7F75F1A9" w14:textId="77777777" w:rsidR="00DB2ED9" w:rsidRPr="00A21E4E" w:rsidRDefault="00DB2ED9">
            <w:pPr>
              <w:pStyle w:val="TableBodyHeading"/>
            </w:pPr>
            <w:r>
              <w:t>D1</w:t>
            </w:r>
          </w:p>
        </w:tc>
        <w:tc>
          <w:tcPr>
            <w:tcW w:w="1545" w:type="dxa"/>
            <w:tcBorders>
              <w:top w:val="nil"/>
              <w:bottom w:val="nil"/>
            </w:tcBorders>
            <w:shd w:val="clear" w:color="auto" w:fill="F2F2F2" w:themeFill="background1" w:themeFillShade="F2"/>
          </w:tcPr>
          <w:p w14:paraId="6AC4D821" w14:textId="77777777" w:rsidR="00DB2ED9" w:rsidRPr="00611CB4" w:rsidRDefault="00DB2ED9">
            <w:pPr>
              <w:pStyle w:val="TableBody"/>
            </w:pPr>
            <w:r>
              <w:t>Consumer switching</w:t>
            </w:r>
          </w:p>
        </w:tc>
        <w:tc>
          <w:tcPr>
            <w:tcW w:w="7668" w:type="dxa"/>
            <w:tcBorders>
              <w:top w:val="nil"/>
              <w:bottom w:val="nil"/>
            </w:tcBorders>
            <w:shd w:val="clear" w:color="auto" w:fill="F2F2F2" w:themeFill="background1" w:themeFillShade="F2"/>
          </w:tcPr>
          <w:p w14:paraId="1CA44E05" w14:textId="77777777" w:rsidR="00DB2ED9" w:rsidRDefault="00DB2ED9">
            <w:pPr>
              <w:pStyle w:val="TableBody"/>
              <w:rPr>
                <w:b/>
                <w:bCs/>
              </w:rPr>
            </w:pPr>
            <w:r w:rsidRPr="00307A51">
              <w:rPr>
                <w:b/>
                <w:bCs/>
              </w:rPr>
              <w:t>Reduce search and switching costs for consumers</w:t>
            </w:r>
          </w:p>
          <w:p w14:paraId="6651DC2C" w14:textId="77777777" w:rsidR="00DB2ED9" w:rsidRPr="00611CB4" w:rsidRDefault="00DB2ED9">
            <w:pPr>
              <w:pStyle w:val="TableBody"/>
            </w:pPr>
            <w:r w:rsidRPr="00F623D1">
              <w:t>Address the major frictions and impediments that deter consumers shopping around and switching to competitively priced or more suitable products</w:t>
            </w:r>
            <w:r>
              <w:t xml:space="preserve">. </w:t>
            </w:r>
          </w:p>
        </w:tc>
      </w:tr>
      <w:tr w:rsidR="00DB2ED9" w:rsidRPr="00030C67" w14:paraId="0B838672" w14:textId="77777777">
        <w:tc>
          <w:tcPr>
            <w:tcW w:w="426" w:type="dxa"/>
            <w:tcBorders>
              <w:top w:val="nil"/>
              <w:bottom w:val="nil"/>
            </w:tcBorders>
            <w:shd w:val="clear" w:color="auto" w:fill="auto"/>
          </w:tcPr>
          <w:p w14:paraId="40ED3435" w14:textId="77777777" w:rsidR="00DB2ED9" w:rsidRPr="00A21E4E" w:rsidRDefault="00DB2ED9">
            <w:pPr>
              <w:pStyle w:val="TableBodyHeading"/>
            </w:pPr>
            <w:r>
              <w:lastRenderedPageBreak/>
              <w:t>D2</w:t>
            </w:r>
          </w:p>
        </w:tc>
        <w:tc>
          <w:tcPr>
            <w:tcW w:w="1545" w:type="dxa"/>
            <w:tcBorders>
              <w:top w:val="nil"/>
              <w:bottom w:val="nil"/>
            </w:tcBorders>
            <w:shd w:val="clear" w:color="auto" w:fill="auto"/>
          </w:tcPr>
          <w:p w14:paraId="66F8B53C" w14:textId="77777777" w:rsidR="00DB2ED9" w:rsidRPr="00611CB4" w:rsidRDefault="00DB2ED9">
            <w:pPr>
              <w:pStyle w:val="TableBody"/>
            </w:pPr>
            <w:r>
              <w:t>Data sharing</w:t>
            </w:r>
          </w:p>
        </w:tc>
        <w:tc>
          <w:tcPr>
            <w:tcW w:w="7668" w:type="dxa"/>
            <w:tcBorders>
              <w:top w:val="nil"/>
              <w:bottom w:val="nil"/>
            </w:tcBorders>
            <w:shd w:val="clear" w:color="auto" w:fill="auto"/>
          </w:tcPr>
          <w:p w14:paraId="6E4DB2C9" w14:textId="77777777" w:rsidR="00DB2ED9" w:rsidRDefault="00DB2ED9">
            <w:pPr>
              <w:pStyle w:val="TableBody"/>
              <w:rPr>
                <w:b/>
                <w:bCs/>
              </w:rPr>
            </w:pPr>
            <w:r w:rsidRPr="00F623D1">
              <w:rPr>
                <w:b/>
                <w:bCs/>
              </w:rPr>
              <w:t>Optimise data availability and sharing to improve competition</w:t>
            </w:r>
          </w:p>
          <w:p w14:paraId="35D0A9C1" w14:textId="77777777" w:rsidR="00DB2ED9" w:rsidRDefault="00DB2ED9">
            <w:pPr>
              <w:pStyle w:val="TableBody"/>
            </w:pPr>
            <w:r>
              <w:t>Removal of technical, legal or resourcing barriers to aid:</w:t>
            </w:r>
          </w:p>
          <w:p w14:paraId="210D17C6" w14:textId="77777777" w:rsidR="00DB2ED9" w:rsidRPr="007B0412" w:rsidRDefault="00DB2ED9">
            <w:pPr>
              <w:pStyle w:val="TableListBullet"/>
            </w:pPr>
            <w:r w:rsidRPr="007B0412">
              <w:t>public access (including business access) to (non</w:t>
            </w:r>
            <w:r>
              <w:noBreakHyphen/>
            </w:r>
            <w:r w:rsidRPr="007B0412">
              <w:t>sensitive) publicly funded data of significant public value (e.g. publicly funded research data)</w:t>
            </w:r>
          </w:p>
          <w:p w14:paraId="0E55C56C" w14:textId="77777777" w:rsidR="00DB2ED9" w:rsidRPr="00611CB4" w:rsidRDefault="00DB2ED9">
            <w:pPr>
              <w:pStyle w:val="TableListBullet"/>
            </w:pPr>
            <w:r w:rsidRPr="007B0412">
              <w:t>acquisition and sharing of private data (where privacy and consumer protection impacts are managed).</w:t>
            </w:r>
          </w:p>
        </w:tc>
      </w:tr>
      <w:tr w:rsidR="00DB2ED9" w:rsidRPr="00030C67" w14:paraId="1E9920F9" w14:textId="77777777">
        <w:tc>
          <w:tcPr>
            <w:tcW w:w="426" w:type="dxa"/>
            <w:tcBorders>
              <w:top w:val="nil"/>
              <w:bottom w:val="nil"/>
            </w:tcBorders>
            <w:shd w:val="clear" w:color="auto" w:fill="F2F2F2" w:themeFill="background1" w:themeFillShade="F2"/>
          </w:tcPr>
          <w:p w14:paraId="4FC97E75" w14:textId="77777777" w:rsidR="00DB2ED9" w:rsidRPr="00A21E4E" w:rsidRDefault="00DB2ED9">
            <w:pPr>
              <w:pStyle w:val="TableBodyHeading"/>
            </w:pPr>
            <w:r>
              <w:t>D3</w:t>
            </w:r>
          </w:p>
        </w:tc>
        <w:tc>
          <w:tcPr>
            <w:tcW w:w="1545" w:type="dxa"/>
            <w:tcBorders>
              <w:top w:val="nil"/>
              <w:bottom w:val="nil"/>
            </w:tcBorders>
            <w:shd w:val="clear" w:color="auto" w:fill="F2F2F2" w:themeFill="background1" w:themeFillShade="F2"/>
          </w:tcPr>
          <w:p w14:paraId="00052D71" w14:textId="77777777" w:rsidR="00DB2ED9" w:rsidRPr="00611CB4" w:rsidRDefault="00DB2ED9">
            <w:pPr>
              <w:pStyle w:val="TableBody"/>
            </w:pPr>
            <w:r>
              <w:t>Emerging technology</w:t>
            </w:r>
          </w:p>
        </w:tc>
        <w:tc>
          <w:tcPr>
            <w:tcW w:w="7668" w:type="dxa"/>
            <w:tcBorders>
              <w:top w:val="nil"/>
              <w:bottom w:val="nil"/>
            </w:tcBorders>
            <w:shd w:val="clear" w:color="auto" w:fill="F2F2F2" w:themeFill="background1" w:themeFillShade="F2"/>
          </w:tcPr>
          <w:p w14:paraId="61AD00D8" w14:textId="77777777" w:rsidR="00DB2ED9" w:rsidRDefault="00DB2ED9">
            <w:pPr>
              <w:pStyle w:val="TableBody"/>
              <w:rPr>
                <w:b/>
                <w:bCs/>
              </w:rPr>
            </w:pPr>
            <w:r w:rsidRPr="00A00D4C">
              <w:rPr>
                <w:b/>
                <w:bCs/>
              </w:rPr>
              <w:t>Address regulatory barriers to the development and growth of emerging technologies</w:t>
            </w:r>
          </w:p>
          <w:p w14:paraId="45065289" w14:textId="77777777" w:rsidR="00DB2ED9" w:rsidRPr="00611CB4" w:rsidRDefault="00DB2ED9">
            <w:pPr>
              <w:pStyle w:val="TableBody"/>
            </w:pPr>
            <w:r w:rsidRPr="00A00D4C">
              <w:t>Remove regulatory barriers that hinder the uptake of emerging technology in commercial activities, including robotics, artificial intelligence, aeronautics, and biotechnology.</w:t>
            </w:r>
          </w:p>
        </w:tc>
      </w:tr>
      <w:tr w:rsidR="00DB2ED9" w:rsidRPr="00030C67" w14:paraId="32C5319B" w14:textId="77777777">
        <w:tc>
          <w:tcPr>
            <w:tcW w:w="426" w:type="dxa"/>
            <w:tcBorders>
              <w:top w:val="nil"/>
              <w:bottom w:val="nil"/>
            </w:tcBorders>
            <w:shd w:val="clear" w:color="auto" w:fill="auto"/>
          </w:tcPr>
          <w:p w14:paraId="7392A3B5" w14:textId="77777777" w:rsidR="00DB2ED9" w:rsidRPr="00A21E4E" w:rsidRDefault="00DB2ED9">
            <w:pPr>
              <w:pStyle w:val="TableBodyHeading"/>
            </w:pPr>
            <w:r>
              <w:t>D4</w:t>
            </w:r>
          </w:p>
        </w:tc>
        <w:tc>
          <w:tcPr>
            <w:tcW w:w="1545" w:type="dxa"/>
            <w:tcBorders>
              <w:top w:val="nil"/>
              <w:bottom w:val="nil"/>
            </w:tcBorders>
            <w:shd w:val="clear" w:color="auto" w:fill="auto"/>
          </w:tcPr>
          <w:p w14:paraId="5B9F39E2" w14:textId="77777777" w:rsidR="00DB2ED9" w:rsidRPr="00611CB4" w:rsidRDefault="00DB2ED9">
            <w:pPr>
              <w:pStyle w:val="TableBody"/>
            </w:pPr>
            <w:r>
              <w:t>Banking</w:t>
            </w:r>
          </w:p>
        </w:tc>
        <w:tc>
          <w:tcPr>
            <w:tcW w:w="7668" w:type="dxa"/>
            <w:tcBorders>
              <w:top w:val="nil"/>
              <w:bottom w:val="nil"/>
            </w:tcBorders>
            <w:shd w:val="clear" w:color="auto" w:fill="auto"/>
          </w:tcPr>
          <w:p w14:paraId="067C78EF" w14:textId="77777777" w:rsidR="00DB2ED9" w:rsidRDefault="00DB2ED9">
            <w:pPr>
              <w:pStyle w:val="TableBody"/>
              <w:rPr>
                <w:b/>
                <w:bCs/>
              </w:rPr>
            </w:pPr>
            <w:r w:rsidRPr="00A00D4C">
              <w:rPr>
                <w:b/>
                <w:bCs/>
              </w:rPr>
              <w:t>Remove barriers to competition in banking</w:t>
            </w:r>
          </w:p>
          <w:p w14:paraId="70381687" w14:textId="77777777" w:rsidR="00DB2ED9" w:rsidRPr="00611CB4" w:rsidRDefault="00DB2ED9">
            <w:pPr>
              <w:pStyle w:val="TableBody"/>
            </w:pPr>
            <w:r w:rsidRPr="00A00D4C">
              <w:t>Remove regulatory barriers to competition in the banking sector that advantage large incumbents and lead to poor consumer outcomes. This could include barriers that hinder customer movement or place a high burden on new or smaller players.</w:t>
            </w:r>
          </w:p>
        </w:tc>
      </w:tr>
      <w:tr w:rsidR="00DB2ED9" w:rsidRPr="00030C67" w14:paraId="49B0673E" w14:textId="77777777">
        <w:tc>
          <w:tcPr>
            <w:tcW w:w="426" w:type="dxa"/>
            <w:tcBorders>
              <w:bottom w:val="single" w:sz="4" w:space="0" w:color="B3B3B3"/>
            </w:tcBorders>
            <w:shd w:val="clear" w:color="auto" w:fill="F2F2F2" w:themeFill="background1" w:themeFillShade="F2"/>
          </w:tcPr>
          <w:p w14:paraId="520CC4D3" w14:textId="77777777" w:rsidR="00DB2ED9" w:rsidRPr="00030C67" w:rsidRDefault="00DB2ED9">
            <w:pPr>
              <w:pStyle w:val="TableBodyHeading"/>
            </w:pPr>
            <w:r>
              <w:t>D5</w:t>
            </w:r>
          </w:p>
        </w:tc>
        <w:tc>
          <w:tcPr>
            <w:tcW w:w="1545" w:type="dxa"/>
            <w:tcBorders>
              <w:bottom w:val="single" w:sz="4" w:space="0" w:color="B3B3B3"/>
            </w:tcBorders>
            <w:shd w:val="clear" w:color="auto" w:fill="F2F2F2" w:themeFill="background1" w:themeFillShade="F2"/>
          </w:tcPr>
          <w:p w14:paraId="4EE7B15C" w14:textId="77777777" w:rsidR="00DB2ED9" w:rsidRDefault="00DB2ED9">
            <w:pPr>
              <w:pStyle w:val="TableBody"/>
              <w:rPr>
                <w:rFonts w:ascii="Arial (Body)" w:hAnsi="Arial (Body)"/>
                <w:color w:val="000000"/>
              </w:rPr>
            </w:pPr>
            <w:r>
              <w:rPr>
                <w:rFonts w:ascii="Arial (Body)" w:hAnsi="Arial (Body)"/>
                <w:color w:val="000000"/>
              </w:rPr>
              <w:t>Payment systems</w:t>
            </w:r>
          </w:p>
        </w:tc>
        <w:tc>
          <w:tcPr>
            <w:tcW w:w="7668" w:type="dxa"/>
            <w:tcBorders>
              <w:bottom w:val="single" w:sz="4" w:space="0" w:color="B3B3B3"/>
            </w:tcBorders>
            <w:shd w:val="clear" w:color="auto" w:fill="F2F2F2" w:themeFill="background1" w:themeFillShade="F2"/>
          </w:tcPr>
          <w:p w14:paraId="298C070A" w14:textId="77777777" w:rsidR="00DB2ED9" w:rsidRDefault="00DB2ED9">
            <w:pPr>
              <w:pStyle w:val="TableBody"/>
              <w:rPr>
                <w:b/>
                <w:bCs/>
              </w:rPr>
            </w:pPr>
            <w:r w:rsidRPr="00A61077">
              <w:rPr>
                <w:b/>
                <w:bCs/>
              </w:rPr>
              <w:t>Increase access by non</w:t>
            </w:r>
            <w:r>
              <w:rPr>
                <w:b/>
                <w:bCs/>
              </w:rPr>
              <w:noBreakHyphen/>
              <w:t>A</w:t>
            </w:r>
            <w:r w:rsidRPr="00A61077">
              <w:rPr>
                <w:b/>
                <w:bCs/>
              </w:rPr>
              <w:t xml:space="preserve">uthorised </w:t>
            </w:r>
            <w:r>
              <w:rPr>
                <w:b/>
                <w:bCs/>
              </w:rPr>
              <w:t>D</w:t>
            </w:r>
            <w:r w:rsidRPr="00A61077">
              <w:rPr>
                <w:b/>
                <w:bCs/>
              </w:rPr>
              <w:t>eposit</w:t>
            </w:r>
            <w:r>
              <w:rPr>
                <w:b/>
                <w:bCs/>
              </w:rPr>
              <w:noBreakHyphen/>
            </w:r>
            <w:r w:rsidRPr="00A61077">
              <w:rPr>
                <w:b/>
                <w:bCs/>
              </w:rPr>
              <w:t>taking Institutions</w:t>
            </w:r>
            <w:r>
              <w:rPr>
                <w:b/>
                <w:bCs/>
              </w:rPr>
              <w:t xml:space="preserve"> (ADIs)</w:t>
            </w:r>
            <w:r w:rsidRPr="00A61077">
              <w:rPr>
                <w:b/>
                <w:bCs/>
              </w:rPr>
              <w:t xml:space="preserve"> to payment systems</w:t>
            </w:r>
          </w:p>
          <w:p w14:paraId="7BF6E4B1" w14:textId="77777777" w:rsidR="00DB2ED9" w:rsidRPr="00030C67" w:rsidRDefault="00DB2ED9">
            <w:pPr>
              <w:pStyle w:val="TableBody"/>
              <w:rPr>
                <w:rFonts w:ascii="Arial (Body)" w:hAnsi="Arial (Body)"/>
                <w:color w:val="000000"/>
              </w:rPr>
            </w:pPr>
            <w:r w:rsidRPr="00A61077">
              <w:t>Increase direct access for non</w:t>
            </w:r>
            <w:r>
              <w:noBreakHyphen/>
            </w:r>
            <w:r w:rsidRPr="00A61077">
              <w:t xml:space="preserve">ADI payment </w:t>
            </w:r>
            <w:r>
              <w:t xml:space="preserve">product </w:t>
            </w:r>
            <w:r w:rsidRPr="00A61077">
              <w:t>providers to Australian Payment Systems, to clear and settle payments.</w:t>
            </w:r>
          </w:p>
        </w:tc>
      </w:tr>
    </w:tbl>
    <w:p w14:paraId="0F7582A1" w14:textId="77777777" w:rsidR="00DB2ED9" w:rsidRDefault="00DB2ED9" w:rsidP="009850B5">
      <w:pPr>
        <w:pStyle w:val="FootnoteText"/>
        <w:spacing w:before="80" w:after="240"/>
      </w:pPr>
      <w:r w:rsidRPr="00C36914">
        <w:rPr>
          <w:b/>
          <w:bCs/>
        </w:rPr>
        <w:t>a.</w:t>
      </w:r>
      <w:r w:rsidRPr="00C36914">
        <w:t xml:space="preserve"> </w:t>
      </w:r>
      <w:r>
        <w:t xml:space="preserve">The long names and descriptions of each reform were prepared by the National Competition Policy Senior Officials Working Group and provided to us. We assigned a short name to each reform. </w:t>
      </w:r>
    </w:p>
    <w:p w14:paraId="2A210A72" w14:textId="395BA1C4" w:rsidR="00DB2ED9" w:rsidRDefault="00DB2ED9">
      <w:pPr>
        <w:pStyle w:val="BodyText"/>
      </w:pPr>
      <w:r>
        <w:t xml:space="preserve">This is not an exhaustive list of competition reforms that could benefit Australia. Other reforms to competition law and policy are being considered as part of the competition </w:t>
      </w:r>
      <w:proofErr w:type="gramStart"/>
      <w:r>
        <w:t>review, but</w:t>
      </w:r>
      <w:proofErr w:type="gramEnd"/>
      <w:r>
        <w:t xml:space="preserve"> are not in scope for this study. This includes reforms in the area of aviation </w:t>
      </w:r>
      <w:r w:rsidRPr="00576C59">
        <w:rPr>
          <w:rFonts w:ascii="Arial" w:hAnsi="Arial" w:cs="Arial"/>
        </w:rPr>
        <w:t>(Treasury 2024a)</w:t>
      </w:r>
      <w:r>
        <w:t xml:space="preserve"> and mergers and acquisitions </w:t>
      </w:r>
      <w:r w:rsidRPr="00576C59">
        <w:rPr>
          <w:rFonts w:ascii="Arial" w:hAnsi="Arial" w:cs="Arial"/>
        </w:rPr>
        <w:t>(Treasury 2024b)</w:t>
      </w:r>
      <w:r>
        <w:t xml:space="preserve">. In addition, some submissions to this study identified other areas where revitalising competition policy could be beneficial. This included: </w:t>
      </w:r>
    </w:p>
    <w:p w14:paraId="509A747B" w14:textId="77777777" w:rsidR="00DB2ED9" w:rsidRDefault="00DB2ED9">
      <w:pPr>
        <w:pStyle w:val="ListBullet"/>
      </w:pPr>
      <w:r>
        <w:t>trade and foreign investment (Fels, sub. 1)</w:t>
      </w:r>
    </w:p>
    <w:p w14:paraId="50736DF2" w14:textId="77777777" w:rsidR="00DB2ED9" w:rsidRDefault="00DB2ED9">
      <w:pPr>
        <w:pStyle w:val="ListBullet"/>
      </w:pPr>
      <w:r>
        <w:t>taxation (Fels, sub. 1; Lyons, sub. 18)</w:t>
      </w:r>
    </w:p>
    <w:p w14:paraId="774DBFE4" w14:textId="77777777" w:rsidR="00DB2ED9" w:rsidRDefault="00DB2ED9">
      <w:pPr>
        <w:pStyle w:val="ListBullet"/>
      </w:pPr>
      <w:r>
        <w:t>electricity markets (</w:t>
      </w:r>
      <w:r w:rsidRPr="00D066E3">
        <w:t>Alinta Energy</w:t>
      </w:r>
      <w:r>
        <w:t>, sub. 5)</w:t>
      </w:r>
    </w:p>
    <w:p w14:paraId="7CC78C01" w14:textId="77777777" w:rsidR="00DB2ED9" w:rsidRDefault="00DB2ED9">
      <w:pPr>
        <w:pStyle w:val="ListBullet"/>
      </w:pPr>
      <w:r>
        <w:t>workplace relations (HIA, sub. 4)</w:t>
      </w:r>
    </w:p>
    <w:p w14:paraId="0E52FE13" w14:textId="77777777" w:rsidR="00DB2ED9" w:rsidRDefault="00DB2ED9">
      <w:pPr>
        <w:pStyle w:val="ListBullet"/>
      </w:pPr>
      <w:r>
        <w:t xml:space="preserve">broader issues in the construction and housing industry (HIA, sub. 4; </w:t>
      </w:r>
      <w:r w:rsidRPr="00001140">
        <w:t>Urban Taskforce Australia</w:t>
      </w:r>
      <w:r>
        <w:t>, sub. 6).</w:t>
      </w:r>
    </w:p>
    <w:p w14:paraId="20E9CE2F" w14:textId="77777777" w:rsidR="00DB2ED9" w:rsidRDefault="00DB2ED9">
      <w:pPr>
        <w:pStyle w:val="BodyText"/>
      </w:pPr>
      <w:r>
        <w:t xml:space="preserve">The case for reform in these areas was not in scope for this study. In progressing the National Competition Policy reform agenda, the Australian, state and territory governments should consider the suggestions made in submissions to this study. </w:t>
      </w:r>
    </w:p>
    <w:p w14:paraId="4497AC27" w14:textId="77777777" w:rsidR="00DB2ED9" w:rsidRPr="0035610F" w:rsidRDefault="00DB2ED9">
      <w:pPr>
        <w:pStyle w:val="BodyText"/>
      </w:pPr>
      <w:r>
        <w:t xml:space="preserve">Many of the proposed reforms will benefit from intergovernmental coordination. Just over a quarter will require the Australian, state and territory governments to work together to implement the reform in a way that fully realises the potential benefits (figure 2). There are three reforms (B2, B5 and B8) where the bulk of reforms will need to occur at the state and territory level or those governments could implement unilaterally, but that could have greater benefits if a harmonised approach between jurisdictions were taken. There are also many reforms that could be progressed by the Australian Government alone. </w:t>
      </w:r>
    </w:p>
    <w:p w14:paraId="09B42E29" w14:textId="77777777" w:rsidR="00DB2ED9" w:rsidRDefault="00DB2ED9">
      <w:pPr>
        <w:pStyle w:val="FigureTableHeading"/>
      </w:pPr>
      <w:r>
        <w:lastRenderedPageBreak/>
        <w:t>Figure 2</w:t>
      </w:r>
      <w:r>
        <w:rPr>
          <w:noProof/>
        </w:rPr>
        <w:t xml:space="preserve"> </w:t>
      </w:r>
      <w:r>
        <w:t>– Who is needed to implement each proposed reform?</w:t>
      </w:r>
    </w:p>
    <w:tbl>
      <w:tblPr>
        <w:tblW w:w="0" w:type="auto"/>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3212"/>
        <w:gridCol w:w="3213"/>
        <w:gridCol w:w="3213"/>
      </w:tblGrid>
      <w:tr w:rsidR="00DB2ED9" w:rsidRPr="00B93558" w14:paraId="09725B13" w14:textId="77777777">
        <w:trPr>
          <w:tblHeader/>
        </w:trPr>
        <w:tc>
          <w:tcPr>
            <w:tcW w:w="3212" w:type="dxa"/>
            <w:tcBorders>
              <w:bottom w:val="single" w:sz="4" w:space="0" w:color="B3B3B3"/>
            </w:tcBorders>
            <w:shd w:val="clear" w:color="auto" w:fill="265A9A" w:themeFill="background2"/>
            <w:vAlign w:val="bottom"/>
          </w:tcPr>
          <w:p w14:paraId="605B9423" w14:textId="77777777" w:rsidR="00DB2ED9" w:rsidRPr="00B93558" w:rsidRDefault="00DB2ED9" w:rsidP="009850B5">
            <w:pPr>
              <w:pStyle w:val="TableBodyHeading"/>
              <w:keepNext/>
              <w:ind w:left="113" w:right="113"/>
              <w:rPr>
                <w:color w:val="FFFFFF" w:themeColor="background1"/>
              </w:rPr>
            </w:pPr>
            <w:r>
              <w:rPr>
                <w:color w:val="FFFFFF" w:themeColor="background1"/>
              </w:rPr>
              <w:t>Australian Government only</w:t>
            </w:r>
          </w:p>
        </w:tc>
        <w:tc>
          <w:tcPr>
            <w:tcW w:w="3213" w:type="dxa"/>
            <w:tcBorders>
              <w:bottom w:val="single" w:sz="4" w:space="0" w:color="B3B3B3"/>
            </w:tcBorders>
            <w:shd w:val="clear" w:color="auto" w:fill="265A9A" w:themeFill="background2"/>
            <w:vAlign w:val="bottom"/>
          </w:tcPr>
          <w:p w14:paraId="344EFA3A" w14:textId="77777777" w:rsidR="00DB2ED9" w:rsidRPr="00B93558" w:rsidRDefault="00DB2ED9" w:rsidP="009850B5">
            <w:pPr>
              <w:pStyle w:val="TableBodyHeading"/>
              <w:keepNext/>
              <w:ind w:left="113" w:right="113"/>
              <w:rPr>
                <w:color w:val="FFFFFF" w:themeColor="background1"/>
              </w:rPr>
            </w:pPr>
            <w:r>
              <w:rPr>
                <w:color w:val="FFFFFF" w:themeColor="background1"/>
              </w:rPr>
              <w:t>Coordination needed</w:t>
            </w:r>
          </w:p>
        </w:tc>
        <w:tc>
          <w:tcPr>
            <w:tcW w:w="3213" w:type="dxa"/>
            <w:tcBorders>
              <w:bottom w:val="single" w:sz="4" w:space="0" w:color="B3B3B3"/>
            </w:tcBorders>
            <w:shd w:val="clear" w:color="auto" w:fill="265A9A" w:themeFill="background2"/>
            <w:vAlign w:val="bottom"/>
          </w:tcPr>
          <w:p w14:paraId="54E2520B" w14:textId="77777777" w:rsidR="00DB2ED9" w:rsidRPr="00B93558" w:rsidRDefault="00DB2ED9" w:rsidP="009850B5">
            <w:pPr>
              <w:pStyle w:val="TableBodyHeading"/>
              <w:keepNext/>
              <w:ind w:left="113" w:right="113"/>
              <w:rPr>
                <w:color w:val="FFFFFF" w:themeColor="background1"/>
              </w:rPr>
            </w:pPr>
            <w:r w:rsidRPr="00B93558">
              <w:rPr>
                <w:color w:val="FFFFFF" w:themeColor="background1"/>
              </w:rPr>
              <w:t>State</w:t>
            </w:r>
            <w:r>
              <w:rPr>
                <w:color w:val="FFFFFF" w:themeColor="background1"/>
              </w:rPr>
              <w:t>/t</w:t>
            </w:r>
            <w:r w:rsidRPr="00B93558">
              <w:rPr>
                <w:color w:val="FFFFFF" w:themeColor="background1"/>
              </w:rPr>
              <w:t>errito</w:t>
            </w:r>
            <w:r>
              <w:rPr>
                <w:color w:val="FFFFFF" w:themeColor="background1"/>
              </w:rPr>
              <w:t>ry governments only</w:t>
            </w:r>
          </w:p>
        </w:tc>
      </w:tr>
      <w:tr w:rsidR="00DB2ED9" w:rsidRPr="00030C67" w14:paraId="7A943B59" w14:textId="77777777">
        <w:tc>
          <w:tcPr>
            <w:tcW w:w="3212" w:type="dxa"/>
            <w:vMerge w:val="restart"/>
            <w:tcBorders>
              <w:top w:val="single" w:sz="4" w:space="0" w:color="B3B3B3"/>
            </w:tcBorders>
            <w:shd w:val="clear" w:color="000000" w:fill="F2F2F2"/>
          </w:tcPr>
          <w:p w14:paraId="031C8AAC" w14:textId="77777777" w:rsidR="00DB2ED9" w:rsidRDefault="00DB2ED9" w:rsidP="009850B5">
            <w:pPr>
              <w:pStyle w:val="TableBody"/>
              <w:keepNext/>
              <w:ind w:left="113" w:right="113"/>
            </w:pPr>
            <w:r w:rsidRPr="005A3E24">
              <w:t>B1</w:t>
            </w:r>
            <w:r>
              <w:t xml:space="preserve"> – O</w:t>
            </w:r>
            <w:r w:rsidRPr="005A3E24">
              <w:t>verseas standards</w:t>
            </w:r>
          </w:p>
          <w:p w14:paraId="7900A6BF" w14:textId="77777777" w:rsidR="00DB2ED9" w:rsidRDefault="00DB2ED9" w:rsidP="009850B5">
            <w:pPr>
              <w:pStyle w:val="TableBody"/>
              <w:keepNext/>
              <w:ind w:left="113" w:right="113"/>
            </w:pPr>
            <w:r w:rsidRPr="005A3E24">
              <w:t>B6</w:t>
            </w:r>
            <w:r>
              <w:t xml:space="preserve"> – </w:t>
            </w:r>
            <w:r w:rsidRPr="005A3E24">
              <w:t>Marine freight industry</w:t>
            </w:r>
          </w:p>
          <w:p w14:paraId="2909EB6C" w14:textId="77777777" w:rsidR="00DB2ED9" w:rsidRDefault="00DB2ED9" w:rsidP="009850B5">
            <w:pPr>
              <w:pStyle w:val="TableBody"/>
              <w:keepNext/>
              <w:ind w:left="113" w:right="113"/>
            </w:pPr>
            <w:r w:rsidRPr="005A3E24">
              <w:t>B7</w:t>
            </w:r>
            <w:r>
              <w:t xml:space="preserve"> – D</w:t>
            </w:r>
            <w:r w:rsidRPr="005A3E24">
              <w:t>istribution networks</w:t>
            </w:r>
          </w:p>
          <w:p w14:paraId="7C99465A" w14:textId="77777777" w:rsidR="00DB2ED9" w:rsidRPr="005A3E24" w:rsidRDefault="00DB2ED9" w:rsidP="009850B5">
            <w:pPr>
              <w:pStyle w:val="TableBody"/>
              <w:keepNext/>
              <w:ind w:left="113" w:right="113"/>
            </w:pPr>
            <w:r w:rsidRPr="005A3E24">
              <w:t>NZ1</w:t>
            </w:r>
            <w:r>
              <w:t xml:space="preserve"> – </w:t>
            </w:r>
            <w:r w:rsidRPr="005A3E24">
              <w:t>Right to repair</w:t>
            </w:r>
          </w:p>
          <w:p w14:paraId="1F2CECC6" w14:textId="77777777" w:rsidR="00DB2ED9" w:rsidRDefault="00DB2ED9" w:rsidP="009850B5">
            <w:pPr>
              <w:pStyle w:val="TableBody"/>
              <w:keepNext/>
              <w:ind w:left="113" w:right="113"/>
            </w:pPr>
            <w:r w:rsidRPr="005A3E24">
              <w:t>NZ2</w:t>
            </w:r>
            <w:r>
              <w:t xml:space="preserve"> – O</w:t>
            </w:r>
            <w:r w:rsidRPr="005A3E24">
              <w:t>verseas standards</w:t>
            </w:r>
          </w:p>
          <w:p w14:paraId="198427FF" w14:textId="77777777" w:rsidR="00DB2ED9" w:rsidRPr="005A3E24" w:rsidRDefault="00DB2ED9" w:rsidP="009850B5">
            <w:pPr>
              <w:pStyle w:val="TableBody"/>
              <w:keepNext/>
              <w:ind w:left="113" w:right="113"/>
            </w:pPr>
            <w:r w:rsidRPr="005A3E24">
              <w:t>NZ4</w:t>
            </w:r>
            <w:r>
              <w:t xml:space="preserve"> – </w:t>
            </w:r>
            <w:r w:rsidRPr="005A3E24">
              <w:t xml:space="preserve">EV </w:t>
            </w:r>
            <w:r>
              <w:t>charging</w:t>
            </w:r>
          </w:p>
          <w:p w14:paraId="7DFF20B9" w14:textId="77777777" w:rsidR="00DB2ED9" w:rsidRDefault="00DB2ED9" w:rsidP="009850B5">
            <w:pPr>
              <w:pStyle w:val="TableBody"/>
              <w:keepNext/>
              <w:ind w:left="113" w:right="113"/>
            </w:pPr>
            <w:r w:rsidRPr="005A3E24">
              <w:t>NZ5</w:t>
            </w:r>
            <w:r>
              <w:t xml:space="preserve"> – </w:t>
            </w:r>
            <w:r w:rsidRPr="005A3E24">
              <w:t>EV</w:t>
            </w:r>
            <w:r>
              <w:t xml:space="preserve"> imports</w:t>
            </w:r>
          </w:p>
          <w:p w14:paraId="3F975729" w14:textId="77777777" w:rsidR="00DB2ED9" w:rsidRDefault="00DB2ED9" w:rsidP="009850B5">
            <w:pPr>
              <w:pStyle w:val="TableBody"/>
              <w:keepNext/>
              <w:ind w:left="113" w:right="113"/>
            </w:pPr>
            <w:r w:rsidRPr="005A3E24">
              <w:t>L1</w:t>
            </w:r>
            <w:r>
              <w:t xml:space="preserve"> – Restraint of trade clauses</w:t>
            </w:r>
          </w:p>
          <w:p w14:paraId="2BF7A6C6" w14:textId="77777777" w:rsidR="00DB2ED9" w:rsidRPr="005A3E24" w:rsidRDefault="00DB2ED9" w:rsidP="009850B5">
            <w:pPr>
              <w:pStyle w:val="TableBody"/>
              <w:keepNext/>
              <w:ind w:left="113" w:right="113"/>
            </w:pPr>
            <w:r w:rsidRPr="005A3E24">
              <w:t>H</w:t>
            </w:r>
            <w:r>
              <w:t>4 – Medicine pricing</w:t>
            </w:r>
          </w:p>
          <w:p w14:paraId="56C5BC77" w14:textId="77777777" w:rsidR="00DB2ED9" w:rsidRPr="005A3E24" w:rsidRDefault="00DB2ED9" w:rsidP="009850B5">
            <w:pPr>
              <w:pStyle w:val="TableBody"/>
              <w:keepNext/>
              <w:ind w:left="113" w:right="113"/>
            </w:pPr>
            <w:r w:rsidRPr="005A3E24">
              <w:t>H</w:t>
            </w:r>
            <w:r>
              <w:t xml:space="preserve">5 – </w:t>
            </w:r>
            <w:r w:rsidRPr="005A3E24">
              <w:t>Telehealth</w:t>
            </w:r>
          </w:p>
          <w:p w14:paraId="7ADC0675" w14:textId="77777777" w:rsidR="00DB2ED9" w:rsidRPr="005A3E24" w:rsidRDefault="00DB2ED9" w:rsidP="009850B5">
            <w:pPr>
              <w:pStyle w:val="TableBody"/>
              <w:keepNext/>
              <w:ind w:left="113" w:right="113"/>
            </w:pPr>
            <w:r w:rsidRPr="005A3E24">
              <w:t>D3</w:t>
            </w:r>
            <w:r>
              <w:t xml:space="preserve"> – </w:t>
            </w:r>
            <w:r w:rsidRPr="005A3E24">
              <w:t xml:space="preserve">Emerging </w:t>
            </w:r>
            <w:proofErr w:type="spellStart"/>
            <w:r w:rsidRPr="005A3E24">
              <w:t>technolo</w:t>
            </w:r>
            <w:r>
              <w:t>gy</w:t>
            </w:r>
            <w:r w:rsidRPr="00F82483">
              <w:rPr>
                <w:b/>
                <w:bCs/>
                <w:vertAlign w:val="superscript"/>
              </w:rPr>
              <w:t>a</w:t>
            </w:r>
            <w:proofErr w:type="spellEnd"/>
          </w:p>
          <w:p w14:paraId="65F09F8D" w14:textId="77777777" w:rsidR="00DB2ED9" w:rsidRPr="005A3E24" w:rsidRDefault="00DB2ED9" w:rsidP="009850B5">
            <w:pPr>
              <w:pStyle w:val="TableBody"/>
              <w:keepNext/>
              <w:ind w:left="113" w:right="113"/>
            </w:pPr>
            <w:r w:rsidRPr="005A3E24">
              <w:t>D4</w:t>
            </w:r>
            <w:r>
              <w:t xml:space="preserve"> – </w:t>
            </w:r>
            <w:r w:rsidRPr="005A3E24">
              <w:t>Banking</w:t>
            </w:r>
          </w:p>
          <w:p w14:paraId="5B25D789" w14:textId="77777777" w:rsidR="00DB2ED9" w:rsidRPr="00030C67" w:rsidRDefault="00DB2ED9" w:rsidP="009850B5">
            <w:pPr>
              <w:pStyle w:val="TableBody"/>
              <w:keepNext/>
              <w:spacing w:after="120"/>
              <w:ind w:left="113" w:right="113"/>
            </w:pPr>
            <w:r w:rsidRPr="005A3E24">
              <w:t>D5</w:t>
            </w:r>
            <w:r>
              <w:t xml:space="preserve"> – </w:t>
            </w:r>
            <w:r w:rsidRPr="005A3E24">
              <w:t>Payment systems</w:t>
            </w:r>
          </w:p>
        </w:tc>
        <w:tc>
          <w:tcPr>
            <w:tcW w:w="3213" w:type="dxa"/>
            <w:tcBorders>
              <w:top w:val="single" w:sz="4" w:space="0" w:color="B3B3B3"/>
              <w:bottom w:val="nil"/>
            </w:tcBorders>
            <w:shd w:val="clear" w:color="auto" w:fill="FFFFFF" w:themeFill="background1"/>
          </w:tcPr>
          <w:p w14:paraId="55CA9183" w14:textId="77777777" w:rsidR="00DB2ED9" w:rsidRPr="005A3E24" w:rsidRDefault="00DB2ED9" w:rsidP="009850B5">
            <w:pPr>
              <w:pStyle w:val="TableBody"/>
              <w:keepNext/>
              <w:ind w:left="113" w:right="113"/>
            </w:pPr>
            <w:r w:rsidRPr="005A3E24">
              <w:t>B3</w:t>
            </w:r>
            <w:r>
              <w:t xml:space="preserve"> – </w:t>
            </w:r>
            <w:r w:rsidRPr="005A3E24">
              <w:t>Public procurement</w:t>
            </w:r>
          </w:p>
          <w:p w14:paraId="573D3A43" w14:textId="77777777" w:rsidR="00DB2ED9" w:rsidRPr="005A3E24" w:rsidRDefault="00DB2ED9" w:rsidP="009850B5">
            <w:pPr>
              <w:pStyle w:val="TableBody"/>
              <w:keepNext/>
              <w:ind w:left="113" w:right="113"/>
            </w:pPr>
            <w:r w:rsidRPr="005A3E24">
              <w:t>B4</w:t>
            </w:r>
            <w:r>
              <w:t xml:space="preserve"> – </w:t>
            </w:r>
            <w:proofErr w:type="spellStart"/>
            <w:r w:rsidRPr="005A3E24">
              <w:t>Phoenixing</w:t>
            </w:r>
            <w:proofErr w:type="spellEnd"/>
          </w:p>
          <w:p w14:paraId="62F0F6DA" w14:textId="77777777" w:rsidR="00DB2ED9" w:rsidRDefault="00DB2ED9" w:rsidP="009850B5">
            <w:pPr>
              <w:pStyle w:val="TableBody"/>
              <w:keepNext/>
              <w:ind w:left="113" w:right="113"/>
            </w:pPr>
            <w:r w:rsidRPr="005A3E24">
              <w:t>NZ3</w:t>
            </w:r>
            <w:r>
              <w:t xml:space="preserve"> – </w:t>
            </w:r>
            <w:r w:rsidRPr="005A3E24">
              <w:t>Heavy EV</w:t>
            </w:r>
            <w:r>
              <w:t>s</w:t>
            </w:r>
          </w:p>
          <w:p w14:paraId="513AF338" w14:textId="77777777" w:rsidR="00DB2ED9" w:rsidRPr="005A3E24" w:rsidRDefault="00DB2ED9" w:rsidP="009850B5">
            <w:pPr>
              <w:pStyle w:val="TableBody"/>
              <w:keepNext/>
              <w:ind w:left="113" w:right="113"/>
            </w:pPr>
            <w:r w:rsidRPr="005A3E24">
              <w:t>L2</w:t>
            </w:r>
            <w:r>
              <w:t xml:space="preserve"> – </w:t>
            </w:r>
            <w:r w:rsidRPr="005A3E24">
              <w:t>Occupational licensing</w:t>
            </w:r>
          </w:p>
          <w:p w14:paraId="5D918601" w14:textId="77777777" w:rsidR="00DB2ED9" w:rsidRPr="005A3E24" w:rsidRDefault="00DB2ED9" w:rsidP="009850B5">
            <w:pPr>
              <w:pStyle w:val="TableBody"/>
              <w:keepNext/>
              <w:ind w:left="113" w:right="113"/>
            </w:pPr>
            <w:r w:rsidRPr="005A3E24">
              <w:t>H2</w:t>
            </w:r>
            <w:r>
              <w:t xml:space="preserve"> – </w:t>
            </w:r>
            <w:r w:rsidRPr="005A3E24">
              <w:t>Labour</w:t>
            </w:r>
            <w:r>
              <w:t xml:space="preserve"> m</w:t>
            </w:r>
            <w:r w:rsidRPr="005A3E24">
              <w:t>obility</w:t>
            </w:r>
          </w:p>
          <w:p w14:paraId="32CECC53" w14:textId="77777777" w:rsidR="00DB2ED9" w:rsidRPr="005A3E24" w:rsidRDefault="00DB2ED9" w:rsidP="009850B5">
            <w:pPr>
              <w:pStyle w:val="TableBody"/>
              <w:keepNext/>
              <w:ind w:left="113" w:right="113"/>
            </w:pPr>
            <w:r w:rsidRPr="005A3E24">
              <w:t>H3</w:t>
            </w:r>
            <w:r>
              <w:t xml:space="preserve"> – </w:t>
            </w:r>
            <w:r w:rsidRPr="005A3E24">
              <w:t xml:space="preserve">Access </w:t>
            </w:r>
            <w:r>
              <w:t>arrangements</w:t>
            </w:r>
          </w:p>
          <w:p w14:paraId="42815E93" w14:textId="77777777" w:rsidR="00DB2ED9" w:rsidRPr="00030C67" w:rsidRDefault="00DB2ED9" w:rsidP="009850B5">
            <w:pPr>
              <w:pStyle w:val="TableBody"/>
              <w:keepNext/>
              <w:spacing w:after="120"/>
              <w:ind w:left="113" w:right="113"/>
              <w:rPr>
                <w:rFonts w:ascii="Arial (Body)" w:hAnsi="Arial (Body)"/>
                <w:color w:val="000000"/>
              </w:rPr>
            </w:pPr>
            <w:r w:rsidRPr="005A3E24">
              <w:t>D2</w:t>
            </w:r>
            <w:r>
              <w:t xml:space="preserve"> – </w:t>
            </w:r>
            <w:r w:rsidRPr="005A3E24">
              <w:t>Data sharin</w:t>
            </w:r>
            <w:r>
              <w:t>g</w:t>
            </w:r>
          </w:p>
        </w:tc>
        <w:tc>
          <w:tcPr>
            <w:tcW w:w="3213" w:type="dxa"/>
            <w:vMerge w:val="restart"/>
            <w:tcBorders>
              <w:top w:val="single" w:sz="4" w:space="0" w:color="B3B3B3"/>
            </w:tcBorders>
            <w:shd w:val="clear" w:color="000000" w:fill="F2F2F2"/>
          </w:tcPr>
          <w:p w14:paraId="7815FFBF" w14:textId="77777777" w:rsidR="00DB2ED9" w:rsidRPr="005A3E24" w:rsidRDefault="00DB2ED9" w:rsidP="009850B5">
            <w:pPr>
              <w:pStyle w:val="TableBody"/>
              <w:keepNext/>
              <w:ind w:left="113" w:right="57"/>
            </w:pPr>
            <w:r w:rsidRPr="005A3E24">
              <w:t>B2</w:t>
            </w:r>
            <w:r>
              <w:t xml:space="preserve"> – Commercial planning and zoning</w:t>
            </w:r>
          </w:p>
          <w:p w14:paraId="7F013420" w14:textId="77777777" w:rsidR="00DB2ED9" w:rsidRDefault="00DB2ED9" w:rsidP="009850B5">
            <w:pPr>
              <w:pStyle w:val="TableBody"/>
              <w:keepNext/>
              <w:ind w:left="113" w:right="113"/>
            </w:pPr>
            <w:r w:rsidRPr="005A3E24">
              <w:t>B5</w:t>
            </w:r>
            <w:r>
              <w:t xml:space="preserve"> – E</w:t>
            </w:r>
            <w:r>
              <w:noBreakHyphen/>
              <w:t>conveyancing</w:t>
            </w:r>
          </w:p>
          <w:p w14:paraId="6C39A5A2" w14:textId="77777777" w:rsidR="00DB2ED9" w:rsidRPr="00030C67" w:rsidRDefault="00DB2ED9" w:rsidP="009850B5">
            <w:pPr>
              <w:pStyle w:val="TableBody"/>
              <w:keepNext/>
              <w:ind w:left="113" w:right="113"/>
              <w:rPr>
                <w:rFonts w:ascii="Arial (Body)" w:hAnsi="Arial (Body)"/>
                <w:color w:val="000000"/>
              </w:rPr>
            </w:pPr>
            <w:r w:rsidRPr="005A3E24">
              <w:t>B</w:t>
            </w:r>
            <w:r>
              <w:t xml:space="preserve">9 – </w:t>
            </w:r>
            <w:r w:rsidRPr="005A3E24">
              <w:t>Modern methods of construction</w:t>
            </w:r>
          </w:p>
        </w:tc>
      </w:tr>
      <w:tr w:rsidR="00DB2ED9" w:rsidRPr="00030C67" w14:paraId="43DB7275" w14:textId="77777777">
        <w:trPr>
          <w:tblHeader/>
        </w:trPr>
        <w:tc>
          <w:tcPr>
            <w:tcW w:w="3212" w:type="dxa"/>
            <w:vMerge/>
            <w:shd w:val="clear" w:color="auto" w:fill="F2F2F2" w:themeFill="background1" w:themeFillShade="F2"/>
            <w:vAlign w:val="bottom"/>
          </w:tcPr>
          <w:p w14:paraId="23B5BD25" w14:textId="77777777" w:rsidR="00DB2ED9" w:rsidRPr="00030C67" w:rsidRDefault="00DB2ED9" w:rsidP="009850B5">
            <w:pPr>
              <w:spacing w:before="45" w:after="45"/>
              <w:ind w:left="113" w:right="113"/>
              <w:rPr>
                <w:rFonts w:ascii="Arial (Body)" w:hAnsi="Arial (Body)"/>
                <w:color w:val="265A9A"/>
              </w:rPr>
            </w:pPr>
          </w:p>
        </w:tc>
        <w:tc>
          <w:tcPr>
            <w:tcW w:w="3213" w:type="dxa"/>
            <w:tcBorders>
              <w:bottom w:val="single" w:sz="4" w:space="0" w:color="B3B3B3"/>
            </w:tcBorders>
            <w:shd w:val="clear" w:color="auto" w:fill="265A9A" w:themeFill="background2"/>
            <w:vAlign w:val="bottom"/>
          </w:tcPr>
          <w:p w14:paraId="0E25F901" w14:textId="77777777" w:rsidR="00DB2ED9" w:rsidRPr="00030C67" w:rsidRDefault="00DB2ED9" w:rsidP="009850B5">
            <w:pPr>
              <w:pStyle w:val="TableHeading"/>
              <w:ind w:left="113" w:right="113"/>
            </w:pPr>
            <w:proofErr w:type="spellStart"/>
            <w:r w:rsidRPr="00375BD2">
              <w:rPr>
                <w:color w:val="FFFFFF" w:themeColor="background1"/>
              </w:rPr>
              <w:t>Unclea</w:t>
            </w:r>
            <w:r>
              <w:rPr>
                <w:color w:val="FFFFFF" w:themeColor="background1"/>
              </w:rPr>
              <w:t>r</w:t>
            </w:r>
            <w:r>
              <w:rPr>
                <w:bCs/>
                <w:color w:val="FFFFFF" w:themeColor="background1"/>
                <w:vertAlign w:val="superscript"/>
              </w:rPr>
              <w:t>b</w:t>
            </w:r>
            <w:proofErr w:type="spellEnd"/>
          </w:p>
        </w:tc>
        <w:tc>
          <w:tcPr>
            <w:tcW w:w="3213" w:type="dxa"/>
            <w:vMerge/>
            <w:shd w:val="clear" w:color="auto" w:fill="F2F2F2" w:themeFill="background1" w:themeFillShade="F2"/>
            <w:vAlign w:val="bottom"/>
          </w:tcPr>
          <w:p w14:paraId="61CE568E" w14:textId="77777777" w:rsidR="00DB2ED9" w:rsidRPr="00030C67" w:rsidRDefault="00DB2ED9" w:rsidP="009850B5">
            <w:pPr>
              <w:pStyle w:val="TableHeading"/>
              <w:ind w:left="113" w:right="113"/>
            </w:pPr>
          </w:p>
        </w:tc>
      </w:tr>
      <w:tr w:rsidR="00DB2ED9" w:rsidRPr="00030C67" w14:paraId="426F36D1" w14:textId="77777777">
        <w:tc>
          <w:tcPr>
            <w:tcW w:w="3212" w:type="dxa"/>
            <w:vMerge/>
            <w:tcBorders>
              <w:bottom w:val="single" w:sz="4" w:space="0" w:color="B3B3B3"/>
            </w:tcBorders>
            <w:shd w:val="clear" w:color="000000" w:fill="F2F2F2"/>
          </w:tcPr>
          <w:p w14:paraId="54C2C96B" w14:textId="77777777" w:rsidR="00DB2ED9" w:rsidRPr="00030C67" w:rsidRDefault="00DB2ED9" w:rsidP="009850B5">
            <w:pPr>
              <w:pStyle w:val="TableBody"/>
              <w:ind w:left="113" w:right="113"/>
            </w:pPr>
          </w:p>
        </w:tc>
        <w:tc>
          <w:tcPr>
            <w:tcW w:w="3213" w:type="dxa"/>
            <w:tcBorders>
              <w:bottom w:val="single" w:sz="4" w:space="0" w:color="B3B3B3"/>
            </w:tcBorders>
            <w:shd w:val="clear" w:color="auto" w:fill="FFFFFF" w:themeFill="background1"/>
          </w:tcPr>
          <w:p w14:paraId="4FB602AF" w14:textId="77777777" w:rsidR="00DB2ED9" w:rsidRPr="005A3E24" w:rsidRDefault="00DB2ED9" w:rsidP="009850B5">
            <w:pPr>
              <w:pStyle w:val="TableBody"/>
              <w:ind w:left="113" w:right="113"/>
            </w:pPr>
            <w:r w:rsidRPr="005A3E24">
              <w:t>B</w:t>
            </w:r>
            <w:r>
              <w:t xml:space="preserve">8 – </w:t>
            </w:r>
            <w:r w:rsidRPr="005A3E24">
              <w:t>Efficient user charging</w:t>
            </w:r>
          </w:p>
          <w:p w14:paraId="1491D43C" w14:textId="77777777" w:rsidR="00DB2ED9" w:rsidRDefault="00DB2ED9" w:rsidP="009850B5">
            <w:pPr>
              <w:pStyle w:val="TableBody"/>
              <w:ind w:left="113" w:right="113"/>
            </w:pPr>
            <w:r w:rsidRPr="005A3E24">
              <w:t>H1</w:t>
            </w:r>
            <w:r>
              <w:t xml:space="preserve"> – </w:t>
            </w:r>
            <w:r w:rsidRPr="005A3E24">
              <w:t>Matching</w:t>
            </w:r>
          </w:p>
          <w:p w14:paraId="3987C169" w14:textId="77777777" w:rsidR="00DB2ED9" w:rsidRPr="005A3E24" w:rsidRDefault="00DB2ED9" w:rsidP="009850B5">
            <w:pPr>
              <w:pStyle w:val="TableBody"/>
              <w:ind w:left="113" w:right="113"/>
            </w:pPr>
            <w:r w:rsidRPr="005A3E24">
              <w:t>D1</w:t>
            </w:r>
            <w:r>
              <w:t xml:space="preserve"> – </w:t>
            </w:r>
            <w:r w:rsidRPr="005A3E24">
              <w:t>Consumer switching</w:t>
            </w:r>
          </w:p>
          <w:p w14:paraId="2813BB27" w14:textId="77777777" w:rsidR="00DB2ED9" w:rsidRDefault="00DB2ED9" w:rsidP="009850B5">
            <w:pPr>
              <w:pStyle w:val="TableBody"/>
              <w:spacing w:after="120"/>
              <w:ind w:left="113" w:right="113"/>
              <w:rPr>
                <w:rFonts w:ascii="Arial (Body)" w:hAnsi="Arial (Body)"/>
                <w:color w:val="000000"/>
              </w:rPr>
            </w:pPr>
          </w:p>
        </w:tc>
        <w:tc>
          <w:tcPr>
            <w:tcW w:w="3213" w:type="dxa"/>
            <w:vMerge/>
            <w:tcBorders>
              <w:bottom w:val="single" w:sz="4" w:space="0" w:color="B3B3B3"/>
            </w:tcBorders>
            <w:shd w:val="clear" w:color="000000" w:fill="F2F2F2"/>
          </w:tcPr>
          <w:p w14:paraId="17FF9120" w14:textId="77777777" w:rsidR="00DB2ED9" w:rsidRDefault="00DB2ED9" w:rsidP="009850B5">
            <w:pPr>
              <w:pStyle w:val="TableBody"/>
              <w:ind w:left="113" w:right="113"/>
              <w:rPr>
                <w:rFonts w:ascii="Arial (Body)" w:hAnsi="Arial (Body)"/>
                <w:color w:val="000000"/>
              </w:rPr>
            </w:pPr>
          </w:p>
        </w:tc>
      </w:tr>
    </w:tbl>
    <w:p w14:paraId="3F96C0A0" w14:textId="77777777" w:rsidR="00DB2ED9" w:rsidRDefault="00DB2ED9">
      <w:pPr>
        <w:pStyle w:val="Note"/>
      </w:pPr>
      <w:r w:rsidRPr="00C36914">
        <w:rPr>
          <w:b/>
          <w:bCs/>
        </w:rPr>
        <w:t>a.</w:t>
      </w:r>
      <w:r w:rsidRPr="00C36914">
        <w:t xml:space="preserve"> </w:t>
      </w:r>
      <w:r>
        <w:t>Depending on the scope of technologies covered by this reform, involvement of state and territory governments may also be required</w:t>
      </w:r>
      <w:r w:rsidRPr="00C36914">
        <w:t xml:space="preserve">. </w:t>
      </w:r>
      <w:r w:rsidRPr="00C36914">
        <w:rPr>
          <w:b/>
          <w:bCs/>
        </w:rPr>
        <w:t>b.</w:t>
      </w:r>
      <w:r w:rsidRPr="00C36914">
        <w:t xml:space="preserve"> </w:t>
      </w:r>
      <w:r>
        <w:t>More information is needed about the intended scope or implementation of these reforms to determine which levels of government will be involved.</w:t>
      </w:r>
    </w:p>
    <w:p w14:paraId="156885A8" w14:textId="77777777" w:rsidR="00DB2ED9" w:rsidRDefault="00DB2ED9">
      <w:pPr>
        <w:pStyle w:val="Heading2-nonumber"/>
      </w:pPr>
      <w:bookmarkStart w:id="43" w:name="_Toc181107365"/>
      <w:bookmarkStart w:id="44" w:name="_Toc181339532"/>
      <w:bookmarkStart w:id="45" w:name="_Toc181360241"/>
      <w:r>
        <w:t>Our approach to assessing the reforms</w:t>
      </w:r>
      <w:bookmarkEnd w:id="43"/>
      <w:bookmarkEnd w:id="44"/>
      <w:bookmarkEnd w:id="45"/>
      <w:r>
        <w:t xml:space="preserve"> </w:t>
      </w:r>
    </w:p>
    <w:p w14:paraId="65DC351A" w14:textId="77777777" w:rsidR="00DB2ED9" w:rsidRDefault="00DB2ED9">
      <w:pPr>
        <w:pStyle w:val="BodyText"/>
      </w:pPr>
      <w:r>
        <w:t>We were asked to assess the economic impacts of the proposed competition reforms provided to us through the</w:t>
      </w:r>
      <w:r w:rsidDel="00FF0149">
        <w:t xml:space="preserve"> </w:t>
      </w:r>
      <w:r>
        <w:t>CFFR process. We adopted a staged approach to systematically assess each of the proposed reforms (figure 3) and consulted with the National Competition Policy Senior Officials Working Group at each step in this process. We have sought to provide ‘best estimates’ of the potential economic impacts, given the time available, the information provided about each of the reforms and the constraints on consultation and engagement (box 2</w:t>
      </w:r>
      <w:r w:rsidRPr="00B649D9">
        <w:t xml:space="preserve">). </w:t>
      </w:r>
    </w:p>
    <w:p w14:paraId="4BEE13B1" w14:textId="77777777" w:rsidR="00DB2ED9" w:rsidRPr="00146382" w:rsidRDefault="00DB2ED9">
      <w:pPr>
        <w:pStyle w:val="FigureTableHeading"/>
      </w:pPr>
      <w:r>
        <w:t>Figure 3</w:t>
      </w:r>
      <w:r>
        <w:rPr>
          <w:noProof/>
        </w:rPr>
        <w:t xml:space="preserve"> </w:t>
      </w:r>
      <w:r>
        <w:t>– Steps we took to model the reforms</w:t>
      </w:r>
    </w:p>
    <w:p w14:paraId="077640B3" w14:textId="77777777" w:rsidR="00DB2ED9" w:rsidRPr="005550A0" w:rsidRDefault="00DB2ED9">
      <w:pPr>
        <w:pStyle w:val="TableHeading"/>
        <w:keepNext/>
      </w:pPr>
      <w:r w:rsidRPr="004121EB">
        <w:rPr>
          <w:noProof/>
        </w:rPr>
        <w:drawing>
          <wp:inline distT="0" distB="0" distL="0" distR="0" wp14:anchorId="51012643" wp14:editId="1B0A8A4D">
            <wp:extent cx="6120130" cy="2003425"/>
            <wp:effectExtent l="0" t="0" r="0" b="0"/>
            <wp:docPr id="1805774445" name="Picture 4" descr="This figure shows the four steps we took to model the reforms. Step 1 was scoping the reform. Under this step we considered: what is the policy problem? What is the goal of the reform? What markets or industries are in scope? Step 2 was identifying direct effects. Under this step we considered: what economic variables are impacted? What groups are affected? Step 3 was quantifying direct effects. Under this step we considered: how big is the market or industry? How much will the proposed change affect the relevant market or industry? Step 4 was understanding flow-on effects. Under this step we considered: what are the long-run effects on GDP, GSP, prices and government budgets? Are there other benefi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774445" name="Picture 4" descr="This figure shows the four steps we took to model the reforms. Step 1 was scoping the reform. Under this step we considered: what is the policy problem? What is the goal of the reform? What markets or industries are in scope? Step 2 was identifying direct effects. Under this step we considered: what economic variables are impacted? What groups are affected? Step 3 was quantifying direct effects. Under this step we considered: how big is the market or industry? How much will the proposed change affect the relevant market or industry? Step 4 was understanding flow-on effects. Under this step we considered: what are the long-run effects on GDP, GSP, prices and government budgets? Are there other benefits?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130" cy="2003425"/>
                    </a:xfrm>
                    <a:prstGeom prst="rect">
                      <a:avLst/>
                    </a:prstGeom>
                    <a:noFill/>
                    <a:ln>
                      <a:noFill/>
                    </a:ln>
                  </pic:spPr>
                </pic:pic>
              </a:graphicData>
            </a:graphic>
          </wp:inline>
        </w:drawing>
      </w:r>
    </w:p>
    <w:p w14:paraId="5E9CCCDF" w14:textId="307E9248" w:rsidR="00DB2ED9" w:rsidRPr="00F82BD9" w:rsidRDefault="00DB2ED9">
      <w:pPr>
        <w:pStyle w:val="BodyText"/>
      </w:pPr>
    </w:p>
    <w:tbl>
      <w:tblPr>
        <w:tblStyle w:val="Boxtable"/>
        <w:tblW w:w="5000" w:type="pct"/>
        <w:tblLook w:val="04A0" w:firstRow="1" w:lastRow="0" w:firstColumn="1" w:lastColumn="0" w:noHBand="0" w:noVBand="1"/>
      </w:tblPr>
      <w:tblGrid>
        <w:gridCol w:w="9638"/>
      </w:tblGrid>
      <w:tr w:rsidR="00DB2ED9" w14:paraId="1A19CDDE" w14:textId="77777777">
        <w:trPr>
          <w:tblHeader/>
        </w:trPr>
        <w:tc>
          <w:tcPr>
            <w:tcW w:w="9638" w:type="dxa"/>
            <w:shd w:val="clear" w:color="auto" w:fill="EBEBEB"/>
            <w:tcMar>
              <w:top w:w="170" w:type="dxa"/>
              <w:left w:w="170" w:type="dxa"/>
              <w:bottom w:w="113" w:type="dxa"/>
              <w:right w:w="170" w:type="dxa"/>
            </w:tcMar>
            <w:hideMark/>
          </w:tcPr>
          <w:p w14:paraId="406C698B" w14:textId="77777777" w:rsidR="00DB2ED9" w:rsidRDefault="00DB2ED9">
            <w:pPr>
              <w:pStyle w:val="BoxHeading1"/>
            </w:pPr>
            <w:r>
              <w:lastRenderedPageBreak/>
              <w:t>Box 2 – C</w:t>
            </w:r>
            <w:r w:rsidRPr="00A164AD">
              <w:t>onsultation and engagement</w:t>
            </w:r>
          </w:p>
        </w:tc>
      </w:tr>
      <w:tr w:rsidR="00DB2ED9" w14:paraId="53C2AF73" w14:textId="77777777">
        <w:tc>
          <w:tcPr>
            <w:tcW w:w="9638" w:type="dxa"/>
            <w:shd w:val="clear" w:color="auto" w:fill="EBEBEB"/>
            <w:tcMar>
              <w:top w:w="28" w:type="dxa"/>
              <w:left w:w="170" w:type="dxa"/>
              <w:bottom w:w="170" w:type="dxa"/>
              <w:right w:w="170" w:type="dxa"/>
            </w:tcMar>
            <w:hideMark/>
          </w:tcPr>
          <w:p w14:paraId="6AFB855A" w14:textId="77777777" w:rsidR="00DB2ED9" w:rsidRDefault="00DB2ED9">
            <w:pPr>
              <w:pStyle w:val="BodyText"/>
            </w:pPr>
            <w:r>
              <w:t>Information about the proposed reforms was provided to the Commission on a confidential basis and remained confidential throughout the course of this study. This includes the indicative list of reforms (provided 18 March 2024), as well as the final list of reforms (provided 19 August 2024).</w:t>
            </w:r>
          </w:p>
          <w:p w14:paraId="4E37C761" w14:textId="77777777" w:rsidR="00DB2ED9" w:rsidRDefault="00DB2ED9">
            <w:pPr>
              <w:pStyle w:val="BodyText"/>
            </w:pPr>
            <w:r>
              <w:t>Consequently, we were unable to conduct our usual public consultation and engagement processes to the full extent. For the same reason, it was not possible to release a draft report for public comment. On 3 April 2024, we issued a call for submissions, which outlined the purpose of the study and proposed approach to modelling. In response, we received 18 submissions and three brief comments.</w:t>
            </w:r>
          </w:p>
          <w:p w14:paraId="4CE8AD7A" w14:textId="77777777" w:rsidR="00DB2ED9" w:rsidRDefault="00DB2ED9">
            <w:pPr>
              <w:pStyle w:val="BodyText"/>
            </w:pPr>
            <w:r>
              <w:t xml:space="preserve">To inform our estimate of the economic effects, we drew extensively on the existing Australian and international evidence about competition reform initiatives. We also conducted workshops </w:t>
            </w:r>
            <w:r w:rsidRPr="00E828ED">
              <w:t>on 20</w:t>
            </w:r>
            <w:r>
              <w:t> </w:t>
            </w:r>
            <w:r w:rsidRPr="00E828ED">
              <w:t>May 2024 and 28</w:t>
            </w:r>
            <w:r>
              <w:t> </w:t>
            </w:r>
            <w:r w:rsidRPr="00E828ED">
              <w:t>August</w:t>
            </w:r>
            <w:r>
              <w:t xml:space="preserve"> 2024 to discuss methodology and results with the National Competition Policy Senior Officials Working Group, which comprises representatives from each of the jurisdictions – in addition to meeting with jurisdictional representatives bilaterally and as a group on multiple occasions.</w:t>
            </w:r>
          </w:p>
          <w:p w14:paraId="155407FA" w14:textId="77777777" w:rsidR="00DB2ED9" w:rsidRDefault="00DB2ED9">
            <w:pPr>
              <w:pStyle w:val="BodyText"/>
            </w:pPr>
            <w:r>
              <w:t xml:space="preserve">Overall, it should be noted that relatively little consultation was able to be undertaken as part of this study specifically, with the result that the Commission was constrained in its ability to seek new evidence and publicly test its analysis and estimates. Appendix A contains further details about consultation. </w:t>
            </w:r>
          </w:p>
        </w:tc>
      </w:tr>
      <w:tr w:rsidR="00DB2ED9" w14:paraId="7FCDBE12" w14:textId="77777777">
        <w:trPr>
          <w:hidden/>
        </w:trPr>
        <w:tc>
          <w:tcPr>
            <w:tcW w:w="9638" w:type="dxa"/>
            <w:shd w:val="clear" w:color="auto" w:fill="auto"/>
            <w:tcMar>
              <w:top w:w="0" w:type="dxa"/>
              <w:left w:w="170" w:type="dxa"/>
              <w:bottom w:w="0" w:type="dxa"/>
              <w:right w:w="170" w:type="dxa"/>
            </w:tcMar>
          </w:tcPr>
          <w:p w14:paraId="6ED1C05E" w14:textId="7049B08A" w:rsidR="00DB2ED9" w:rsidRPr="00465191" w:rsidRDefault="00DB2ED9">
            <w:pPr>
              <w:pStyle w:val="BodyText"/>
              <w:spacing w:before="0" w:after="0" w:line="80" w:lineRule="atLeast"/>
              <w:rPr>
                <w:smallCaps/>
                <w:vanish/>
              </w:rPr>
            </w:pPr>
          </w:p>
        </w:tc>
      </w:tr>
    </w:tbl>
    <w:p w14:paraId="1301B659" w14:textId="77777777" w:rsidR="00DB2ED9" w:rsidRDefault="00DB2ED9">
      <w:pPr>
        <w:pStyle w:val="Heading3"/>
      </w:pPr>
      <w:bookmarkStart w:id="46" w:name="_Toc181174212"/>
      <w:bookmarkStart w:id="47" w:name="_Toc181360242"/>
      <w:r>
        <w:t>Scoping the reforms</w:t>
      </w:r>
      <w:bookmarkEnd w:id="46"/>
      <w:bookmarkEnd w:id="47"/>
    </w:p>
    <w:p w14:paraId="43BD26E9" w14:textId="77777777" w:rsidR="00DB2ED9" w:rsidRPr="00B8724D" w:rsidRDefault="00DB2ED9">
      <w:pPr>
        <w:pStyle w:val="BodyText"/>
      </w:pPr>
      <w:r w:rsidRPr="00B8724D">
        <w:t xml:space="preserve">The first step was to understand the intended scope of each reform. This included identifying the background and context for the reform; the policy problem and the goal of the reform; and which markets, sectors or industries were intended to be affected. </w:t>
      </w:r>
    </w:p>
    <w:p w14:paraId="4A8A836C" w14:textId="77777777" w:rsidR="00DB2ED9" w:rsidRDefault="00DB2ED9">
      <w:pPr>
        <w:pStyle w:val="BodyText"/>
      </w:pPr>
      <w:r>
        <w:t xml:space="preserve">For some of the proposed reforms, the </w:t>
      </w:r>
      <w:r w:rsidRPr="00F525C3">
        <w:t xml:space="preserve">intended scope </w:t>
      </w:r>
      <w:r>
        <w:t xml:space="preserve">was </w:t>
      </w:r>
      <w:r w:rsidRPr="00F525C3">
        <w:t xml:space="preserve">not clear. </w:t>
      </w:r>
      <w:r>
        <w:t>In g</w:t>
      </w:r>
      <w:r w:rsidRPr="00F525C3">
        <w:t xml:space="preserve">eneral, these </w:t>
      </w:r>
      <w:r>
        <w:t xml:space="preserve">were instances where good practices had </w:t>
      </w:r>
      <w:r w:rsidRPr="00F525C3">
        <w:t xml:space="preserve">been identified, but it </w:t>
      </w:r>
      <w:r>
        <w:t>was</w:t>
      </w:r>
      <w:r w:rsidRPr="00F525C3">
        <w:t xml:space="preserve"> not clear how widely </w:t>
      </w:r>
      <w:r>
        <w:t>those practices could or were intended to be</w:t>
      </w:r>
      <w:r w:rsidRPr="00F525C3">
        <w:t xml:space="preserve"> applied. </w:t>
      </w:r>
      <w:r>
        <w:t xml:space="preserve">That said, </w:t>
      </w:r>
      <w:r w:rsidRPr="00F525C3">
        <w:t xml:space="preserve">there </w:t>
      </w:r>
      <w:r>
        <w:t>were</w:t>
      </w:r>
      <w:r w:rsidRPr="00F525C3">
        <w:t xml:space="preserve"> </w:t>
      </w:r>
      <w:r>
        <w:t xml:space="preserve">usually </w:t>
      </w:r>
      <w:r w:rsidRPr="00F525C3">
        <w:t xml:space="preserve">some </w:t>
      </w:r>
      <w:r>
        <w:t xml:space="preserve">markets or sectors </w:t>
      </w:r>
      <w:r w:rsidRPr="00F525C3">
        <w:t xml:space="preserve">clearly intended to be in scope, </w:t>
      </w:r>
      <w:r>
        <w:t xml:space="preserve">even if </w:t>
      </w:r>
      <w:r w:rsidRPr="00F525C3">
        <w:t xml:space="preserve">the full intended scope </w:t>
      </w:r>
      <w:r>
        <w:t>had not been articulated in the reform descriptions provided to us. Examples of reforms falling into this category include:</w:t>
      </w:r>
    </w:p>
    <w:p w14:paraId="3EE0AAB7" w14:textId="77777777" w:rsidR="00DB2ED9" w:rsidRPr="00D733CF" w:rsidRDefault="00DB2ED9">
      <w:pPr>
        <w:pStyle w:val="ListBullet"/>
      </w:pPr>
      <w:r w:rsidRPr="00D733CF">
        <w:t>the adoption of trusted overseas standards (B1, NZ2)</w:t>
      </w:r>
    </w:p>
    <w:p w14:paraId="4C01F836" w14:textId="77777777" w:rsidR="00DB2ED9" w:rsidRPr="00D733CF" w:rsidRDefault="00DB2ED9">
      <w:pPr>
        <w:pStyle w:val="ListBullet"/>
      </w:pPr>
      <w:r w:rsidRPr="00D733CF">
        <w:t>addressing regulatory barriers to the adoption of emerging technologies (D3)</w:t>
      </w:r>
    </w:p>
    <w:p w14:paraId="029BFF45" w14:textId="77777777" w:rsidR="00DB2ED9" w:rsidRPr="00D733CF" w:rsidRDefault="00DB2ED9">
      <w:pPr>
        <w:pStyle w:val="ListBullet"/>
      </w:pPr>
      <w:r w:rsidRPr="00D733CF">
        <w:t>implementing efficient user charging for government</w:t>
      </w:r>
      <w:r>
        <w:noBreakHyphen/>
      </w:r>
      <w:r w:rsidRPr="00D733CF">
        <w:t>provided goods and services (B8).</w:t>
      </w:r>
    </w:p>
    <w:p w14:paraId="359CB0C4" w14:textId="77777777" w:rsidR="00DB2ED9" w:rsidRDefault="00DB2ED9">
      <w:pPr>
        <w:pStyle w:val="BodyText"/>
      </w:pPr>
      <w:r>
        <w:t xml:space="preserve">In these instances, we adopted a </w:t>
      </w:r>
      <w:r>
        <w:rPr>
          <w:b/>
          <w:bCs/>
        </w:rPr>
        <w:t xml:space="preserve">case study </w:t>
      </w:r>
      <w:r>
        <w:t xml:space="preserve">approach, focussing on markets that were clearly in scope, to illustrate the types of benefits that could be expected from the reform. It was not possible to extrapolate these effects to other markets, meaning that we have not been able to capture or quantify all benefits that would accrue from a broader rollout. For this reason, interpretation of the modelling results should </w:t>
      </w:r>
      <w:proofErr w:type="gramStart"/>
      <w:r>
        <w:t>take into account</w:t>
      </w:r>
      <w:proofErr w:type="gramEnd"/>
      <w:r>
        <w:t xml:space="preserve"> the fact that, for some reforms, the realised benefits could be greater (and potentially significantly greater) than the benefits that have been estimated. </w:t>
      </w:r>
    </w:p>
    <w:p w14:paraId="5736199C" w14:textId="77777777" w:rsidR="00DB2ED9" w:rsidRDefault="00DB2ED9">
      <w:pPr>
        <w:pStyle w:val="Heading3"/>
      </w:pPr>
      <w:bookmarkStart w:id="48" w:name="_Toc181174213"/>
      <w:bookmarkStart w:id="49" w:name="_Toc181360243"/>
      <w:r>
        <w:t>Identifying the direct effects of the reforms</w:t>
      </w:r>
      <w:bookmarkEnd w:id="48"/>
      <w:bookmarkEnd w:id="49"/>
    </w:p>
    <w:p w14:paraId="51814E50" w14:textId="4FEEEA25" w:rsidR="00DB2ED9" w:rsidRDefault="00DB2ED9">
      <w:pPr>
        <w:pStyle w:val="BodyText"/>
      </w:pPr>
      <w:r>
        <w:t xml:space="preserve">There are two dimensions to understanding the direct effects of each proposed reform. The first is what economic variables are likely to be impacted </w:t>
      </w:r>
      <w:r w:rsidR="008028DB">
        <w:t>–</w:t>
      </w:r>
      <w:r>
        <w:t xml:space="preserve"> such as changes to the price of certain goods or productivity </w:t>
      </w:r>
      <w:r>
        <w:lastRenderedPageBreak/>
        <w:t xml:space="preserve">in certain markets. The second is who is likely to be affected by these changes </w:t>
      </w:r>
      <w:r w:rsidR="008028DB">
        <w:t>–</w:t>
      </w:r>
      <w:r>
        <w:t xml:space="preserve"> whether certain types of consumers; particular markets, sectors or industries; or specific geographical areas of Australia. </w:t>
      </w:r>
    </w:p>
    <w:p w14:paraId="68A62854" w14:textId="77777777" w:rsidR="00DB2ED9" w:rsidRDefault="00DB2ED9">
      <w:r>
        <w:t>Some of the effects in figure 1 were identified as part of this step. This includes:</w:t>
      </w:r>
    </w:p>
    <w:p w14:paraId="4966137A" w14:textId="43701EE5" w:rsidR="00DB2ED9" w:rsidRDefault="00DB2ED9">
      <w:pPr>
        <w:pStyle w:val="ListBullet"/>
      </w:pPr>
      <w:r>
        <w:t xml:space="preserve">for affected industries or sectors </w:t>
      </w:r>
      <w:r w:rsidR="008028DB">
        <w:t>–</w:t>
      </w:r>
      <w:r>
        <w:t xml:space="preserve"> effects on prices, costs, profits, efficiency and productivity</w:t>
      </w:r>
    </w:p>
    <w:p w14:paraId="6C061DE9" w14:textId="0EF51EF8" w:rsidR="00DB2ED9" w:rsidRDefault="00DB2ED9">
      <w:pPr>
        <w:pStyle w:val="ListBullet"/>
      </w:pPr>
      <w:r>
        <w:t xml:space="preserve">for consumers </w:t>
      </w:r>
      <w:r w:rsidR="008028DB">
        <w:t>–</w:t>
      </w:r>
      <w:r>
        <w:t xml:space="preserve"> effects on access to services, consumer choice and quality of goods and services.</w:t>
      </w:r>
    </w:p>
    <w:p w14:paraId="41B677BE" w14:textId="77777777" w:rsidR="00DB2ED9" w:rsidRDefault="00DB2ED9">
      <w:pPr>
        <w:pStyle w:val="BodyText"/>
      </w:pPr>
      <w:r>
        <w:t>The scope and intended in</w:t>
      </w:r>
      <w:r>
        <w:noBreakHyphen/>
      </w:r>
      <w:proofErr w:type="gramStart"/>
      <w:r>
        <w:t>principle</w:t>
      </w:r>
      <w:proofErr w:type="gramEnd"/>
      <w:r>
        <w:t xml:space="preserve"> effects of each proposed reform were tested and validated at a methodology workshop that we held with the National Competition Policy Senior Officials Working Group. </w:t>
      </w:r>
    </w:p>
    <w:p w14:paraId="101C96DB" w14:textId="04E00786" w:rsidR="00DB2ED9" w:rsidRPr="00697A34" w:rsidRDefault="00DB2ED9">
      <w:pPr>
        <w:pStyle w:val="BodyText"/>
      </w:pPr>
      <w:r>
        <w:t xml:space="preserve">For almost all reforms, we were able to identify their (likely or intended) direct effects. The exception to this was the proposal to reform competition in the marine freight industry by repealing Part X of the </w:t>
      </w:r>
      <w:r w:rsidRPr="0055714A">
        <w:rPr>
          <w:i/>
          <w:iCs/>
        </w:rPr>
        <w:t>Competition and Consumer Act 2010</w:t>
      </w:r>
      <w:r w:rsidRPr="0055714A">
        <w:t xml:space="preserve"> (</w:t>
      </w:r>
      <w:proofErr w:type="spellStart"/>
      <w:r w:rsidRPr="0055714A">
        <w:t>Cth</w:t>
      </w:r>
      <w:proofErr w:type="spellEnd"/>
      <w:r w:rsidRPr="0055714A">
        <w:t>)</w:t>
      </w:r>
      <w:r>
        <w:t xml:space="preserve"> (reform </w:t>
      </w:r>
      <w:r w:rsidRPr="00F03015">
        <w:t>B6)</w:t>
      </w:r>
      <w:r>
        <w:t xml:space="preserve">. Part X exempts registered agreements between shipping lines from parts of Australia’s general competition laws, including laws requiring that such </w:t>
      </w:r>
      <w:r w:rsidRPr="00C64E5D">
        <w:t xml:space="preserve">arrangements </w:t>
      </w:r>
      <w:r>
        <w:t xml:space="preserve">be shown to </w:t>
      </w:r>
      <w:r w:rsidRPr="00C64E5D">
        <w:t>provide a net public benefit</w:t>
      </w:r>
      <w:r>
        <w:t xml:space="preserve">. We could not identify the direct effect of this reform for two reasons: first, it is unclear what effect existing registered agreements are having on price and productivity in the marine freight industry; second, it is unclear what regulatory arrangements (if any) would be put in place instead of Part X. Previous reviews have recommended the repeal of Part X on good governance grounds </w:t>
      </w:r>
      <w:r w:rsidR="00677CD6">
        <w:t>–</w:t>
      </w:r>
      <w:r>
        <w:t xml:space="preserve"> </w:t>
      </w:r>
      <w:r w:rsidR="00677CD6">
        <w:t>t</w:t>
      </w:r>
      <w:r>
        <w:t xml:space="preserve">hat is, there is no compelling basis for the special treatment of shipping lines </w:t>
      </w:r>
      <w:r w:rsidR="00442DC5" w:rsidRPr="00442DC5">
        <w:rPr>
          <w:rFonts w:ascii="Arial" w:hAnsi="Arial" w:cs="Arial"/>
        </w:rPr>
        <w:t>(Harper et al. 2015; PC 2005a, 2022b)</w:t>
      </w:r>
      <w:r>
        <w:t xml:space="preserve">. </w:t>
      </w:r>
    </w:p>
    <w:p w14:paraId="33D41970" w14:textId="77777777" w:rsidR="00DB2ED9" w:rsidRDefault="00DB2ED9">
      <w:pPr>
        <w:pStyle w:val="Heading3"/>
      </w:pPr>
      <w:bookmarkStart w:id="50" w:name="_Toc181174214"/>
      <w:bookmarkStart w:id="51" w:name="_Toc181360244"/>
      <w:r>
        <w:t>Quantifying the direct effects of the reforms</w:t>
      </w:r>
      <w:bookmarkEnd w:id="50"/>
      <w:bookmarkEnd w:id="51"/>
    </w:p>
    <w:p w14:paraId="6AE0BB45" w14:textId="77777777" w:rsidR="00DB2ED9" w:rsidRDefault="00DB2ED9">
      <w:pPr>
        <w:pStyle w:val="BodyText"/>
      </w:pPr>
      <w:r>
        <w:t xml:space="preserve">For a handful of the proposed reforms, there were clear details about what concrete policy changes would be made. For these, we sought to directly estimate the likely economic effects of implementing the specified reform in the intended market, sector or industry. We drew on Australian and international studies, evidence from past studies and inquires and input from the jurisdictional representatives. </w:t>
      </w:r>
    </w:p>
    <w:p w14:paraId="4A7D4140" w14:textId="6023EB9F" w:rsidR="00DB2ED9" w:rsidRDefault="00DB2ED9">
      <w:pPr>
        <w:pStyle w:val="BodyText"/>
      </w:pPr>
      <w:r>
        <w:t xml:space="preserve">Many of the reforms were, however, more about principles to foster improved efficiency or economic prosperity than about implementing specific, known and tangible changes. In other words, they are better characterised as reform directions </w:t>
      </w:r>
      <w:r w:rsidR="00677CD6">
        <w:t>–</w:t>
      </w:r>
      <w:r>
        <w:t xml:space="preserve"> areas where there is appetite to address an identified policy problem, but no specific actions have been proposed. Reforms in this category include:</w:t>
      </w:r>
    </w:p>
    <w:p w14:paraId="423CFF67" w14:textId="77777777" w:rsidR="00DB2ED9" w:rsidRPr="006D4B1D" w:rsidRDefault="00DB2ED9">
      <w:pPr>
        <w:pStyle w:val="ListBullet"/>
      </w:pPr>
      <w:r w:rsidRPr="006D4B1D">
        <w:t xml:space="preserve">several human services reforms </w:t>
      </w:r>
      <w:r>
        <w:t>about</w:t>
      </w:r>
      <w:r w:rsidRPr="006D4B1D">
        <w:t xml:space="preserve"> improving access to services and health outcomes (H1, H2, H3)</w:t>
      </w:r>
    </w:p>
    <w:p w14:paraId="391EF360" w14:textId="77777777" w:rsidR="00DB2ED9" w:rsidRPr="006D4B1D" w:rsidRDefault="00DB2ED9">
      <w:pPr>
        <w:pStyle w:val="ListBullet"/>
      </w:pPr>
      <w:r w:rsidRPr="006D4B1D">
        <w:t>streamlining commercial planning and zoning regulations (B2)</w:t>
      </w:r>
    </w:p>
    <w:p w14:paraId="736B855C" w14:textId="77777777" w:rsidR="00DB2ED9" w:rsidRPr="006D4B1D" w:rsidRDefault="00DB2ED9">
      <w:pPr>
        <w:pStyle w:val="ListBullet"/>
      </w:pPr>
      <w:r w:rsidRPr="006D4B1D">
        <w:t xml:space="preserve">improving public procurement practices (B3). </w:t>
      </w:r>
    </w:p>
    <w:p w14:paraId="7EE8124E" w14:textId="00BFDB62" w:rsidR="00DB2ED9" w:rsidRDefault="00DB2ED9">
      <w:pPr>
        <w:pStyle w:val="BodyText"/>
      </w:pPr>
      <w:r>
        <w:t xml:space="preserve">For these, to enable some degree of quantification, we </w:t>
      </w:r>
      <w:r w:rsidRPr="006D4B1D">
        <w:t xml:space="preserve">took a </w:t>
      </w:r>
      <w:r>
        <w:rPr>
          <w:b/>
          <w:bCs/>
        </w:rPr>
        <w:t>scenario</w:t>
      </w:r>
      <w:r>
        <w:rPr>
          <w:b/>
          <w:bCs/>
        </w:rPr>
        <w:noBreakHyphen/>
        <w:t xml:space="preserve"> or outcomes</w:t>
      </w:r>
      <w:r>
        <w:rPr>
          <w:b/>
          <w:bCs/>
        </w:rPr>
        <w:noBreakHyphen/>
        <w:t>based</w:t>
      </w:r>
      <w:r>
        <w:t xml:space="preserve"> approach </w:t>
      </w:r>
      <w:r w:rsidR="00677CD6">
        <w:t>–</w:t>
      </w:r>
      <w:r>
        <w:t xml:space="preserve"> that is, we sought to model what would happen in certain scenarios or if certain outcomes were achieved. This approach yields estimates about the size of the available benefits, leaving aside the question of how those benefits can be realised. It should be borne in mind that, when it comes to the details of reform implementation, a </w:t>
      </w:r>
      <w:r w:rsidRPr="006B292F">
        <w:t>modell</w:t>
      </w:r>
      <w:r>
        <w:t>ing</w:t>
      </w:r>
      <w:r w:rsidRPr="006B292F">
        <w:t xml:space="preserve"> </w:t>
      </w:r>
      <w:r>
        <w:t xml:space="preserve">exercise cannot </w:t>
      </w:r>
      <w:r w:rsidRPr="006B292F">
        <w:t xml:space="preserve">manufacture certainty </w:t>
      </w:r>
      <w:r>
        <w:t>from the unknown</w:t>
      </w:r>
      <w:r w:rsidRPr="006B292F">
        <w:t>.</w:t>
      </w:r>
      <w:r>
        <w:t xml:space="preserve"> Therefore, for these reforms, the modelling results should be considered as an outer envelope of the possible benefits. </w:t>
      </w:r>
    </w:p>
    <w:p w14:paraId="28132C27" w14:textId="55473F9C" w:rsidR="00DB2ED9" w:rsidRDefault="00DB2ED9">
      <w:pPr>
        <w:pStyle w:val="BodyText"/>
      </w:pPr>
      <w:r>
        <w:rPr>
          <w:rFonts w:ascii="Arial (Body)" w:hAnsi="Arial (Body)"/>
          <w:color w:val="000000"/>
        </w:rPr>
        <w:t xml:space="preserve">For some reforms, we used an </w:t>
      </w:r>
      <w:r w:rsidRPr="00DE3499">
        <w:rPr>
          <w:rFonts w:ascii="Arial (Body)" w:hAnsi="Arial (Body)"/>
          <w:b/>
          <w:bCs/>
          <w:color w:val="000000"/>
        </w:rPr>
        <w:t>elasticity approach</w:t>
      </w:r>
      <w:r>
        <w:rPr>
          <w:rFonts w:ascii="Arial (Body)" w:hAnsi="Arial (Body)"/>
          <w:color w:val="000000"/>
        </w:rPr>
        <w:t xml:space="preserve"> to estimate how responsive the overall economy is to the direct effects of the reform. This involves applying an arbitrary productivity shock (we have chosen 1% or </w:t>
      </w:r>
      <w:r w:rsidRPr="0055600E">
        <w:t>0.1%</w:t>
      </w:r>
      <w:r>
        <w:t>, depending on the reform)</w:t>
      </w:r>
      <w:r w:rsidRPr="00071B8B">
        <w:rPr>
          <w:rFonts w:ascii="Arial (Body)" w:hAnsi="Arial (Body)"/>
          <w:color w:val="000000"/>
        </w:rPr>
        <w:t xml:space="preserve"> </w:t>
      </w:r>
      <w:r>
        <w:rPr>
          <w:rFonts w:ascii="Arial (Body)" w:hAnsi="Arial (Body)"/>
          <w:color w:val="000000"/>
        </w:rPr>
        <w:t xml:space="preserve">to the affected sectors to illustrate how much overall economic conditions change in response. </w:t>
      </w:r>
      <w:r>
        <w:t xml:space="preserve">This means that our modelling results are not a measure of estimated </w:t>
      </w:r>
      <w:proofErr w:type="gramStart"/>
      <w:r>
        <w:t>impacts, but</w:t>
      </w:r>
      <w:proofErr w:type="gramEnd"/>
      <w:r>
        <w:t xml:space="preserve"> are instead a measure of the economy</w:t>
      </w:r>
      <w:r>
        <w:noBreakHyphen/>
        <w:t xml:space="preserve">wide response to a potential shock. </w:t>
      </w:r>
      <w:r w:rsidRPr="00395DD8">
        <w:t>The</w:t>
      </w:r>
      <w:r>
        <w:t xml:space="preserve">se results </w:t>
      </w:r>
      <w:r w:rsidRPr="00395DD8">
        <w:t xml:space="preserve">are roughly speaking linearly related to the shock </w:t>
      </w:r>
      <w:r w:rsidR="00677CD6">
        <w:t>–</w:t>
      </w:r>
      <w:r w:rsidRPr="00395DD8">
        <w:t xml:space="preserve"> so</w:t>
      </w:r>
      <w:r>
        <w:t>, for example,</w:t>
      </w:r>
      <w:r w:rsidRPr="00395DD8">
        <w:t xml:space="preserve"> </w:t>
      </w:r>
      <w:r>
        <w:t>the results from a 0</w:t>
      </w:r>
      <w:r w:rsidRPr="00395DD8">
        <w:t>.</w:t>
      </w:r>
      <w:r>
        <w:t>2</w:t>
      </w:r>
      <w:r w:rsidRPr="00395DD8">
        <w:t>% shock</w:t>
      </w:r>
      <w:r>
        <w:t xml:space="preserve"> would be roughly twice that for a </w:t>
      </w:r>
      <w:r w:rsidRPr="00395DD8">
        <w:t>0.</w:t>
      </w:r>
      <w:r>
        <w:t>1</w:t>
      </w:r>
      <w:r w:rsidRPr="00395DD8">
        <w:t xml:space="preserve">% </w:t>
      </w:r>
      <w:r>
        <w:t xml:space="preserve">shock of the same kind. </w:t>
      </w:r>
    </w:p>
    <w:p w14:paraId="0291AAB7" w14:textId="77777777" w:rsidR="00DB2ED9" w:rsidRDefault="00DB2ED9">
      <w:pPr>
        <w:pStyle w:val="BodyText"/>
      </w:pPr>
      <w:r>
        <w:t>The various modelling approaches we took are summarised in figure 4.</w:t>
      </w:r>
    </w:p>
    <w:p w14:paraId="294EDA17" w14:textId="77777777" w:rsidR="00DB2ED9" w:rsidRDefault="00DB2ED9">
      <w:pPr>
        <w:pStyle w:val="FigureTableHeading"/>
      </w:pPr>
      <w:r>
        <w:lastRenderedPageBreak/>
        <w:t>Figure 4</w:t>
      </w:r>
      <w:r>
        <w:rPr>
          <w:noProof/>
        </w:rPr>
        <w:t xml:space="preserve"> – </w:t>
      </w:r>
      <w:r>
        <w:t>Modelling approaches</w:t>
      </w:r>
    </w:p>
    <w:tbl>
      <w:tblPr>
        <w:tblW w:w="9639" w:type="dxa"/>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851"/>
        <w:gridCol w:w="4394"/>
        <w:gridCol w:w="4394"/>
      </w:tblGrid>
      <w:tr w:rsidR="00DB2ED9" w:rsidRPr="00030C67" w14:paraId="4E3D0168" w14:textId="77777777">
        <w:trPr>
          <w:tblHeader/>
        </w:trPr>
        <w:tc>
          <w:tcPr>
            <w:tcW w:w="851" w:type="dxa"/>
            <w:tcBorders>
              <w:bottom w:val="single" w:sz="4" w:space="0" w:color="B3B3B3"/>
              <w:right w:val="single" w:sz="4" w:space="0" w:color="A6A6A6" w:themeColor="background1" w:themeShade="A6"/>
            </w:tcBorders>
            <w:shd w:val="clear" w:color="000000" w:fill="auto"/>
            <w:vAlign w:val="bottom"/>
          </w:tcPr>
          <w:p w14:paraId="51117342" w14:textId="77777777" w:rsidR="00DB2ED9" w:rsidRPr="00030C67" w:rsidRDefault="00DB2ED9">
            <w:pPr>
              <w:ind w:left="113" w:right="113"/>
              <w:rPr>
                <w:rFonts w:ascii="Arial (Body)" w:hAnsi="Arial (Body)"/>
                <w:color w:val="265A9A"/>
              </w:rPr>
            </w:pPr>
          </w:p>
        </w:tc>
        <w:tc>
          <w:tcPr>
            <w:tcW w:w="4394" w:type="dxa"/>
            <w:tcBorders>
              <w:left w:val="single" w:sz="4" w:space="0" w:color="A6A6A6" w:themeColor="background1" w:themeShade="A6"/>
              <w:bottom w:val="single" w:sz="4" w:space="0" w:color="B3B3B3"/>
            </w:tcBorders>
            <w:shd w:val="clear" w:color="auto" w:fill="265A9A" w:themeFill="background2"/>
          </w:tcPr>
          <w:p w14:paraId="257F7FB9" w14:textId="77777777" w:rsidR="00DB2ED9" w:rsidRPr="00815086" w:rsidRDefault="00DB2ED9">
            <w:pPr>
              <w:pStyle w:val="TableBodyHeading"/>
              <w:keepNext/>
              <w:spacing w:before="120" w:after="120"/>
              <w:ind w:right="57"/>
              <w:jc w:val="center"/>
              <w:rPr>
                <w:color w:val="FFFFFF" w:themeColor="background1"/>
              </w:rPr>
            </w:pPr>
            <w:r w:rsidRPr="00815086">
              <w:rPr>
                <w:color w:val="FFFFFF" w:themeColor="background1"/>
              </w:rPr>
              <w:t>Intended scope is well defined</w:t>
            </w:r>
          </w:p>
        </w:tc>
        <w:tc>
          <w:tcPr>
            <w:tcW w:w="4394" w:type="dxa"/>
            <w:tcBorders>
              <w:bottom w:val="single" w:sz="4" w:space="0" w:color="B3B3B3"/>
            </w:tcBorders>
            <w:shd w:val="clear" w:color="auto" w:fill="265A9A" w:themeFill="background2"/>
          </w:tcPr>
          <w:p w14:paraId="2753A065" w14:textId="77777777" w:rsidR="00DB2ED9" w:rsidRPr="00815086" w:rsidRDefault="00DB2ED9">
            <w:pPr>
              <w:pStyle w:val="TableBodyHeading"/>
              <w:keepNext/>
              <w:spacing w:before="120" w:after="120"/>
              <w:ind w:right="57"/>
              <w:jc w:val="center"/>
              <w:rPr>
                <w:color w:val="FFFFFF" w:themeColor="background1"/>
              </w:rPr>
            </w:pPr>
            <w:r>
              <w:rPr>
                <w:color w:val="FFFFFF" w:themeColor="background1"/>
              </w:rPr>
              <w:t>S</w:t>
            </w:r>
            <w:r w:rsidRPr="00815086">
              <w:rPr>
                <w:color w:val="FFFFFF" w:themeColor="background1"/>
              </w:rPr>
              <w:t xml:space="preserve">cope </w:t>
            </w:r>
            <w:r>
              <w:rPr>
                <w:color w:val="FFFFFF" w:themeColor="background1"/>
              </w:rPr>
              <w:t>to be determined after this study</w:t>
            </w:r>
          </w:p>
        </w:tc>
      </w:tr>
      <w:tr w:rsidR="00DB2ED9" w:rsidRPr="00030C67" w14:paraId="38B8A2C8" w14:textId="77777777">
        <w:trPr>
          <w:cantSplit/>
          <w:trHeight w:val="1134"/>
        </w:trPr>
        <w:tc>
          <w:tcPr>
            <w:tcW w:w="851" w:type="dxa"/>
            <w:tcBorders>
              <w:top w:val="single" w:sz="4" w:space="0" w:color="B3B3B3"/>
              <w:bottom w:val="nil"/>
              <w:right w:val="single" w:sz="4" w:space="0" w:color="A6A6A6" w:themeColor="background1" w:themeShade="A6"/>
            </w:tcBorders>
            <w:shd w:val="clear" w:color="auto" w:fill="265A9A" w:themeFill="background2"/>
            <w:textDirection w:val="btLr"/>
          </w:tcPr>
          <w:p w14:paraId="156BCDE6" w14:textId="77777777" w:rsidR="00DB2ED9" w:rsidRPr="00815086" w:rsidRDefault="00DB2ED9">
            <w:pPr>
              <w:pStyle w:val="TableBodyHeading"/>
              <w:spacing w:before="120" w:after="120"/>
              <w:ind w:right="113"/>
              <w:jc w:val="center"/>
              <w:rPr>
                <w:color w:val="FFFFFF" w:themeColor="background1"/>
              </w:rPr>
            </w:pPr>
            <w:r w:rsidRPr="00815086">
              <w:rPr>
                <w:color w:val="FFFFFF" w:themeColor="background1"/>
              </w:rPr>
              <w:t>Specific reform actions identified</w:t>
            </w:r>
          </w:p>
        </w:tc>
        <w:tc>
          <w:tcPr>
            <w:tcW w:w="4394" w:type="dxa"/>
            <w:tcBorders>
              <w:top w:val="single" w:sz="4" w:space="0" w:color="B3B3B3"/>
              <w:left w:val="single" w:sz="4" w:space="0" w:color="A6A6A6" w:themeColor="background1" w:themeShade="A6"/>
              <w:bottom w:val="nil"/>
            </w:tcBorders>
            <w:shd w:val="clear" w:color="auto" w:fill="auto"/>
          </w:tcPr>
          <w:p w14:paraId="63C69F3C" w14:textId="41C1EA2A" w:rsidR="00DB2ED9" w:rsidRPr="00030C67" w:rsidRDefault="00DB2ED9">
            <w:pPr>
              <w:pStyle w:val="TableBody"/>
              <w:keepNext/>
              <w:spacing w:before="120" w:after="120"/>
              <w:ind w:right="57"/>
              <w:rPr>
                <w:rFonts w:ascii="Arial (Body)" w:hAnsi="Arial (Body)"/>
                <w:color w:val="000000"/>
              </w:rPr>
            </w:pPr>
            <w:r>
              <w:t xml:space="preserve">The reform was modelled </w:t>
            </w:r>
            <w:r w:rsidRPr="006977ED">
              <w:rPr>
                <w:b/>
                <w:bCs/>
              </w:rPr>
              <w:t>directly</w:t>
            </w:r>
            <w:r>
              <w:t xml:space="preserve"> </w:t>
            </w:r>
            <w:r w:rsidR="00677CD6">
              <w:t>–</w:t>
            </w:r>
            <w:r>
              <w:t xml:space="preserve"> that is, a direct assessment of the estimated costs and benefits of implementing the specified reform in the intended market, sector or industry.</w:t>
            </w:r>
          </w:p>
        </w:tc>
        <w:tc>
          <w:tcPr>
            <w:tcW w:w="4394" w:type="dxa"/>
            <w:tcBorders>
              <w:top w:val="single" w:sz="4" w:space="0" w:color="B3B3B3"/>
              <w:bottom w:val="nil"/>
            </w:tcBorders>
            <w:shd w:val="clear" w:color="auto" w:fill="F2F2F2" w:themeFill="background1" w:themeFillShade="F2"/>
          </w:tcPr>
          <w:p w14:paraId="55D7A0DB" w14:textId="77777777" w:rsidR="00DB2ED9" w:rsidRDefault="00DB2ED9">
            <w:pPr>
              <w:pStyle w:val="TableBody"/>
              <w:keepNext/>
              <w:spacing w:before="120" w:after="120"/>
              <w:ind w:right="57"/>
            </w:pPr>
            <w:r>
              <w:t>The reform was modelled through a</w:t>
            </w:r>
            <w:r w:rsidRPr="006977ED">
              <w:t xml:space="preserve"> </w:t>
            </w:r>
            <w:r w:rsidRPr="006977ED">
              <w:rPr>
                <w:b/>
                <w:bCs/>
              </w:rPr>
              <w:t xml:space="preserve">case study </w:t>
            </w:r>
            <w:r w:rsidRPr="006977ED">
              <w:t>approach</w:t>
            </w:r>
            <w:r>
              <w:t xml:space="preserve">, focusing on sectors or markets that are clearly intended to be in scope. This approach illustrates the types of costs and benefits that can be expected from certain types of reforms. </w:t>
            </w:r>
          </w:p>
          <w:p w14:paraId="4C42C627" w14:textId="77777777" w:rsidR="00DB2ED9" w:rsidRPr="00030C67" w:rsidRDefault="00DB2ED9">
            <w:pPr>
              <w:pStyle w:val="TableBody"/>
              <w:keepNext/>
              <w:spacing w:before="120" w:after="120"/>
              <w:ind w:right="57"/>
              <w:rPr>
                <w:rFonts w:ascii="Arial (Body)" w:hAnsi="Arial (Body)"/>
                <w:color w:val="000000"/>
              </w:rPr>
            </w:pPr>
          </w:p>
        </w:tc>
      </w:tr>
      <w:tr w:rsidR="00DB2ED9" w:rsidRPr="00030C67" w14:paraId="3AE60E28" w14:textId="77777777">
        <w:trPr>
          <w:cantSplit/>
          <w:trHeight w:val="1134"/>
        </w:trPr>
        <w:tc>
          <w:tcPr>
            <w:tcW w:w="851" w:type="dxa"/>
            <w:tcBorders>
              <w:bottom w:val="single" w:sz="4" w:space="0" w:color="B3B3B3"/>
              <w:right w:val="single" w:sz="4" w:space="0" w:color="A6A6A6" w:themeColor="background1" w:themeShade="A6"/>
            </w:tcBorders>
            <w:shd w:val="clear" w:color="auto" w:fill="265A9A" w:themeFill="background2"/>
            <w:textDirection w:val="btLr"/>
          </w:tcPr>
          <w:p w14:paraId="1E49999E" w14:textId="77777777" w:rsidR="00DB2ED9" w:rsidRPr="00815086" w:rsidRDefault="00DB2ED9">
            <w:pPr>
              <w:pStyle w:val="TableBodyHeading"/>
              <w:spacing w:before="120" w:after="120"/>
              <w:ind w:right="113"/>
              <w:jc w:val="center"/>
              <w:rPr>
                <w:color w:val="FFFFFF" w:themeColor="background1"/>
              </w:rPr>
            </w:pPr>
            <w:r w:rsidRPr="00815086">
              <w:rPr>
                <w:color w:val="FFFFFF" w:themeColor="background1"/>
              </w:rPr>
              <w:t>No specific reform actions identified</w:t>
            </w:r>
          </w:p>
        </w:tc>
        <w:tc>
          <w:tcPr>
            <w:tcW w:w="4394" w:type="dxa"/>
            <w:tcBorders>
              <w:left w:val="single" w:sz="4" w:space="0" w:color="A6A6A6" w:themeColor="background1" w:themeShade="A6"/>
              <w:bottom w:val="single" w:sz="4" w:space="0" w:color="B3B3B3"/>
            </w:tcBorders>
            <w:shd w:val="clear" w:color="auto" w:fill="F2F2F2" w:themeFill="background1" w:themeFillShade="F2"/>
          </w:tcPr>
          <w:p w14:paraId="0896F667" w14:textId="77777777" w:rsidR="00DB2ED9" w:rsidRDefault="00DB2ED9">
            <w:pPr>
              <w:pStyle w:val="TableBody"/>
              <w:spacing w:before="120" w:after="120"/>
              <w:ind w:right="113"/>
            </w:pPr>
            <w:r>
              <w:t>For some reforms, a</w:t>
            </w:r>
            <w:r w:rsidRPr="006977ED">
              <w:t xml:space="preserve"> </w:t>
            </w:r>
            <w:r>
              <w:rPr>
                <w:b/>
                <w:bCs/>
              </w:rPr>
              <w:t>scenario</w:t>
            </w:r>
            <w:r>
              <w:rPr>
                <w:b/>
                <w:bCs/>
              </w:rPr>
              <w:noBreakHyphen/>
              <w:t xml:space="preserve"> or outcomes</w:t>
            </w:r>
            <w:r>
              <w:rPr>
                <w:b/>
                <w:bCs/>
              </w:rPr>
              <w:noBreakHyphen/>
              <w:t>based</w:t>
            </w:r>
            <w:r>
              <w:t xml:space="preserve"> approach was used. This is about estimating the size of the available benefits, leaving aside the question of how those benefits can be realised. </w:t>
            </w:r>
          </w:p>
          <w:p w14:paraId="22778325" w14:textId="77777777" w:rsidR="00DB2ED9" w:rsidRPr="00030C67" w:rsidRDefault="00DB2ED9">
            <w:pPr>
              <w:pStyle w:val="TableBody"/>
              <w:spacing w:before="120" w:after="120"/>
              <w:ind w:right="113"/>
              <w:rPr>
                <w:rFonts w:ascii="Arial (Body)" w:hAnsi="Arial (Body)"/>
                <w:color w:val="000000"/>
              </w:rPr>
            </w:pPr>
            <w:r>
              <w:rPr>
                <w:rFonts w:ascii="Arial (Body)" w:hAnsi="Arial (Body)"/>
                <w:color w:val="000000"/>
              </w:rPr>
              <w:t xml:space="preserve">For some reforms, we used an </w:t>
            </w:r>
            <w:r w:rsidRPr="00DE3499">
              <w:rPr>
                <w:rFonts w:ascii="Arial (Body)" w:hAnsi="Arial (Body)"/>
                <w:b/>
                <w:bCs/>
                <w:color w:val="000000"/>
              </w:rPr>
              <w:t>elasticity approach</w:t>
            </w:r>
            <w:r>
              <w:rPr>
                <w:rFonts w:ascii="Arial (Body)" w:hAnsi="Arial (Body)"/>
                <w:color w:val="000000"/>
              </w:rPr>
              <w:t xml:space="preserve"> to estimate how responsive the overall economy is to the direct effects of the reform.</w:t>
            </w:r>
          </w:p>
        </w:tc>
        <w:tc>
          <w:tcPr>
            <w:tcW w:w="4394" w:type="dxa"/>
            <w:tcBorders>
              <w:bottom w:val="single" w:sz="4" w:space="0" w:color="B3B3B3"/>
            </w:tcBorders>
            <w:shd w:val="clear" w:color="auto" w:fill="auto"/>
          </w:tcPr>
          <w:p w14:paraId="5DEEDEFB" w14:textId="77777777" w:rsidR="00DB2ED9" w:rsidRDefault="00DB2ED9">
            <w:pPr>
              <w:pStyle w:val="TableBody"/>
              <w:spacing w:before="120" w:after="120"/>
              <w:ind w:right="113"/>
            </w:pPr>
            <w:r>
              <w:t>A</w:t>
            </w:r>
            <w:r w:rsidRPr="006977ED">
              <w:t xml:space="preserve"> combined </w:t>
            </w:r>
            <w:r w:rsidRPr="006977ED">
              <w:rPr>
                <w:b/>
                <w:bCs/>
              </w:rPr>
              <w:t xml:space="preserve">case study </w:t>
            </w:r>
            <w:r>
              <w:rPr>
                <w:b/>
                <w:bCs/>
              </w:rPr>
              <w:t>and</w:t>
            </w:r>
            <w:r w:rsidRPr="006977ED">
              <w:rPr>
                <w:b/>
                <w:bCs/>
              </w:rPr>
              <w:t xml:space="preserve"> outcomes</w:t>
            </w:r>
            <w:r>
              <w:rPr>
                <w:b/>
                <w:bCs/>
              </w:rPr>
              <w:noBreakHyphen/>
            </w:r>
            <w:r w:rsidRPr="006977ED">
              <w:rPr>
                <w:b/>
                <w:bCs/>
              </w:rPr>
              <w:t>based</w:t>
            </w:r>
            <w:r w:rsidRPr="006977ED">
              <w:t xml:space="preserve"> approach</w:t>
            </w:r>
            <w:r>
              <w:t xml:space="preserve"> was used for some reforms.</w:t>
            </w:r>
          </w:p>
          <w:p w14:paraId="2FED3A65" w14:textId="77777777" w:rsidR="00DB2ED9" w:rsidRPr="001257BA" w:rsidRDefault="00DB2ED9">
            <w:pPr>
              <w:pStyle w:val="TableBody"/>
              <w:spacing w:before="120" w:after="120"/>
              <w:ind w:right="113"/>
            </w:pPr>
            <w:r>
              <w:t xml:space="preserve">Where the scope and reform actions were very unclear, </w:t>
            </w:r>
            <w:r w:rsidRPr="00E165D1">
              <w:rPr>
                <w:b/>
                <w:bCs/>
              </w:rPr>
              <w:t>first principles</w:t>
            </w:r>
            <w:r>
              <w:t xml:space="preserve"> were used to assess the issues and the case for government intervention. </w:t>
            </w:r>
          </w:p>
        </w:tc>
      </w:tr>
    </w:tbl>
    <w:p w14:paraId="26B9E9BA" w14:textId="62C6AFF1" w:rsidR="00DB2ED9" w:rsidRDefault="00DB2ED9">
      <w:pPr>
        <w:pStyle w:val="BodyText"/>
      </w:pPr>
      <w:r>
        <w:t>Overall, our primary focus was on the long</w:t>
      </w:r>
      <w:r>
        <w:noBreakHyphen/>
        <w:t xml:space="preserve">run economic impacts of the proposed reforms </w:t>
      </w:r>
      <w:r w:rsidR="00677CD6">
        <w:t>–</w:t>
      </w:r>
      <w:r>
        <w:t xml:space="preserve"> an approach supported in submissions (BCA, sub. 2). Given the lack of implementation detail, we did not focus on the upfront or transition costs associated with rolling out the reforms. In essence, the modelling exercise undertaken in this study is about describing how the reforms might affect long</w:t>
      </w:r>
      <w:r>
        <w:noBreakHyphen/>
        <w:t>run economic conditions in Australia; it is not a cost</w:t>
      </w:r>
      <w:r>
        <w:noBreakHyphen/>
        <w:t>benefit analysis of the reforms.</w:t>
      </w:r>
    </w:p>
    <w:p w14:paraId="45484C34" w14:textId="77777777" w:rsidR="00DB2ED9" w:rsidRDefault="00DB2ED9">
      <w:pPr>
        <w:pStyle w:val="BodyText"/>
      </w:pPr>
      <w:r>
        <w:t xml:space="preserve">There are some reforms where we considered that the quantification of certain impacts was not possible or </w:t>
      </w:r>
      <w:r w:rsidRPr="00345114">
        <w:t>would not provide additional insights</w:t>
      </w:r>
      <w:r>
        <w:t>. For these, we have sought to identify and discuss the nature of any material economic impacts and, where applicable, the in</w:t>
      </w:r>
      <w:r>
        <w:noBreakHyphen/>
      </w:r>
      <w:proofErr w:type="gramStart"/>
      <w:r>
        <w:t>principle</w:t>
      </w:r>
      <w:proofErr w:type="gramEnd"/>
      <w:r>
        <w:t xml:space="preserve"> case for reform. </w:t>
      </w:r>
      <w:r w:rsidRPr="00F17198">
        <w:t xml:space="preserve">This approach </w:t>
      </w:r>
      <w:r>
        <w:t>w</w:t>
      </w:r>
      <w:r w:rsidRPr="00F17198">
        <w:t xml:space="preserve">as supported </w:t>
      </w:r>
      <w:r>
        <w:t>in submissions</w:t>
      </w:r>
      <w:r w:rsidRPr="00F17198">
        <w:t xml:space="preserve">, </w:t>
      </w:r>
      <w:r>
        <w:t xml:space="preserve">which </w:t>
      </w:r>
      <w:r w:rsidRPr="00F17198">
        <w:t xml:space="preserve">emphasised the importance of identifying </w:t>
      </w:r>
      <w:r>
        <w:t>costs and benefits</w:t>
      </w:r>
      <w:r w:rsidRPr="00F17198">
        <w:t xml:space="preserve">, even when they </w:t>
      </w:r>
      <w:r>
        <w:t xml:space="preserve">are intangible or </w:t>
      </w:r>
      <w:r w:rsidRPr="00F17198">
        <w:t>cannot be quantified (Consumers’ Federation of Australia and CHOICE, sub.</w:t>
      </w:r>
      <w:r>
        <w:t> </w:t>
      </w:r>
      <w:r w:rsidRPr="00F17198">
        <w:t>3, p.</w:t>
      </w:r>
      <w:r>
        <w:t> </w:t>
      </w:r>
      <w:r w:rsidRPr="00F17198">
        <w:t>1).</w:t>
      </w:r>
    </w:p>
    <w:p w14:paraId="01A0333F" w14:textId="77777777" w:rsidR="00DB2ED9" w:rsidRDefault="00DB2ED9">
      <w:pPr>
        <w:pStyle w:val="Heading3"/>
      </w:pPr>
      <w:bookmarkStart w:id="52" w:name="_Toc181174215"/>
      <w:bookmarkStart w:id="53" w:name="_Toc181360245"/>
      <w:r>
        <w:t>Understanding the flow</w:t>
      </w:r>
      <w:r>
        <w:noBreakHyphen/>
        <w:t>on effects of the reforms</w:t>
      </w:r>
      <w:bookmarkEnd w:id="52"/>
      <w:bookmarkEnd w:id="53"/>
    </w:p>
    <w:p w14:paraId="79DAAEE2" w14:textId="77777777" w:rsidR="00DB2ED9" w:rsidRDefault="00DB2ED9">
      <w:pPr>
        <w:pStyle w:val="BodyText"/>
      </w:pPr>
      <w:r>
        <w:t>We used Computable General Equilibrium (CGE) models to estimate the likely flow</w:t>
      </w:r>
      <w:r>
        <w:noBreakHyphen/>
        <w:t xml:space="preserve">on effects of the proposed reforms. CGE models use </w:t>
      </w:r>
      <w:r>
        <w:rPr>
          <w:lang w:val="en-US"/>
        </w:rPr>
        <w:t>actual economic data, fitted to a set of equations that describe the structure of the economy. They can be used to estimate how an economy might react to economic shocks, including policy changes.</w:t>
      </w:r>
      <w:r>
        <w:t xml:space="preserve"> </w:t>
      </w:r>
    </w:p>
    <w:p w14:paraId="5573FA61" w14:textId="77777777" w:rsidR="00DB2ED9" w:rsidRDefault="00DB2ED9">
      <w:pPr>
        <w:pStyle w:val="BodyText"/>
      </w:pPr>
      <w:r>
        <w:t xml:space="preserve">Depending on the model, CGE modelling can yield information about how a package of reforms is likely to affect aggregate measures such as output, prices and government budgets in the long run. </w:t>
      </w:r>
      <w:bookmarkStart w:id="54" w:name="_Hlk177043307"/>
      <w:r>
        <w:t xml:space="preserve">In the context of the CGE model, the long run refers to how long it takes for the economy to fully adjust to the specified shock (in this case, each of the proposed reforms), as opposed to a specific time period. </w:t>
      </w:r>
      <w:bookmarkEnd w:id="54"/>
    </w:p>
    <w:p w14:paraId="5D593E5E" w14:textId="1FD9F502" w:rsidR="00DB2ED9" w:rsidRDefault="00DB2ED9">
      <w:pPr>
        <w:pStyle w:val="BodyText"/>
        <w:rPr>
          <w:lang w:val="en-US"/>
        </w:rPr>
      </w:pPr>
      <w:r>
        <w:t>T</w:t>
      </w:r>
      <w:r>
        <w:rPr>
          <w:lang w:val="en-US"/>
        </w:rPr>
        <w:t xml:space="preserve">he Commission has previously used CGE models to estimate the economic effects of the Hilmer reforms </w:t>
      </w:r>
      <w:r w:rsidRPr="006E1A3E">
        <w:rPr>
          <w:rFonts w:ascii="Arial" w:hAnsi="Arial" w:cs="Arial"/>
        </w:rPr>
        <w:t>(IC 1995; PC 2005b)</w:t>
      </w:r>
      <w:r>
        <w:rPr>
          <w:rFonts w:ascii="Arial" w:hAnsi="Arial" w:cs="Arial"/>
        </w:rPr>
        <w:t xml:space="preserve"> and the terms of reference for this study directed us to consider the methodology used in these earlier reports (box 3)</w:t>
      </w:r>
      <w:r>
        <w:rPr>
          <w:lang w:val="en-US"/>
        </w:rPr>
        <w:t>.</w:t>
      </w:r>
    </w:p>
    <w:p w14:paraId="43BA81E7" w14:textId="4E7B8BF7" w:rsidR="00DB2ED9" w:rsidRPr="00F82BD9" w:rsidRDefault="00DB2ED9">
      <w:pPr>
        <w:pStyle w:val="NoSpacing"/>
      </w:pPr>
    </w:p>
    <w:tbl>
      <w:tblPr>
        <w:tblStyle w:val="Boxtable"/>
        <w:tblW w:w="5000" w:type="pct"/>
        <w:tblLook w:val="04A0" w:firstRow="1" w:lastRow="0" w:firstColumn="1" w:lastColumn="0" w:noHBand="0" w:noVBand="1"/>
      </w:tblPr>
      <w:tblGrid>
        <w:gridCol w:w="9638"/>
      </w:tblGrid>
      <w:tr w:rsidR="00DB2ED9" w14:paraId="22D5BE23" w14:textId="77777777">
        <w:trPr>
          <w:tblHeader/>
        </w:trPr>
        <w:tc>
          <w:tcPr>
            <w:tcW w:w="9638" w:type="dxa"/>
            <w:shd w:val="clear" w:color="auto" w:fill="EBEBEB"/>
            <w:tcMar>
              <w:top w:w="170" w:type="dxa"/>
              <w:left w:w="170" w:type="dxa"/>
              <w:bottom w:w="113" w:type="dxa"/>
              <w:right w:w="170" w:type="dxa"/>
            </w:tcMar>
            <w:hideMark/>
          </w:tcPr>
          <w:p w14:paraId="65164804" w14:textId="77777777" w:rsidR="00DB2ED9" w:rsidRPr="00D90D24" w:rsidRDefault="00DB2ED9">
            <w:pPr>
              <w:pStyle w:val="BoxHeading1"/>
            </w:pPr>
            <w:r w:rsidRPr="00D90D24">
              <w:lastRenderedPageBreak/>
              <w:t>Box 3 – Modelling competition reforms</w:t>
            </w:r>
          </w:p>
        </w:tc>
      </w:tr>
      <w:tr w:rsidR="00DB2ED9" w14:paraId="23403641" w14:textId="77777777">
        <w:tc>
          <w:tcPr>
            <w:tcW w:w="9638" w:type="dxa"/>
            <w:shd w:val="clear" w:color="auto" w:fill="EBEBEB"/>
            <w:tcMar>
              <w:top w:w="28" w:type="dxa"/>
              <w:left w:w="170" w:type="dxa"/>
              <w:bottom w:w="170" w:type="dxa"/>
              <w:right w:w="170" w:type="dxa"/>
            </w:tcMar>
            <w:hideMark/>
          </w:tcPr>
          <w:p w14:paraId="7CEC01C7" w14:textId="739F5E4C" w:rsidR="00DB2ED9" w:rsidRDefault="00DB2ED9">
            <w:pPr>
              <w:pStyle w:val="BodyText"/>
            </w:pPr>
            <w:r w:rsidRPr="00F70422">
              <w:t xml:space="preserve">In 1993, the </w:t>
            </w:r>
            <w:r w:rsidRPr="00F70422">
              <w:rPr>
                <w:b/>
                <w:bCs/>
              </w:rPr>
              <w:t>Hilmer Report</w:t>
            </w:r>
            <w:r w:rsidRPr="00F70422">
              <w:t xml:space="preserve"> found that, with interstate trade growing due to advances in transport and communication technology, a nationally consistent approach to competition policy was needed (Hilmer 1993, p. 16). The report set out a framework for a National Competition Policy and, in 1995, the Australian, </w:t>
            </w:r>
            <w:r>
              <w:t xml:space="preserve">state and territory governments </w:t>
            </w:r>
            <w:r w:rsidRPr="00F70422">
              <w:t>committed to a suite of reforms.</w:t>
            </w:r>
            <w:r w:rsidRPr="001648F0">
              <w:t xml:space="preserve"> The</w:t>
            </w:r>
            <w:r>
              <w:t xml:space="preserve"> reforms </w:t>
            </w:r>
            <w:r w:rsidRPr="001648F0">
              <w:t xml:space="preserve">contributed to a productivity boom that was sustained through the 1990s that underpinned more than a decade of continuous economic growth </w:t>
            </w:r>
            <w:r w:rsidRPr="00AB29A5">
              <w:t>(Banks 2001; PC 2005b)</w:t>
            </w:r>
            <w:r>
              <w:t xml:space="preserve">. </w:t>
            </w:r>
          </w:p>
          <w:p w14:paraId="050D30EC" w14:textId="51B25D7E" w:rsidR="00DB2ED9" w:rsidRDefault="00DB2ED9">
            <w:pPr>
              <w:pStyle w:val="BodyText"/>
            </w:pPr>
            <w:r>
              <w:t xml:space="preserve">Initially, the Industry Commission </w:t>
            </w:r>
            <w:r w:rsidRPr="00263678">
              <w:rPr>
                <w:rFonts w:ascii="Arial" w:hAnsi="Arial" w:cs="Arial"/>
              </w:rPr>
              <w:t>(1995)</w:t>
            </w:r>
            <w:r>
              <w:t xml:space="preserve"> estimated that the reforms could permanently boost GDP by up to 5.5%. Later, once reform implementation was well underway, the Productivity Commission estimated that the reforms had led to a GDP uplift of </w:t>
            </w:r>
            <w:r w:rsidRPr="001648F0">
              <w:t xml:space="preserve">at least 2.5% </w:t>
            </w:r>
            <w:r w:rsidRPr="00AB29A5">
              <w:t>(PC 2005b)</w:t>
            </w:r>
            <w:r w:rsidRPr="001648F0">
              <w:t xml:space="preserve">. </w:t>
            </w:r>
          </w:p>
          <w:p w14:paraId="661A8A80" w14:textId="3B4EDD85" w:rsidR="00DB2ED9" w:rsidRPr="00B211AE" w:rsidRDefault="00DB2ED9">
            <w:pPr>
              <w:pStyle w:val="BodyText"/>
            </w:pPr>
            <w:r w:rsidRPr="00B211AE">
              <w:t xml:space="preserve">Two decades later, the </w:t>
            </w:r>
            <w:r w:rsidRPr="00B211AE">
              <w:rPr>
                <w:b/>
                <w:bCs/>
              </w:rPr>
              <w:t>Harper Review</w:t>
            </w:r>
            <w:r w:rsidRPr="00B211AE">
              <w:t xml:space="preserve"> revisited competition policy in Australia. The review took place as Australia’s mining boom was drawing to an end, and found further reforms would be ‘critical to improving Australia’s productivity performance and to sustaining our living standards into the future’ (Harper et al. 2015, p. 18). The review made 56 recommendations to reinvigorate Australia’s competitive landscape. While the Australian Government (2015) committed to implementing the majority of the review’s recommendations, progress was slow (Bogaards 2019; Harris 2015). Amongst the recommendations not implemented was one to task the Productivity Commission with modelling the economic effects of the proposed reforms (Harper et al. 2015, p. 79)</w:t>
            </w:r>
            <w:r w:rsidRPr="00B211AE" w:rsidDel="00C01E33">
              <w:t>.</w:t>
            </w:r>
          </w:p>
        </w:tc>
      </w:tr>
      <w:tr w:rsidR="00DB2ED9" w14:paraId="2A1CCACD" w14:textId="77777777">
        <w:trPr>
          <w:hidden/>
        </w:trPr>
        <w:tc>
          <w:tcPr>
            <w:tcW w:w="9638" w:type="dxa"/>
            <w:shd w:val="clear" w:color="auto" w:fill="auto"/>
            <w:tcMar>
              <w:top w:w="0" w:type="dxa"/>
              <w:left w:w="170" w:type="dxa"/>
              <w:bottom w:w="0" w:type="dxa"/>
              <w:right w:w="170" w:type="dxa"/>
            </w:tcMar>
          </w:tcPr>
          <w:p w14:paraId="716E28B6" w14:textId="69F3322D" w:rsidR="00DB2ED9" w:rsidRPr="00465191" w:rsidRDefault="00DB2ED9">
            <w:pPr>
              <w:pStyle w:val="BodyText"/>
              <w:spacing w:before="0" w:after="0" w:line="80" w:lineRule="atLeast"/>
              <w:rPr>
                <w:smallCaps/>
                <w:vanish/>
              </w:rPr>
            </w:pPr>
          </w:p>
        </w:tc>
      </w:tr>
    </w:tbl>
    <w:p w14:paraId="2D9CD78A" w14:textId="77777777" w:rsidR="00DB2ED9" w:rsidRDefault="00DB2ED9">
      <w:pPr>
        <w:pStyle w:val="BodyText"/>
      </w:pPr>
      <w:r>
        <w:t>For this study, we prepared three CGE models</w:t>
      </w:r>
      <w:r w:rsidRPr="005C160C">
        <w:t xml:space="preserve"> </w:t>
      </w:r>
      <w:r>
        <w:t>and,</w:t>
      </w:r>
      <w:r w:rsidRPr="00774246">
        <w:t xml:space="preserve"> </w:t>
      </w:r>
      <w:r>
        <w:t>when the list of proposed reforms was finalised, chose to use</w:t>
      </w:r>
      <w:r w:rsidRPr="00774246">
        <w:t xml:space="preserve"> </w:t>
      </w:r>
      <w:r>
        <w:t xml:space="preserve">two. The key characteristics of each model are summarised in </w:t>
      </w:r>
      <w:r w:rsidRPr="004E79C4">
        <w:t>table 2</w:t>
      </w:r>
      <w:r>
        <w:t xml:space="preserve">, and full details are in appendix C. The detailed CGE modelling results are in appendix D. </w:t>
      </w:r>
    </w:p>
    <w:p w14:paraId="7505A464" w14:textId="77777777" w:rsidR="00DB2ED9" w:rsidRDefault="00DB2ED9">
      <w:pPr>
        <w:pStyle w:val="FigureTableHeading"/>
      </w:pPr>
      <w:r>
        <w:t>Table 2</w:t>
      </w:r>
      <w:r>
        <w:rPr>
          <w:noProof/>
        </w:rPr>
        <w:t xml:space="preserve"> – Key features of the </w:t>
      </w:r>
      <w:r>
        <w:t xml:space="preserve">CGE models we used </w:t>
      </w:r>
    </w:p>
    <w:tbl>
      <w:tblPr>
        <w:tblW w:w="9662" w:type="dxa"/>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1701"/>
        <w:gridCol w:w="2268"/>
        <w:gridCol w:w="2268"/>
        <w:gridCol w:w="3425"/>
      </w:tblGrid>
      <w:tr w:rsidR="00DB2ED9" w:rsidRPr="00030C67" w14:paraId="26AA62D8" w14:textId="77777777">
        <w:trPr>
          <w:tblHeader/>
        </w:trPr>
        <w:tc>
          <w:tcPr>
            <w:tcW w:w="1701" w:type="dxa"/>
            <w:tcBorders>
              <w:bottom w:val="single" w:sz="4" w:space="0" w:color="B3B3B3"/>
            </w:tcBorders>
            <w:shd w:val="clear" w:color="000000" w:fill="auto"/>
            <w:vAlign w:val="bottom"/>
          </w:tcPr>
          <w:p w14:paraId="748099AB" w14:textId="77777777" w:rsidR="00DB2ED9" w:rsidRPr="00030C67" w:rsidRDefault="00DB2ED9">
            <w:pPr>
              <w:pStyle w:val="TableBodyHeading"/>
            </w:pPr>
          </w:p>
        </w:tc>
        <w:tc>
          <w:tcPr>
            <w:tcW w:w="2268" w:type="dxa"/>
            <w:tcBorders>
              <w:bottom w:val="single" w:sz="4" w:space="0" w:color="B3B3B3"/>
            </w:tcBorders>
            <w:shd w:val="clear" w:color="000000" w:fill="auto"/>
            <w:vAlign w:val="bottom"/>
          </w:tcPr>
          <w:p w14:paraId="04943361" w14:textId="77777777" w:rsidR="00DB2ED9" w:rsidRPr="002405A7" w:rsidRDefault="00DB2ED9">
            <w:pPr>
              <w:pStyle w:val="TableBodyHeading"/>
            </w:pPr>
            <w:r w:rsidRPr="002405A7">
              <w:t>PC National</w:t>
            </w:r>
          </w:p>
        </w:tc>
        <w:tc>
          <w:tcPr>
            <w:tcW w:w="2268" w:type="dxa"/>
            <w:tcBorders>
              <w:bottom w:val="single" w:sz="4" w:space="0" w:color="B3B3B3"/>
            </w:tcBorders>
            <w:shd w:val="clear" w:color="000000" w:fill="auto"/>
            <w:vAlign w:val="bottom"/>
          </w:tcPr>
          <w:p w14:paraId="4483C643" w14:textId="77777777" w:rsidR="00DB2ED9" w:rsidRPr="002405A7" w:rsidRDefault="00DB2ED9">
            <w:pPr>
              <w:pStyle w:val="TableBodyHeading"/>
            </w:pPr>
            <w:r>
              <w:t>P</w:t>
            </w:r>
            <w:r w:rsidRPr="002405A7">
              <w:t>C Regional</w:t>
            </w:r>
          </w:p>
        </w:tc>
        <w:tc>
          <w:tcPr>
            <w:tcW w:w="3425" w:type="dxa"/>
            <w:tcBorders>
              <w:bottom w:val="single" w:sz="4" w:space="0" w:color="B3B3B3"/>
            </w:tcBorders>
            <w:shd w:val="clear" w:color="000000" w:fill="auto"/>
            <w:vAlign w:val="bottom"/>
          </w:tcPr>
          <w:p w14:paraId="0E59D0C2" w14:textId="77777777" w:rsidR="00DB2ED9" w:rsidRPr="002405A7" w:rsidRDefault="00DB2ED9">
            <w:pPr>
              <w:pStyle w:val="TableBodyHeading"/>
            </w:pPr>
            <w:r>
              <w:t>Victoria University Regional Model</w:t>
            </w:r>
          </w:p>
        </w:tc>
      </w:tr>
      <w:tr w:rsidR="00DB2ED9" w:rsidRPr="00030C67" w14:paraId="3302F591" w14:textId="77777777">
        <w:tc>
          <w:tcPr>
            <w:tcW w:w="1701" w:type="dxa"/>
            <w:tcBorders>
              <w:top w:val="single" w:sz="4" w:space="0" w:color="B3B3B3"/>
              <w:bottom w:val="nil"/>
            </w:tcBorders>
            <w:shd w:val="clear" w:color="000000" w:fill="F2F2F2"/>
          </w:tcPr>
          <w:p w14:paraId="719EAD11" w14:textId="77777777" w:rsidR="00DB2ED9" w:rsidRPr="002405A7" w:rsidRDefault="00DB2ED9">
            <w:pPr>
              <w:pStyle w:val="TableBodyHeading"/>
              <w:keepNext/>
            </w:pPr>
            <w:r>
              <w:t>Owner</w:t>
            </w:r>
          </w:p>
        </w:tc>
        <w:tc>
          <w:tcPr>
            <w:tcW w:w="2268" w:type="dxa"/>
            <w:tcBorders>
              <w:top w:val="single" w:sz="4" w:space="0" w:color="B3B3B3"/>
              <w:bottom w:val="nil"/>
            </w:tcBorders>
            <w:shd w:val="clear" w:color="000000" w:fill="F2F2F2"/>
          </w:tcPr>
          <w:p w14:paraId="6F6252A5" w14:textId="77777777" w:rsidR="00DB2ED9" w:rsidRPr="005E6A25" w:rsidRDefault="00DB2ED9">
            <w:pPr>
              <w:pStyle w:val="TableBody"/>
              <w:keepNext/>
            </w:pPr>
            <w:r>
              <w:t>Developed and maintained by the Commission</w:t>
            </w:r>
            <w:r w:rsidRPr="00C36914">
              <w:t>.</w:t>
            </w:r>
          </w:p>
        </w:tc>
        <w:tc>
          <w:tcPr>
            <w:tcW w:w="2268" w:type="dxa"/>
            <w:tcBorders>
              <w:top w:val="single" w:sz="4" w:space="0" w:color="B3B3B3"/>
              <w:bottom w:val="nil"/>
            </w:tcBorders>
            <w:shd w:val="clear" w:color="000000" w:fill="F2F2F2"/>
          </w:tcPr>
          <w:p w14:paraId="2A096C51" w14:textId="77777777" w:rsidR="00DB2ED9" w:rsidRPr="005E6A25" w:rsidRDefault="00DB2ED9">
            <w:pPr>
              <w:pStyle w:val="TableBody"/>
              <w:keepNext/>
            </w:pPr>
            <w:r>
              <w:t>Developed and maintained by the Commission</w:t>
            </w:r>
            <w:r w:rsidRPr="00C36914">
              <w:t>.</w:t>
            </w:r>
          </w:p>
        </w:tc>
        <w:tc>
          <w:tcPr>
            <w:tcW w:w="3425" w:type="dxa"/>
            <w:tcBorders>
              <w:top w:val="single" w:sz="4" w:space="0" w:color="B3B3B3"/>
              <w:bottom w:val="nil"/>
            </w:tcBorders>
            <w:shd w:val="clear" w:color="000000" w:fill="F2F2F2"/>
          </w:tcPr>
          <w:p w14:paraId="468D3A50" w14:textId="77777777" w:rsidR="00DB2ED9" w:rsidRPr="005E6A25" w:rsidRDefault="00DB2ED9">
            <w:pPr>
              <w:pStyle w:val="TableBody"/>
              <w:keepNext/>
            </w:pPr>
            <w:r>
              <w:t>Maintained by the Centre of Policy Studies at Victoria University</w:t>
            </w:r>
          </w:p>
        </w:tc>
      </w:tr>
      <w:tr w:rsidR="00DB2ED9" w:rsidRPr="00030C67" w14:paraId="799B620C" w14:textId="77777777">
        <w:tc>
          <w:tcPr>
            <w:tcW w:w="1701" w:type="dxa"/>
            <w:tcBorders>
              <w:top w:val="nil"/>
              <w:bottom w:val="nil"/>
            </w:tcBorders>
            <w:shd w:val="clear" w:color="000000" w:fill="auto"/>
          </w:tcPr>
          <w:p w14:paraId="139381BD" w14:textId="77777777" w:rsidR="00DB2ED9" w:rsidRPr="002405A7" w:rsidRDefault="00DB2ED9">
            <w:pPr>
              <w:pStyle w:val="TableBodyHeading"/>
              <w:keepNext/>
            </w:pPr>
            <w:r>
              <w:t>R</w:t>
            </w:r>
            <w:r w:rsidRPr="002405A7">
              <w:t>egions</w:t>
            </w:r>
          </w:p>
        </w:tc>
        <w:tc>
          <w:tcPr>
            <w:tcW w:w="2268" w:type="dxa"/>
            <w:tcBorders>
              <w:top w:val="nil"/>
              <w:bottom w:val="nil"/>
            </w:tcBorders>
            <w:shd w:val="clear" w:color="000000" w:fill="auto"/>
          </w:tcPr>
          <w:p w14:paraId="1CE4DCC5" w14:textId="77777777" w:rsidR="00DB2ED9" w:rsidRPr="005E6A25" w:rsidRDefault="00DB2ED9">
            <w:pPr>
              <w:pStyle w:val="TableBody"/>
              <w:keepNext/>
            </w:pPr>
            <w:r>
              <w:t>Australia</w:t>
            </w:r>
            <w:r>
              <w:noBreakHyphen/>
              <w:t>wide</w:t>
            </w:r>
          </w:p>
        </w:tc>
        <w:tc>
          <w:tcPr>
            <w:tcW w:w="2268" w:type="dxa"/>
            <w:tcBorders>
              <w:top w:val="nil"/>
              <w:bottom w:val="nil"/>
            </w:tcBorders>
            <w:shd w:val="clear" w:color="000000" w:fill="auto"/>
          </w:tcPr>
          <w:p w14:paraId="12F63262" w14:textId="77777777" w:rsidR="00DB2ED9" w:rsidRPr="005E6A25" w:rsidRDefault="00DB2ED9">
            <w:pPr>
              <w:pStyle w:val="TableBody"/>
              <w:keepNext/>
            </w:pPr>
            <w:r>
              <w:t>Australia</w:t>
            </w:r>
            <w:r>
              <w:noBreakHyphen/>
              <w:t>wide, with state and territory detail</w:t>
            </w:r>
          </w:p>
        </w:tc>
        <w:tc>
          <w:tcPr>
            <w:tcW w:w="3425" w:type="dxa"/>
            <w:tcBorders>
              <w:top w:val="nil"/>
              <w:bottom w:val="nil"/>
            </w:tcBorders>
            <w:shd w:val="clear" w:color="000000" w:fill="auto"/>
          </w:tcPr>
          <w:p w14:paraId="09F791A7" w14:textId="77777777" w:rsidR="00DB2ED9" w:rsidRPr="005E6A25" w:rsidRDefault="00DB2ED9">
            <w:pPr>
              <w:pStyle w:val="TableBody"/>
              <w:keepNext/>
            </w:pPr>
            <w:r>
              <w:t>Australia</w:t>
            </w:r>
            <w:r>
              <w:noBreakHyphen/>
              <w:t>wide, with state and territory detail</w:t>
            </w:r>
          </w:p>
        </w:tc>
      </w:tr>
      <w:tr w:rsidR="00DB2ED9" w:rsidRPr="00030C67" w14:paraId="5D9438D7" w14:textId="77777777">
        <w:tc>
          <w:tcPr>
            <w:tcW w:w="1701" w:type="dxa"/>
            <w:tcBorders>
              <w:top w:val="nil"/>
              <w:bottom w:val="nil"/>
            </w:tcBorders>
            <w:shd w:val="clear" w:color="auto" w:fill="F2F2F2" w:themeFill="background1" w:themeFillShade="F2"/>
          </w:tcPr>
          <w:p w14:paraId="590D50E8" w14:textId="77777777" w:rsidR="00DB2ED9" w:rsidRPr="002405A7" w:rsidRDefault="00DB2ED9">
            <w:pPr>
              <w:pStyle w:val="TableBodyHeading"/>
              <w:keepNext/>
            </w:pPr>
            <w:r w:rsidRPr="002405A7">
              <w:t>Database</w:t>
            </w:r>
          </w:p>
        </w:tc>
        <w:tc>
          <w:tcPr>
            <w:tcW w:w="2268" w:type="dxa"/>
            <w:tcBorders>
              <w:top w:val="nil"/>
              <w:bottom w:val="nil"/>
            </w:tcBorders>
            <w:shd w:val="clear" w:color="auto" w:fill="F2F2F2" w:themeFill="background1" w:themeFillShade="F2"/>
          </w:tcPr>
          <w:p w14:paraId="6EE5B982" w14:textId="77777777" w:rsidR="00DB2ED9" w:rsidRPr="00C541C6" w:rsidRDefault="00DB2ED9">
            <w:pPr>
              <w:pStyle w:val="TableBody"/>
              <w:keepNext/>
            </w:pPr>
            <w:r w:rsidRPr="00C541C6">
              <w:t>2018</w:t>
            </w:r>
            <w:r>
              <w:noBreakHyphen/>
            </w:r>
            <w:r w:rsidRPr="00C541C6">
              <w:t>19</w:t>
            </w:r>
          </w:p>
        </w:tc>
        <w:tc>
          <w:tcPr>
            <w:tcW w:w="2268" w:type="dxa"/>
            <w:tcBorders>
              <w:top w:val="nil"/>
              <w:bottom w:val="nil"/>
            </w:tcBorders>
            <w:shd w:val="clear" w:color="auto" w:fill="F2F2F2" w:themeFill="background1" w:themeFillShade="F2"/>
          </w:tcPr>
          <w:p w14:paraId="7E0A9946" w14:textId="77777777" w:rsidR="00DB2ED9" w:rsidRPr="00C541C6" w:rsidRDefault="00DB2ED9">
            <w:pPr>
              <w:pStyle w:val="TableBody"/>
              <w:keepNext/>
            </w:pPr>
            <w:r w:rsidRPr="00C541C6">
              <w:t>2018</w:t>
            </w:r>
            <w:r>
              <w:noBreakHyphen/>
            </w:r>
            <w:r w:rsidRPr="00C541C6">
              <w:t>19</w:t>
            </w:r>
          </w:p>
        </w:tc>
        <w:tc>
          <w:tcPr>
            <w:tcW w:w="3425" w:type="dxa"/>
            <w:tcBorders>
              <w:top w:val="nil"/>
              <w:bottom w:val="nil"/>
            </w:tcBorders>
            <w:shd w:val="clear" w:color="auto" w:fill="F2F2F2" w:themeFill="background1" w:themeFillShade="F2"/>
          </w:tcPr>
          <w:p w14:paraId="77A705BE" w14:textId="77777777" w:rsidR="00DB2ED9" w:rsidRPr="00C541C6" w:rsidRDefault="00DB2ED9">
            <w:pPr>
              <w:pStyle w:val="TableBody"/>
              <w:keepNext/>
            </w:pPr>
            <w:r w:rsidRPr="00C541C6">
              <w:t>2018</w:t>
            </w:r>
            <w:r>
              <w:noBreakHyphen/>
            </w:r>
            <w:r w:rsidRPr="00C541C6">
              <w:t>19</w:t>
            </w:r>
          </w:p>
        </w:tc>
      </w:tr>
      <w:tr w:rsidR="00DB2ED9" w:rsidRPr="00030C67" w14:paraId="7D8779C5" w14:textId="77777777">
        <w:trPr>
          <w:trHeight w:val="63"/>
        </w:trPr>
        <w:tc>
          <w:tcPr>
            <w:tcW w:w="1701" w:type="dxa"/>
            <w:shd w:val="clear" w:color="auto" w:fill="auto"/>
          </w:tcPr>
          <w:p w14:paraId="1A5582D3" w14:textId="77777777" w:rsidR="00DB2ED9" w:rsidRPr="002405A7" w:rsidRDefault="00DB2ED9">
            <w:pPr>
              <w:pStyle w:val="TableBodyHeading"/>
            </w:pPr>
            <w:r w:rsidRPr="002405A7">
              <w:t>No. of industries</w:t>
            </w:r>
            <w:r>
              <w:t xml:space="preserve"> </w:t>
            </w:r>
          </w:p>
        </w:tc>
        <w:tc>
          <w:tcPr>
            <w:tcW w:w="2268" w:type="dxa"/>
            <w:shd w:val="clear" w:color="auto" w:fill="auto"/>
          </w:tcPr>
          <w:p w14:paraId="5D888FA6" w14:textId="77777777" w:rsidR="00DB2ED9" w:rsidRPr="005E6A25" w:rsidRDefault="00DB2ED9">
            <w:pPr>
              <w:pStyle w:val="TableBody"/>
            </w:pPr>
            <w:r w:rsidRPr="005E6A25">
              <w:t>114</w:t>
            </w:r>
          </w:p>
        </w:tc>
        <w:tc>
          <w:tcPr>
            <w:tcW w:w="2268" w:type="dxa"/>
            <w:shd w:val="clear" w:color="auto" w:fill="auto"/>
          </w:tcPr>
          <w:p w14:paraId="5AFBB995" w14:textId="77777777" w:rsidR="00DB2ED9" w:rsidRPr="005E6A25" w:rsidRDefault="00DB2ED9">
            <w:pPr>
              <w:pStyle w:val="TableBody"/>
            </w:pPr>
            <w:r w:rsidRPr="005E6A25">
              <w:t>114</w:t>
            </w:r>
          </w:p>
        </w:tc>
        <w:tc>
          <w:tcPr>
            <w:tcW w:w="3425" w:type="dxa"/>
            <w:shd w:val="clear" w:color="auto" w:fill="auto"/>
          </w:tcPr>
          <w:p w14:paraId="060B60A6" w14:textId="77777777" w:rsidR="00DB2ED9" w:rsidRPr="005E6A25" w:rsidRDefault="00DB2ED9">
            <w:pPr>
              <w:pStyle w:val="TableBody"/>
            </w:pPr>
            <w:r w:rsidRPr="005E6A25">
              <w:t>92</w:t>
            </w:r>
          </w:p>
        </w:tc>
      </w:tr>
      <w:tr w:rsidR="00DB2ED9" w:rsidRPr="00030C67" w14:paraId="2D468E28" w14:textId="77777777">
        <w:trPr>
          <w:trHeight w:val="63"/>
        </w:trPr>
        <w:tc>
          <w:tcPr>
            <w:tcW w:w="1701" w:type="dxa"/>
            <w:tcBorders>
              <w:bottom w:val="single" w:sz="4" w:space="0" w:color="B3B3B3"/>
            </w:tcBorders>
            <w:shd w:val="clear" w:color="auto" w:fill="F2F2F2" w:themeFill="background1" w:themeFillShade="F2"/>
          </w:tcPr>
          <w:p w14:paraId="515786FB" w14:textId="77777777" w:rsidR="00DB2ED9" w:rsidRPr="002405A7" w:rsidRDefault="00DB2ED9">
            <w:pPr>
              <w:pStyle w:val="TableBodyHeading"/>
            </w:pPr>
            <w:r>
              <w:t>Used for this study</w:t>
            </w:r>
          </w:p>
        </w:tc>
        <w:tc>
          <w:tcPr>
            <w:tcW w:w="2268" w:type="dxa"/>
            <w:tcBorders>
              <w:bottom w:val="single" w:sz="4" w:space="0" w:color="B3B3B3"/>
            </w:tcBorders>
            <w:shd w:val="clear" w:color="auto" w:fill="F2F2F2" w:themeFill="background1" w:themeFillShade="F2"/>
          </w:tcPr>
          <w:p w14:paraId="25E2344F" w14:textId="77777777" w:rsidR="00DB2ED9" w:rsidRPr="005E6A25" w:rsidRDefault="00DB2ED9">
            <w:pPr>
              <w:pStyle w:val="TableBody"/>
            </w:pPr>
            <w:r>
              <w:t>Yes</w:t>
            </w:r>
          </w:p>
        </w:tc>
        <w:tc>
          <w:tcPr>
            <w:tcW w:w="2268" w:type="dxa"/>
            <w:tcBorders>
              <w:bottom w:val="single" w:sz="4" w:space="0" w:color="B3B3B3"/>
            </w:tcBorders>
            <w:shd w:val="clear" w:color="auto" w:fill="F2F2F2" w:themeFill="background1" w:themeFillShade="F2"/>
          </w:tcPr>
          <w:p w14:paraId="71FD8E77" w14:textId="77777777" w:rsidR="00DB2ED9" w:rsidRPr="005E6A25" w:rsidRDefault="00DB2ED9">
            <w:pPr>
              <w:pStyle w:val="TableBody"/>
            </w:pPr>
            <w:r>
              <w:t>No</w:t>
            </w:r>
          </w:p>
        </w:tc>
        <w:tc>
          <w:tcPr>
            <w:tcW w:w="3425" w:type="dxa"/>
            <w:tcBorders>
              <w:bottom w:val="single" w:sz="4" w:space="0" w:color="B3B3B3"/>
            </w:tcBorders>
            <w:shd w:val="clear" w:color="auto" w:fill="F2F2F2" w:themeFill="background1" w:themeFillShade="F2"/>
          </w:tcPr>
          <w:p w14:paraId="274F6E48" w14:textId="77777777" w:rsidR="00DB2ED9" w:rsidRPr="005E6A25" w:rsidRDefault="00DB2ED9">
            <w:pPr>
              <w:pStyle w:val="TableBody"/>
            </w:pPr>
            <w:r>
              <w:t>Yes</w:t>
            </w:r>
          </w:p>
        </w:tc>
      </w:tr>
    </w:tbl>
    <w:p w14:paraId="06C871BF" w14:textId="33C0B959" w:rsidR="00DB2ED9" w:rsidRDefault="00DB2ED9">
      <w:pPr>
        <w:pStyle w:val="BodyText"/>
      </w:pPr>
      <w:r>
        <w:t xml:space="preserve">Not all proposed reforms were good candidates for CGE modelling. First, reforms were only suited to CGE modelling if their intended or expected impacts could be identified and estimated </w:t>
      </w:r>
      <w:r w:rsidR="00677CD6">
        <w:t>–</w:t>
      </w:r>
      <w:r>
        <w:t xml:space="preserve"> though, as discussed above, for some reforms we addressed this by focussing on outcomes or scenarios. </w:t>
      </w:r>
    </w:p>
    <w:p w14:paraId="52C05E5D" w14:textId="77777777" w:rsidR="00DB2ED9" w:rsidRDefault="00DB2ED9">
      <w:pPr>
        <w:pStyle w:val="BodyText"/>
      </w:pPr>
      <w:r>
        <w:t>A second requirement is that the direct effects were sufficiently large, so as to produce non</w:t>
      </w:r>
      <w:r>
        <w:noBreakHyphen/>
        <w:t>negligible changes in the model. There</w:t>
      </w:r>
      <w:r w:rsidDel="00727B13">
        <w:t xml:space="preserve"> </w:t>
      </w:r>
      <w:r>
        <w:t>were several reforms that were likely to produce material effects in specific markets, but those markets are small in the context of the broader Australian economy. Examples of reforms in this category include the reforms for:</w:t>
      </w:r>
    </w:p>
    <w:p w14:paraId="38F0F58B" w14:textId="77777777" w:rsidR="00DB2ED9" w:rsidRPr="00C6187E" w:rsidRDefault="00DB2ED9">
      <w:pPr>
        <w:pStyle w:val="ListBullet"/>
      </w:pPr>
      <w:r w:rsidRPr="00C6187E">
        <w:t>e</w:t>
      </w:r>
      <w:r>
        <w:noBreakHyphen/>
      </w:r>
      <w:r w:rsidRPr="00C6187E">
        <w:t>conveyancing (B5)</w:t>
      </w:r>
    </w:p>
    <w:p w14:paraId="0F08B495" w14:textId="77777777" w:rsidR="00DB2ED9" w:rsidRPr="00C6187E" w:rsidRDefault="00DB2ED9">
      <w:pPr>
        <w:pStyle w:val="ListBullet"/>
      </w:pPr>
      <w:r w:rsidRPr="004243C9">
        <w:t xml:space="preserve">adopting a standard for charging plugs for electric vehicles </w:t>
      </w:r>
      <w:r>
        <w:t xml:space="preserve">(EVs) </w:t>
      </w:r>
      <w:r w:rsidRPr="004243C9">
        <w:t xml:space="preserve">(NZ4). </w:t>
      </w:r>
    </w:p>
    <w:p w14:paraId="5C047EDC" w14:textId="77777777" w:rsidR="00DB2ED9" w:rsidRDefault="00DB2ED9">
      <w:pPr>
        <w:pStyle w:val="BodyText"/>
      </w:pPr>
      <w:r>
        <w:lastRenderedPageBreak/>
        <w:t xml:space="preserve">This means that, although a small number of individuals or businesses may be significantly impacted, those impacts would be lost if analysed through a CGE framework. In these instances, the effects of the reforms were best understood through a sectoral analysis of the reform, which is the approach we took. </w:t>
      </w:r>
    </w:p>
    <w:p w14:paraId="3383A9BF" w14:textId="77777777" w:rsidR="00DB2ED9" w:rsidRDefault="00DB2ED9">
      <w:pPr>
        <w:pStyle w:val="BodyText"/>
      </w:pPr>
      <w:r w:rsidRPr="00E467E0">
        <w:t xml:space="preserve">In </w:t>
      </w:r>
      <w:r w:rsidRPr="00095BAE">
        <w:t xml:space="preserve">total, 19 of the </w:t>
      </w:r>
      <w:r w:rsidRPr="00E467E0">
        <w:t xml:space="preserve">26 reforms were </w:t>
      </w:r>
      <w:r>
        <w:t>at least in part</w:t>
      </w:r>
      <w:r w:rsidRPr="00E467E0">
        <w:t xml:space="preserve"> modelled via CGE modelling.</w:t>
      </w:r>
    </w:p>
    <w:p w14:paraId="5D13C679" w14:textId="77777777" w:rsidR="00DB2ED9" w:rsidRDefault="00DB2ED9">
      <w:pPr>
        <w:pStyle w:val="Heading2-nonumber"/>
      </w:pPr>
      <w:bookmarkStart w:id="55" w:name="_Toc181107366"/>
      <w:bookmarkStart w:id="56" w:name="_Toc181339537"/>
      <w:bookmarkStart w:id="57" w:name="_Toc181360246"/>
      <w:r w:rsidRPr="00374968">
        <w:t xml:space="preserve">What </w:t>
      </w:r>
      <w:r>
        <w:t>did we find?</w:t>
      </w:r>
      <w:bookmarkEnd w:id="55"/>
      <w:bookmarkEnd w:id="56"/>
      <w:bookmarkEnd w:id="57"/>
    </w:p>
    <w:p w14:paraId="5AB1F1BD" w14:textId="77777777" w:rsidR="00DB2ED9" w:rsidRDefault="00DB2ED9">
      <w:pPr>
        <w:pStyle w:val="Heading3"/>
      </w:pPr>
      <w:bookmarkStart w:id="58" w:name="_Toc181174217"/>
      <w:bookmarkStart w:id="59" w:name="_Toc181360247"/>
      <w:r>
        <w:t>The proposed reforms will boost GDP</w:t>
      </w:r>
      <w:bookmarkEnd w:id="58"/>
      <w:bookmarkEnd w:id="59"/>
    </w:p>
    <w:p w14:paraId="7793BB12" w14:textId="77777777" w:rsidR="00DB2ED9" w:rsidRPr="00B64850" w:rsidRDefault="00DB2ED9">
      <w:pPr>
        <w:pStyle w:val="BodyText"/>
      </w:pPr>
      <w:r>
        <w:t xml:space="preserve">The overall package of proposed reforms is expected to be good for the Australian economy. Based on the impacts that we could quantify, we estimate that the proposed reforms have the potential to </w:t>
      </w:r>
      <w:r w:rsidRPr="0094136D">
        <w:rPr>
          <w:b/>
          <w:bCs/>
        </w:rPr>
        <w:t>boost GDP by</w:t>
      </w:r>
      <w:r>
        <w:t xml:space="preserve"> </w:t>
      </w:r>
      <w:r w:rsidRPr="00440AEF">
        <w:rPr>
          <w:b/>
        </w:rPr>
        <w:t>$26</w:t>
      </w:r>
      <w:r w:rsidRPr="00440AEF">
        <w:t>–</w:t>
      </w:r>
      <w:r w:rsidRPr="00440AEF">
        <w:rPr>
          <w:b/>
        </w:rPr>
        <w:t xml:space="preserve">45 billion </w:t>
      </w:r>
      <w:r w:rsidRPr="00F42677">
        <w:rPr>
          <w:bCs/>
        </w:rPr>
        <w:t xml:space="preserve">or </w:t>
      </w:r>
      <w:r w:rsidRPr="00440AEF">
        <w:t xml:space="preserve">1.0–1.7% </w:t>
      </w:r>
      <w:r w:rsidRPr="00F42677">
        <w:rPr>
          <w:bCs/>
        </w:rPr>
        <w:t xml:space="preserve">of </w:t>
      </w:r>
      <w:r w:rsidRPr="002F5771">
        <w:rPr>
          <w:bCs/>
        </w:rPr>
        <w:t xml:space="preserve">GDP </w:t>
      </w:r>
      <w:r w:rsidRPr="002F5771">
        <w:t xml:space="preserve">in </w:t>
      </w:r>
      <w:r>
        <w:rPr>
          <w:bCs/>
        </w:rPr>
        <w:t>the long run (</w:t>
      </w:r>
      <w:r w:rsidRPr="002F5771">
        <w:t xml:space="preserve">in </w:t>
      </w:r>
      <w:r w:rsidRPr="00760DA7">
        <w:t>202</w:t>
      </w:r>
      <w:r>
        <w:t>3</w:t>
      </w:r>
      <w:r>
        <w:noBreakHyphen/>
      </w:r>
      <w:r w:rsidRPr="00760DA7">
        <w:t>2</w:t>
      </w:r>
      <w:r>
        <w:t>4</w:t>
      </w:r>
      <w:r w:rsidRPr="00760DA7">
        <w:t xml:space="preserve"> </w:t>
      </w:r>
      <w:r w:rsidRPr="002F5771">
        <w:rPr>
          <w:bCs/>
        </w:rPr>
        <w:t>dollars</w:t>
      </w:r>
      <w:r>
        <w:t>)</w:t>
      </w:r>
      <w:r w:rsidRPr="0094136D">
        <w:rPr>
          <w:bCs/>
        </w:rPr>
        <w:t>.</w:t>
      </w:r>
      <w:r>
        <w:t xml:space="preserve"> This equates to a permanent increase of about </w:t>
      </w:r>
      <w:r w:rsidRPr="00440AEF">
        <w:t xml:space="preserve">$3,000–5,000 </w:t>
      </w:r>
      <w:r>
        <w:t xml:space="preserve">per household. </w:t>
      </w:r>
      <w:r w:rsidRPr="00B24759">
        <w:t>All CGE</w:t>
      </w:r>
      <w:r w:rsidRPr="00B24759">
        <w:noBreakHyphen/>
        <w:t xml:space="preserve">modelled reforms had </w:t>
      </w:r>
      <w:r>
        <w:t xml:space="preserve">the </w:t>
      </w:r>
      <w:r w:rsidRPr="00B24759">
        <w:t>effect of increasing GDP</w:t>
      </w:r>
      <w:r>
        <w:t xml:space="preserve"> (table 3)</w:t>
      </w:r>
      <w:r w:rsidRPr="00B24759">
        <w:t xml:space="preserve">, though some had small </w:t>
      </w:r>
      <w:r>
        <w:t>effects. The reforms with the greatest increase in GDP had economy</w:t>
      </w:r>
      <w:r>
        <w:noBreakHyphen/>
        <w:t xml:space="preserve">wide impacts and </w:t>
      </w:r>
      <w:r w:rsidRPr="0002519F">
        <w:t>include occupational licensing (L2), banking (D4), and distribution networks (B7</w:t>
      </w:r>
      <w:r>
        <w:t xml:space="preserve">) (the effect of each individual reform is discussed in the next section of this report). The permanent boost to gross state products (GSP) from the reform package is reported in table 4. </w:t>
      </w:r>
    </w:p>
    <w:p w14:paraId="797C9274" w14:textId="77777777" w:rsidR="00DB2ED9" w:rsidRDefault="00DB2ED9">
      <w:pPr>
        <w:pStyle w:val="BodyText"/>
      </w:pPr>
      <w:r>
        <w:t xml:space="preserve">Overall, these estimates should be considered an </w:t>
      </w:r>
      <w:r w:rsidRPr="000C7A0E">
        <w:rPr>
          <w:b/>
          <w:bCs/>
        </w:rPr>
        <w:t>outer envelope</w:t>
      </w:r>
      <w:r>
        <w:t xml:space="preserve"> of the possible GDP (and GSP) uplift from these reforms, in line with the Industry Commission’s approach to modelling of the Hilmer reforms in 1995.</w:t>
      </w:r>
      <w:r w:rsidDel="00253172">
        <w:t xml:space="preserve"> </w:t>
      </w:r>
      <w:r>
        <w:t xml:space="preserve">This is because many of the proposed reforms are best characterised as principles to foster improved efficiency or economic prosperity, rather than implementing specific, known and tangible changes. As discussed above, we took an </w:t>
      </w:r>
      <w:r w:rsidRPr="000C7A0E">
        <w:t>outcomes</w:t>
      </w:r>
      <w:r>
        <w:noBreakHyphen/>
      </w:r>
      <w:r w:rsidRPr="000C7A0E">
        <w:t xml:space="preserve"> or scenario</w:t>
      </w:r>
      <w:r>
        <w:noBreakHyphen/>
      </w:r>
      <w:r w:rsidRPr="000C7A0E">
        <w:t>based</w:t>
      </w:r>
      <w:r>
        <w:t xml:space="preserve"> approach to modelling many of the reforms, which yields estimates about the size of the potential benefits, leaving aside the question of how those benefits can be realised.</w:t>
      </w:r>
      <w:r w:rsidRPr="006339C5">
        <w:t xml:space="preserve"> </w:t>
      </w:r>
      <w:r>
        <w:t xml:space="preserve">(For a handful of reforms, we took a case study or elasticity approach to modelling, which means that the potential economic effects of those reforms could be greater than estimated.) </w:t>
      </w:r>
    </w:p>
    <w:p w14:paraId="3B0B6227" w14:textId="1A479978" w:rsidR="00DB2ED9" w:rsidRPr="004C12A1" w:rsidRDefault="00DB2ED9">
      <w:pPr>
        <w:pStyle w:val="BodyText"/>
      </w:pPr>
      <w:r>
        <w:t xml:space="preserve">It should also be noted that, whereas the Industry Commission </w:t>
      </w:r>
      <w:r w:rsidRPr="00263678">
        <w:rPr>
          <w:rFonts w:ascii="Arial" w:hAnsi="Arial" w:cs="Arial"/>
        </w:rPr>
        <w:t>(1995)</w:t>
      </w:r>
      <w:r>
        <w:t xml:space="preserve"> estimated a boost to GDP of up to 5.5% ($23 billion in 1993</w:t>
      </w:r>
      <w:r>
        <w:noBreakHyphen/>
        <w:t xml:space="preserve">94 dollars), the revised estimates a decade later </w:t>
      </w:r>
      <w:r w:rsidR="00677CD6">
        <w:t>–</w:t>
      </w:r>
      <w:r>
        <w:t xml:space="preserve"> once reform details and implementation approaches were evident </w:t>
      </w:r>
      <w:r w:rsidR="00677CD6">
        <w:t>–</w:t>
      </w:r>
      <w:r>
        <w:t xml:space="preserve"> were less than half that, at 2.5% of GDP ($20 billion presumably </w:t>
      </w:r>
      <w:r w:rsidRPr="007067C3">
        <w:t>in 2003</w:t>
      </w:r>
      <w:r>
        <w:noBreakHyphen/>
      </w:r>
      <w:r w:rsidRPr="007067C3">
        <w:t>04 dollars</w:t>
      </w:r>
      <w:r>
        <w:t xml:space="preserve">) </w:t>
      </w:r>
      <w:r w:rsidRPr="25C0CA02">
        <w:rPr>
          <w:rFonts w:ascii="Arial" w:hAnsi="Arial" w:cs="Arial"/>
        </w:rPr>
        <w:t>(PC 2005b)</w:t>
      </w:r>
      <w:r>
        <w:t xml:space="preserve">. This differential illustrates the difficulty of estimating expected benefits in the absence of full information about the scope of the reforms and how they will be implemented. This means there is a degree of uncertainty associated with the modelling that we did as part of this study and </w:t>
      </w:r>
      <w:r w:rsidRPr="00F05FF8">
        <w:t xml:space="preserve">reflects the need for caution when interpreting estimates </w:t>
      </w:r>
      <w:r>
        <w:t xml:space="preserve">about the impact of </w:t>
      </w:r>
      <w:r w:rsidRPr="00F05FF8">
        <w:t>future reforms</w:t>
      </w:r>
      <w:r w:rsidDel="00F05FF8">
        <w:t>.</w:t>
      </w:r>
    </w:p>
    <w:p w14:paraId="3EC14F4E" w14:textId="6C611D54" w:rsidR="00DB2ED9" w:rsidRDefault="00DB2ED9">
      <w:pPr>
        <w:pStyle w:val="BodyText"/>
      </w:pPr>
      <w:r>
        <w:t xml:space="preserve">As a percentage of GDP, the proposed reforms will have a smaller economic impact than the Hilmer reforms. However, it should be noted, that Australia’s economy has changed considerably since the time of the Hilmer reforms </w:t>
      </w:r>
      <w:r w:rsidR="00677CD6">
        <w:t>–</w:t>
      </w:r>
      <w:r>
        <w:t xml:space="preserve"> in part due to the reforms themselves. A larger and more complex economy means that reforms of any size will register as a smaller share of GDP today than three decades ago. As a rudimentary point of comparison, reforms worth </w:t>
      </w:r>
      <w:r w:rsidRPr="0002519F">
        <w:t>$23 billion in 1993</w:t>
      </w:r>
      <w:r w:rsidRPr="0002519F">
        <w:noBreakHyphen/>
        <w:t>94 are equivalent to about $52 billion in 2023</w:t>
      </w:r>
      <w:r w:rsidRPr="0002519F">
        <w:noBreakHyphen/>
        <w:t xml:space="preserve">24 </w:t>
      </w:r>
      <w:r w:rsidR="00677CD6">
        <w:t>–</w:t>
      </w:r>
      <w:r w:rsidRPr="0002519F">
        <w:t xml:space="preserve"> or, in other words, about 1.9% of GDP in 2023</w:t>
      </w:r>
      <w:r>
        <w:noBreakHyphen/>
      </w:r>
      <w:r w:rsidRPr="00760DA7">
        <w:t>2</w:t>
      </w:r>
      <w:r>
        <w:t>4.</w:t>
      </w:r>
    </w:p>
    <w:p w14:paraId="190C34B6" w14:textId="77777777" w:rsidR="00DB2ED9" w:rsidRDefault="00DB2ED9">
      <w:pPr>
        <w:spacing w:before="0" w:after="160" w:line="259" w:lineRule="auto"/>
        <w:rPr>
          <w:rFonts w:asciiTheme="majorHAnsi" w:hAnsiTheme="majorHAnsi"/>
          <w:iCs/>
          <w:color w:val="000000" w:themeColor="text1"/>
          <w:szCs w:val="18"/>
        </w:rPr>
      </w:pPr>
      <w:r>
        <w:br w:type="page"/>
      </w:r>
    </w:p>
    <w:p w14:paraId="044EE7A3" w14:textId="77777777" w:rsidR="00DB2ED9" w:rsidRDefault="00DB2ED9">
      <w:pPr>
        <w:pStyle w:val="FigureTableHeading"/>
      </w:pPr>
      <w:r>
        <w:lastRenderedPageBreak/>
        <w:t xml:space="preserve">Table 3 </w:t>
      </w:r>
      <w:r>
        <w:rPr>
          <w:noProof/>
        </w:rPr>
        <w:t xml:space="preserve">– </w:t>
      </w:r>
      <w:r>
        <w:t xml:space="preserve">Headline economic effects </w:t>
      </w:r>
    </w:p>
    <w:tbl>
      <w:tblPr>
        <w:tblW w:w="9639" w:type="dxa"/>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426"/>
        <w:gridCol w:w="2835"/>
        <w:gridCol w:w="567"/>
        <w:gridCol w:w="708"/>
        <w:gridCol w:w="709"/>
        <w:gridCol w:w="705"/>
        <w:gridCol w:w="713"/>
        <w:gridCol w:w="2976"/>
      </w:tblGrid>
      <w:tr w:rsidR="00DB2ED9" w:rsidRPr="00F5280C" w14:paraId="7F9766F9" w14:textId="77777777">
        <w:trPr>
          <w:tblHeader/>
        </w:trPr>
        <w:tc>
          <w:tcPr>
            <w:tcW w:w="426" w:type="dxa"/>
            <w:tcBorders>
              <w:bottom w:val="single" w:sz="4" w:space="0" w:color="B3B3B3"/>
            </w:tcBorders>
            <w:shd w:val="clear" w:color="auto" w:fill="auto"/>
            <w:vAlign w:val="bottom"/>
          </w:tcPr>
          <w:p w14:paraId="6219108F" w14:textId="77777777" w:rsidR="00DB2ED9" w:rsidRPr="00F5280C" w:rsidRDefault="00DB2ED9">
            <w:pPr>
              <w:pStyle w:val="TableBodyHeading"/>
            </w:pPr>
            <w:r w:rsidRPr="00F5280C">
              <w:t>No.</w:t>
            </w:r>
          </w:p>
        </w:tc>
        <w:tc>
          <w:tcPr>
            <w:tcW w:w="2835" w:type="dxa"/>
            <w:tcBorders>
              <w:bottom w:val="single" w:sz="4" w:space="0" w:color="B3B3B3"/>
            </w:tcBorders>
            <w:shd w:val="clear" w:color="auto" w:fill="auto"/>
          </w:tcPr>
          <w:p w14:paraId="769D2E90" w14:textId="77777777" w:rsidR="00DB2ED9" w:rsidRPr="00F5280C" w:rsidRDefault="00DB2ED9">
            <w:pPr>
              <w:pStyle w:val="TableBodyHeading"/>
            </w:pPr>
            <w:r>
              <w:t>Short name</w:t>
            </w:r>
          </w:p>
        </w:tc>
        <w:tc>
          <w:tcPr>
            <w:tcW w:w="567" w:type="dxa"/>
            <w:tcBorders>
              <w:bottom w:val="single" w:sz="4" w:space="0" w:color="B3B3B3"/>
            </w:tcBorders>
            <w:shd w:val="clear" w:color="auto" w:fill="auto"/>
            <w:vAlign w:val="bottom"/>
          </w:tcPr>
          <w:p w14:paraId="07104ABE" w14:textId="77777777" w:rsidR="00DB2ED9" w:rsidRPr="00F5280C" w:rsidRDefault="00DB2ED9">
            <w:pPr>
              <w:pStyle w:val="TableBodyHeading"/>
            </w:pPr>
            <w:proofErr w:type="spellStart"/>
            <w:r w:rsidRPr="00CE4E70">
              <w:t>CGE</w:t>
            </w:r>
            <w:r w:rsidRPr="006126D4">
              <w:rPr>
                <w:vertAlign w:val="superscript"/>
              </w:rPr>
              <w:t>a</w:t>
            </w:r>
            <w:proofErr w:type="spellEnd"/>
          </w:p>
        </w:tc>
        <w:tc>
          <w:tcPr>
            <w:tcW w:w="1417" w:type="dxa"/>
            <w:gridSpan w:val="2"/>
            <w:tcBorders>
              <w:bottom w:val="single" w:sz="4" w:space="0" w:color="B3B3B3"/>
            </w:tcBorders>
            <w:shd w:val="clear" w:color="auto" w:fill="auto"/>
          </w:tcPr>
          <w:p w14:paraId="17101B64" w14:textId="77777777" w:rsidR="00DB2ED9" w:rsidRPr="00CE4E70" w:rsidRDefault="00DB2ED9">
            <w:pPr>
              <w:pStyle w:val="TableBodyHeading"/>
              <w:jc w:val="center"/>
            </w:pPr>
            <w:r w:rsidRPr="00CE4E70">
              <w:t>GDP</w:t>
            </w:r>
            <w:r>
              <w:t xml:space="preserve"> ($</w:t>
            </w:r>
            <w:proofErr w:type="gramStart"/>
            <w:r>
              <w:t>m)</w:t>
            </w:r>
            <w:r>
              <w:rPr>
                <w:vertAlign w:val="superscript"/>
              </w:rPr>
              <w:t>c</w:t>
            </w:r>
            <w:proofErr w:type="gramEnd"/>
          </w:p>
        </w:tc>
        <w:tc>
          <w:tcPr>
            <w:tcW w:w="1418" w:type="dxa"/>
            <w:gridSpan w:val="2"/>
            <w:tcBorders>
              <w:bottom w:val="single" w:sz="4" w:space="0" w:color="B3B3B3"/>
            </w:tcBorders>
            <w:shd w:val="clear" w:color="auto" w:fill="auto"/>
          </w:tcPr>
          <w:p w14:paraId="5FF77FED" w14:textId="77777777" w:rsidR="00DB2ED9" w:rsidRPr="00F5280C" w:rsidRDefault="00DB2ED9">
            <w:pPr>
              <w:pStyle w:val="TableBodyHeading"/>
              <w:jc w:val="center"/>
              <w:rPr>
                <w:vertAlign w:val="superscript"/>
              </w:rPr>
            </w:pPr>
            <w:r>
              <w:t>CPI (</w:t>
            </w:r>
            <w:proofErr w:type="gramStart"/>
            <w:r>
              <w:t>%)</w:t>
            </w:r>
            <w:r>
              <w:rPr>
                <w:vertAlign w:val="superscript"/>
              </w:rPr>
              <w:t>c</w:t>
            </w:r>
            <w:proofErr w:type="gramEnd"/>
          </w:p>
        </w:tc>
        <w:tc>
          <w:tcPr>
            <w:tcW w:w="2976" w:type="dxa"/>
            <w:tcBorders>
              <w:bottom w:val="single" w:sz="4" w:space="0" w:color="B3B3B3"/>
            </w:tcBorders>
            <w:shd w:val="clear" w:color="auto" w:fill="auto"/>
          </w:tcPr>
          <w:p w14:paraId="34F39492" w14:textId="77777777" w:rsidR="00DB2ED9" w:rsidRPr="00F5280C" w:rsidRDefault="00DB2ED9">
            <w:pPr>
              <w:pStyle w:val="TableBodyHeading"/>
            </w:pPr>
            <w:proofErr w:type="spellStart"/>
            <w:r>
              <w:t>Other</w:t>
            </w:r>
            <w:r>
              <w:rPr>
                <w:vertAlign w:val="superscript"/>
              </w:rPr>
              <w:t>d</w:t>
            </w:r>
            <w:proofErr w:type="spellEnd"/>
          </w:p>
        </w:tc>
      </w:tr>
      <w:tr w:rsidR="00DB2ED9" w:rsidRPr="003D2F30" w14:paraId="33B65D8E" w14:textId="77777777">
        <w:tc>
          <w:tcPr>
            <w:tcW w:w="3261" w:type="dxa"/>
            <w:gridSpan w:val="2"/>
            <w:tcBorders>
              <w:top w:val="nil"/>
              <w:bottom w:val="nil"/>
            </w:tcBorders>
            <w:shd w:val="clear" w:color="auto" w:fill="CBDDF2" w:themeFill="background2" w:themeFillTint="33"/>
          </w:tcPr>
          <w:p w14:paraId="6E5658AA" w14:textId="77777777" w:rsidR="00DB2ED9" w:rsidRPr="00611CB4" w:rsidRDefault="00DB2ED9">
            <w:pPr>
              <w:pStyle w:val="TableBodyHeading"/>
            </w:pPr>
            <w:r>
              <w:t>Dynamic business environment</w:t>
            </w:r>
          </w:p>
        </w:tc>
        <w:tc>
          <w:tcPr>
            <w:tcW w:w="567" w:type="dxa"/>
            <w:tcBorders>
              <w:top w:val="nil"/>
              <w:bottom w:val="nil"/>
            </w:tcBorders>
            <w:shd w:val="clear" w:color="auto" w:fill="CBDDF2" w:themeFill="background2" w:themeFillTint="33"/>
          </w:tcPr>
          <w:p w14:paraId="0194557E" w14:textId="77777777" w:rsidR="00DB2ED9" w:rsidRPr="003D2F30" w:rsidRDefault="00DB2ED9">
            <w:pPr>
              <w:pStyle w:val="TableBodyHeading"/>
            </w:pPr>
          </w:p>
        </w:tc>
        <w:tc>
          <w:tcPr>
            <w:tcW w:w="708" w:type="dxa"/>
            <w:tcBorders>
              <w:top w:val="nil"/>
              <w:bottom w:val="nil"/>
            </w:tcBorders>
            <w:shd w:val="clear" w:color="auto" w:fill="CBDDF2" w:themeFill="background2" w:themeFillTint="33"/>
          </w:tcPr>
          <w:p w14:paraId="32A06D42" w14:textId="77777777" w:rsidR="00DB2ED9" w:rsidRPr="00153293" w:rsidRDefault="00DB2ED9">
            <w:pPr>
              <w:pStyle w:val="TableBodyHeading"/>
              <w:jc w:val="right"/>
            </w:pPr>
            <w:r>
              <w:t>Lower</w:t>
            </w:r>
          </w:p>
        </w:tc>
        <w:tc>
          <w:tcPr>
            <w:tcW w:w="709" w:type="dxa"/>
            <w:tcBorders>
              <w:top w:val="nil"/>
              <w:bottom w:val="nil"/>
            </w:tcBorders>
            <w:shd w:val="clear" w:color="auto" w:fill="CBDDF2" w:themeFill="background2" w:themeFillTint="33"/>
          </w:tcPr>
          <w:p w14:paraId="4F8C5671" w14:textId="469533B3" w:rsidR="00DB2ED9" w:rsidRPr="00153293" w:rsidRDefault="00193A05">
            <w:pPr>
              <w:pStyle w:val="TableBodyHeading"/>
              <w:jc w:val="right"/>
            </w:pPr>
            <w:r>
              <w:t>Upper</w:t>
            </w:r>
          </w:p>
        </w:tc>
        <w:tc>
          <w:tcPr>
            <w:tcW w:w="705" w:type="dxa"/>
            <w:tcBorders>
              <w:top w:val="nil"/>
              <w:bottom w:val="nil"/>
            </w:tcBorders>
            <w:shd w:val="clear" w:color="auto" w:fill="CBDDF2" w:themeFill="background2" w:themeFillTint="33"/>
          </w:tcPr>
          <w:p w14:paraId="55DD0DBF" w14:textId="77777777" w:rsidR="00DB2ED9" w:rsidRPr="00153293" w:rsidRDefault="00DB2ED9">
            <w:pPr>
              <w:pStyle w:val="TableBodyHeading"/>
              <w:jc w:val="right"/>
            </w:pPr>
            <w:r>
              <w:t>Lower</w:t>
            </w:r>
          </w:p>
        </w:tc>
        <w:tc>
          <w:tcPr>
            <w:tcW w:w="713" w:type="dxa"/>
            <w:tcBorders>
              <w:top w:val="nil"/>
              <w:bottom w:val="nil"/>
            </w:tcBorders>
            <w:shd w:val="clear" w:color="auto" w:fill="CBDDF2" w:themeFill="background2" w:themeFillTint="33"/>
          </w:tcPr>
          <w:p w14:paraId="1C652EB5" w14:textId="2C9AA46E" w:rsidR="00DB2ED9" w:rsidRPr="00153293" w:rsidRDefault="00193A05">
            <w:pPr>
              <w:pStyle w:val="TableBodyHeading"/>
              <w:jc w:val="right"/>
            </w:pPr>
            <w:r>
              <w:t>Upper</w:t>
            </w:r>
          </w:p>
        </w:tc>
        <w:tc>
          <w:tcPr>
            <w:tcW w:w="2976" w:type="dxa"/>
            <w:tcBorders>
              <w:top w:val="nil"/>
              <w:bottom w:val="nil"/>
            </w:tcBorders>
            <w:shd w:val="clear" w:color="auto" w:fill="CBDDF2" w:themeFill="background2" w:themeFillTint="33"/>
          </w:tcPr>
          <w:p w14:paraId="70BD92D1" w14:textId="77777777" w:rsidR="00DB2ED9" w:rsidRPr="00153293" w:rsidRDefault="00DB2ED9">
            <w:pPr>
              <w:pStyle w:val="TableBodyHeading"/>
            </w:pPr>
          </w:p>
        </w:tc>
      </w:tr>
      <w:tr w:rsidR="00DB2ED9" w14:paraId="6C3B61B9" w14:textId="77777777">
        <w:tc>
          <w:tcPr>
            <w:tcW w:w="426" w:type="dxa"/>
            <w:tcBorders>
              <w:top w:val="nil"/>
              <w:bottom w:val="nil"/>
            </w:tcBorders>
            <w:shd w:val="clear" w:color="auto" w:fill="auto"/>
          </w:tcPr>
          <w:p w14:paraId="762FCD5A" w14:textId="77777777" w:rsidR="00DB2ED9" w:rsidRDefault="00DB2ED9">
            <w:pPr>
              <w:pStyle w:val="TableBodyHeading"/>
            </w:pPr>
            <w:r>
              <w:t>B1</w:t>
            </w:r>
          </w:p>
        </w:tc>
        <w:tc>
          <w:tcPr>
            <w:tcW w:w="2835" w:type="dxa"/>
            <w:tcBorders>
              <w:top w:val="nil"/>
              <w:bottom w:val="nil"/>
            </w:tcBorders>
            <w:shd w:val="clear" w:color="auto" w:fill="auto"/>
          </w:tcPr>
          <w:p w14:paraId="22E5DB73" w14:textId="77777777" w:rsidR="00DB2ED9" w:rsidRDefault="00DB2ED9">
            <w:pPr>
              <w:pStyle w:val="TableBody"/>
            </w:pPr>
            <w:r>
              <w:t xml:space="preserve">Overseas standards </w:t>
            </w:r>
          </w:p>
        </w:tc>
        <w:tc>
          <w:tcPr>
            <w:tcW w:w="567" w:type="dxa"/>
            <w:tcBorders>
              <w:top w:val="nil"/>
              <w:bottom w:val="nil"/>
              <w:right w:val="nil"/>
            </w:tcBorders>
            <w:shd w:val="clear" w:color="auto" w:fill="auto"/>
          </w:tcPr>
          <w:p w14:paraId="67209807" w14:textId="77777777" w:rsidR="00DB2ED9" w:rsidRDefault="00DB2ED9">
            <w:pPr>
              <w:pStyle w:val="TableBody"/>
            </w:pPr>
            <w:r>
              <w:t>..</w:t>
            </w:r>
          </w:p>
        </w:tc>
        <w:tc>
          <w:tcPr>
            <w:tcW w:w="708" w:type="dxa"/>
            <w:tcBorders>
              <w:top w:val="nil"/>
              <w:left w:val="nil"/>
              <w:bottom w:val="nil"/>
              <w:right w:val="nil"/>
            </w:tcBorders>
            <w:shd w:val="clear" w:color="auto" w:fill="auto"/>
          </w:tcPr>
          <w:p w14:paraId="687528CB" w14:textId="77777777" w:rsidR="00DB2ED9" w:rsidRPr="00C70A13" w:rsidRDefault="00DB2ED9">
            <w:pPr>
              <w:pStyle w:val="TableBody"/>
              <w:ind w:right="57"/>
              <w:jc w:val="right"/>
            </w:pPr>
            <w:r w:rsidRPr="00C70A13">
              <w:t>..</w:t>
            </w:r>
          </w:p>
        </w:tc>
        <w:tc>
          <w:tcPr>
            <w:tcW w:w="709" w:type="dxa"/>
            <w:tcBorders>
              <w:top w:val="nil"/>
              <w:left w:val="nil"/>
              <w:bottom w:val="nil"/>
              <w:right w:val="nil"/>
            </w:tcBorders>
            <w:shd w:val="clear" w:color="auto" w:fill="auto"/>
          </w:tcPr>
          <w:p w14:paraId="71AAF54B" w14:textId="77777777" w:rsidR="00DB2ED9" w:rsidRPr="00C70A13" w:rsidRDefault="00DB2ED9">
            <w:pPr>
              <w:pStyle w:val="TableBody"/>
              <w:ind w:right="57"/>
              <w:jc w:val="right"/>
            </w:pPr>
            <w:r w:rsidRPr="00C70A13">
              <w:t>..</w:t>
            </w:r>
          </w:p>
        </w:tc>
        <w:tc>
          <w:tcPr>
            <w:tcW w:w="705" w:type="dxa"/>
            <w:tcBorders>
              <w:top w:val="nil"/>
              <w:left w:val="nil"/>
              <w:bottom w:val="nil"/>
            </w:tcBorders>
            <w:shd w:val="clear" w:color="auto" w:fill="auto"/>
          </w:tcPr>
          <w:p w14:paraId="4691409F" w14:textId="77777777" w:rsidR="00DB2ED9" w:rsidRPr="00C70A13" w:rsidRDefault="00DB2ED9">
            <w:pPr>
              <w:pStyle w:val="TableBody"/>
              <w:ind w:right="57"/>
              <w:jc w:val="right"/>
            </w:pPr>
            <w:r w:rsidRPr="00C70A13">
              <w:t>..</w:t>
            </w:r>
          </w:p>
        </w:tc>
        <w:tc>
          <w:tcPr>
            <w:tcW w:w="713" w:type="dxa"/>
            <w:tcBorders>
              <w:top w:val="nil"/>
              <w:bottom w:val="nil"/>
              <w:right w:val="nil"/>
            </w:tcBorders>
            <w:shd w:val="clear" w:color="auto" w:fill="auto"/>
          </w:tcPr>
          <w:p w14:paraId="4D68EFB3" w14:textId="77777777" w:rsidR="00DB2ED9" w:rsidRPr="00C70A13" w:rsidRDefault="00DB2ED9">
            <w:pPr>
              <w:pStyle w:val="TableBody"/>
              <w:ind w:right="57"/>
              <w:jc w:val="right"/>
            </w:pPr>
            <w:r w:rsidRPr="00C70A13">
              <w:t>..</w:t>
            </w:r>
          </w:p>
        </w:tc>
        <w:tc>
          <w:tcPr>
            <w:tcW w:w="2976" w:type="dxa"/>
            <w:tcBorders>
              <w:top w:val="nil"/>
              <w:left w:val="nil"/>
              <w:bottom w:val="nil"/>
            </w:tcBorders>
            <w:shd w:val="clear" w:color="auto" w:fill="auto"/>
          </w:tcPr>
          <w:p w14:paraId="4DC07AFF" w14:textId="77777777" w:rsidR="00DB2ED9" w:rsidRDefault="00DB2ED9">
            <w:pPr>
              <w:pStyle w:val="TableBody"/>
            </w:pPr>
            <w:r>
              <w:t>Product variety</w:t>
            </w:r>
          </w:p>
        </w:tc>
      </w:tr>
      <w:tr w:rsidR="00DB2ED9" w:rsidRPr="003D2F30" w14:paraId="23BDDD7E" w14:textId="77777777">
        <w:tc>
          <w:tcPr>
            <w:tcW w:w="426" w:type="dxa"/>
            <w:tcBorders>
              <w:top w:val="nil"/>
              <w:bottom w:val="nil"/>
            </w:tcBorders>
            <w:shd w:val="clear" w:color="auto" w:fill="F2F2F2" w:themeFill="background1" w:themeFillShade="F2"/>
          </w:tcPr>
          <w:p w14:paraId="3D20F549" w14:textId="77777777" w:rsidR="00DB2ED9" w:rsidRPr="00611CB4" w:rsidRDefault="00DB2ED9">
            <w:pPr>
              <w:pStyle w:val="TableBodyHeading"/>
              <w:rPr>
                <w:color w:val="auto"/>
              </w:rPr>
            </w:pPr>
            <w:r>
              <w:t>B2</w:t>
            </w:r>
          </w:p>
        </w:tc>
        <w:tc>
          <w:tcPr>
            <w:tcW w:w="2835" w:type="dxa"/>
            <w:tcBorders>
              <w:top w:val="nil"/>
              <w:bottom w:val="nil"/>
            </w:tcBorders>
            <w:shd w:val="clear" w:color="auto" w:fill="F2F2F2" w:themeFill="background1" w:themeFillShade="F2"/>
          </w:tcPr>
          <w:p w14:paraId="346ECDC2" w14:textId="77777777" w:rsidR="00DB2ED9" w:rsidRPr="00611CB4" w:rsidRDefault="00DB2ED9">
            <w:pPr>
              <w:pStyle w:val="TableBody"/>
            </w:pPr>
            <w:r>
              <w:t>Commercial planning and zoning</w:t>
            </w:r>
          </w:p>
        </w:tc>
        <w:tc>
          <w:tcPr>
            <w:tcW w:w="567" w:type="dxa"/>
            <w:tcBorders>
              <w:top w:val="nil"/>
              <w:bottom w:val="nil"/>
              <w:right w:val="nil"/>
            </w:tcBorders>
            <w:shd w:val="clear" w:color="auto" w:fill="F2F2F2" w:themeFill="background1" w:themeFillShade="F2"/>
          </w:tcPr>
          <w:p w14:paraId="19D855F5" w14:textId="77777777" w:rsidR="00DB2ED9" w:rsidRPr="003D2F30" w:rsidRDefault="00DB2ED9">
            <w:pPr>
              <w:pStyle w:val="TableBody"/>
            </w:pPr>
            <w:proofErr w:type="spellStart"/>
            <w:r w:rsidRPr="007D4ECB">
              <w:t>Yes</w:t>
            </w:r>
            <w:r>
              <w:rPr>
                <w:b/>
                <w:bCs/>
                <w:vertAlign w:val="superscript"/>
              </w:rPr>
              <w:t>b</w:t>
            </w:r>
            <w:proofErr w:type="spellEnd"/>
          </w:p>
        </w:tc>
        <w:tc>
          <w:tcPr>
            <w:tcW w:w="708" w:type="dxa"/>
            <w:tcBorders>
              <w:top w:val="nil"/>
              <w:left w:val="nil"/>
              <w:bottom w:val="nil"/>
              <w:right w:val="nil"/>
            </w:tcBorders>
            <w:shd w:val="clear" w:color="auto" w:fill="F2F2F2" w:themeFill="background1" w:themeFillShade="F2"/>
          </w:tcPr>
          <w:p w14:paraId="1B66609D" w14:textId="77777777" w:rsidR="00DB2ED9" w:rsidRPr="00C70A13" w:rsidRDefault="00DB2ED9">
            <w:pPr>
              <w:pStyle w:val="TableBody"/>
              <w:ind w:right="57"/>
              <w:jc w:val="right"/>
            </w:pPr>
            <w:r w:rsidRPr="00C70A13">
              <w:t>..</w:t>
            </w:r>
          </w:p>
        </w:tc>
        <w:tc>
          <w:tcPr>
            <w:tcW w:w="709" w:type="dxa"/>
            <w:tcBorders>
              <w:top w:val="nil"/>
              <w:left w:val="nil"/>
              <w:bottom w:val="nil"/>
              <w:right w:val="nil"/>
            </w:tcBorders>
            <w:shd w:val="clear" w:color="auto" w:fill="F2F2F2" w:themeFill="background1" w:themeFillShade="F2"/>
          </w:tcPr>
          <w:p w14:paraId="41951AE3" w14:textId="77777777" w:rsidR="00DB2ED9" w:rsidRPr="00C70A13" w:rsidRDefault="00DB2ED9">
            <w:pPr>
              <w:pStyle w:val="TableBody"/>
              <w:ind w:right="57"/>
              <w:jc w:val="right"/>
            </w:pPr>
            <w:r w:rsidRPr="00C70A13">
              <w:t>..</w:t>
            </w:r>
          </w:p>
        </w:tc>
        <w:tc>
          <w:tcPr>
            <w:tcW w:w="705" w:type="dxa"/>
            <w:tcBorders>
              <w:top w:val="nil"/>
              <w:left w:val="nil"/>
              <w:bottom w:val="nil"/>
            </w:tcBorders>
            <w:shd w:val="clear" w:color="auto" w:fill="F2F2F2" w:themeFill="background1" w:themeFillShade="F2"/>
          </w:tcPr>
          <w:p w14:paraId="1035449E" w14:textId="77777777" w:rsidR="00DB2ED9" w:rsidRPr="00C70A13" w:rsidRDefault="00DB2ED9">
            <w:pPr>
              <w:pStyle w:val="TableBody"/>
              <w:ind w:right="57"/>
              <w:jc w:val="right"/>
            </w:pPr>
            <w:r w:rsidRPr="00C70A13">
              <w:t>..</w:t>
            </w:r>
          </w:p>
        </w:tc>
        <w:tc>
          <w:tcPr>
            <w:tcW w:w="713" w:type="dxa"/>
            <w:tcBorders>
              <w:top w:val="nil"/>
              <w:bottom w:val="nil"/>
              <w:right w:val="nil"/>
            </w:tcBorders>
            <w:shd w:val="clear" w:color="auto" w:fill="F2F2F2" w:themeFill="background1" w:themeFillShade="F2"/>
          </w:tcPr>
          <w:p w14:paraId="6696262E" w14:textId="77777777" w:rsidR="00DB2ED9" w:rsidRPr="00C70A13" w:rsidRDefault="00DB2ED9">
            <w:pPr>
              <w:pStyle w:val="TableBody"/>
              <w:ind w:right="57"/>
              <w:jc w:val="right"/>
            </w:pPr>
            <w:r w:rsidRPr="00C70A13">
              <w:t>..</w:t>
            </w:r>
          </w:p>
        </w:tc>
        <w:tc>
          <w:tcPr>
            <w:tcW w:w="2976" w:type="dxa"/>
            <w:tcBorders>
              <w:top w:val="nil"/>
              <w:left w:val="nil"/>
              <w:bottom w:val="nil"/>
            </w:tcBorders>
            <w:shd w:val="clear" w:color="auto" w:fill="F2F2F2" w:themeFill="background1" w:themeFillShade="F2"/>
          </w:tcPr>
          <w:p w14:paraId="2943A92D" w14:textId="77777777" w:rsidR="00DB2ED9" w:rsidRPr="003D2F30" w:rsidRDefault="00DB2ED9">
            <w:pPr>
              <w:pStyle w:val="TableBody"/>
            </w:pPr>
            <w:r>
              <w:t>Higher land use value, competition in downstream markets</w:t>
            </w:r>
          </w:p>
        </w:tc>
      </w:tr>
      <w:tr w:rsidR="00DB2ED9" w:rsidRPr="003D2F30" w14:paraId="251B77E3" w14:textId="77777777">
        <w:tc>
          <w:tcPr>
            <w:tcW w:w="426" w:type="dxa"/>
            <w:tcBorders>
              <w:top w:val="nil"/>
              <w:bottom w:val="nil"/>
            </w:tcBorders>
            <w:shd w:val="clear" w:color="auto" w:fill="auto"/>
          </w:tcPr>
          <w:p w14:paraId="45E702D0" w14:textId="77777777" w:rsidR="00DB2ED9" w:rsidRPr="00611CB4" w:rsidRDefault="00DB2ED9">
            <w:pPr>
              <w:pStyle w:val="TableBodyHeading"/>
              <w:rPr>
                <w:color w:val="auto"/>
              </w:rPr>
            </w:pPr>
            <w:r>
              <w:t>B3</w:t>
            </w:r>
          </w:p>
        </w:tc>
        <w:tc>
          <w:tcPr>
            <w:tcW w:w="2835" w:type="dxa"/>
            <w:tcBorders>
              <w:top w:val="nil"/>
              <w:bottom w:val="nil"/>
            </w:tcBorders>
            <w:shd w:val="clear" w:color="auto" w:fill="auto"/>
          </w:tcPr>
          <w:p w14:paraId="4A63CFCF" w14:textId="77777777" w:rsidR="00DB2ED9" w:rsidRPr="00611CB4" w:rsidRDefault="00DB2ED9">
            <w:pPr>
              <w:pStyle w:val="TableBody"/>
            </w:pPr>
            <w:r>
              <w:t>Public procurement</w:t>
            </w:r>
          </w:p>
        </w:tc>
        <w:tc>
          <w:tcPr>
            <w:tcW w:w="567" w:type="dxa"/>
            <w:tcBorders>
              <w:top w:val="nil"/>
              <w:bottom w:val="nil"/>
              <w:right w:val="nil"/>
            </w:tcBorders>
            <w:shd w:val="clear" w:color="auto" w:fill="auto"/>
          </w:tcPr>
          <w:p w14:paraId="722827C4" w14:textId="77777777" w:rsidR="00DB2ED9" w:rsidRPr="003D2F30" w:rsidRDefault="00DB2ED9">
            <w:pPr>
              <w:pStyle w:val="TableBody"/>
            </w:pPr>
            <w:r>
              <w:t>Yes</w:t>
            </w:r>
          </w:p>
        </w:tc>
        <w:tc>
          <w:tcPr>
            <w:tcW w:w="708" w:type="dxa"/>
            <w:tcBorders>
              <w:top w:val="nil"/>
              <w:left w:val="nil"/>
              <w:bottom w:val="nil"/>
              <w:right w:val="nil"/>
            </w:tcBorders>
            <w:shd w:val="clear" w:color="auto" w:fill="auto"/>
          </w:tcPr>
          <w:p w14:paraId="098A75CE" w14:textId="77777777" w:rsidR="00DB2ED9" w:rsidRPr="00C70A13" w:rsidRDefault="00DB2ED9">
            <w:pPr>
              <w:pStyle w:val="TableBody"/>
              <w:ind w:right="57"/>
              <w:jc w:val="right"/>
            </w:pPr>
            <w:r w:rsidRPr="00C70A13">
              <w:t>..</w:t>
            </w:r>
          </w:p>
        </w:tc>
        <w:tc>
          <w:tcPr>
            <w:tcW w:w="709" w:type="dxa"/>
            <w:tcBorders>
              <w:top w:val="nil"/>
              <w:left w:val="nil"/>
              <w:bottom w:val="nil"/>
              <w:right w:val="nil"/>
            </w:tcBorders>
            <w:shd w:val="clear" w:color="auto" w:fill="auto"/>
          </w:tcPr>
          <w:p w14:paraId="1FD60D05" w14:textId="77777777" w:rsidR="00DB2ED9" w:rsidRPr="00C70A13" w:rsidRDefault="00DB2ED9">
            <w:pPr>
              <w:pStyle w:val="TableBody"/>
              <w:ind w:right="57"/>
              <w:jc w:val="right"/>
            </w:pPr>
            <w:r w:rsidRPr="00C70A13">
              <w:t>34</w:t>
            </w:r>
          </w:p>
        </w:tc>
        <w:tc>
          <w:tcPr>
            <w:tcW w:w="705" w:type="dxa"/>
            <w:tcBorders>
              <w:top w:val="nil"/>
              <w:left w:val="nil"/>
              <w:bottom w:val="nil"/>
            </w:tcBorders>
            <w:shd w:val="clear" w:color="auto" w:fill="auto"/>
          </w:tcPr>
          <w:p w14:paraId="71BE4098" w14:textId="77777777" w:rsidR="00DB2ED9" w:rsidRPr="00C70A13" w:rsidRDefault="00DB2ED9">
            <w:pPr>
              <w:pStyle w:val="TableBody"/>
              <w:ind w:right="57"/>
              <w:jc w:val="right"/>
            </w:pPr>
          </w:p>
        </w:tc>
        <w:tc>
          <w:tcPr>
            <w:tcW w:w="713" w:type="dxa"/>
            <w:tcBorders>
              <w:top w:val="nil"/>
              <w:bottom w:val="nil"/>
              <w:right w:val="nil"/>
            </w:tcBorders>
            <w:shd w:val="clear" w:color="auto" w:fill="auto"/>
          </w:tcPr>
          <w:p w14:paraId="2AC107DF" w14:textId="77777777" w:rsidR="00DB2ED9" w:rsidRPr="00C70A13" w:rsidRDefault="00DB2ED9">
            <w:pPr>
              <w:pStyle w:val="TableBody"/>
              <w:ind w:right="57"/>
              <w:jc w:val="right"/>
            </w:pPr>
            <w:r w:rsidRPr="00C70A13">
              <w:noBreakHyphen/>
              <w:t>0.00</w:t>
            </w:r>
          </w:p>
        </w:tc>
        <w:tc>
          <w:tcPr>
            <w:tcW w:w="2976" w:type="dxa"/>
            <w:tcBorders>
              <w:top w:val="nil"/>
              <w:left w:val="nil"/>
              <w:bottom w:val="nil"/>
            </w:tcBorders>
            <w:shd w:val="clear" w:color="auto" w:fill="auto"/>
          </w:tcPr>
          <w:p w14:paraId="4A57CB34" w14:textId="77777777" w:rsidR="00DB2ED9" w:rsidRPr="003D2F30" w:rsidRDefault="00DB2ED9">
            <w:pPr>
              <w:pStyle w:val="TableBody"/>
            </w:pPr>
            <w:r>
              <w:t>..</w:t>
            </w:r>
          </w:p>
        </w:tc>
      </w:tr>
      <w:tr w:rsidR="00DB2ED9" w:rsidRPr="003D2F30" w14:paraId="75F3EADE" w14:textId="77777777">
        <w:tc>
          <w:tcPr>
            <w:tcW w:w="426" w:type="dxa"/>
            <w:tcBorders>
              <w:top w:val="nil"/>
              <w:bottom w:val="nil"/>
            </w:tcBorders>
            <w:shd w:val="clear" w:color="auto" w:fill="F2F2F2" w:themeFill="background1" w:themeFillShade="F2"/>
          </w:tcPr>
          <w:p w14:paraId="29D30BD2" w14:textId="77777777" w:rsidR="00DB2ED9" w:rsidRPr="00611CB4" w:rsidRDefault="00DB2ED9">
            <w:pPr>
              <w:pStyle w:val="TableBodyHeading"/>
              <w:rPr>
                <w:color w:val="auto"/>
              </w:rPr>
            </w:pPr>
            <w:r>
              <w:t>B4</w:t>
            </w:r>
          </w:p>
        </w:tc>
        <w:tc>
          <w:tcPr>
            <w:tcW w:w="2835" w:type="dxa"/>
            <w:tcBorders>
              <w:top w:val="nil"/>
              <w:bottom w:val="nil"/>
            </w:tcBorders>
            <w:shd w:val="clear" w:color="auto" w:fill="F2F2F2" w:themeFill="background1" w:themeFillShade="F2"/>
          </w:tcPr>
          <w:p w14:paraId="20792E4A" w14:textId="77777777" w:rsidR="00DB2ED9" w:rsidRPr="00611CB4" w:rsidRDefault="00DB2ED9">
            <w:pPr>
              <w:pStyle w:val="TableBody"/>
            </w:pPr>
            <w:proofErr w:type="spellStart"/>
            <w:r>
              <w:t>Phoenixing</w:t>
            </w:r>
            <w:proofErr w:type="spellEnd"/>
          </w:p>
        </w:tc>
        <w:tc>
          <w:tcPr>
            <w:tcW w:w="567" w:type="dxa"/>
            <w:tcBorders>
              <w:top w:val="nil"/>
              <w:bottom w:val="nil"/>
              <w:right w:val="nil"/>
            </w:tcBorders>
            <w:shd w:val="clear" w:color="auto" w:fill="F2F2F2" w:themeFill="background1" w:themeFillShade="F2"/>
          </w:tcPr>
          <w:p w14:paraId="63F18CCB" w14:textId="77777777" w:rsidR="00DB2ED9" w:rsidRPr="003D2F30" w:rsidRDefault="00DB2ED9">
            <w:pPr>
              <w:pStyle w:val="TableBody"/>
            </w:pPr>
            <w:r>
              <w:t>..</w:t>
            </w:r>
          </w:p>
        </w:tc>
        <w:tc>
          <w:tcPr>
            <w:tcW w:w="708" w:type="dxa"/>
            <w:tcBorders>
              <w:top w:val="nil"/>
              <w:left w:val="nil"/>
              <w:bottom w:val="nil"/>
              <w:right w:val="nil"/>
            </w:tcBorders>
            <w:shd w:val="clear" w:color="auto" w:fill="F2F2F2" w:themeFill="background1" w:themeFillShade="F2"/>
          </w:tcPr>
          <w:p w14:paraId="44B345A0" w14:textId="77777777" w:rsidR="00DB2ED9" w:rsidRPr="00C70A13" w:rsidRDefault="00DB2ED9">
            <w:pPr>
              <w:pStyle w:val="TableBody"/>
              <w:ind w:right="57"/>
              <w:jc w:val="right"/>
            </w:pPr>
            <w:r w:rsidRPr="00C70A13">
              <w:t>..</w:t>
            </w:r>
          </w:p>
        </w:tc>
        <w:tc>
          <w:tcPr>
            <w:tcW w:w="709" w:type="dxa"/>
            <w:tcBorders>
              <w:top w:val="nil"/>
              <w:left w:val="nil"/>
              <w:bottom w:val="nil"/>
              <w:right w:val="nil"/>
            </w:tcBorders>
            <w:shd w:val="clear" w:color="auto" w:fill="F2F2F2" w:themeFill="background1" w:themeFillShade="F2"/>
          </w:tcPr>
          <w:p w14:paraId="2C82EAF6" w14:textId="77777777" w:rsidR="00DB2ED9" w:rsidRPr="00C70A13" w:rsidRDefault="00DB2ED9">
            <w:pPr>
              <w:pStyle w:val="TableBody"/>
              <w:ind w:right="57"/>
              <w:jc w:val="right"/>
            </w:pPr>
            <w:r w:rsidRPr="00C70A13">
              <w:t>..</w:t>
            </w:r>
          </w:p>
        </w:tc>
        <w:tc>
          <w:tcPr>
            <w:tcW w:w="705" w:type="dxa"/>
            <w:tcBorders>
              <w:top w:val="nil"/>
              <w:left w:val="nil"/>
              <w:bottom w:val="nil"/>
            </w:tcBorders>
            <w:shd w:val="clear" w:color="auto" w:fill="F2F2F2" w:themeFill="background1" w:themeFillShade="F2"/>
          </w:tcPr>
          <w:p w14:paraId="357C9F0F" w14:textId="77777777" w:rsidR="00DB2ED9" w:rsidRPr="00C70A13" w:rsidRDefault="00DB2ED9">
            <w:pPr>
              <w:pStyle w:val="TableBody"/>
              <w:ind w:right="57"/>
              <w:jc w:val="right"/>
            </w:pPr>
            <w:r w:rsidRPr="00C70A13">
              <w:t>..</w:t>
            </w:r>
          </w:p>
        </w:tc>
        <w:tc>
          <w:tcPr>
            <w:tcW w:w="713" w:type="dxa"/>
            <w:tcBorders>
              <w:top w:val="nil"/>
              <w:bottom w:val="nil"/>
              <w:right w:val="nil"/>
            </w:tcBorders>
            <w:shd w:val="clear" w:color="auto" w:fill="F2F2F2" w:themeFill="background1" w:themeFillShade="F2"/>
          </w:tcPr>
          <w:p w14:paraId="08EEC510" w14:textId="77777777" w:rsidR="00DB2ED9" w:rsidRPr="00C70A13" w:rsidRDefault="00DB2ED9">
            <w:pPr>
              <w:pStyle w:val="TableBody"/>
              <w:ind w:right="57"/>
              <w:jc w:val="right"/>
            </w:pPr>
            <w:r w:rsidRPr="00C70A13">
              <w:t>..</w:t>
            </w:r>
          </w:p>
        </w:tc>
        <w:tc>
          <w:tcPr>
            <w:tcW w:w="2976" w:type="dxa"/>
            <w:tcBorders>
              <w:top w:val="nil"/>
              <w:left w:val="nil"/>
              <w:bottom w:val="nil"/>
            </w:tcBorders>
            <w:shd w:val="clear" w:color="auto" w:fill="F2F2F2" w:themeFill="background1" w:themeFillShade="F2"/>
          </w:tcPr>
          <w:p w14:paraId="4B0ABCA5" w14:textId="77777777" w:rsidR="00DB2ED9" w:rsidRPr="003D2F30" w:rsidRDefault="00DB2ED9">
            <w:pPr>
              <w:pStyle w:val="TableBody"/>
            </w:pPr>
            <w:r>
              <w:t>Consumer confidence</w:t>
            </w:r>
          </w:p>
        </w:tc>
      </w:tr>
      <w:tr w:rsidR="00DB2ED9" w:rsidRPr="003D2F30" w14:paraId="4E21536E" w14:textId="77777777">
        <w:tc>
          <w:tcPr>
            <w:tcW w:w="426" w:type="dxa"/>
            <w:tcBorders>
              <w:top w:val="nil"/>
              <w:bottom w:val="nil"/>
            </w:tcBorders>
            <w:shd w:val="clear" w:color="auto" w:fill="auto"/>
          </w:tcPr>
          <w:p w14:paraId="29863A31" w14:textId="77777777" w:rsidR="00DB2ED9" w:rsidRPr="00611CB4" w:rsidRDefault="00DB2ED9">
            <w:pPr>
              <w:pStyle w:val="TableBodyHeading"/>
              <w:rPr>
                <w:color w:val="auto"/>
              </w:rPr>
            </w:pPr>
            <w:r>
              <w:t>B5</w:t>
            </w:r>
          </w:p>
        </w:tc>
        <w:tc>
          <w:tcPr>
            <w:tcW w:w="2835" w:type="dxa"/>
            <w:tcBorders>
              <w:top w:val="nil"/>
              <w:bottom w:val="nil"/>
            </w:tcBorders>
            <w:shd w:val="clear" w:color="auto" w:fill="auto"/>
          </w:tcPr>
          <w:p w14:paraId="1D7320E0" w14:textId="77777777" w:rsidR="00DB2ED9" w:rsidRPr="00611CB4" w:rsidRDefault="00DB2ED9">
            <w:pPr>
              <w:pStyle w:val="TableBody"/>
            </w:pPr>
            <w:r>
              <w:t>E</w:t>
            </w:r>
            <w:r>
              <w:noBreakHyphen/>
              <w:t>conveyancing</w:t>
            </w:r>
          </w:p>
        </w:tc>
        <w:tc>
          <w:tcPr>
            <w:tcW w:w="567" w:type="dxa"/>
            <w:tcBorders>
              <w:top w:val="nil"/>
              <w:bottom w:val="nil"/>
              <w:right w:val="nil"/>
            </w:tcBorders>
            <w:shd w:val="clear" w:color="auto" w:fill="auto"/>
          </w:tcPr>
          <w:p w14:paraId="64C0F841" w14:textId="77777777" w:rsidR="00DB2ED9" w:rsidRPr="003D2F30" w:rsidRDefault="00DB2ED9">
            <w:pPr>
              <w:pStyle w:val="TableBody"/>
            </w:pPr>
            <w:r>
              <w:t>..</w:t>
            </w:r>
          </w:p>
        </w:tc>
        <w:tc>
          <w:tcPr>
            <w:tcW w:w="708" w:type="dxa"/>
            <w:tcBorders>
              <w:top w:val="nil"/>
              <w:left w:val="nil"/>
              <w:bottom w:val="nil"/>
              <w:right w:val="nil"/>
            </w:tcBorders>
            <w:shd w:val="clear" w:color="auto" w:fill="auto"/>
          </w:tcPr>
          <w:p w14:paraId="5A00CF5F" w14:textId="77777777" w:rsidR="00DB2ED9" w:rsidRPr="00C70A13" w:rsidRDefault="00DB2ED9">
            <w:pPr>
              <w:pStyle w:val="TableBody"/>
              <w:ind w:right="57"/>
              <w:jc w:val="right"/>
            </w:pPr>
            <w:r w:rsidRPr="00C70A13">
              <w:t>..</w:t>
            </w:r>
          </w:p>
        </w:tc>
        <w:tc>
          <w:tcPr>
            <w:tcW w:w="709" w:type="dxa"/>
            <w:tcBorders>
              <w:top w:val="nil"/>
              <w:left w:val="nil"/>
              <w:bottom w:val="nil"/>
              <w:right w:val="nil"/>
            </w:tcBorders>
            <w:shd w:val="clear" w:color="auto" w:fill="auto"/>
          </w:tcPr>
          <w:p w14:paraId="6C204FB8" w14:textId="77777777" w:rsidR="00DB2ED9" w:rsidRPr="00C70A13" w:rsidRDefault="00DB2ED9">
            <w:pPr>
              <w:pStyle w:val="TableBody"/>
              <w:ind w:right="57"/>
              <w:jc w:val="right"/>
            </w:pPr>
            <w:r w:rsidRPr="00C70A13">
              <w:t>..</w:t>
            </w:r>
          </w:p>
        </w:tc>
        <w:tc>
          <w:tcPr>
            <w:tcW w:w="705" w:type="dxa"/>
            <w:tcBorders>
              <w:top w:val="nil"/>
              <w:left w:val="nil"/>
              <w:bottom w:val="nil"/>
            </w:tcBorders>
            <w:shd w:val="clear" w:color="auto" w:fill="auto"/>
          </w:tcPr>
          <w:p w14:paraId="2E9F2860" w14:textId="77777777" w:rsidR="00DB2ED9" w:rsidRPr="00C70A13" w:rsidRDefault="00DB2ED9">
            <w:pPr>
              <w:pStyle w:val="TableBody"/>
              <w:ind w:right="57"/>
              <w:jc w:val="right"/>
            </w:pPr>
            <w:r w:rsidRPr="00C70A13">
              <w:t>..</w:t>
            </w:r>
          </w:p>
        </w:tc>
        <w:tc>
          <w:tcPr>
            <w:tcW w:w="713" w:type="dxa"/>
            <w:tcBorders>
              <w:top w:val="nil"/>
              <w:bottom w:val="nil"/>
              <w:right w:val="nil"/>
            </w:tcBorders>
            <w:shd w:val="clear" w:color="auto" w:fill="auto"/>
          </w:tcPr>
          <w:p w14:paraId="2ADCBF52" w14:textId="77777777" w:rsidR="00DB2ED9" w:rsidRPr="00C70A13" w:rsidRDefault="00DB2ED9">
            <w:pPr>
              <w:pStyle w:val="TableBody"/>
              <w:ind w:right="57"/>
              <w:jc w:val="right"/>
            </w:pPr>
            <w:r w:rsidRPr="00C70A13">
              <w:t>..</w:t>
            </w:r>
          </w:p>
        </w:tc>
        <w:tc>
          <w:tcPr>
            <w:tcW w:w="2976" w:type="dxa"/>
            <w:tcBorders>
              <w:top w:val="nil"/>
              <w:left w:val="nil"/>
              <w:bottom w:val="nil"/>
            </w:tcBorders>
            <w:shd w:val="clear" w:color="auto" w:fill="auto"/>
          </w:tcPr>
          <w:p w14:paraId="71A47B76" w14:textId="77777777" w:rsidR="00DB2ED9" w:rsidRPr="003D2F30" w:rsidRDefault="00DB2ED9">
            <w:pPr>
              <w:pStyle w:val="TableBody"/>
            </w:pPr>
            <w:r>
              <w:t>..</w:t>
            </w:r>
          </w:p>
        </w:tc>
      </w:tr>
      <w:tr w:rsidR="00DB2ED9" w:rsidRPr="003D2F30" w14:paraId="72FB6DC0" w14:textId="77777777">
        <w:tc>
          <w:tcPr>
            <w:tcW w:w="426" w:type="dxa"/>
            <w:tcBorders>
              <w:top w:val="nil"/>
              <w:bottom w:val="nil"/>
            </w:tcBorders>
            <w:shd w:val="clear" w:color="auto" w:fill="F2F2F2" w:themeFill="background1" w:themeFillShade="F2"/>
          </w:tcPr>
          <w:p w14:paraId="6F8A7CA6" w14:textId="77777777" w:rsidR="00DB2ED9" w:rsidRPr="00611CB4" w:rsidRDefault="00DB2ED9">
            <w:pPr>
              <w:pStyle w:val="TableBodyHeading"/>
              <w:rPr>
                <w:color w:val="auto"/>
              </w:rPr>
            </w:pPr>
            <w:r>
              <w:t>B6</w:t>
            </w:r>
          </w:p>
        </w:tc>
        <w:tc>
          <w:tcPr>
            <w:tcW w:w="2835" w:type="dxa"/>
            <w:tcBorders>
              <w:top w:val="nil"/>
              <w:bottom w:val="nil"/>
            </w:tcBorders>
            <w:shd w:val="clear" w:color="auto" w:fill="F2F2F2" w:themeFill="background1" w:themeFillShade="F2"/>
          </w:tcPr>
          <w:p w14:paraId="2EDCD668" w14:textId="77777777" w:rsidR="00DB2ED9" w:rsidRPr="00611CB4" w:rsidRDefault="00DB2ED9">
            <w:pPr>
              <w:pStyle w:val="TableBody"/>
            </w:pPr>
            <w:r>
              <w:t>Marine freight industry</w:t>
            </w:r>
          </w:p>
        </w:tc>
        <w:tc>
          <w:tcPr>
            <w:tcW w:w="567" w:type="dxa"/>
            <w:tcBorders>
              <w:top w:val="nil"/>
              <w:bottom w:val="nil"/>
              <w:right w:val="nil"/>
            </w:tcBorders>
            <w:shd w:val="clear" w:color="auto" w:fill="F2F2F2" w:themeFill="background1" w:themeFillShade="F2"/>
          </w:tcPr>
          <w:p w14:paraId="691A0F0C" w14:textId="77777777" w:rsidR="00DB2ED9" w:rsidRPr="003D2F30" w:rsidRDefault="00DB2ED9">
            <w:pPr>
              <w:pStyle w:val="TableBody"/>
            </w:pPr>
            <w:r>
              <w:t>..</w:t>
            </w:r>
          </w:p>
        </w:tc>
        <w:tc>
          <w:tcPr>
            <w:tcW w:w="708" w:type="dxa"/>
            <w:tcBorders>
              <w:top w:val="nil"/>
              <w:left w:val="nil"/>
              <w:bottom w:val="nil"/>
              <w:right w:val="nil"/>
            </w:tcBorders>
            <w:shd w:val="clear" w:color="auto" w:fill="F2F2F2" w:themeFill="background1" w:themeFillShade="F2"/>
          </w:tcPr>
          <w:p w14:paraId="27C03333" w14:textId="77777777" w:rsidR="00DB2ED9" w:rsidRPr="00C70A13" w:rsidRDefault="00DB2ED9">
            <w:pPr>
              <w:pStyle w:val="TableBody"/>
              <w:ind w:right="57"/>
              <w:jc w:val="right"/>
            </w:pPr>
            <w:r w:rsidRPr="00C70A13">
              <w:t>..</w:t>
            </w:r>
          </w:p>
        </w:tc>
        <w:tc>
          <w:tcPr>
            <w:tcW w:w="709" w:type="dxa"/>
            <w:tcBorders>
              <w:top w:val="nil"/>
              <w:left w:val="nil"/>
              <w:bottom w:val="nil"/>
              <w:right w:val="nil"/>
            </w:tcBorders>
            <w:shd w:val="clear" w:color="auto" w:fill="F2F2F2" w:themeFill="background1" w:themeFillShade="F2"/>
          </w:tcPr>
          <w:p w14:paraId="1378FE53" w14:textId="77777777" w:rsidR="00DB2ED9" w:rsidRPr="00C70A13" w:rsidRDefault="00DB2ED9">
            <w:pPr>
              <w:pStyle w:val="TableBody"/>
              <w:ind w:right="57"/>
              <w:jc w:val="right"/>
            </w:pPr>
            <w:r w:rsidRPr="00C70A13">
              <w:t>..</w:t>
            </w:r>
          </w:p>
        </w:tc>
        <w:tc>
          <w:tcPr>
            <w:tcW w:w="705" w:type="dxa"/>
            <w:tcBorders>
              <w:top w:val="nil"/>
              <w:left w:val="nil"/>
              <w:bottom w:val="nil"/>
            </w:tcBorders>
            <w:shd w:val="clear" w:color="auto" w:fill="F2F2F2" w:themeFill="background1" w:themeFillShade="F2"/>
          </w:tcPr>
          <w:p w14:paraId="23C184FB" w14:textId="77777777" w:rsidR="00DB2ED9" w:rsidRPr="00C70A13" w:rsidRDefault="00DB2ED9">
            <w:pPr>
              <w:pStyle w:val="TableBody"/>
              <w:ind w:right="57"/>
              <w:jc w:val="right"/>
            </w:pPr>
            <w:r w:rsidRPr="00C70A13">
              <w:t>..</w:t>
            </w:r>
          </w:p>
        </w:tc>
        <w:tc>
          <w:tcPr>
            <w:tcW w:w="713" w:type="dxa"/>
            <w:tcBorders>
              <w:top w:val="nil"/>
              <w:bottom w:val="nil"/>
              <w:right w:val="nil"/>
            </w:tcBorders>
            <w:shd w:val="clear" w:color="auto" w:fill="F2F2F2" w:themeFill="background1" w:themeFillShade="F2"/>
          </w:tcPr>
          <w:p w14:paraId="521747F5" w14:textId="77777777" w:rsidR="00DB2ED9" w:rsidRPr="00C70A13" w:rsidRDefault="00DB2ED9">
            <w:pPr>
              <w:pStyle w:val="TableBody"/>
              <w:ind w:right="57"/>
              <w:jc w:val="right"/>
            </w:pPr>
            <w:r w:rsidRPr="00C70A13">
              <w:t>..</w:t>
            </w:r>
          </w:p>
        </w:tc>
        <w:tc>
          <w:tcPr>
            <w:tcW w:w="2976" w:type="dxa"/>
            <w:tcBorders>
              <w:top w:val="nil"/>
              <w:left w:val="nil"/>
              <w:bottom w:val="nil"/>
            </w:tcBorders>
            <w:shd w:val="clear" w:color="auto" w:fill="F2F2F2" w:themeFill="background1" w:themeFillShade="F2"/>
          </w:tcPr>
          <w:p w14:paraId="62305360" w14:textId="77777777" w:rsidR="00DB2ED9" w:rsidRPr="003D2F30" w:rsidRDefault="00DB2ED9">
            <w:pPr>
              <w:pStyle w:val="TableBody"/>
            </w:pPr>
            <w:r>
              <w:t>..</w:t>
            </w:r>
          </w:p>
        </w:tc>
      </w:tr>
      <w:tr w:rsidR="00DB2ED9" w:rsidRPr="003D2F30" w14:paraId="32DD8C1B" w14:textId="77777777">
        <w:trPr>
          <w:trHeight w:val="186"/>
        </w:trPr>
        <w:tc>
          <w:tcPr>
            <w:tcW w:w="426" w:type="dxa"/>
            <w:tcBorders>
              <w:top w:val="nil"/>
              <w:bottom w:val="nil"/>
            </w:tcBorders>
            <w:shd w:val="clear" w:color="auto" w:fill="auto"/>
          </w:tcPr>
          <w:p w14:paraId="32AE63D3" w14:textId="77777777" w:rsidR="00DB2ED9" w:rsidRPr="00611CB4" w:rsidRDefault="00DB2ED9">
            <w:pPr>
              <w:pStyle w:val="TableBodyHeading"/>
              <w:rPr>
                <w:color w:val="auto"/>
              </w:rPr>
            </w:pPr>
            <w:r>
              <w:t>B7</w:t>
            </w:r>
          </w:p>
        </w:tc>
        <w:tc>
          <w:tcPr>
            <w:tcW w:w="2835" w:type="dxa"/>
            <w:tcBorders>
              <w:top w:val="nil"/>
              <w:bottom w:val="nil"/>
            </w:tcBorders>
            <w:shd w:val="clear" w:color="auto" w:fill="auto"/>
          </w:tcPr>
          <w:p w14:paraId="67385FE7" w14:textId="77777777" w:rsidR="00DB2ED9" w:rsidRPr="000808E5" w:rsidRDefault="00DB2ED9">
            <w:pPr>
              <w:pStyle w:val="TableBody"/>
            </w:pPr>
            <w:r w:rsidRPr="000808E5">
              <w:t>Distribution networks</w:t>
            </w:r>
          </w:p>
        </w:tc>
        <w:tc>
          <w:tcPr>
            <w:tcW w:w="567" w:type="dxa"/>
            <w:tcBorders>
              <w:top w:val="nil"/>
              <w:bottom w:val="nil"/>
              <w:right w:val="nil"/>
            </w:tcBorders>
            <w:shd w:val="clear" w:color="auto" w:fill="auto"/>
          </w:tcPr>
          <w:p w14:paraId="78C42158" w14:textId="77777777" w:rsidR="00DB2ED9" w:rsidRPr="003D2F30" w:rsidRDefault="00DB2ED9">
            <w:pPr>
              <w:pStyle w:val="TableBody"/>
            </w:pPr>
            <w:r>
              <w:t>Yes</w:t>
            </w:r>
          </w:p>
        </w:tc>
        <w:tc>
          <w:tcPr>
            <w:tcW w:w="708" w:type="dxa"/>
            <w:tcBorders>
              <w:top w:val="nil"/>
              <w:left w:val="nil"/>
              <w:bottom w:val="nil"/>
              <w:right w:val="nil"/>
            </w:tcBorders>
            <w:shd w:val="clear" w:color="auto" w:fill="auto"/>
          </w:tcPr>
          <w:p w14:paraId="1740138C" w14:textId="77777777" w:rsidR="00DB2ED9" w:rsidRPr="00C70A13" w:rsidRDefault="00DB2ED9">
            <w:pPr>
              <w:pStyle w:val="TableBody"/>
              <w:ind w:right="57"/>
              <w:jc w:val="right"/>
            </w:pPr>
            <w:r>
              <w:t>3,435</w:t>
            </w:r>
          </w:p>
        </w:tc>
        <w:tc>
          <w:tcPr>
            <w:tcW w:w="709" w:type="dxa"/>
            <w:tcBorders>
              <w:top w:val="nil"/>
              <w:left w:val="nil"/>
              <w:bottom w:val="nil"/>
              <w:right w:val="nil"/>
            </w:tcBorders>
            <w:shd w:val="clear" w:color="auto" w:fill="auto"/>
          </w:tcPr>
          <w:p w14:paraId="103AAEF7" w14:textId="77777777" w:rsidR="00DB2ED9" w:rsidRPr="00C70A13" w:rsidRDefault="00DB2ED9">
            <w:pPr>
              <w:pStyle w:val="TableBody"/>
              <w:ind w:right="57"/>
              <w:jc w:val="right"/>
            </w:pPr>
            <w:r w:rsidRPr="00C70A13">
              <w:t>6,780</w:t>
            </w:r>
          </w:p>
        </w:tc>
        <w:tc>
          <w:tcPr>
            <w:tcW w:w="705" w:type="dxa"/>
            <w:tcBorders>
              <w:top w:val="nil"/>
              <w:left w:val="nil"/>
              <w:bottom w:val="nil"/>
            </w:tcBorders>
            <w:shd w:val="clear" w:color="auto" w:fill="auto"/>
          </w:tcPr>
          <w:p w14:paraId="3656E9AF" w14:textId="77777777" w:rsidR="00DB2ED9" w:rsidRPr="00C70A13" w:rsidRDefault="00DB2ED9">
            <w:pPr>
              <w:pStyle w:val="TableBody"/>
              <w:ind w:right="57"/>
              <w:jc w:val="right"/>
            </w:pPr>
            <w:r>
              <w:t>-0.13</w:t>
            </w:r>
          </w:p>
        </w:tc>
        <w:tc>
          <w:tcPr>
            <w:tcW w:w="713" w:type="dxa"/>
            <w:tcBorders>
              <w:top w:val="nil"/>
              <w:bottom w:val="nil"/>
              <w:right w:val="nil"/>
            </w:tcBorders>
            <w:shd w:val="clear" w:color="auto" w:fill="auto"/>
          </w:tcPr>
          <w:p w14:paraId="3F4FC201" w14:textId="77777777" w:rsidR="00DB2ED9" w:rsidRPr="008A7618" w:rsidRDefault="00DB2ED9">
            <w:pPr>
              <w:pStyle w:val="TableBody"/>
              <w:ind w:right="57"/>
              <w:jc w:val="right"/>
            </w:pPr>
            <w:r>
              <w:t>-</w:t>
            </w:r>
            <w:r w:rsidRPr="008A7618">
              <w:t>0.25</w:t>
            </w:r>
          </w:p>
        </w:tc>
        <w:tc>
          <w:tcPr>
            <w:tcW w:w="2976" w:type="dxa"/>
            <w:tcBorders>
              <w:top w:val="nil"/>
              <w:left w:val="nil"/>
              <w:bottom w:val="nil"/>
            </w:tcBorders>
            <w:shd w:val="clear" w:color="auto" w:fill="auto"/>
          </w:tcPr>
          <w:p w14:paraId="71D27BA0" w14:textId="77777777" w:rsidR="00DB2ED9" w:rsidRPr="003D2F30" w:rsidRDefault="00DB2ED9">
            <w:pPr>
              <w:pStyle w:val="TableBody"/>
            </w:pPr>
            <w:r>
              <w:t>..</w:t>
            </w:r>
          </w:p>
        </w:tc>
      </w:tr>
      <w:tr w:rsidR="00DB2ED9" w:rsidRPr="003D2F30" w14:paraId="154F9749" w14:textId="77777777">
        <w:tc>
          <w:tcPr>
            <w:tcW w:w="426" w:type="dxa"/>
            <w:tcBorders>
              <w:top w:val="nil"/>
              <w:bottom w:val="nil"/>
            </w:tcBorders>
            <w:shd w:val="clear" w:color="auto" w:fill="F2F2F2" w:themeFill="background1" w:themeFillShade="F2"/>
          </w:tcPr>
          <w:p w14:paraId="7854BFB2" w14:textId="77777777" w:rsidR="00DB2ED9" w:rsidRPr="00611CB4" w:rsidRDefault="00DB2ED9">
            <w:pPr>
              <w:pStyle w:val="TableBodyHeading"/>
              <w:rPr>
                <w:color w:val="auto"/>
              </w:rPr>
            </w:pPr>
            <w:r>
              <w:t>B8</w:t>
            </w:r>
          </w:p>
        </w:tc>
        <w:tc>
          <w:tcPr>
            <w:tcW w:w="2835" w:type="dxa"/>
            <w:tcBorders>
              <w:top w:val="nil"/>
              <w:bottom w:val="nil"/>
            </w:tcBorders>
            <w:shd w:val="clear" w:color="auto" w:fill="F2F2F2" w:themeFill="background1" w:themeFillShade="F2"/>
          </w:tcPr>
          <w:p w14:paraId="664B1256" w14:textId="77777777" w:rsidR="00DB2ED9" w:rsidRPr="000808E5" w:rsidRDefault="00DB2ED9">
            <w:pPr>
              <w:pStyle w:val="TableBody"/>
            </w:pPr>
            <w:r w:rsidRPr="000808E5">
              <w:t>Efficient user charging</w:t>
            </w:r>
          </w:p>
        </w:tc>
        <w:tc>
          <w:tcPr>
            <w:tcW w:w="567" w:type="dxa"/>
            <w:tcBorders>
              <w:top w:val="nil"/>
              <w:bottom w:val="nil"/>
              <w:right w:val="nil"/>
            </w:tcBorders>
            <w:shd w:val="clear" w:color="auto" w:fill="F2F2F2" w:themeFill="background1" w:themeFillShade="F2"/>
          </w:tcPr>
          <w:p w14:paraId="690B650D" w14:textId="77777777" w:rsidR="00DB2ED9" w:rsidRPr="003D2F30" w:rsidRDefault="00DB2ED9">
            <w:pPr>
              <w:pStyle w:val="TableBody"/>
            </w:pPr>
            <w:proofErr w:type="spellStart"/>
            <w:r w:rsidRPr="007D4ECB">
              <w:t>Yes</w:t>
            </w:r>
            <w:r>
              <w:rPr>
                <w:b/>
                <w:bCs/>
                <w:vertAlign w:val="superscript"/>
              </w:rPr>
              <w:t>b</w:t>
            </w:r>
            <w:proofErr w:type="spellEnd"/>
          </w:p>
        </w:tc>
        <w:tc>
          <w:tcPr>
            <w:tcW w:w="708" w:type="dxa"/>
            <w:tcBorders>
              <w:top w:val="nil"/>
              <w:left w:val="nil"/>
              <w:bottom w:val="nil"/>
              <w:right w:val="nil"/>
            </w:tcBorders>
            <w:shd w:val="clear" w:color="auto" w:fill="F2F2F2" w:themeFill="background1" w:themeFillShade="F2"/>
          </w:tcPr>
          <w:p w14:paraId="75308E91" w14:textId="77777777" w:rsidR="00DB2ED9" w:rsidRPr="00C70A13" w:rsidRDefault="00DB2ED9">
            <w:pPr>
              <w:pStyle w:val="TableBody"/>
              <w:ind w:right="57"/>
              <w:jc w:val="right"/>
            </w:pPr>
            <w:r w:rsidRPr="00C70A13">
              <w:t>..</w:t>
            </w:r>
          </w:p>
        </w:tc>
        <w:tc>
          <w:tcPr>
            <w:tcW w:w="709" w:type="dxa"/>
            <w:tcBorders>
              <w:top w:val="nil"/>
              <w:left w:val="nil"/>
              <w:bottom w:val="nil"/>
              <w:right w:val="nil"/>
            </w:tcBorders>
            <w:shd w:val="clear" w:color="auto" w:fill="F2F2F2" w:themeFill="background1" w:themeFillShade="F2"/>
          </w:tcPr>
          <w:p w14:paraId="62DA51A0" w14:textId="77777777" w:rsidR="00DB2ED9" w:rsidRPr="00C70A13" w:rsidRDefault="00DB2ED9">
            <w:pPr>
              <w:pStyle w:val="TableBody"/>
              <w:ind w:right="57"/>
              <w:jc w:val="right"/>
            </w:pPr>
            <w:r w:rsidRPr="00C70A13">
              <w:t>..</w:t>
            </w:r>
          </w:p>
        </w:tc>
        <w:tc>
          <w:tcPr>
            <w:tcW w:w="705" w:type="dxa"/>
            <w:tcBorders>
              <w:top w:val="nil"/>
              <w:left w:val="nil"/>
              <w:bottom w:val="nil"/>
            </w:tcBorders>
            <w:shd w:val="clear" w:color="auto" w:fill="F2F2F2" w:themeFill="background1" w:themeFillShade="F2"/>
          </w:tcPr>
          <w:p w14:paraId="6C7A5830" w14:textId="77777777" w:rsidR="00DB2ED9" w:rsidRPr="00C70A13" w:rsidRDefault="00DB2ED9">
            <w:pPr>
              <w:pStyle w:val="TableBody"/>
              <w:ind w:right="57"/>
              <w:jc w:val="right"/>
            </w:pPr>
            <w:r w:rsidRPr="00C70A13">
              <w:t>..</w:t>
            </w:r>
          </w:p>
        </w:tc>
        <w:tc>
          <w:tcPr>
            <w:tcW w:w="713" w:type="dxa"/>
            <w:tcBorders>
              <w:top w:val="nil"/>
              <w:bottom w:val="nil"/>
              <w:right w:val="nil"/>
            </w:tcBorders>
            <w:shd w:val="clear" w:color="auto" w:fill="F2F2F2" w:themeFill="background1" w:themeFillShade="F2"/>
          </w:tcPr>
          <w:p w14:paraId="2C962D50" w14:textId="77777777" w:rsidR="00DB2ED9" w:rsidRPr="00C70A13" w:rsidRDefault="00DB2ED9">
            <w:pPr>
              <w:pStyle w:val="TableBody"/>
              <w:ind w:right="57"/>
              <w:jc w:val="right"/>
            </w:pPr>
            <w:r w:rsidRPr="00C70A13">
              <w:t>..</w:t>
            </w:r>
          </w:p>
        </w:tc>
        <w:tc>
          <w:tcPr>
            <w:tcW w:w="2976" w:type="dxa"/>
            <w:tcBorders>
              <w:top w:val="nil"/>
              <w:left w:val="nil"/>
              <w:bottom w:val="nil"/>
            </w:tcBorders>
            <w:shd w:val="clear" w:color="auto" w:fill="F2F2F2" w:themeFill="background1" w:themeFillShade="F2"/>
          </w:tcPr>
          <w:p w14:paraId="185523EA" w14:textId="77777777" w:rsidR="00DB2ED9" w:rsidRPr="003D2F30" w:rsidRDefault="00DB2ED9">
            <w:pPr>
              <w:pStyle w:val="TableBody"/>
            </w:pPr>
            <w:r>
              <w:t>..</w:t>
            </w:r>
          </w:p>
        </w:tc>
      </w:tr>
      <w:tr w:rsidR="00DB2ED9" w:rsidRPr="003D2F30" w14:paraId="461C949A" w14:textId="77777777">
        <w:tc>
          <w:tcPr>
            <w:tcW w:w="426" w:type="dxa"/>
            <w:tcBorders>
              <w:top w:val="nil"/>
              <w:bottom w:val="nil"/>
            </w:tcBorders>
            <w:shd w:val="clear" w:color="auto" w:fill="auto"/>
          </w:tcPr>
          <w:p w14:paraId="296B85BE" w14:textId="77777777" w:rsidR="00DB2ED9" w:rsidRPr="00611CB4" w:rsidRDefault="00DB2ED9">
            <w:pPr>
              <w:pStyle w:val="TableBodyHeading"/>
              <w:rPr>
                <w:color w:val="auto"/>
              </w:rPr>
            </w:pPr>
            <w:r>
              <w:t>B9</w:t>
            </w:r>
          </w:p>
        </w:tc>
        <w:tc>
          <w:tcPr>
            <w:tcW w:w="2835" w:type="dxa"/>
            <w:tcBorders>
              <w:top w:val="nil"/>
              <w:bottom w:val="nil"/>
            </w:tcBorders>
            <w:shd w:val="clear" w:color="auto" w:fill="auto"/>
          </w:tcPr>
          <w:p w14:paraId="1CF682AC" w14:textId="77777777" w:rsidR="00DB2ED9" w:rsidRPr="000808E5" w:rsidRDefault="00DB2ED9">
            <w:pPr>
              <w:pStyle w:val="TableBody"/>
            </w:pPr>
            <w:r w:rsidRPr="000808E5">
              <w:t>Modern methods of construction</w:t>
            </w:r>
          </w:p>
        </w:tc>
        <w:tc>
          <w:tcPr>
            <w:tcW w:w="567" w:type="dxa"/>
            <w:tcBorders>
              <w:top w:val="nil"/>
              <w:bottom w:val="nil"/>
              <w:right w:val="nil"/>
            </w:tcBorders>
            <w:shd w:val="clear" w:color="auto" w:fill="auto"/>
          </w:tcPr>
          <w:p w14:paraId="37FFC040" w14:textId="77777777" w:rsidR="00DB2ED9" w:rsidRPr="003D2F30" w:rsidRDefault="00DB2ED9">
            <w:pPr>
              <w:pStyle w:val="TableBody"/>
            </w:pPr>
            <w:r>
              <w:t>Yes</w:t>
            </w:r>
          </w:p>
        </w:tc>
        <w:tc>
          <w:tcPr>
            <w:tcW w:w="708" w:type="dxa"/>
            <w:tcBorders>
              <w:top w:val="nil"/>
              <w:left w:val="nil"/>
              <w:bottom w:val="nil"/>
              <w:right w:val="nil"/>
            </w:tcBorders>
            <w:shd w:val="clear" w:color="auto" w:fill="auto"/>
          </w:tcPr>
          <w:p w14:paraId="697F20D4" w14:textId="77777777" w:rsidR="00DB2ED9" w:rsidRPr="00C70A13" w:rsidRDefault="00DB2ED9">
            <w:pPr>
              <w:pStyle w:val="TableBody"/>
              <w:ind w:right="57"/>
              <w:jc w:val="right"/>
            </w:pPr>
            <w:r>
              <w:t>2,858</w:t>
            </w:r>
          </w:p>
        </w:tc>
        <w:tc>
          <w:tcPr>
            <w:tcW w:w="709" w:type="dxa"/>
            <w:tcBorders>
              <w:top w:val="nil"/>
              <w:left w:val="nil"/>
              <w:bottom w:val="nil"/>
              <w:right w:val="nil"/>
            </w:tcBorders>
            <w:shd w:val="clear" w:color="auto" w:fill="auto"/>
          </w:tcPr>
          <w:p w14:paraId="4D1B4D17" w14:textId="77777777" w:rsidR="00DB2ED9" w:rsidRPr="00C70A13" w:rsidRDefault="00DB2ED9">
            <w:pPr>
              <w:pStyle w:val="TableBody"/>
              <w:ind w:right="57"/>
              <w:jc w:val="right"/>
            </w:pPr>
            <w:r w:rsidRPr="00C70A13">
              <w:t>5,730</w:t>
            </w:r>
          </w:p>
        </w:tc>
        <w:tc>
          <w:tcPr>
            <w:tcW w:w="705" w:type="dxa"/>
            <w:tcBorders>
              <w:top w:val="nil"/>
              <w:left w:val="nil"/>
              <w:bottom w:val="nil"/>
            </w:tcBorders>
            <w:shd w:val="clear" w:color="auto" w:fill="auto"/>
          </w:tcPr>
          <w:p w14:paraId="2B6950A9" w14:textId="77777777" w:rsidR="00DB2ED9" w:rsidRPr="00C70A13" w:rsidRDefault="00DB2ED9">
            <w:pPr>
              <w:pStyle w:val="TableBody"/>
              <w:ind w:right="57"/>
              <w:jc w:val="right"/>
            </w:pPr>
            <w:r>
              <w:t>-0.05</w:t>
            </w:r>
          </w:p>
        </w:tc>
        <w:tc>
          <w:tcPr>
            <w:tcW w:w="713" w:type="dxa"/>
            <w:tcBorders>
              <w:top w:val="nil"/>
              <w:bottom w:val="nil"/>
              <w:right w:val="nil"/>
            </w:tcBorders>
            <w:shd w:val="clear" w:color="auto" w:fill="auto"/>
          </w:tcPr>
          <w:p w14:paraId="02482D0E" w14:textId="77777777" w:rsidR="00DB2ED9" w:rsidRPr="00C70A13" w:rsidRDefault="00DB2ED9">
            <w:pPr>
              <w:pStyle w:val="TableBody"/>
              <w:ind w:right="57"/>
              <w:jc w:val="right"/>
            </w:pPr>
            <w:r>
              <w:t>-</w:t>
            </w:r>
            <w:r w:rsidRPr="008A7618">
              <w:t>0.11</w:t>
            </w:r>
          </w:p>
        </w:tc>
        <w:tc>
          <w:tcPr>
            <w:tcW w:w="2976" w:type="dxa"/>
            <w:tcBorders>
              <w:top w:val="nil"/>
              <w:left w:val="nil"/>
              <w:bottom w:val="nil"/>
            </w:tcBorders>
            <w:shd w:val="clear" w:color="auto" w:fill="auto"/>
          </w:tcPr>
          <w:p w14:paraId="25F51468" w14:textId="77777777" w:rsidR="00DB2ED9" w:rsidRPr="003D2F30" w:rsidRDefault="00DB2ED9">
            <w:pPr>
              <w:pStyle w:val="TableBody"/>
            </w:pPr>
            <w:r>
              <w:t>Lower housing supply pressures</w:t>
            </w:r>
          </w:p>
        </w:tc>
      </w:tr>
      <w:tr w:rsidR="00DB2ED9" w:rsidRPr="00611CB4" w14:paraId="0E7DA284" w14:textId="77777777">
        <w:tc>
          <w:tcPr>
            <w:tcW w:w="3261" w:type="dxa"/>
            <w:gridSpan w:val="2"/>
            <w:tcBorders>
              <w:top w:val="nil"/>
              <w:bottom w:val="nil"/>
            </w:tcBorders>
            <w:shd w:val="clear" w:color="auto" w:fill="CBDDF2" w:themeFill="background2" w:themeFillTint="33"/>
          </w:tcPr>
          <w:p w14:paraId="517DB8FA" w14:textId="77777777" w:rsidR="00DB2ED9" w:rsidRPr="00611CB4" w:rsidRDefault="00DB2ED9">
            <w:pPr>
              <w:pStyle w:val="TableBodyHeading"/>
            </w:pPr>
            <w:r>
              <w:t>Net zero</w:t>
            </w:r>
          </w:p>
        </w:tc>
        <w:tc>
          <w:tcPr>
            <w:tcW w:w="567" w:type="dxa"/>
            <w:tcBorders>
              <w:top w:val="nil"/>
              <w:bottom w:val="nil"/>
            </w:tcBorders>
            <w:shd w:val="clear" w:color="auto" w:fill="CBDDF2" w:themeFill="background2" w:themeFillTint="33"/>
          </w:tcPr>
          <w:p w14:paraId="5F2E3146" w14:textId="77777777" w:rsidR="00DB2ED9" w:rsidRPr="00611CB4" w:rsidRDefault="00DB2ED9">
            <w:pPr>
              <w:pStyle w:val="TableBodyHeading"/>
            </w:pPr>
          </w:p>
        </w:tc>
        <w:tc>
          <w:tcPr>
            <w:tcW w:w="708" w:type="dxa"/>
            <w:tcBorders>
              <w:top w:val="nil"/>
              <w:bottom w:val="nil"/>
            </w:tcBorders>
            <w:shd w:val="clear" w:color="auto" w:fill="CBDDF2" w:themeFill="background2" w:themeFillTint="33"/>
          </w:tcPr>
          <w:p w14:paraId="0A253E33" w14:textId="77777777" w:rsidR="00DB2ED9" w:rsidRPr="00C70A13" w:rsidRDefault="00DB2ED9">
            <w:pPr>
              <w:pStyle w:val="TableBodyHeading"/>
              <w:ind w:right="57"/>
              <w:jc w:val="right"/>
              <w:rPr>
                <w:color w:val="auto"/>
              </w:rPr>
            </w:pPr>
          </w:p>
        </w:tc>
        <w:tc>
          <w:tcPr>
            <w:tcW w:w="709" w:type="dxa"/>
            <w:tcBorders>
              <w:top w:val="nil"/>
              <w:bottom w:val="nil"/>
            </w:tcBorders>
            <w:shd w:val="clear" w:color="auto" w:fill="CBDDF2" w:themeFill="background2" w:themeFillTint="33"/>
          </w:tcPr>
          <w:p w14:paraId="51CFCFFE" w14:textId="77777777" w:rsidR="00DB2ED9" w:rsidRPr="00C70A13" w:rsidRDefault="00DB2ED9">
            <w:pPr>
              <w:pStyle w:val="TableBodyHeading"/>
              <w:ind w:right="57"/>
              <w:rPr>
                <w:color w:val="auto"/>
              </w:rPr>
            </w:pPr>
          </w:p>
        </w:tc>
        <w:tc>
          <w:tcPr>
            <w:tcW w:w="705" w:type="dxa"/>
            <w:tcBorders>
              <w:top w:val="nil"/>
              <w:bottom w:val="nil"/>
            </w:tcBorders>
            <w:shd w:val="clear" w:color="auto" w:fill="CBDDF2" w:themeFill="background2" w:themeFillTint="33"/>
          </w:tcPr>
          <w:p w14:paraId="2C6B1638" w14:textId="77777777" w:rsidR="00DB2ED9" w:rsidRPr="00C70A13" w:rsidRDefault="00DB2ED9">
            <w:pPr>
              <w:pStyle w:val="TableBodyHeading"/>
              <w:ind w:right="57"/>
              <w:rPr>
                <w:color w:val="auto"/>
              </w:rPr>
            </w:pPr>
          </w:p>
        </w:tc>
        <w:tc>
          <w:tcPr>
            <w:tcW w:w="713" w:type="dxa"/>
            <w:tcBorders>
              <w:top w:val="nil"/>
              <w:bottom w:val="nil"/>
            </w:tcBorders>
            <w:shd w:val="clear" w:color="auto" w:fill="CBDDF2" w:themeFill="background2" w:themeFillTint="33"/>
          </w:tcPr>
          <w:p w14:paraId="23403F1B" w14:textId="77777777" w:rsidR="00DB2ED9" w:rsidRPr="00C70A13" w:rsidRDefault="00DB2ED9">
            <w:pPr>
              <w:pStyle w:val="TableBodyHeading"/>
              <w:ind w:right="57"/>
              <w:rPr>
                <w:color w:val="auto"/>
              </w:rPr>
            </w:pPr>
          </w:p>
        </w:tc>
        <w:tc>
          <w:tcPr>
            <w:tcW w:w="2976" w:type="dxa"/>
            <w:tcBorders>
              <w:top w:val="nil"/>
              <w:bottom w:val="nil"/>
            </w:tcBorders>
            <w:shd w:val="clear" w:color="auto" w:fill="CBDDF2" w:themeFill="background2" w:themeFillTint="33"/>
          </w:tcPr>
          <w:p w14:paraId="72C1C3B3" w14:textId="77777777" w:rsidR="00DB2ED9" w:rsidRPr="00611CB4" w:rsidRDefault="00DB2ED9">
            <w:pPr>
              <w:pStyle w:val="TableBodyHeading"/>
            </w:pPr>
          </w:p>
        </w:tc>
      </w:tr>
      <w:tr w:rsidR="00DB2ED9" w14:paraId="10E73685" w14:textId="77777777">
        <w:tc>
          <w:tcPr>
            <w:tcW w:w="426" w:type="dxa"/>
            <w:tcBorders>
              <w:top w:val="nil"/>
              <w:bottom w:val="nil"/>
            </w:tcBorders>
            <w:shd w:val="clear" w:color="auto" w:fill="auto"/>
          </w:tcPr>
          <w:p w14:paraId="04D0586E" w14:textId="77777777" w:rsidR="00DB2ED9" w:rsidRPr="00A21E4E" w:rsidRDefault="00DB2ED9">
            <w:pPr>
              <w:pStyle w:val="TableBodyHeading"/>
            </w:pPr>
            <w:r w:rsidRPr="00A21E4E">
              <w:t>NZ1</w:t>
            </w:r>
          </w:p>
        </w:tc>
        <w:tc>
          <w:tcPr>
            <w:tcW w:w="2835" w:type="dxa"/>
            <w:tcBorders>
              <w:top w:val="nil"/>
              <w:bottom w:val="nil"/>
            </w:tcBorders>
            <w:shd w:val="clear" w:color="auto" w:fill="auto"/>
          </w:tcPr>
          <w:p w14:paraId="47DD2976" w14:textId="77777777" w:rsidR="00DB2ED9" w:rsidRDefault="00DB2ED9">
            <w:pPr>
              <w:pStyle w:val="TableBody"/>
            </w:pPr>
            <w:r w:rsidRPr="008B72F7">
              <w:t>Right to repair</w:t>
            </w:r>
          </w:p>
        </w:tc>
        <w:tc>
          <w:tcPr>
            <w:tcW w:w="567" w:type="dxa"/>
            <w:tcBorders>
              <w:top w:val="nil"/>
              <w:bottom w:val="nil"/>
            </w:tcBorders>
            <w:shd w:val="clear" w:color="auto" w:fill="auto"/>
          </w:tcPr>
          <w:p w14:paraId="0A8C61DF" w14:textId="77777777" w:rsidR="00DB2ED9" w:rsidRDefault="00DB2ED9">
            <w:pPr>
              <w:pStyle w:val="TableBody"/>
              <w:keepNext/>
            </w:pPr>
            <w:r>
              <w:t>Yes</w:t>
            </w:r>
          </w:p>
        </w:tc>
        <w:tc>
          <w:tcPr>
            <w:tcW w:w="708" w:type="dxa"/>
            <w:tcBorders>
              <w:top w:val="nil"/>
              <w:bottom w:val="nil"/>
            </w:tcBorders>
            <w:shd w:val="clear" w:color="auto" w:fill="auto"/>
          </w:tcPr>
          <w:p w14:paraId="46935EDC" w14:textId="77777777" w:rsidR="00DB2ED9" w:rsidRPr="00C70A13" w:rsidRDefault="00DB2ED9">
            <w:pPr>
              <w:pStyle w:val="TableBody"/>
              <w:keepNext/>
              <w:ind w:right="57"/>
              <w:jc w:val="right"/>
            </w:pPr>
            <w:r w:rsidRPr="00C70A13">
              <w:t>..</w:t>
            </w:r>
          </w:p>
        </w:tc>
        <w:tc>
          <w:tcPr>
            <w:tcW w:w="709" w:type="dxa"/>
            <w:tcBorders>
              <w:top w:val="nil"/>
              <w:bottom w:val="nil"/>
            </w:tcBorders>
            <w:shd w:val="clear" w:color="auto" w:fill="auto"/>
          </w:tcPr>
          <w:p w14:paraId="1EAAF644" w14:textId="77777777" w:rsidR="00DB2ED9" w:rsidRPr="00C70A13" w:rsidRDefault="00DB2ED9">
            <w:pPr>
              <w:pStyle w:val="TableBody"/>
              <w:keepNext/>
              <w:ind w:right="57"/>
              <w:jc w:val="right"/>
            </w:pPr>
            <w:r w:rsidRPr="00C70A13">
              <w:t xml:space="preserve">408 </w:t>
            </w:r>
          </w:p>
        </w:tc>
        <w:tc>
          <w:tcPr>
            <w:tcW w:w="705" w:type="dxa"/>
            <w:tcBorders>
              <w:top w:val="nil"/>
              <w:bottom w:val="nil"/>
            </w:tcBorders>
            <w:shd w:val="clear" w:color="auto" w:fill="auto"/>
          </w:tcPr>
          <w:p w14:paraId="1FB6481A" w14:textId="77777777" w:rsidR="00DB2ED9" w:rsidRPr="00C70A13" w:rsidRDefault="00DB2ED9">
            <w:pPr>
              <w:pStyle w:val="TableBody"/>
              <w:keepNext/>
              <w:ind w:right="57"/>
              <w:jc w:val="right"/>
            </w:pPr>
            <w:r w:rsidRPr="00C70A13">
              <w:t>..</w:t>
            </w:r>
          </w:p>
        </w:tc>
        <w:tc>
          <w:tcPr>
            <w:tcW w:w="713" w:type="dxa"/>
            <w:tcBorders>
              <w:top w:val="nil"/>
              <w:bottom w:val="nil"/>
            </w:tcBorders>
            <w:shd w:val="clear" w:color="auto" w:fill="auto"/>
          </w:tcPr>
          <w:p w14:paraId="2EF8C62B" w14:textId="77777777" w:rsidR="00DB2ED9" w:rsidRPr="00C70A13" w:rsidRDefault="00DB2ED9">
            <w:pPr>
              <w:pStyle w:val="TableBody"/>
              <w:keepNext/>
              <w:ind w:right="57"/>
              <w:jc w:val="right"/>
            </w:pPr>
            <w:r w:rsidRPr="00C70A13">
              <w:t>+0.02</w:t>
            </w:r>
          </w:p>
        </w:tc>
        <w:tc>
          <w:tcPr>
            <w:tcW w:w="2976" w:type="dxa"/>
            <w:tcBorders>
              <w:top w:val="nil"/>
              <w:bottom w:val="nil"/>
            </w:tcBorders>
            <w:shd w:val="clear" w:color="auto" w:fill="auto"/>
          </w:tcPr>
          <w:p w14:paraId="18D7265B" w14:textId="77777777" w:rsidR="00DB2ED9" w:rsidRDefault="00DB2ED9">
            <w:pPr>
              <w:pStyle w:val="TableBody"/>
              <w:keepNext/>
            </w:pPr>
            <w:r>
              <w:t>Consumer rights</w:t>
            </w:r>
          </w:p>
        </w:tc>
      </w:tr>
      <w:tr w:rsidR="00DB2ED9" w:rsidRPr="00611CB4" w14:paraId="445F35AB" w14:textId="77777777">
        <w:tc>
          <w:tcPr>
            <w:tcW w:w="426" w:type="dxa"/>
            <w:tcBorders>
              <w:top w:val="nil"/>
              <w:bottom w:val="nil"/>
            </w:tcBorders>
            <w:shd w:val="clear" w:color="auto" w:fill="F2F2F2" w:themeFill="background1" w:themeFillShade="F2"/>
          </w:tcPr>
          <w:p w14:paraId="11234E68" w14:textId="77777777" w:rsidR="00DB2ED9" w:rsidRPr="00A21E4E" w:rsidRDefault="00DB2ED9">
            <w:pPr>
              <w:pStyle w:val="TableBodyHeading"/>
            </w:pPr>
            <w:r w:rsidRPr="00A21E4E">
              <w:t>NZ</w:t>
            </w:r>
            <w:r>
              <w:t>2</w:t>
            </w:r>
          </w:p>
        </w:tc>
        <w:tc>
          <w:tcPr>
            <w:tcW w:w="2835" w:type="dxa"/>
            <w:tcBorders>
              <w:top w:val="nil"/>
              <w:bottom w:val="nil"/>
            </w:tcBorders>
            <w:shd w:val="clear" w:color="auto" w:fill="F2F2F2" w:themeFill="background1" w:themeFillShade="F2"/>
          </w:tcPr>
          <w:p w14:paraId="1283A734" w14:textId="77777777" w:rsidR="00DB2ED9" w:rsidRPr="00611CB4" w:rsidRDefault="00DB2ED9">
            <w:pPr>
              <w:pStyle w:val="TableBody"/>
            </w:pPr>
            <w:r>
              <w:t>Overseas standards</w:t>
            </w:r>
          </w:p>
        </w:tc>
        <w:tc>
          <w:tcPr>
            <w:tcW w:w="567" w:type="dxa"/>
            <w:tcBorders>
              <w:top w:val="nil"/>
              <w:bottom w:val="nil"/>
            </w:tcBorders>
            <w:shd w:val="clear" w:color="auto" w:fill="F2F2F2" w:themeFill="background1" w:themeFillShade="F2"/>
          </w:tcPr>
          <w:p w14:paraId="5FB22AF0" w14:textId="77777777" w:rsidR="00DB2ED9" w:rsidRPr="00611CB4" w:rsidRDefault="00DB2ED9">
            <w:pPr>
              <w:pStyle w:val="TableBody"/>
            </w:pPr>
            <w:r>
              <w:t>..</w:t>
            </w:r>
          </w:p>
        </w:tc>
        <w:tc>
          <w:tcPr>
            <w:tcW w:w="708" w:type="dxa"/>
            <w:tcBorders>
              <w:top w:val="nil"/>
              <w:bottom w:val="nil"/>
            </w:tcBorders>
            <w:shd w:val="clear" w:color="auto" w:fill="F2F2F2" w:themeFill="background1" w:themeFillShade="F2"/>
          </w:tcPr>
          <w:p w14:paraId="51262A1B" w14:textId="77777777" w:rsidR="00DB2ED9" w:rsidRPr="00C70A13" w:rsidRDefault="00DB2ED9">
            <w:pPr>
              <w:pStyle w:val="TableBody"/>
              <w:ind w:right="57"/>
              <w:jc w:val="right"/>
            </w:pPr>
            <w:r w:rsidRPr="00C70A13">
              <w:t>..</w:t>
            </w:r>
          </w:p>
        </w:tc>
        <w:tc>
          <w:tcPr>
            <w:tcW w:w="709" w:type="dxa"/>
            <w:tcBorders>
              <w:top w:val="nil"/>
              <w:bottom w:val="nil"/>
            </w:tcBorders>
            <w:shd w:val="clear" w:color="auto" w:fill="F2F2F2" w:themeFill="background1" w:themeFillShade="F2"/>
          </w:tcPr>
          <w:p w14:paraId="402A1D62" w14:textId="77777777" w:rsidR="00DB2ED9" w:rsidRPr="00C70A13" w:rsidRDefault="00DB2ED9">
            <w:pPr>
              <w:pStyle w:val="TableBody"/>
              <w:ind w:right="57"/>
              <w:jc w:val="right"/>
            </w:pPr>
          </w:p>
        </w:tc>
        <w:tc>
          <w:tcPr>
            <w:tcW w:w="705" w:type="dxa"/>
            <w:tcBorders>
              <w:top w:val="nil"/>
              <w:bottom w:val="nil"/>
            </w:tcBorders>
            <w:shd w:val="clear" w:color="auto" w:fill="F2F2F2" w:themeFill="background1" w:themeFillShade="F2"/>
          </w:tcPr>
          <w:p w14:paraId="2AB60EB2" w14:textId="77777777" w:rsidR="00DB2ED9" w:rsidRPr="00C70A13" w:rsidRDefault="00DB2ED9">
            <w:pPr>
              <w:pStyle w:val="TableBody"/>
              <w:ind w:right="57"/>
              <w:jc w:val="right"/>
            </w:pPr>
            <w:r w:rsidRPr="00C70A13">
              <w:t>..</w:t>
            </w:r>
          </w:p>
        </w:tc>
        <w:tc>
          <w:tcPr>
            <w:tcW w:w="713" w:type="dxa"/>
            <w:tcBorders>
              <w:top w:val="nil"/>
              <w:bottom w:val="nil"/>
            </w:tcBorders>
            <w:shd w:val="clear" w:color="auto" w:fill="F2F2F2" w:themeFill="background1" w:themeFillShade="F2"/>
          </w:tcPr>
          <w:p w14:paraId="255E9131" w14:textId="77777777" w:rsidR="00DB2ED9" w:rsidRPr="00C70A13" w:rsidRDefault="00DB2ED9">
            <w:pPr>
              <w:pStyle w:val="TableBody"/>
              <w:ind w:right="57"/>
              <w:jc w:val="right"/>
            </w:pPr>
            <w:r>
              <w:t>..</w:t>
            </w:r>
          </w:p>
        </w:tc>
        <w:tc>
          <w:tcPr>
            <w:tcW w:w="2976" w:type="dxa"/>
            <w:tcBorders>
              <w:top w:val="nil"/>
              <w:bottom w:val="nil"/>
            </w:tcBorders>
            <w:shd w:val="clear" w:color="auto" w:fill="F2F2F2" w:themeFill="background1" w:themeFillShade="F2"/>
          </w:tcPr>
          <w:p w14:paraId="37F4C610" w14:textId="77777777" w:rsidR="00DB2ED9" w:rsidRPr="00611CB4" w:rsidRDefault="00DB2ED9">
            <w:pPr>
              <w:pStyle w:val="TableBody"/>
            </w:pPr>
            <w:r>
              <w:t>Product variety, emissions reduction</w:t>
            </w:r>
          </w:p>
        </w:tc>
      </w:tr>
      <w:tr w:rsidR="00DB2ED9" w:rsidRPr="00611CB4" w14:paraId="73011DF5" w14:textId="77777777">
        <w:tc>
          <w:tcPr>
            <w:tcW w:w="426" w:type="dxa"/>
            <w:tcBorders>
              <w:top w:val="nil"/>
              <w:bottom w:val="nil"/>
            </w:tcBorders>
            <w:shd w:val="clear" w:color="auto" w:fill="auto"/>
          </w:tcPr>
          <w:p w14:paraId="139AC381" w14:textId="77777777" w:rsidR="00DB2ED9" w:rsidRPr="00A21E4E" w:rsidRDefault="00DB2ED9">
            <w:pPr>
              <w:pStyle w:val="TableBodyHeading"/>
            </w:pPr>
            <w:r w:rsidRPr="00A21E4E">
              <w:t>NZ</w:t>
            </w:r>
            <w:r>
              <w:t>3</w:t>
            </w:r>
          </w:p>
        </w:tc>
        <w:tc>
          <w:tcPr>
            <w:tcW w:w="2835" w:type="dxa"/>
            <w:tcBorders>
              <w:top w:val="nil"/>
              <w:bottom w:val="nil"/>
            </w:tcBorders>
            <w:shd w:val="clear" w:color="auto" w:fill="auto"/>
          </w:tcPr>
          <w:p w14:paraId="334AF24C" w14:textId="77777777" w:rsidR="00DB2ED9" w:rsidRPr="00611CB4" w:rsidRDefault="00DB2ED9">
            <w:pPr>
              <w:pStyle w:val="TableBody"/>
            </w:pPr>
            <w:r w:rsidRPr="00967E1D">
              <w:t>Heavy EVs</w:t>
            </w:r>
          </w:p>
        </w:tc>
        <w:tc>
          <w:tcPr>
            <w:tcW w:w="567" w:type="dxa"/>
            <w:tcBorders>
              <w:top w:val="nil"/>
              <w:bottom w:val="nil"/>
            </w:tcBorders>
            <w:shd w:val="clear" w:color="auto" w:fill="auto"/>
          </w:tcPr>
          <w:p w14:paraId="5D3E1D8E" w14:textId="77777777" w:rsidR="00DB2ED9" w:rsidRPr="00611CB4" w:rsidRDefault="00DB2ED9">
            <w:pPr>
              <w:pStyle w:val="TableBody"/>
            </w:pPr>
            <w:r>
              <w:t>Yes</w:t>
            </w:r>
          </w:p>
        </w:tc>
        <w:tc>
          <w:tcPr>
            <w:tcW w:w="708" w:type="dxa"/>
            <w:tcBorders>
              <w:top w:val="nil"/>
              <w:bottom w:val="nil"/>
            </w:tcBorders>
            <w:shd w:val="clear" w:color="auto" w:fill="auto"/>
          </w:tcPr>
          <w:p w14:paraId="3300C985" w14:textId="77777777" w:rsidR="00DB2ED9" w:rsidRPr="00C70A13" w:rsidRDefault="00DB2ED9">
            <w:pPr>
              <w:pStyle w:val="TableBody"/>
              <w:ind w:right="57"/>
              <w:jc w:val="right"/>
            </w:pPr>
            <w:r w:rsidRPr="00C70A13">
              <w:t>..</w:t>
            </w:r>
          </w:p>
        </w:tc>
        <w:tc>
          <w:tcPr>
            <w:tcW w:w="709" w:type="dxa"/>
            <w:tcBorders>
              <w:top w:val="nil"/>
              <w:bottom w:val="nil"/>
            </w:tcBorders>
            <w:shd w:val="clear" w:color="auto" w:fill="auto"/>
          </w:tcPr>
          <w:p w14:paraId="403FD399" w14:textId="77777777" w:rsidR="00DB2ED9" w:rsidRPr="00C70A13" w:rsidRDefault="00DB2ED9">
            <w:pPr>
              <w:pStyle w:val="TableBody"/>
              <w:ind w:right="57"/>
              <w:jc w:val="right"/>
            </w:pPr>
            <w:r w:rsidRPr="00C70A13">
              <w:t xml:space="preserve">748 </w:t>
            </w:r>
          </w:p>
        </w:tc>
        <w:tc>
          <w:tcPr>
            <w:tcW w:w="705" w:type="dxa"/>
            <w:tcBorders>
              <w:top w:val="nil"/>
              <w:bottom w:val="nil"/>
            </w:tcBorders>
            <w:shd w:val="clear" w:color="auto" w:fill="auto"/>
          </w:tcPr>
          <w:p w14:paraId="6BA57E14" w14:textId="77777777" w:rsidR="00DB2ED9" w:rsidRPr="00C70A13" w:rsidRDefault="00DB2ED9">
            <w:pPr>
              <w:pStyle w:val="TableBody"/>
              <w:ind w:right="57"/>
              <w:jc w:val="right"/>
            </w:pPr>
            <w:r w:rsidRPr="00C70A13">
              <w:t>..</w:t>
            </w:r>
          </w:p>
        </w:tc>
        <w:tc>
          <w:tcPr>
            <w:tcW w:w="713" w:type="dxa"/>
            <w:tcBorders>
              <w:top w:val="nil"/>
              <w:bottom w:val="nil"/>
            </w:tcBorders>
            <w:shd w:val="clear" w:color="auto" w:fill="auto"/>
          </w:tcPr>
          <w:p w14:paraId="46E2BBE1" w14:textId="77777777" w:rsidR="00DB2ED9" w:rsidRPr="00C70A13" w:rsidRDefault="00DB2ED9">
            <w:pPr>
              <w:pStyle w:val="TableBody"/>
              <w:ind w:right="57"/>
              <w:jc w:val="right"/>
            </w:pPr>
            <w:r w:rsidRPr="00C70A13">
              <w:t>-0.02</w:t>
            </w:r>
          </w:p>
        </w:tc>
        <w:tc>
          <w:tcPr>
            <w:tcW w:w="2976" w:type="dxa"/>
            <w:tcBorders>
              <w:top w:val="nil"/>
              <w:bottom w:val="nil"/>
            </w:tcBorders>
            <w:shd w:val="clear" w:color="auto" w:fill="auto"/>
          </w:tcPr>
          <w:p w14:paraId="034E6EE6" w14:textId="77777777" w:rsidR="00DB2ED9" w:rsidRPr="00611CB4" w:rsidRDefault="00DB2ED9">
            <w:pPr>
              <w:pStyle w:val="TableBody"/>
            </w:pPr>
            <w:r>
              <w:t>Emissions reduction</w:t>
            </w:r>
          </w:p>
        </w:tc>
      </w:tr>
      <w:tr w:rsidR="00DB2ED9" w:rsidRPr="00611CB4" w14:paraId="41F211AB" w14:textId="77777777">
        <w:tc>
          <w:tcPr>
            <w:tcW w:w="426" w:type="dxa"/>
            <w:tcBorders>
              <w:top w:val="nil"/>
              <w:bottom w:val="nil"/>
            </w:tcBorders>
            <w:shd w:val="clear" w:color="auto" w:fill="F2F2F2" w:themeFill="background1" w:themeFillShade="F2"/>
          </w:tcPr>
          <w:p w14:paraId="0CE726E3" w14:textId="77777777" w:rsidR="00DB2ED9" w:rsidRPr="00A21E4E" w:rsidRDefault="00DB2ED9">
            <w:pPr>
              <w:pStyle w:val="TableBodyHeading"/>
            </w:pPr>
            <w:r w:rsidRPr="00A21E4E">
              <w:t>NZ</w:t>
            </w:r>
            <w:r>
              <w:t>4</w:t>
            </w:r>
          </w:p>
        </w:tc>
        <w:tc>
          <w:tcPr>
            <w:tcW w:w="2835" w:type="dxa"/>
            <w:tcBorders>
              <w:top w:val="nil"/>
              <w:bottom w:val="nil"/>
            </w:tcBorders>
            <w:shd w:val="clear" w:color="auto" w:fill="F2F2F2" w:themeFill="background1" w:themeFillShade="F2"/>
          </w:tcPr>
          <w:p w14:paraId="1ACB85A5" w14:textId="77777777" w:rsidR="00DB2ED9" w:rsidRPr="00611CB4" w:rsidRDefault="00DB2ED9">
            <w:pPr>
              <w:pStyle w:val="TableBody"/>
            </w:pPr>
            <w:r>
              <w:t xml:space="preserve">EV charging </w:t>
            </w:r>
          </w:p>
        </w:tc>
        <w:tc>
          <w:tcPr>
            <w:tcW w:w="567" w:type="dxa"/>
            <w:tcBorders>
              <w:top w:val="nil"/>
              <w:bottom w:val="nil"/>
            </w:tcBorders>
            <w:shd w:val="clear" w:color="auto" w:fill="F2F2F2" w:themeFill="background1" w:themeFillShade="F2"/>
          </w:tcPr>
          <w:p w14:paraId="0CD2C0BE" w14:textId="77777777" w:rsidR="00DB2ED9" w:rsidRPr="00611CB4" w:rsidRDefault="00DB2ED9">
            <w:pPr>
              <w:pStyle w:val="TableBody"/>
            </w:pPr>
            <w:r>
              <w:t>..</w:t>
            </w:r>
          </w:p>
        </w:tc>
        <w:tc>
          <w:tcPr>
            <w:tcW w:w="708" w:type="dxa"/>
            <w:tcBorders>
              <w:top w:val="nil"/>
              <w:bottom w:val="nil"/>
            </w:tcBorders>
            <w:shd w:val="clear" w:color="auto" w:fill="F2F2F2" w:themeFill="background1" w:themeFillShade="F2"/>
          </w:tcPr>
          <w:p w14:paraId="0C38FC8A" w14:textId="77777777" w:rsidR="00DB2ED9" w:rsidRPr="00C70A13" w:rsidRDefault="00DB2ED9">
            <w:pPr>
              <w:pStyle w:val="TableBody"/>
              <w:ind w:right="57"/>
              <w:jc w:val="right"/>
            </w:pPr>
            <w:r w:rsidRPr="00C70A13">
              <w:t>..</w:t>
            </w:r>
          </w:p>
        </w:tc>
        <w:tc>
          <w:tcPr>
            <w:tcW w:w="709" w:type="dxa"/>
            <w:tcBorders>
              <w:top w:val="nil"/>
              <w:bottom w:val="nil"/>
            </w:tcBorders>
            <w:shd w:val="clear" w:color="auto" w:fill="F2F2F2" w:themeFill="background1" w:themeFillShade="F2"/>
          </w:tcPr>
          <w:p w14:paraId="013CE080" w14:textId="77777777" w:rsidR="00DB2ED9" w:rsidRPr="00C70A13" w:rsidRDefault="00DB2ED9">
            <w:pPr>
              <w:pStyle w:val="TableBody"/>
              <w:ind w:right="57"/>
              <w:jc w:val="right"/>
            </w:pPr>
            <w:r w:rsidRPr="00C70A13">
              <w:t>..</w:t>
            </w:r>
          </w:p>
        </w:tc>
        <w:tc>
          <w:tcPr>
            <w:tcW w:w="705" w:type="dxa"/>
            <w:tcBorders>
              <w:top w:val="nil"/>
              <w:bottom w:val="nil"/>
            </w:tcBorders>
            <w:shd w:val="clear" w:color="auto" w:fill="F2F2F2" w:themeFill="background1" w:themeFillShade="F2"/>
          </w:tcPr>
          <w:p w14:paraId="177D41FB" w14:textId="77777777" w:rsidR="00DB2ED9" w:rsidRPr="00C70A13" w:rsidRDefault="00DB2ED9">
            <w:pPr>
              <w:pStyle w:val="TableBody"/>
              <w:ind w:right="57"/>
              <w:jc w:val="right"/>
            </w:pPr>
            <w:r w:rsidRPr="00C70A13">
              <w:t>..</w:t>
            </w:r>
          </w:p>
        </w:tc>
        <w:tc>
          <w:tcPr>
            <w:tcW w:w="713" w:type="dxa"/>
            <w:tcBorders>
              <w:top w:val="nil"/>
              <w:bottom w:val="nil"/>
            </w:tcBorders>
            <w:shd w:val="clear" w:color="auto" w:fill="F2F2F2" w:themeFill="background1" w:themeFillShade="F2"/>
          </w:tcPr>
          <w:p w14:paraId="3B58E57E" w14:textId="77777777" w:rsidR="00DB2ED9" w:rsidRPr="00C70A13" w:rsidRDefault="00DB2ED9">
            <w:pPr>
              <w:pStyle w:val="TableBody"/>
              <w:ind w:right="57"/>
              <w:jc w:val="right"/>
            </w:pPr>
            <w:r w:rsidRPr="00C70A13">
              <w:t>..</w:t>
            </w:r>
          </w:p>
        </w:tc>
        <w:tc>
          <w:tcPr>
            <w:tcW w:w="2976" w:type="dxa"/>
            <w:tcBorders>
              <w:top w:val="nil"/>
              <w:bottom w:val="nil"/>
            </w:tcBorders>
            <w:shd w:val="clear" w:color="auto" w:fill="F2F2F2" w:themeFill="background1" w:themeFillShade="F2"/>
          </w:tcPr>
          <w:p w14:paraId="5C68F7AA" w14:textId="77777777" w:rsidR="00DB2ED9" w:rsidRPr="00611CB4" w:rsidRDefault="00DB2ED9">
            <w:pPr>
              <w:pStyle w:val="TableBody"/>
            </w:pPr>
            <w:r>
              <w:t>Emissions reduction</w:t>
            </w:r>
          </w:p>
        </w:tc>
      </w:tr>
      <w:tr w:rsidR="00DB2ED9" w:rsidRPr="00611CB4" w14:paraId="7FEC3BEB" w14:textId="77777777">
        <w:tc>
          <w:tcPr>
            <w:tcW w:w="426" w:type="dxa"/>
            <w:tcBorders>
              <w:top w:val="nil"/>
              <w:bottom w:val="nil"/>
            </w:tcBorders>
            <w:shd w:val="clear" w:color="auto" w:fill="auto"/>
          </w:tcPr>
          <w:p w14:paraId="7E9CAFF3" w14:textId="77777777" w:rsidR="00DB2ED9" w:rsidRPr="00A21E4E" w:rsidRDefault="00DB2ED9">
            <w:pPr>
              <w:pStyle w:val="TableBodyHeading"/>
            </w:pPr>
            <w:r w:rsidRPr="00A21E4E">
              <w:t>NZ</w:t>
            </w:r>
            <w:r>
              <w:t>5</w:t>
            </w:r>
          </w:p>
        </w:tc>
        <w:tc>
          <w:tcPr>
            <w:tcW w:w="2835" w:type="dxa"/>
            <w:tcBorders>
              <w:top w:val="nil"/>
              <w:bottom w:val="nil"/>
            </w:tcBorders>
            <w:shd w:val="clear" w:color="auto" w:fill="auto"/>
          </w:tcPr>
          <w:p w14:paraId="5C16ED85" w14:textId="77777777" w:rsidR="00DB2ED9" w:rsidRPr="00611CB4" w:rsidRDefault="00DB2ED9">
            <w:pPr>
              <w:pStyle w:val="TableBody"/>
            </w:pPr>
            <w:r>
              <w:t>EV imports</w:t>
            </w:r>
          </w:p>
        </w:tc>
        <w:tc>
          <w:tcPr>
            <w:tcW w:w="567" w:type="dxa"/>
            <w:tcBorders>
              <w:top w:val="nil"/>
              <w:bottom w:val="nil"/>
            </w:tcBorders>
            <w:shd w:val="clear" w:color="auto" w:fill="auto"/>
          </w:tcPr>
          <w:p w14:paraId="76A2E50C" w14:textId="77777777" w:rsidR="00DB2ED9" w:rsidRPr="00611CB4" w:rsidRDefault="00DB2ED9">
            <w:pPr>
              <w:pStyle w:val="TableBody"/>
            </w:pPr>
            <w:r>
              <w:t>Yes</w:t>
            </w:r>
          </w:p>
        </w:tc>
        <w:tc>
          <w:tcPr>
            <w:tcW w:w="708" w:type="dxa"/>
            <w:tcBorders>
              <w:top w:val="nil"/>
              <w:bottom w:val="nil"/>
            </w:tcBorders>
            <w:shd w:val="clear" w:color="auto" w:fill="auto"/>
          </w:tcPr>
          <w:p w14:paraId="623A067A" w14:textId="77777777" w:rsidR="00DB2ED9" w:rsidRPr="00C70A13" w:rsidRDefault="00DB2ED9">
            <w:pPr>
              <w:pStyle w:val="TableBody"/>
              <w:ind w:right="57"/>
              <w:jc w:val="right"/>
            </w:pPr>
            <w:r w:rsidRPr="00C70A13">
              <w:t>..</w:t>
            </w:r>
          </w:p>
        </w:tc>
        <w:tc>
          <w:tcPr>
            <w:tcW w:w="709" w:type="dxa"/>
            <w:tcBorders>
              <w:top w:val="nil"/>
              <w:bottom w:val="nil"/>
            </w:tcBorders>
            <w:shd w:val="clear" w:color="auto" w:fill="auto"/>
          </w:tcPr>
          <w:p w14:paraId="67175FBE" w14:textId="77777777" w:rsidR="00DB2ED9" w:rsidRPr="00C70A13" w:rsidRDefault="00DB2ED9">
            <w:pPr>
              <w:pStyle w:val="TableBody"/>
              <w:ind w:right="57"/>
              <w:jc w:val="right"/>
            </w:pPr>
            <w:r w:rsidRPr="00C70A13">
              <w:t>1,095</w:t>
            </w:r>
          </w:p>
        </w:tc>
        <w:tc>
          <w:tcPr>
            <w:tcW w:w="705" w:type="dxa"/>
            <w:tcBorders>
              <w:top w:val="nil"/>
              <w:bottom w:val="nil"/>
            </w:tcBorders>
            <w:shd w:val="clear" w:color="auto" w:fill="auto"/>
          </w:tcPr>
          <w:p w14:paraId="06C0EBAC" w14:textId="77777777" w:rsidR="00DB2ED9" w:rsidRPr="00C70A13" w:rsidRDefault="00DB2ED9">
            <w:pPr>
              <w:pStyle w:val="TableBody"/>
              <w:ind w:right="57"/>
              <w:jc w:val="right"/>
            </w:pPr>
            <w:r w:rsidRPr="00C70A13">
              <w:t>..</w:t>
            </w:r>
          </w:p>
        </w:tc>
        <w:tc>
          <w:tcPr>
            <w:tcW w:w="713" w:type="dxa"/>
            <w:tcBorders>
              <w:top w:val="nil"/>
              <w:bottom w:val="nil"/>
            </w:tcBorders>
            <w:shd w:val="clear" w:color="auto" w:fill="auto"/>
          </w:tcPr>
          <w:p w14:paraId="321DCB53" w14:textId="77777777" w:rsidR="00DB2ED9" w:rsidRPr="00C70A13" w:rsidRDefault="00DB2ED9">
            <w:pPr>
              <w:pStyle w:val="TableBody"/>
              <w:ind w:right="57"/>
              <w:jc w:val="right"/>
            </w:pPr>
            <w:r w:rsidRPr="00C70A13">
              <w:t>-0.04</w:t>
            </w:r>
          </w:p>
        </w:tc>
        <w:tc>
          <w:tcPr>
            <w:tcW w:w="2976" w:type="dxa"/>
            <w:tcBorders>
              <w:top w:val="nil"/>
              <w:bottom w:val="nil"/>
            </w:tcBorders>
            <w:shd w:val="clear" w:color="auto" w:fill="auto"/>
          </w:tcPr>
          <w:p w14:paraId="3C0DFE94" w14:textId="77777777" w:rsidR="00DB2ED9" w:rsidRPr="00611CB4" w:rsidRDefault="00DB2ED9">
            <w:pPr>
              <w:pStyle w:val="TableBody"/>
            </w:pPr>
            <w:r>
              <w:t>..</w:t>
            </w:r>
          </w:p>
        </w:tc>
      </w:tr>
      <w:tr w:rsidR="00DB2ED9" w:rsidRPr="00611CB4" w14:paraId="7CC729DB" w14:textId="77777777">
        <w:tc>
          <w:tcPr>
            <w:tcW w:w="3261" w:type="dxa"/>
            <w:gridSpan w:val="2"/>
            <w:tcBorders>
              <w:top w:val="nil"/>
              <w:bottom w:val="nil"/>
            </w:tcBorders>
            <w:shd w:val="clear" w:color="auto" w:fill="CBDDF2" w:themeFill="background2" w:themeFillTint="33"/>
          </w:tcPr>
          <w:p w14:paraId="24C3A381" w14:textId="77777777" w:rsidR="00DB2ED9" w:rsidRPr="00611CB4" w:rsidRDefault="00DB2ED9">
            <w:pPr>
              <w:pStyle w:val="TableBodyHeading"/>
            </w:pPr>
            <w:r>
              <w:t>Labour mobility</w:t>
            </w:r>
          </w:p>
        </w:tc>
        <w:tc>
          <w:tcPr>
            <w:tcW w:w="567" w:type="dxa"/>
            <w:tcBorders>
              <w:top w:val="nil"/>
              <w:bottom w:val="nil"/>
            </w:tcBorders>
            <w:shd w:val="clear" w:color="auto" w:fill="CBDDF2" w:themeFill="background2" w:themeFillTint="33"/>
          </w:tcPr>
          <w:p w14:paraId="00644C88" w14:textId="77777777" w:rsidR="00DB2ED9" w:rsidRPr="00611CB4" w:rsidRDefault="00DB2ED9">
            <w:pPr>
              <w:pStyle w:val="TableBodyHeading"/>
            </w:pPr>
          </w:p>
        </w:tc>
        <w:tc>
          <w:tcPr>
            <w:tcW w:w="708" w:type="dxa"/>
            <w:tcBorders>
              <w:top w:val="nil"/>
              <w:bottom w:val="nil"/>
            </w:tcBorders>
            <w:shd w:val="clear" w:color="auto" w:fill="CBDDF2" w:themeFill="background2" w:themeFillTint="33"/>
          </w:tcPr>
          <w:p w14:paraId="22D8A785" w14:textId="77777777" w:rsidR="00DB2ED9" w:rsidRPr="00C70A13" w:rsidRDefault="00DB2ED9">
            <w:pPr>
              <w:pStyle w:val="TableBodyHeading"/>
              <w:ind w:right="57"/>
              <w:jc w:val="right"/>
              <w:rPr>
                <w:color w:val="auto"/>
              </w:rPr>
            </w:pPr>
          </w:p>
        </w:tc>
        <w:tc>
          <w:tcPr>
            <w:tcW w:w="709" w:type="dxa"/>
            <w:tcBorders>
              <w:top w:val="nil"/>
              <w:bottom w:val="nil"/>
            </w:tcBorders>
            <w:shd w:val="clear" w:color="auto" w:fill="CBDDF2" w:themeFill="background2" w:themeFillTint="33"/>
          </w:tcPr>
          <w:p w14:paraId="6C9F4FF0" w14:textId="77777777" w:rsidR="00DB2ED9" w:rsidRPr="00C70A13" w:rsidRDefault="00DB2ED9">
            <w:pPr>
              <w:pStyle w:val="TableBodyHeading"/>
              <w:ind w:right="57"/>
              <w:rPr>
                <w:color w:val="auto"/>
              </w:rPr>
            </w:pPr>
          </w:p>
        </w:tc>
        <w:tc>
          <w:tcPr>
            <w:tcW w:w="705" w:type="dxa"/>
            <w:tcBorders>
              <w:top w:val="nil"/>
              <w:bottom w:val="nil"/>
            </w:tcBorders>
            <w:shd w:val="clear" w:color="auto" w:fill="CBDDF2" w:themeFill="background2" w:themeFillTint="33"/>
          </w:tcPr>
          <w:p w14:paraId="36CAA260" w14:textId="77777777" w:rsidR="00DB2ED9" w:rsidRPr="00C70A13" w:rsidRDefault="00DB2ED9">
            <w:pPr>
              <w:pStyle w:val="TableBodyHeading"/>
              <w:ind w:right="57"/>
              <w:rPr>
                <w:color w:val="auto"/>
              </w:rPr>
            </w:pPr>
          </w:p>
        </w:tc>
        <w:tc>
          <w:tcPr>
            <w:tcW w:w="713" w:type="dxa"/>
            <w:tcBorders>
              <w:top w:val="nil"/>
              <w:bottom w:val="nil"/>
            </w:tcBorders>
            <w:shd w:val="clear" w:color="auto" w:fill="CBDDF2" w:themeFill="background2" w:themeFillTint="33"/>
          </w:tcPr>
          <w:p w14:paraId="16C3FDD7" w14:textId="77777777" w:rsidR="00DB2ED9" w:rsidRPr="00C70A13" w:rsidRDefault="00DB2ED9">
            <w:pPr>
              <w:pStyle w:val="TableBodyHeading"/>
              <w:ind w:right="57"/>
              <w:rPr>
                <w:color w:val="auto"/>
              </w:rPr>
            </w:pPr>
          </w:p>
        </w:tc>
        <w:tc>
          <w:tcPr>
            <w:tcW w:w="2976" w:type="dxa"/>
            <w:tcBorders>
              <w:top w:val="nil"/>
              <w:bottom w:val="nil"/>
            </w:tcBorders>
            <w:shd w:val="clear" w:color="auto" w:fill="CBDDF2" w:themeFill="background2" w:themeFillTint="33"/>
          </w:tcPr>
          <w:p w14:paraId="77EDE716" w14:textId="77777777" w:rsidR="00DB2ED9" w:rsidRPr="00611CB4" w:rsidRDefault="00DB2ED9">
            <w:pPr>
              <w:pStyle w:val="TableBodyHeading"/>
            </w:pPr>
          </w:p>
        </w:tc>
      </w:tr>
      <w:tr w:rsidR="00DB2ED9" w14:paraId="3A7FFE37" w14:textId="77777777">
        <w:tc>
          <w:tcPr>
            <w:tcW w:w="426" w:type="dxa"/>
            <w:tcBorders>
              <w:top w:val="nil"/>
              <w:bottom w:val="nil"/>
            </w:tcBorders>
            <w:shd w:val="clear" w:color="auto" w:fill="auto"/>
          </w:tcPr>
          <w:p w14:paraId="7F9DA1ED" w14:textId="77777777" w:rsidR="00DB2ED9" w:rsidRDefault="00DB2ED9">
            <w:pPr>
              <w:pStyle w:val="TableBodyHeading"/>
            </w:pPr>
            <w:r>
              <w:t>L1</w:t>
            </w:r>
          </w:p>
        </w:tc>
        <w:tc>
          <w:tcPr>
            <w:tcW w:w="2835" w:type="dxa"/>
            <w:tcBorders>
              <w:top w:val="nil"/>
              <w:bottom w:val="nil"/>
            </w:tcBorders>
            <w:shd w:val="clear" w:color="auto" w:fill="auto"/>
          </w:tcPr>
          <w:p w14:paraId="5D5A0C8A" w14:textId="77777777" w:rsidR="00DB2ED9" w:rsidRDefault="00DB2ED9">
            <w:pPr>
              <w:pStyle w:val="TableBody"/>
            </w:pPr>
            <w:r>
              <w:t>Restraint of trade clauses</w:t>
            </w:r>
          </w:p>
        </w:tc>
        <w:tc>
          <w:tcPr>
            <w:tcW w:w="567" w:type="dxa"/>
            <w:tcBorders>
              <w:top w:val="nil"/>
              <w:bottom w:val="nil"/>
            </w:tcBorders>
            <w:shd w:val="clear" w:color="auto" w:fill="auto"/>
          </w:tcPr>
          <w:p w14:paraId="629FE552" w14:textId="77777777" w:rsidR="00DB2ED9" w:rsidRDefault="00DB2ED9">
            <w:pPr>
              <w:pStyle w:val="TableBody"/>
            </w:pPr>
            <w:r>
              <w:t>Yes</w:t>
            </w:r>
          </w:p>
        </w:tc>
        <w:tc>
          <w:tcPr>
            <w:tcW w:w="708" w:type="dxa"/>
            <w:tcBorders>
              <w:top w:val="nil"/>
              <w:bottom w:val="nil"/>
            </w:tcBorders>
            <w:shd w:val="clear" w:color="auto" w:fill="auto"/>
          </w:tcPr>
          <w:p w14:paraId="2B2D56CD" w14:textId="77777777" w:rsidR="00DB2ED9" w:rsidRPr="00C70A13" w:rsidRDefault="00DB2ED9">
            <w:pPr>
              <w:pStyle w:val="TableBody"/>
              <w:ind w:right="57"/>
              <w:jc w:val="right"/>
            </w:pPr>
            <w:r>
              <w:t>2,569</w:t>
            </w:r>
          </w:p>
        </w:tc>
        <w:tc>
          <w:tcPr>
            <w:tcW w:w="709" w:type="dxa"/>
            <w:tcBorders>
              <w:top w:val="nil"/>
              <w:bottom w:val="nil"/>
            </w:tcBorders>
            <w:shd w:val="clear" w:color="auto" w:fill="auto"/>
          </w:tcPr>
          <w:p w14:paraId="0567D26A" w14:textId="77777777" w:rsidR="00DB2ED9" w:rsidRPr="00C70A13" w:rsidRDefault="00DB2ED9">
            <w:pPr>
              <w:pStyle w:val="TableBody"/>
              <w:ind w:right="57"/>
              <w:jc w:val="right"/>
            </w:pPr>
            <w:r w:rsidRPr="00C70A13">
              <w:t>5,137</w:t>
            </w:r>
          </w:p>
        </w:tc>
        <w:tc>
          <w:tcPr>
            <w:tcW w:w="705" w:type="dxa"/>
            <w:tcBorders>
              <w:top w:val="nil"/>
              <w:bottom w:val="nil"/>
            </w:tcBorders>
            <w:shd w:val="clear" w:color="auto" w:fill="auto"/>
          </w:tcPr>
          <w:p w14:paraId="7AFFDB1C" w14:textId="77777777" w:rsidR="00DB2ED9" w:rsidRPr="00C70A13" w:rsidRDefault="00DB2ED9">
            <w:pPr>
              <w:pStyle w:val="TableBody"/>
              <w:ind w:right="57"/>
              <w:jc w:val="right"/>
            </w:pPr>
            <w:r>
              <w:t>-0.05</w:t>
            </w:r>
          </w:p>
        </w:tc>
        <w:tc>
          <w:tcPr>
            <w:tcW w:w="713" w:type="dxa"/>
            <w:tcBorders>
              <w:top w:val="nil"/>
              <w:bottom w:val="nil"/>
            </w:tcBorders>
            <w:shd w:val="clear" w:color="auto" w:fill="auto"/>
          </w:tcPr>
          <w:p w14:paraId="4485C0A0" w14:textId="77777777" w:rsidR="00DB2ED9" w:rsidRPr="00C70A13" w:rsidRDefault="00DB2ED9">
            <w:pPr>
              <w:pStyle w:val="TableBody"/>
              <w:ind w:right="57"/>
              <w:jc w:val="right"/>
            </w:pPr>
            <w:r w:rsidRPr="00C70A13">
              <w:t>-0.10</w:t>
            </w:r>
          </w:p>
        </w:tc>
        <w:tc>
          <w:tcPr>
            <w:tcW w:w="2976" w:type="dxa"/>
            <w:tcBorders>
              <w:top w:val="nil"/>
              <w:bottom w:val="nil"/>
            </w:tcBorders>
            <w:shd w:val="clear" w:color="auto" w:fill="auto"/>
          </w:tcPr>
          <w:p w14:paraId="5A3B92EA" w14:textId="77777777" w:rsidR="00DB2ED9" w:rsidRDefault="00DB2ED9">
            <w:pPr>
              <w:pStyle w:val="TableBody"/>
            </w:pPr>
            <w:r>
              <w:t>..</w:t>
            </w:r>
          </w:p>
        </w:tc>
      </w:tr>
      <w:tr w:rsidR="00DB2ED9" w:rsidRPr="00611CB4" w14:paraId="7BC5E093" w14:textId="77777777">
        <w:tc>
          <w:tcPr>
            <w:tcW w:w="426" w:type="dxa"/>
            <w:tcBorders>
              <w:top w:val="nil"/>
              <w:bottom w:val="nil"/>
            </w:tcBorders>
            <w:shd w:val="clear" w:color="auto" w:fill="F2F2F2" w:themeFill="background1" w:themeFillShade="F2"/>
          </w:tcPr>
          <w:p w14:paraId="5B484A56" w14:textId="77777777" w:rsidR="00DB2ED9" w:rsidRPr="004B5BC6" w:rsidRDefault="00DB2ED9">
            <w:pPr>
              <w:pStyle w:val="TableBodyHeading"/>
            </w:pPr>
            <w:r>
              <w:t>L2</w:t>
            </w:r>
          </w:p>
        </w:tc>
        <w:tc>
          <w:tcPr>
            <w:tcW w:w="2835" w:type="dxa"/>
            <w:tcBorders>
              <w:top w:val="nil"/>
              <w:bottom w:val="nil"/>
            </w:tcBorders>
            <w:shd w:val="clear" w:color="auto" w:fill="F2F2F2" w:themeFill="background1" w:themeFillShade="F2"/>
          </w:tcPr>
          <w:p w14:paraId="7F58B495" w14:textId="77777777" w:rsidR="00DB2ED9" w:rsidRPr="00C56D21" w:rsidRDefault="00DB2ED9">
            <w:pPr>
              <w:pStyle w:val="TableBody"/>
            </w:pPr>
            <w:r w:rsidRPr="00C56D21">
              <w:t>Occupational licensing</w:t>
            </w:r>
          </w:p>
        </w:tc>
        <w:tc>
          <w:tcPr>
            <w:tcW w:w="567" w:type="dxa"/>
            <w:tcBorders>
              <w:top w:val="nil"/>
              <w:bottom w:val="nil"/>
            </w:tcBorders>
            <w:shd w:val="clear" w:color="auto" w:fill="F2F2F2" w:themeFill="background1" w:themeFillShade="F2"/>
          </w:tcPr>
          <w:p w14:paraId="0914B530" w14:textId="77777777" w:rsidR="00DB2ED9" w:rsidRPr="00C56D21" w:rsidRDefault="00DB2ED9">
            <w:pPr>
              <w:pStyle w:val="TableBody"/>
            </w:pPr>
            <w:r w:rsidRPr="00C56D21">
              <w:t>Yes</w:t>
            </w:r>
          </w:p>
        </w:tc>
        <w:tc>
          <w:tcPr>
            <w:tcW w:w="708" w:type="dxa"/>
            <w:tcBorders>
              <w:top w:val="nil"/>
              <w:bottom w:val="nil"/>
            </w:tcBorders>
            <w:shd w:val="clear" w:color="auto" w:fill="F2F2F2" w:themeFill="background1" w:themeFillShade="F2"/>
          </w:tcPr>
          <w:p w14:paraId="7A77AC0E" w14:textId="77777777" w:rsidR="00DB2ED9" w:rsidRPr="00C56D21" w:rsidRDefault="00DB2ED9">
            <w:pPr>
              <w:pStyle w:val="TableBody"/>
              <w:ind w:right="57"/>
              <w:jc w:val="right"/>
            </w:pPr>
            <w:r w:rsidRPr="00C56D21">
              <w:t>5,155</w:t>
            </w:r>
          </w:p>
        </w:tc>
        <w:tc>
          <w:tcPr>
            <w:tcW w:w="709" w:type="dxa"/>
            <w:tcBorders>
              <w:top w:val="nil"/>
              <w:bottom w:val="nil"/>
            </w:tcBorders>
            <w:shd w:val="clear" w:color="auto" w:fill="F2F2F2" w:themeFill="background1" w:themeFillShade="F2"/>
          </w:tcPr>
          <w:p w14:paraId="5C108913" w14:textId="77777777" w:rsidR="00DB2ED9" w:rsidRPr="00C56D21" w:rsidRDefault="00DB2ED9">
            <w:pPr>
              <w:pStyle w:val="TableBody"/>
              <w:ind w:right="57"/>
              <w:jc w:val="right"/>
            </w:pPr>
            <w:r w:rsidRPr="00C56D21">
              <w:t>10,332</w:t>
            </w:r>
          </w:p>
        </w:tc>
        <w:tc>
          <w:tcPr>
            <w:tcW w:w="705" w:type="dxa"/>
            <w:tcBorders>
              <w:top w:val="nil"/>
              <w:bottom w:val="nil"/>
            </w:tcBorders>
            <w:shd w:val="clear" w:color="auto" w:fill="F2F2F2" w:themeFill="background1" w:themeFillShade="F2"/>
          </w:tcPr>
          <w:p w14:paraId="01677EA4" w14:textId="77777777" w:rsidR="00DB2ED9" w:rsidRPr="00C56D21" w:rsidRDefault="00DB2ED9">
            <w:pPr>
              <w:pStyle w:val="TableBody"/>
              <w:ind w:right="57"/>
              <w:jc w:val="right"/>
            </w:pPr>
            <w:r w:rsidRPr="00C56D21">
              <w:t>-0.10</w:t>
            </w:r>
          </w:p>
        </w:tc>
        <w:tc>
          <w:tcPr>
            <w:tcW w:w="713" w:type="dxa"/>
            <w:tcBorders>
              <w:top w:val="nil"/>
              <w:bottom w:val="nil"/>
            </w:tcBorders>
            <w:shd w:val="clear" w:color="auto" w:fill="F2F2F2" w:themeFill="background1" w:themeFillShade="F2"/>
          </w:tcPr>
          <w:p w14:paraId="7A71F9CB" w14:textId="77777777" w:rsidR="00DB2ED9" w:rsidRPr="00C56D21" w:rsidRDefault="00DB2ED9">
            <w:pPr>
              <w:pStyle w:val="TableBody"/>
              <w:ind w:right="57"/>
              <w:jc w:val="right"/>
            </w:pPr>
            <w:r w:rsidRPr="00C56D21">
              <w:t>-0.19</w:t>
            </w:r>
          </w:p>
        </w:tc>
        <w:tc>
          <w:tcPr>
            <w:tcW w:w="2976" w:type="dxa"/>
            <w:tcBorders>
              <w:top w:val="nil"/>
              <w:bottom w:val="nil"/>
            </w:tcBorders>
            <w:shd w:val="clear" w:color="auto" w:fill="F2F2F2" w:themeFill="background1" w:themeFillShade="F2"/>
          </w:tcPr>
          <w:p w14:paraId="0188E500" w14:textId="77777777" w:rsidR="00DB2ED9" w:rsidRPr="00C56D21" w:rsidRDefault="00DB2ED9">
            <w:pPr>
              <w:pStyle w:val="TableBody"/>
            </w:pPr>
            <w:r w:rsidRPr="00C56D21">
              <w:t>..</w:t>
            </w:r>
          </w:p>
        </w:tc>
      </w:tr>
      <w:tr w:rsidR="00DB2ED9" w:rsidRPr="00611CB4" w14:paraId="52B3926E" w14:textId="77777777">
        <w:tc>
          <w:tcPr>
            <w:tcW w:w="3261" w:type="dxa"/>
            <w:gridSpan w:val="2"/>
            <w:tcBorders>
              <w:top w:val="nil"/>
              <w:bottom w:val="nil"/>
            </w:tcBorders>
            <w:shd w:val="clear" w:color="auto" w:fill="CBDDF2" w:themeFill="background2" w:themeFillTint="33"/>
          </w:tcPr>
          <w:p w14:paraId="714574B7" w14:textId="77777777" w:rsidR="00DB2ED9" w:rsidRPr="00611CB4" w:rsidRDefault="00DB2ED9">
            <w:pPr>
              <w:pStyle w:val="TableBodyHeading"/>
            </w:pPr>
            <w:r>
              <w:t>Human services</w:t>
            </w:r>
          </w:p>
        </w:tc>
        <w:tc>
          <w:tcPr>
            <w:tcW w:w="567" w:type="dxa"/>
            <w:tcBorders>
              <w:top w:val="nil"/>
              <w:bottom w:val="nil"/>
            </w:tcBorders>
            <w:shd w:val="clear" w:color="auto" w:fill="CBDDF2" w:themeFill="background2" w:themeFillTint="33"/>
          </w:tcPr>
          <w:p w14:paraId="109B8BE4" w14:textId="77777777" w:rsidR="00DB2ED9" w:rsidRPr="00611CB4" w:rsidRDefault="00DB2ED9">
            <w:pPr>
              <w:pStyle w:val="TableBodyHeading"/>
            </w:pPr>
          </w:p>
        </w:tc>
        <w:tc>
          <w:tcPr>
            <w:tcW w:w="708" w:type="dxa"/>
            <w:tcBorders>
              <w:top w:val="nil"/>
              <w:bottom w:val="nil"/>
            </w:tcBorders>
            <w:shd w:val="clear" w:color="auto" w:fill="CBDDF2" w:themeFill="background2" w:themeFillTint="33"/>
          </w:tcPr>
          <w:p w14:paraId="3A526399" w14:textId="77777777" w:rsidR="00DB2ED9" w:rsidRPr="00C70A13" w:rsidRDefault="00DB2ED9">
            <w:pPr>
              <w:pStyle w:val="TableBodyHeading"/>
              <w:ind w:right="57"/>
              <w:jc w:val="right"/>
              <w:rPr>
                <w:color w:val="auto"/>
              </w:rPr>
            </w:pPr>
          </w:p>
        </w:tc>
        <w:tc>
          <w:tcPr>
            <w:tcW w:w="709" w:type="dxa"/>
            <w:tcBorders>
              <w:top w:val="nil"/>
              <w:bottom w:val="nil"/>
            </w:tcBorders>
            <w:shd w:val="clear" w:color="auto" w:fill="CBDDF2" w:themeFill="background2" w:themeFillTint="33"/>
          </w:tcPr>
          <w:p w14:paraId="05C3C026" w14:textId="77777777" w:rsidR="00DB2ED9" w:rsidRPr="00C70A13" w:rsidRDefault="00DB2ED9">
            <w:pPr>
              <w:pStyle w:val="TableBodyHeading"/>
              <w:ind w:right="57"/>
              <w:rPr>
                <w:color w:val="auto"/>
              </w:rPr>
            </w:pPr>
          </w:p>
        </w:tc>
        <w:tc>
          <w:tcPr>
            <w:tcW w:w="705" w:type="dxa"/>
            <w:tcBorders>
              <w:top w:val="nil"/>
              <w:bottom w:val="nil"/>
            </w:tcBorders>
            <w:shd w:val="clear" w:color="auto" w:fill="CBDDF2" w:themeFill="background2" w:themeFillTint="33"/>
          </w:tcPr>
          <w:p w14:paraId="41AF23EF" w14:textId="77777777" w:rsidR="00DB2ED9" w:rsidRPr="00C70A13" w:rsidRDefault="00DB2ED9">
            <w:pPr>
              <w:pStyle w:val="TableBodyHeading"/>
              <w:ind w:right="57"/>
              <w:rPr>
                <w:color w:val="auto"/>
              </w:rPr>
            </w:pPr>
          </w:p>
        </w:tc>
        <w:tc>
          <w:tcPr>
            <w:tcW w:w="713" w:type="dxa"/>
            <w:tcBorders>
              <w:top w:val="nil"/>
              <w:bottom w:val="nil"/>
            </w:tcBorders>
            <w:shd w:val="clear" w:color="auto" w:fill="CBDDF2" w:themeFill="background2" w:themeFillTint="33"/>
          </w:tcPr>
          <w:p w14:paraId="77024F27" w14:textId="77777777" w:rsidR="00DB2ED9" w:rsidRPr="00C70A13" w:rsidRDefault="00DB2ED9">
            <w:pPr>
              <w:pStyle w:val="TableBodyHeading"/>
              <w:ind w:right="57"/>
              <w:rPr>
                <w:color w:val="auto"/>
              </w:rPr>
            </w:pPr>
          </w:p>
        </w:tc>
        <w:tc>
          <w:tcPr>
            <w:tcW w:w="2976" w:type="dxa"/>
            <w:tcBorders>
              <w:top w:val="nil"/>
              <w:bottom w:val="nil"/>
            </w:tcBorders>
            <w:shd w:val="clear" w:color="auto" w:fill="CBDDF2" w:themeFill="background2" w:themeFillTint="33"/>
          </w:tcPr>
          <w:p w14:paraId="2EA38860" w14:textId="77777777" w:rsidR="00DB2ED9" w:rsidRPr="00611CB4" w:rsidRDefault="00DB2ED9">
            <w:pPr>
              <w:pStyle w:val="TableBodyHeading"/>
            </w:pPr>
          </w:p>
        </w:tc>
      </w:tr>
      <w:tr w:rsidR="00DB2ED9" w14:paraId="6EE15D66" w14:textId="77777777">
        <w:tc>
          <w:tcPr>
            <w:tcW w:w="426" w:type="dxa"/>
            <w:tcBorders>
              <w:top w:val="nil"/>
              <w:bottom w:val="nil"/>
            </w:tcBorders>
            <w:shd w:val="clear" w:color="auto" w:fill="F2F2F2" w:themeFill="background1" w:themeFillShade="F2"/>
          </w:tcPr>
          <w:p w14:paraId="4E0571B5" w14:textId="77777777" w:rsidR="00DB2ED9" w:rsidRDefault="00DB2ED9">
            <w:pPr>
              <w:pStyle w:val="TableBodyHeading"/>
            </w:pPr>
            <w:r>
              <w:t>H1</w:t>
            </w:r>
          </w:p>
        </w:tc>
        <w:tc>
          <w:tcPr>
            <w:tcW w:w="2835" w:type="dxa"/>
            <w:tcBorders>
              <w:top w:val="nil"/>
              <w:bottom w:val="nil"/>
            </w:tcBorders>
            <w:shd w:val="clear" w:color="auto" w:fill="F2F2F2" w:themeFill="background1" w:themeFillShade="F2"/>
          </w:tcPr>
          <w:p w14:paraId="41E80E3C" w14:textId="77777777" w:rsidR="00DB2ED9" w:rsidRDefault="00DB2ED9">
            <w:pPr>
              <w:pStyle w:val="TableBody"/>
            </w:pPr>
            <w:r>
              <w:t xml:space="preserve">Matching </w:t>
            </w:r>
          </w:p>
        </w:tc>
        <w:tc>
          <w:tcPr>
            <w:tcW w:w="567" w:type="dxa"/>
            <w:tcBorders>
              <w:top w:val="nil"/>
              <w:bottom w:val="nil"/>
            </w:tcBorders>
            <w:shd w:val="clear" w:color="auto" w:fill="F2F2F2" w:themeFill="background1" w:themeFillShade="F2"/>
          </w:tcPr>
          <w:p w14:paraId="7E76F9B2" w14:textId="77777777" w:rsidR="00DB2ED9" w:rsidRPr="007D4ECB" w:rsidRDefault="00DB2ED9">
            <w:pPr>
              <w:pStyle w:val="TableBody"/>
            </w:pPr>
            <w:proofErr w:type="spellStart"/>
            <w:r w:rsidRPr="007D4ECB">
              <w:t>Yes</w:t>
            </w:r>
            <w:r>
              <w:rPr>
                <w:b/>
                <w:bCs/>
                <w:vertAlign w:val="superscript"/>
              </w:rPr>
              <w:t>b</w:t>
            </w:r>
            <w:proofErr w:type="spellEnd"/>
          </w:p>
        </w:tc>
        <w:tc>
          <w:tcPr>
            <w:tcW w:w="708" w:type="dxa"/>
            <w:tcBorders>
              <w:top w:val="nil"/>
              <w:bottom w:val="nil"/>
            </w:tcBorders>
            <w:shd w:val="clear" w:color="auto" w:fill="F2F2F2" w:themeFill="background1" w:themeFillShade="F2"/>
          </w:tcPr>
          <w:p w14:paraId="35562311" w14:textId="77777777" w:rsidR="00DB2ED9" w:rsidRPr="00C70A13" w:rsidRDefault="00DB2ED9">
            <w:pPr>
              <w:pStyle w:val="TableBody"/>
              <w:ind w:right="57"/>
              <w:jc w:val="right"/>
            </w:pPr>
            <w:r w:rsidRPr="00C70A13">
              <w:t>..</w:t>
            </w:r>
          </w:p>
        </w:tc>
        <w:tc>
          <w:tcPr>
            <w:tcW w:w="709" w:type="dxa"/>
            <w:tcBorders>
              <w:top w:val="nil"/>
              <w:bottom w:val="nil"/>
            </w:tcBorders>
            <w:shd w:val="clear" w:color="auto" w:fill="F2F2F2" w:themeFill="background1" w:themeFillShade="F2"/>
          </w:tcPr>
          <w:p w14:paraId="448C1153" w14:textId="77777777" w:rsidR="00DB2ED9" w:rsidRPr="00C70A13" w:rsidRDefault="00DB2ED9">
            <w:pPr>
              <w:pStyle w:val="TableBody"/>
              <w:ind w:right="57"/>
              <w:jc w:val="right"/>
            </w:pPr>
            <w:r w:rsidRPr="00C70A13">
              <w:t>..</w:t>
            </w:r>
          </w:p>
        </w:tc>
        <w:tc>
          <w:tcPr>
            <w:tcW w:w="705" w:type="dxa"/>
            <w:tcBorders>
              <w:top w:val="nil"/>
              <w:bottom w:val="nil"/>
            </w:tcBorders>
            <w:shd w:val="clear" w:color="auto" w:fill="F2F2F2" w:themeFill="background1" w:themeFillShade="F2"/>
          </w:tcPr>
          <w:p w14:paraId="4C81884D" w14:textId="77777777" w:rsidR="00DB2ED9" w:rsidRPr="00C70A13" w:rsidRDefault="00DB2ED9">
            <w:pPr>
              <w:pStyle w:val="TableBody"/>
              <w:ind w:right="57"/>
              <w:jc w:val="right"/>
            </w:pPr>
            <w:r w:rsidRPr="00C70A13">
              <w:t>..</w:t>
            </w:r>
          </w:p>
        </w:tc>
        <w:tc>
          <w:tcPr>
            <w:tcW w:w="713" w:type="dxa"/>
            <w:tcBorders>
              <w:top w:val="nil"/>
              <w:bottom w:val="nil"/>
            </w:tcBorders>
            <w:shd w:val="clear" w:color="auto" w:fill="F2F2F2" w:themeFill="background1" w:themeFillShade="F2"/>
          </w:tcPr>
          <w:p w14:paraId="2056C213" w14:textId="77777777" w:rsidR="00DB2ED9" w:rsidRPr="00C70A13" w:rsidRDefault="00DB2ED9">
            <w:pPr>
              <w:pStyle w:val="TableBody"/>
              <w:ind w:right="57"/>
              <w:jc w:val="right"/>
            </w:pPr>
            <w:r w:rsidRPr="00C70A13">
              <w:t>..</w:t>
            </w:r>
          </w:p>
        </w:tc>
        <w:tc>
          <w:tcPr>
            <w:tcW w:w="2976" w:type="dxa"/>
            <w:tcBorders>
              <w:top w:val="nil"/>
              <w:bottom w:val="nil"/>
            </w:tcBorders>
            <w:shd w:val="clear" w:color="auto" w:fill="F2F2F2" w:themeFill="background1" w:themeFillShade="F2"/>
          </w:tcPr>
          <w:p w14:paraId="3B600D0C" w14:textId="77777777" w:rsidR="00DB2ED9" w:rsidRDefault="00DB2ED9">
            <w:pPr>
              <w:pStyle w:val="TableBody"/>
            </w:pPr>
            <w:r>
              <w:t>Health outcomes, consumer choice</w:t>
            </w:r>
          </w:p>
        </w:tc>
      </w:tr>
      <w:tr w:rsidR="00DB2ED9" w:rsidRPr="00611CB4" w14:paraId="4571CCD4" w14:textId="77777777">
        <w:tc>
          <w:tcPr>
            <w:tcW w:w="426" w:type="dxa"/>
            <w:tcBorders>
              <w:top w:val="nil"/>
              <w:bottom w:val="nil"/>
            </w:tcBorders>
            <w:shd w:val="clear" w:color="auto" w:fill="auto"/>
          </w:tcPr>
          <w:p w14:paraId="56C8FC4D" w14:textId="77777777" w:rsidR="00DB2ED9" w:rsidRPr="00A21E4E" w:rsidRDefault="00DB2ED9">
            <w:pPr>
              <w:pStyle w:val="TableBodyHeading"/>
            </w:pPr>
            <w:r>
              <w:t>H2</w:t>
            </w:r>
          </w:p>
        </w:tc>
        <w:tc>
          <w:tcPr>
            <w:tcW w:w="2835" w:type="dxa"/>
            <w:tcBorders>
              <w:top w:val="nil"/>
              <w:bottom w:val="nil"/>
            </w:tcBorders>
            <w:shd w:val="clear" w:color="auto" w:fill="auto"/>
          </w:tcPr>
          <w:p w14:paraId="778405B0" w14:textId="77777777" w:rsidR="00DB2ED9" w:rsidRPr="00436299" w:rsidRDefault="00DB2ED9">
            <w:pPr>
              <w:pStyle w:val="TableBody"/>
            </w:pPr>
            <w:r w:rsidRPr="00436299">
              <w:t>Labour mobility</w:t>
            </w:r>
          </w:p>
        </w:tc>
        <w:tc>
          <w:tcPr>
            <w:tcW w:w="567" w:type="dxa"/>
            <w:tcBorders>
              <w:top w:val="nil"/>
              <w:bottom w:val="nil"/>
            </w:tcBorders>
            <w:shd w:val="clear" w:color="auto" w:fill="auto"/>
          </w:tcPr>
          <w:p w14:paraId="1EDB2A79" w14:textId="77777777" w:rsidR="00DB2ED9" w:rsidRPr="00436299" w:rsidRDefault="00DB2ED9">
            <w:pPr>
              <w:pStyle w:val="TableBody"/>
            </w:pPr>
            <w:r w:rsidRPr="00436299">
              <w:t>Yes</w:t>
            </w:r>
          </w:p>
        </w:tc>
        <w:tc>
          <w:tcPr>
            <w:tcW w:w="708" w:type="dxa"/>
            <w:tcBorders>
              <w:top w:val="nil"/>
              <w:bottom w:val="nil"/>
            </w:tcBorders>
            <w:shd w:val="clear" w:color="auto" w:fill="auto"/>
          </w:tcPr>
          <w:p w14:paraId="58F92F69" w14:textId="77777777" w:rsidR="00DB2ED9" w:rsidRPr="00443996" w:rsidRDefault="00DB2ED9">
            <w:pPr>
              <w:pStyle w:val="TableBody"/>
              <w:ind w:right="57"/>
              <w:jc w:val="right"/>
            </w:pPr>
            <w:r w:rsidRPr="00443996">
              <w:t>600</w:t>
            </w:r>
          </w:p>
        </w:tc>
        <w:tc>
          <w:tcPr>
            <w:tcW w:w="709" w:type="dxa"/>
            <w:tcBorders>
              <w:top w:val="nil"/>
              <w:bottom w:val="nil"/>
            </w:tcBorders>
            <w:shd w:val="clear" w:color="auto" w:fill="auto"/>
          </w:tcPr>
          <w:p w14:paraId="6A9CA59C" w14:textId="77777777" w:rsidR="00DB2ED9" w:rsidRPr="00443996" w:rsidRDefault="00DB2ED9">
            <w:pPr>
              <w:pStyle w:val="TableBody"/>
              <w:ind w:right="57"/>
              <w:jc w:val="right"/>
            </w:pPr>
            <w:r w:rsidRPr="00443996">
              <w:t>1,205</w:t>
            </w:r>
          </w:p>
        </w:tc>
        <w:tc>
          <w:tcPr>
            <w:tcW w:w="705" w:type="dxa"/>
            <w:tcBorders>
              <w:top w:val="nil"/>
              <w:bottom w:val="nil"/>
            </w:tcBorders>
            <w:shd w:val="clear" w:color="auto" w:fill="auto"/>
          </w:tcPr>
          <w:p w14:paraId="168A430B" w14:textId="77777777" w:rsidR="00DB2ED9" w:rsidRPr="00443996" w:rsidRDefault="00DB2ED9">
            <w:pPr>
              <w:pStyle w:val="TableBody"/>
              <w:ind w:right="57"/>
              <w:jc w:val="right"/>
            </w:pPr>
            <w:r w:rsidRPr="00443996">
              <w:t>-0.07</w:t>
            </w:r>
          </w:p>
        </w:tc>
        <w:tc>
          <w:tcPr>
            <w:tcW w:w="713" w:type="dxa"/>
            <w:tcBorders>
              <w:top w:val="nil"/>
              <w:bottom w:val="nil"/>
            </w:tcBorders>
            <w:shd w:val="clear" w:color="auto" w:fill="auto"/>
          </w:tcPr>
          <w:p w14:paraId="513AA9A7" w14:textId="77777777" w:rsidR="00DB2ED9" w:rsidRPr="00443996" w:rsidRDefault="00DB2ED9">
            <w:pPr>
              <w:pStyle w:val="TableBody"/>
              <w:ind w:right="57"/>
              <w:jc w:val="right"/>
            </w:pPr>
            <w:r w:rsidRPr="00443996">
              <w:t>-0.12</w:t>
            </w:r>
          </w:p>
        </w:tc>
        <w:tc>
          <w:tcPr>
            <w:tcW w:w="2976" w:type="dxa"/>
            <w:tcBorders>
              <w:top w:val="nil"/>
              <w:bottom w:val="nil"/>
            </w:tcBorders>
            <w:shd w:val="clear" w:color="auto" w:fill="auto"/>
          </w:tcPr>
          <w:p w14:paraId="528B4F66" w14:textId="77777777" w:rsidR="00DB2ED9" w:rsidRPr="00436299" w:rsidRDefault="00DB2ED9">
            <w:pPr>
              <w:pStyle w:val="TableBody"/>
            </w:pPr>
            <w:r w:rsidRPr="00436299">
              <w:t>Health outcomes</w:t>
            </w:r>
          </w:p>
        </w:tc>
      </w:tr>
      <w:tr w:rsidR="00DB2ED9" w:rsidRPr="00611CB4" w14:paraId="546717F7" w14:textId="77777777">
        <w:tc>
          <w:tcPr>
            <w:tcW w:w="426" w:type="dxa"/>
            <w:tcBorders>
              <w:top w:val="nil"/>
              <w:bottom w:val="nil"/>
            </w:tcBorders>
            <w:shd w:val="clear" w:color="auto" w:fill="F2F2F2" w:themeFill="background1" w:themeFillShade="F2"/>
          </w:tcPr>
          <w:p w14:paraId="39CBB383" w14:textId="77777777" w:rsidR="00DB2ED9" w:rsidRPr="00A21E4E" w:rsidRDefault="00DB2ED9">
            <w:pPr>
              <w:pStyle w:val="TableBodyHeading"/>
            </w:pPr>
            <w:r>
              <w:t>H3</w:t>
            </w:r>
          </w:p>
        </w:tc>
        <w:tc>
          <w:tcPr>
            <w:tcW w:w="2835" w:type="dxa"/>
            <w:tcBorders>
              <w:top w:val="nil"/>
              <w:bottom w:val="nil"/>
            </w:tcBorders>
            <w:shd w:val="clear" w:color="auto" w:fill="F2F2F2" w:themeFill="background1" w:themeFillShade="F2"/>
          </w:tcPr>
          <w:p w14:paraId="56B281E7" w14:textId="77777777" w:rsidR="00DB2ED9" w:rsidRPr="00A96F34" w:rsidRDefault="00DB2ED9">
            <w:pPr>
              <w:pStyle w:val="TableBody"/>
            </w:pPr>
            <w:r w:rsidRPr="00A96F34">
              <w:t>Access arrangements</w:t>
            </w:r>
          </w:p>
        </w:tc>
        <w:tc>
          <w:tcPr>
            <w:tcW w:w="567" w:type="dxa"/>
            <w:tcBorders>
              <w:top w:val="nil"/>
              <w:bottom w:val="nil"/>
            </w:tcBorders>
            <w:shd w:val="clear" w:color="auto" w:fill="F2F2F2" w:themeFill="background1" w:themeFillShade="F2"/>
          </w:tcPr>
          <w:p w14:paraId="192E688A" w14:textId="77777777" w:rsidR="00DB2ED9" w:rsidRPr="00611CB4" w:rsidRDefault="00DB2ED9">
            <w:pPr>
              <w:pStyle w:val="TableBody"/>
            </w:pPr>
            <w:r>
              <w:t>Yes</w:t>
            </w:r>
          </w:p>
        </w:tc>
        <w:tc>
          <w:tcPr>
            <w:tcW w:w="708" w:type="dxa"/>
            <w:tcBorders>
              <w:top w:val="nil"/>
              <w:bottom w:val="nil"/>
            </w:tcBorders>
            <w:shd w:val="clear" w:color="auto" w:fill="F2F2F2" w:themeFill="background1" w:themeFillShade="F2"/>
          </w:tcPr>
          <w:p w14:paraId="246D4602" w14:textId="77777777" w:rsidR="00DB2ED9" w:rsidRPr="00C70A13" w:rsidRDefault="00DB2ED9">
            <w:pPr>
              <w:pStyle w:val="TableBody"/>
              <w:ind w:right="57"/>
              <w:jc w:val="right"/>
            </w:pPr>
            <w:r>
              <w:t>1,789</w:t>
            </w:r>
          </w:p>
        </w:tc>
        <w:tc>
          <w:tcPr>
            <w:tcW w:w="709" w:type="dxa"/>
            <w:tcBorders>
              <w:top w:val="nil"/>
              <w:bottom w:val="nil"/>
            </w:tcBorders>
            <w:shd w:val="clear" w:color="auto" w:fill="F2F2F2" w:themeFill="background1" w:themeFillShade="F2"/>
          </w:tcPr>
          <w:p w14:paraId="0F238655" w14:textId="77777777" w:rsidR="00DB2ED9" w:rsidRPr="00C70A13" w:rsidRDefault="00DB2ED9">
            <w:pPr>
              <w:pStyle w:val="TableBody"/>
              <w:ind w:right="57"/>
              <w:jc w:val="right"/>
            </w:pPr>
            <w:r w:rsidRPr="00C70A13">
              <w:t>3,2</w:t>
            </w:r>
            <w:r>
              <w:t>28</w:t>
            </w:r>
          </w:p>
        </w:tc>
        <w:tc>
          <w:tcPr>
            <w:tcW w:w="705" w:type="dxa"/>
            <w:tcBorders>
              <w:top w:val="nil"/>
              <w:bottom w:val="nil"/>
            </w:tcBorders>
            <w:shd w:val="clear" w:color="auto" w:fill="F2F2F2" w:themeFill="background1" w:themeFillShade="F2"/>
          </w:tcPr>
          <w:p w14:paraId="60E528EB" w14:textId="77777777" w:rsidR="00DB2ED9" w:rsidRPr="00C70A13" w:rsidRDefault="00DB2ED9">
            <w:pPr>
              <w:pStyle w:val="TableBody"/>
              <w:ind w:right="57"/>
              <w:jc w:val="right"/>
            </w:pPr>
            <w:r>
              <w:t>-0.03</w:t>
            </w:r>
          </w:p>
        </w:tc>
        <w:tc>
          <w:tcPr>
            <w:tcW w:w="713" w:type="dxa"/>
            <w:tcBorders>
              <w:top w:val="nil"/>
              <w:bottom w:val="nil"/>
            </w:tcBorders>
            <w:shd w:val="clear" w:color="auto" w:fill="F2F2F2" w:themeFill="background1" w:themeFillShade="F2"/>
          </w:tcPr>
          <w:p w14:paraId="525FA87F" w14:textId="77777777" w:rsidR="00DB2ED9" w:rsidRPr="00C70A13" w:rsidRDefault="00DB2ED9">
            <w:pPr>
              <w:pStyle w:val="TableBody"/>
              <w:ind w:right="57"/>
              <w:jc w:val="right"/>
            </w:pPr>
            <w:r w:rsidRPr="00C70A13">
              <w:t>-0.0</w:t>
            </w:r>
            <w:r>
              <w:t>6</w:t>
            </w:r>
          </w:p>
        </w:tc>
        <w:tc>
          <w:tcPr>
            <w:tcW w:w="2976" w:type="dxa"/>
            <w:tcBorders>
              <w:top w:val="nil"/>
              <w:bottom w:val="nil"/>
            </w:tcBorders>
            <w:shd w:val="clear" w:color="auto" w:fill="F2F2F2" w:themeFill="background1" w:themeFillShade="F2"/>
          </w:tcPr>
          <w:p w14:paraId="3ACFE3E8" w14:textId="77777777" w:rsidR="00DB2ED9" w:rsidRPr="00611CB4" w:rsidRDefault="00DB2ED9">
            <w:pPr>
              <w:pStyle w:val="TableBody"/>
            </w:pPr>
            <w:r>
              <w:t>Health outcomes, consumer choice, choice for informal carers</w:t>
            </w:r>
          </w:p>
        </w:tc>
      </w:tr>
      <w:tr w:rsidR="00DB2ED9" w:rsidRPr="00611CB4" w14:paraId="22FFECB1" w14:textId="77777777">
        <w:tc>
          <w:tcPr>
            <w:tcW w:w="426" w:type="dxa"/>
            <w:tcBorders>
              <w:top w:val="nil"/>
              <w:bottom w:val="nil"/>
            </w:tcBorders>
            <w:shd w:val="clear" w:color="auto" w:fill="auto"/>
          </w:tcPr>
          <w:p w14:paraId="120F5306" w14:textId="77777777" w:rsidR="00DB2ED9" w:rsidRPr="00A21E4E" w:rsidRDefault="00DB2ED9">
            <w:pPr>
              <w:pStyle w:val="TableBodyHeading"/>
            </w:pPr>
            <w:r>
              <w:t>H4</w:t>
            </w:r>
          </w:p>
        </w:tc>
        <w:tc>
          <w:tcPr>
            <w:tcW w:w="2835" w:type="dxa"/>
            <w:tcBorders>
              <w:top w:val="nil"/>
              <w:bottom w:val="nil"/>
            </w:tcBorders>
            <w:shd w:val="clear" w:color="auto" w:fill="auto"/>
          </w:tcPr>
          <w:p w14:paraId="70F0BD0E" w14:textId="77777777" w:rsidR="00DB2ED9" w:rsidRPr="00611CB4" w:rsidRDefault="00DB2ED9">
            <w:pPr>
              <w:pStyle w:val="TableBody"/>
            </w:pPr>
            <w:r>
              <w:t>Medicine pricing</w:t>
            </w:r>
          </w:p>
        </w:tc>
        <w:tc>
          <w:tcPr>
            <w:tcW w:w="567" w:type="dxa"/>
            <w:tcBorders>
              <w:top w:val="nil"/>
              <w:bottom w:val="nil"/>
            </w:tcBorders>
            <w:shd w:val="clear" w:color="auto" w:fill="auto"/>
          </w:tcPr>
          <w:p w14:paraId="5E91C4E9" w14:textId="77777777" w:rsidR="00DB2ED9" w:rsidRPr="00611CB4" w:rsidRDefault="00DB2ED9">
            <w:pPr>
              <w:pStyle w:val="TableBody"/>
            </w:pPr>
            <w:r>
              <w:t>Yes</w:t>
            </w:r>
          </w:p>
        </w:tc>
        <w:tc>
          <w:tcPr>
            <w:tcW w:w="708" w:type="dxa"/>
            <w:tcBorders>
              <w:top w:val="nil"/>
              <w:bottom w:val="nil"/>
            </w:tcBorders>
            <w:shd w:val="clear" w:color="auto" w:fill="auto"/>
          </w:tcPr>
          <w:p w14:paraId="193BFE2E" w14:textId="77777777" w:rsidR="00DB2ED9" w:rsidRPr="00C70A13" w:rsidRDefault="00DB2ED9">
            <w:pPr>
              <w:pStyle w:val="TableBody"/>
              <w:ind w:right="57"/>
              <w:jc w:val="right"/>
            </w:pPr>
            <w:r w:rsidRPr="00C70A13">
              <w:t>..</w:t>
            </w:r>
          </w:p>
        </w:tc>
        <w:tc>
          <w:tcPr>
            <w:tcW w:w="709" w:type="dxa"/>
            <w:tcBorders>
              <w:top w:val="nil"/>
              <w:bottom w:val="nil"/>
            </w:tcBorders>
            <w:shd w:val="clear" w:color="auto" w:fill="auto"/>
          </w:tcPr>
          <w:p w14:paraId="2D92F4E4" w14:textId="77777777" w:rsidR="00DB2ED9" w:rsidRPr="00C70A13" w:rsidRDefault="00DB2ED9">
            <w:pPr>
              <w:pStyle w:val="TableBody"/>
              <w:ind w:right="57"/>
              <w:jc w:val="right"/>
            </w:pPr>
            <w:r w:rsidRPr="00C70A13">
              <w:t>2</w:t>
            </w:r>
          </w:p>
        </w:tc>
        <w:tc>
          <w:tcPr>
            <w:tcW w:w="705" w:type="dxa"/>
            <w:tcBorders>
              <w:top w:val="nil"/>
              <w:bottom w:val="nil"/>
            </w:tcBorders>
            <w:shd w:val="clear" w:color="auto" w:fill="auto"/>
          </w:tcPr>
          <w:p w14:paraId="79C9A1EC" w14:textId="77777777" w:rsidR="00DB2ED9" w:rsidRPr="00C70A13" w:rsidRDefault="00DB2ED9">
            <w:pPr>
              <w:pStyle w:val="TableBody"/>
              <w:ind w:right="57"/>
              <w:jc w:val="right"/>
            </w:pPr>
            <w:r w:rsidRPr="00C70A13">
              <w:t>..</w:t>
            </w:r>
          </w:p>
        </w:tc>
        <w:tc>
          <w:tcPr>
            <w:tcW w:w="713" w:type="dxa"/>
            <w:tcBorders>
              <w:top w:val="nil"/>
              <w:bottom w:val="nil"/>
            </w:tcBorders>
            <w:shd w:val="clear" w:color="auto" w:fill="auto"/>
          </w:tcPr>
          <w:p w14:paraId="4755C56F" w14:textId="77777777" w:rsidR="00DB2ED9" w:rsidRPr="00C70A13" w:rsidRDefault="00DB2ED9">
            <w:pPr>
              <w:pStyle w:val="TableBody"/>
              <w:ind w:right="57"/>
              <w:jc w:val="right"/>
            </w:pPr>
            <w:r w:rsidRPr="00C70A13">
              <w:t>-0.00</w:t>
            </w:r>
          </w:p>
        </w:tc>
        <w:tc>
          <w:tcPr>
            <w:tcW w:w="2976" w:type="dxa"/>
            <w:tcBorders>
              <w:top w:val="nil"/>
              <w:bottom w:val="nil"/>
            </w:tcBorders>
            <w:shd w:val="clear" w:color="auto" w:fill="auto"/>
          </w:tcPr>
          <w:p w14:paraId="4083FFFA" w14:textId="77777777" w:rsidR="00DB2ED9" w:rsidRPr="00611CB4" w:rsidRDefault="00DB2ED9">
            <w:pPr>
              <w:pStyle w:val="TableBody"/>
            </w:pPr>
            <w:r>
              <w:t>..</w:t>
            </w:r>
          </w:p>
        </w:tc>
      </w:tr>
      <w:tr w:rsidR="00DB2ED9" w:rsidRPr="00611CB4" w14:paraId="0EEE5DFC" w14:textId="77777777">
        <w:tc>
          <w:tcPr>
            <w:tcW w:w="426" w:type="dxa"/>
            <w:tcBorders>
              <w:top w:val="nil"/>
              <w:bottom w:val="nil"/>
            </w:tcBorders>
            <w:shd w:val="clear" w:color="auto" w:fill="F2F2F2" w:themeFill="background1" w:themeFillShade="F2"/>
          </w:tcPr>
          <w:p w14:paraId="4F281818" w14:textId="77777777" w:rsidR="00DB2ED9" w:rsidRPr="00A21E4E" w:rsidRDefault="00DB2ED9">
            <w:pPr>
              <w:pStyle w:val="TableBodyHeading"/>
            </w:pPr>
            <w:r>
              <w:t>H5</w:t>
            </w:r>
          </w:p>
        </w:tc>
        <w:tc>
          <w:tcPr>
            <w:tcW w:w="2835" w:type="dxa"/>
            <w:tcBorders>
              <w:top w:val="nil"/>
              <w:bottom w:val="nil"/>
            </w:tcBorders>
            <w:shd w:val="clear" w:color="auto" w:fill="F2F2F2" w:themeFill="background1" w:themeFillShade="F2"/>
          </w:tcPr>
          <w:p w14:paraId="503129BC" w14:textId="77777777" w:rsidR="00DB2ED9" w:rsidRPr="00611CB4" w:rsidRDefault="00DB2ED9">
            <w:pPr>
              <w:pStyle w:val="TableBody"/>
            </w:pPr>
            <w:r>
              <w:t>Telehealth</w:t>
            </w:r>
          </w:p>
        </w:tc>
        <w:tc>
          <w:tcPr>
            <w:tcW w:w="567" w:type="dxa"/>
            <w:tcBorders>
              <w:top w:val="nil"/>
              <w:bottom w:val="nil"/>
            </w:tcBorders>
            <w:shd w:val="clear" w:color="auto" w:fill="F2F2F2" w:themeFill="background1" w:themeFillShade="F2"/>
          </w:tcPr>
          <w:p w14:paraId="091AE30C" w14:textId="77777777" w:rsidR="00DB2ED9" w:rsidRPr="00611CB4" w:rsidRDefault="00DB2ED9">
            <w:pPr>
              <w:pStyle w:val="TableBody"/>
            </w:pPr>
            <w:r>
              <w:t>Yes</w:t>
            </w:r>
          </w:p>
        </w:tc>
        <w:tc>
          <w:tcPr>
            <w:tcW w:w="708" w:type="dxa"/>
            <w:tcBorders>
              <w:top w:val="nil"/>
              <w:bottom w:val="nil"/>
            </w:tcBorders>
            <w:shd w:val="clear" w:color="auto" w:fill="F2F2F2" w:themeFill="background1" w:themeFillShade="F2"/>
          </w:tcPr>
          <w:p w14:paraId="6784FD5A" w14:textId="77777777" w:rsidR="00DB2ED9" w:rsidRPr="00C70A13" w:rsidRDefault="00DB2ED9">
            <w:pPr>
              <w:pStyle w:val="TableBody"/>
              <w:ind w:right="57"/>
              <w:jc w:val="right"/>
            </w:pPr>
            <w:r w:rsidRPr="00C70A13">
              <w:t>..</w:t>
            </w:r>
          </w:p>
        </w:tc>
        <w:tc>
          <w:tcPr>
            <w:tcW w:w="709" w:type="dxa"/>
            <w:tcBorders>
              <w:top w:val="nil"/>
              <w:bottom w:val="nil"/>
            </w:tcBorders>
            <w:shd w:val="clear" w:color="auto" w:fill="F2F2F2" w:themeFill="background1" w:themeFillShade="F2"/>
          </w:tcPr>
          <w:p w14:paraId="73F85629" w14:textId="77777777" w:rsidR="00DB2ED9" w:rsidRPr="00C70A13" w:rsidRDefault="00DB2ED9">
            <w:pPr>
              <w:pStyle w:val="TableBody"/>
              <w:ind w:right="57"/>
              <w:jc w:val="right"/>
            </w:pPr>
            <w:r w:rsidRPr="00C70A13">
              <w:t>793</w:t>
            </w:r>
          </w:p>
        </w:tc>
        <w:tc>
          <w:tcPr>
            <w:tcW w:w="705" w:type="dxa"/>
            <w:tcBorders>
              <w:top w:val="nil"/>
              <w:bottom w:val="nil"/>
            </w:tcBorders>
            <w:shd w:val="clear" w:color="auto" w:fill="F2F2F2" w:themeFill="background1" w:themeFillShade="F2"/>
          </w:tcPr>
          <w:p w14:paraId="190E5563" w14:textId="77777777" w:rsidR="00DB2ED9" w:rsidRPr="00C70A13" w:rsidRDefault="00DB2ED9">
            <w:pPr>
              <w:pStyle w:val="TableBody"/>
              <w:ind w:right="57"/>
              <w:jc w:val="right"/>
            </w:pPr>
            <w:r w:rsidRPr="00C70A13">
              <w:t>..</w:t>
            </w:r>
          </w:p>
        </w:tc>
        <w:tc>
          <w:tcPr>
            <w:tcW w:w="713" w:type="dxa"/>
            <w:tcBorders>
              <w:top w:val="nil"/>
              <w:bottom w:val="nil"/>
            </w:tcBorders>
            <w:shd w:val="clear" w:color="auto" w:fill="F2F2F2" w:themeFill="background1" w:themeFillShade="F2"/>
          </w:tcPr>
          <w:p w14:paraId="55EE7F6B" w14:textId="77777777" w:rsidR="00DB2ED9" w:rsidRPr="00C70A13" w:rsidRDefault="00DB2ED9">
            <w:pPr>
              <w:pStyle w:val="TableBody"/>
              <w:ind w:right="57"/>
              <w:jc w:val="right"/>
            </w:pPr>
            <w:r w:rsidRPr="00C70A13">
              <w:t>-0.02</w:t>
            </w:r>
          </w:p>
        </w:tc>
        <w:tc>
          <w:tcPr>
            <w:tcW w:w="2976" w:type="dxa"/>
            <w:tcBorders>
              <w:top w:val="nil"/>
              <w:bottom w:val="nil"/>
            </w:tcBorders>
            <w:shd w:val="clear" w:color="auto" w:fill="F2F2F2" w:themeFill="background1" w:themeFillShade="F2"/>
          </w:tcPr>
          <w:p w14:paraId="399B1E83" w14:textId="77777777" w:rsidR="00DB2ED9" w:rsidRPr="00611CB4" w:rsidRDefault="00DB2ED9">
            <w:pPr>
              <w:pStyle w:val="TableBody"/>
            </w:pPr>
            <w:r>
              <w:t>Health outcomes, convenience</w:t>
            </w:r>
          </w:p>
        </w:tc>
      </w:tr>
      <w:tr w:rsidR="00DB2ED9" w:rsidRPr="00611CB4" w14:paraId="44B7900E" w14:textId="77777777">
        <w:tc>
          <w:tcPr>
            <w:tcW w:w="3261" w:type="dxa"/>
            <w:gridSpan w:val="2"/>
            <w:tcBorders>
              <w:top w:val="nil"/>
              <w:bottom w:val="nil"/>
            </w:tcBorders>
            <w:shd w:val="clear" w:color="auto" w:fill="CBDDF2" w:themeFill="background2" w:themeFillTint="33"/>
          </w:tcPr>
          <w:p w14:paraId="69985094" w14:textId="77777777" w:rsidR="00DB2ED9" w:rsidRPr="00611CB4" w:rsidRDefault="00DB2ED9">
            <w:pPr>
              <w:pStyle w:val="TableBodyHeading"/>
            </w:pPr>
            <w:r>
              <w:t>Data and digital</w:t>
            </w:r>
          </w:p>
        </w:tc>
        <w:tc>
          <w:tcPr>
            <w:tcW w:w="567" w:type="dxa"/>
            <w:tcBorders>
              <w:top w:val="nil"/>
              <w:bottom w:val="nil"/>
            </w:tcBorders>
            <w:shd w:val="clear" w:color="auto" w:fill="CBDDF2" w:themeFill="background2" w:themeFillTint="33"/>
          </w:tcPr>
          <w:p w14:paraId="13583B46" w14:textId="77777777" w:rsidR="00DB2ED9" w:rsidRPr="00611CB4" w:rsidRDefault="00DB2ED9">
            <w:pPr>
              <w:pStyle w:val="TableBodyHeading"/>
            </w:pPr>
          </w:p>
        </w:tc>
        <w:tc>
          <w:tcPr>
            <w:tcW w:w="708" w:type="dxa"/>
            <w:tcBorders>
              <w:top w:val="nil"/>
              <w:bottom w:val="nil"/>
            </w:tcBorders>
            <w:shd w:val="clear" w:color="auto" w:fill="CBDDF2" w:themeFill="background2" w:themeFillTint="33"/>
          </w:tcPr>
          <w:p w14:paraId="3AE6A96C" w14:textId="77777777" w:rsidR="00DB2ED9" w:rsidRPr="00C70A13" w:rsidRDefault="00DB2ED9">
            <w:pPr>
              <w:pStyle w:val="TableBodyHeading"/>
              <w:ind w:right="57"/>
              <w:jc w:val="right"/>
              <w:rPr>
                <w:color w:val="auto"/>
              </w:rPr>
            </w:pPr>
          </w:p>
        </w:tc>
        <w:tc>
          <w:tcPr>
            <w:tcW w:w="709" w:type="dxa"/>
            <w:tcBorders>
              <w:top w:val="nil"/>
              <w:bottom w:val="nil"/>
            </w:tcBorders>
            <w:shd w:val="clear" w:color="auto" w:fill="CBDDF2" w:themeFill="background2" w:themeFillTint="33"/>
          </w:tcPr>
          <w:p w14:paraId="3DFE6887" w14:textId="77777777" w:rsidR="00DB2ED9" w:rsidRPr="00C70A13" w:rsidRDefault="00DB2ED9">
            <w:pPr>
              <w:pStyle w:val="TableBodyHeading"/>
              <w:ind w:right="57"/>
              <w:rPr>
                <w:color w:val="auto"/>
              </w:rPr>
            </w:pPr>
          </w:p>
        </w:tc>
        <w:tc>
          <w:tcPr>
            <w:tcW w:w="705" w:type="dxa"/>
            <w:tcBorders>
              <w:top w:val="nil"/>
              <w:bottom w:val="nil"/>
            </w:tcBorders>
            <w:shd w:val="clear" w:color="auto" w:fill="CBDDF2" w:themeFill="background2" w:themeFillTint="33"/>
          </w:tcPr>
          <w:p w14:paraId="63FCEA24" w14:textId="77777777" w:rsidR="00DB2ED9" w:rsidRPr="00C70A13" w:rsidRDefault="00DB2ED9">
            <w:pPr>
              <w:pStyle w:val="TableBodyHeading"/>
              <w:ind w:right="57"/>
              <w:rPr>
                <w:color w:val="auto"/>
              </w:rPr>
            </w:pPr>
          </w:p>
        </w:tc>
        <w:tc>
          <w:tcPr>
            <w:tcW w:w="713" w:type="dxa"/>
            <w:tcBorders>
              <w:top w:val="nil"/>
              <w:bottom w:val="nil"/>
            </w:tcBorders>
            <w:shd w:val="clear" w:color="auto" w:fill="CBDDF2" w:themeFill="background2" w:themeFillTint="33"/>
          </w:tcPr>
          <w:p w14:paraId="78AF64E1" w14:textId="77777777" w:rsidR="00DB2ED9" w:rsidRPr="00C70A13" w:rsidRDefault="00DB2ED9">
            <w:pPr>
              <w:pStyle w:val="TableBodyHeading"/>
              <w:ind w:right="57"/>
              <w:rPr>
                <w:color w:val="auto"/>
              </w:rPr>
            </w:pPr>
          </w:p>
        </w:tc>
        <w:tc>
          <w:tcPr>
            <w:tcW w:w="2976" w:type="dxa"/>
            <w:tcBorders>
              <w:top w:val="nil"/>
              <w:bottom w:val="nil"/>
            </w:tcBorders>
            <w:shd w:val="clear" w:color="auto" w:fill="CBDDF2" w:themeFill="background2" w:themeFillTint="33"/>
          </w:tcPr>
          <w:p w14:paraId="7BBE0AF7" w14:textId="77777777" w:rsidR="00DB2ED9" w:rsidRPr="00611CB4" w:rsidRDefault="00DB2ED9">
            <w:pPr>
              <w:pStyle w:val="TableBodyHeading"/>
            </w:pPr>
          </w:p>
        </w:tc>
      </w:tr>
      <w:tr w:rsidR="00DB2ED9" w14:paraId="437CED5A" w14:textId="77777777">
        <w:tc>
          <w:tcPr>
            <w:tcW w:w="426" w:type="dxa"/>
            <w:tcBorders>
              <w:top w:val="nil"/>
              <w:bottom w:val="nil"/>
            </w:tcBorders>
            <w:shd w:val="clear" w:color="auto" w:fill="F2F2F2" w:themeFill="background1" w:themeFillShade="F2"/>
          </w:tcPr>
          <w:p w14:paraId="511E3955" w14:textId="77777777" w:rsidR="00DB2ED9" w:rsidRDefault="00DB2ED9">
            <w:pPr>
              <w:pStyle w:val="TableBodyHeading"/>
            </w:pPr>
            <w:r>
              <w:t>D1</w:t>
            </w:r>
          </w:p>
        </w:tc>
        <w:tc>
          <w:tcPr>
            <w:tcW w:w="2835" w:type="dxa"/>
            <w:tcBorders>
              <w:top w:val="nil"/>
              <w:bottom w:val="nil"/>
            </w:tcBorders>
            <w:shd w:val="clear" w:color="auto" w:fill="F2F2F2" w:themeFill="background1" w:themeFillShade="F2"/>
          </w:tcPr>
          <w:p w14:paraId="0F8A6054" w14:textId="77777777" w:rsidR="00DB2ED9" w:rsidRDefault="00DB2ED9">
            <w:pPr>
              <w:pStyle w:val="TableBody"/>
            </w:pPr>
            <w:r>
              <w:t>Consumer switching</w:t>
            </w:r>
          </w:p>
        </w:tc>
        <w:tc>
          <w:tcPr>
            <w:tcW w:w="567" w:type="dxa"/>
            <w:tcBorders>
              <w:top w:val="nil"/>
              <w:bottom w:val="nil"/>
            </w:tcBorders>
            <w:shd w:val="clear" w:color="auto" w:fill="F2F2F2" w:themeFill="background1" w:themeFillShade="F2"/>
          </w:tcPr>
          <w:p w14:paraId="4A9E1FF3" w14:textId="77777777" w:rsidR="00DB2ED9" w:rsidRDefault="00DB2ED9">
            <w:pPr>
              <w:pStyle w:val="TableBody"/>
            </w:pPr>
            <w:r>
              <w:t>..</w:t>
            </w:r>
          </w:p>
        </w:tc>
        <w:tc>
          <w:tcPr>
            <w:tcW w:w="708" w:type="dxa"/>
            <w:tcBorders>
              <w:top w:val="nil"/>
              <w:bottom w:val="nil"/>
            </w:tcBorders>
            <w:shd w:val="clear" w:color="auto" w:fill="F2F2F2" w:themeFill="background1" w:themeFillShade="F2"/>
          </w:tcPr>
          <w:p w14:paraId="2F3C9847" w14:textId="77777777" w:rsidR="00DB2ED9" w:rsidRPr="00C70A13" w:rsidRDefault="00DB2ED9">
            <w:pPr>
              <w:pStyle w:val="TableBody"/>
              <w:ind w:right="57"/>
              <w:jc w:val="right"/>
            </w:pPr>
            <w:r w:rsidRPr="00C70A13">
              <w:t>..</w:t>
            </w:r>
          </w:p>
        </w:tc>
        <w:tc>
          <w:tcPr>
            <w:tcW w:w="709" w:type="dxa"/>
            <w:tcBorders>
              <w:top w:val="nil"/>
              <w:bottom w:val="nil"/>
            </w:tcBorders>
            <w:shd w:val="clear" w:color="auto" w:fill="F2F2F2" w:themeFill="background1" w:themeFillShade="F2"/>
          </w:tcPr>
          <w:p w14:paraId="42AA9DF4" w14:textId="77777777" w:rsidR="00DB2ED9" w:rsidRPr="00C70A13" w:rsidRDefault="00DB2ED9">
            <w:pPr>
              <w:pStyle w:val="TableBody"/>
              <w:ind w:right="57"/>
              <w:jc w:val="right"/>
            </w:pPr>
            <w:r w:rsidRPr="00C70A13">
              <w:t>..</w:t>
            </w:r>
          </w:p>
        </w:tc>
        <w:tc>
          <w:tcPr>
            <w:tcW w:w="705" w:type="dxa"/>
            <w:tcBorders>
              <w:top w:val="nil"/>
              <w:bottom w:val="nil"/>
            </w:tcBorders>
            <w:shd w:val="clear" w:color="auto" w:fill="F2F2F2" w:themeFill="background1" w:themeFillShade="F2"/>
          </w:tcPr>
          <w:p w14:paraId="267A8264" w14:textId="77777777" w:rsidR="00DB2ED9" w:rsidRPr="00C70A13" w:rsidRDefault="00DB2ED9">
            <w:pPr>
              <w:pStyle w:val="TableBody"/>
              <w:ind w:right="57"/>
              <w:jc w:val="right"/>
            </w:pPr>
            <w:r w:rsidRPr="00C70A13">
              <w:t>..</w:t>
            </w:r>
          </w:p>
        </w:tc>
        <w:tc>
          <w:tcPr>
            <w:tcW w:w="713" w:type="dxa"/>
            <w:tcBorders>
              <w:top w:val="nil"/>
              <w:bottom w:val="nil"/>
            </w:tcBorders>
            <w:shd w:val="clear" w:color="auto" w:fill="F2F2F2" w:themeFill="background1" w:themeFillShade="F2"/>
          </w:tcPr>
          <w:p w14:paraId="44E90D9F" w14:textId="77777777" w:rsidR="00DB2ED9" w:rsidRPr="00C70A13" w:rsidRDefault="00DB2ED9">
            <w:pPr>
              <w:pStyle w:val="TableBody"/>
              <w:ind w:right="57"/>
              <w:jc w:val="right"/>
            </w:pPr>
            <w:r w:rsidRPr="00C70A13">
              <w:t>..</w:t>
            </w:r>
          </w:p>
        </w:tc>
        <w:tc>
          <w:tcPr>
            <w:tcW w:w="2976" w:type="dxa"/>
            <w:tcBorders>
              <w:top w:val="nil"/>
              <w:bottom w:val="nil"/>
            </w:tcBorders>
            <w:shd w:val="clear" w:color="auto" w:fill="F2F2F2" w:themeFill="background1" w:themeFillShade="F2"/>
          </w:tcPr>
          <w:p w14:paraId="3BBC57B1" w14:textId="77777777" w:rsidR="00DB2ED9" w:rsidRDefault="00DB2ED9">
            <w:pPr>
              <w:pStyle w:val="TableBody"/>
            </w:pPr>
            <w:r>
              <w:t>Consumer choice</w:t>
            </w:r>
          </w:p>
        </w:tc>
      </w:tr>
      <w:tr w:rsidR="00DB2ED9" w:rsidRPr="00611CB4" w14:paraId="2919DEAC" w14:textId="77777777">
        <w:tc>
          <w:tcPr>
            <w:tcW w:w="426" w:type="dxa"/>
            <w:tcBorders>
              <w:top w:val="nil"/>
              <w:bottom w:val="nil"/>
            </w:tcBorders>
            <w:shd w:val="clear" w:color="auto" w:fill="auto"/>
          </w:tcPr>
          <w:p w14:paraId="2AAA7D8C" w14:textId="77777777" w:rsidR="00DB2ED9" w:rsidRPr="00A21E4E" w:rsidRDefault="00DB2ED9">
            <w:pPr>
              <w:pStyle w:val="TableBodyHeading"/>
            </w:pPr>
            <w:r>
              <w:t>D2</w:t>
            </w:r>
          </w:p>
        </w:tc>
        <w:tc>
          <w:tcPr>
            <w:tcW w:w="2835" w:type="dxa"/>
            <w:tcBorders>
              <w:top w:val="nil"/>
              <w:bottom w:val="nil"/>
            </w:tcBorders>
            <w:shd w:val="clear" w:color="auto" w:fill="auto"/>
          </w:tcPr>
          <w:p w14:paraId="699F3441" w14:textId="77777777" w:rsidR="00DB2ED9" w:rsidRPr="00611CB4" w:rsidRDefault="00DB2ED9">
            <w:pPr>
              <w:pStyle w:val="TableBody"/>
            </w:pPr>
            <w:r>
              <w:t>Data sharing</w:t>
            </w:r>
          </w:p>
        </w:tc>
        <w:tc>
          <w:tcPr>
            <w:tcW w:w="567" w:type="dxa"/>
            <w:tcBorders>
              <w:top w:val="nil"/>
              <w:bottom w:val="nil"/>
            </w:tcBorders>
            <w:shd w:val="clear" w:color="auto" w:fill="auto"/>
          </w:tcPr>
          <w:p w14:paraId="1BA49DFF" w14:textId="77777777" w:rsidR="00DB2ED9" w:rsidRPr="00611CB4" w:rsidRDefault="00DB2ED9">
            <w:pPr>
              <w:pStyle w:val="TableBody"/>
            </w:pPr>
            <w:r>
              <w:t>Yes</w:t>
            </w:r>
          </w:p>
        </w:tc>
        <w:tc>
          <w:tcPr>
            <w:tcW w:w="708" w:type="dxa"/>
            <w:tcBorders>
              <w:top w:val="nil"/>
              <w:bottom w:val="nil"/>
            </w:tcBorders>
            <w:shd w:val="clear" w:color="auto" w:fill="auto"/>
          </w:tcPr>
          <w:p w14:paraId="154E0732" w14:textId="77777777" w:rsidR="00DB2ED9" w:rsidRPr="00C70A13" w:rsidRDefault="00DB2ED9">
            <w:pPr>
              <w:pStyle w:val="TableBody"/>
              <w:ind w:right="57"/>
              <w:jc w:val="right"/>
            </w:pPr>
            <w:r w:rsidRPr="00C70A13">
              <w:t>..</w:t>
            </w:r>
          </w:p>
        </w:tc>
        <w:tc>
          <w:tcPr>
            <w:tcW w:w="709" w:type="dxa"/>
            <w:tcBorders>
              <w:top w:val="nil"/>
              <w:bottom w:val="nil"/>
            </w:tcBorders>
            <w:shd w:val="clear" w:color="auto" w:fill="auto"/>
          </w:tcPr>
          <w:p w14:paraId="6D76CE8C" w14:textId="77777777" w:rsidR="00DB2ED9" w:rsidRPr="00C70A13" w:rsidRDefault="00DB2ED9">
            <w:pPr>
              <w:pStyle w:val="TableBody"/>
              <w:ind w:right="57"/>
              <w:jc w:val="right"/>
            </w:pPr>
            <w:r w:rsidRPr="00C70A13">
              <w:t>1,64</w:t>
            </w:r>
            <w:r>
              <w:t>2</w:t>
            </w:r>
          </w:p>
        </w:tc>
        <w:tc>
          <w:tcPr>
            <w:tcW w:w="705" w:type="dxa"/>
            <w:tcBorders>
              <w:top w:val="nil"/>
              <w:bottom w:val="nil"/>
            </w:tcBorders>
            <w:shd w:val="clear" w:color="auto" w:fill="auto"/>
          </w:tcPr>
          <w:p w14:paraId="01DEB258" w14:textId="77777777" w:rsidR="00DB2ED9" w:rsidRPr="00C70A13" w:rsidRDefault="00DB2ED9">
            <w:pPr>
              <w:pStyle w:val="TableBody"/>
              <w:ind w:right="57"/>
              <w:jc w:val="right"/>
            </w:pPr>
            <w:r w:rsidRPr="00C70A13">
              <w:t>..</w:t>
            </w:r>
          </w:p>
        </w:tc>
        <w:tc>
          <w:tcPr>
            <w:tcW w:w="713" w:type="dxa"/>
            <w:tcBorders>
              <w:top w:val="nil"/>
              <w:bottom w:val="nil"/>
            </w:tcBorders>
            <w:shd w:val="clear" w:color="auto" w:fill="auto"/>
          </w:tcPr>
          <w:p w14:paraId="576C9995" w14:textId="77777777" w:rsidR="00DB2ED9" w:rsidRPr="00C70A13" w:rsidRDefault="00DB2ED9">
            <w:pPr>
              <w:pStyle w:val="TableBody"/>
              <w:ind w:right="57"/>
              <w:jc w:val="right"/>
            </w:pPr>
            <w:r w:rsidRPr="00C70A13">
              <w:t>-0.05</w:t>
            </w:r>
          </w:p>
        </w:tc>
        <w:tc>
          <w:tcPr>
            <w:tcW w:w="2976" w:type="dxa"/>
            <w:tcBorders>
              <w:top w:val="nil"/>
              <w:bottom w:val="nil"/>
            </w:tcBorders>
            <w:shd w:val="clear" w:color="auto" w:fill="auto"/>
          </w:tcPr>
          <w:p w14:paraId="7C4CCB22" w14:textId="77777777" w:rsidR="00DB2ED9" w:rsidRPr="00611CB4" w:rsidRDefault="00DB2ED9">
            <w:pPr>
              <w:pStyle w:val="TableBody"/>
            </w:pPr>
            <w:r>
              <w:t xml:space="preserve">Innovation effects </w:t>
            </w:r>
          </w:p>
        </w:tc>
      </w:tr>
      <w:tr w:rsidR="00DB2ED9" w:rsidRPr="00611CB4" w14:paraId="229D91C6" w14:textId="77777777">
        <w:tc>
          <w:tcPr>
            <w:tcW w:w="426" w:type="dxa"/>
            <w:tcBorders>
              <w:top w:val="nil"/>
              <w:bottom w:val="nil"/>
            </w:tcBorders>
            <w:shd w:val="clear" w:color="auto" w:fill="F2F2F2" w:themeFill="background1" w:themeFillShade="F2"/>
          </w:tcPr>
          <w:p w14:paraId="6080481F" w14:textId="77777777" w:rsidR="00DB2ED9" w:rsidRPr="00A21E4E" w:rsidRDefault="00DB2ED9">
            <w:pPr>
              <w:pStyle w:val="TableBodyHeading"/>
            </w:pPr>
            <w:r>
              <w:t>D3</w:t>
            </w:r>
          </w:p>
        </w:tc>
        <w:tc>
          <w:tcPr>
            <w:tcW w:w="2835" w:type="dxa"/>
            <w:tcBorders>
              <w:top w:val="nil"/>
              <w:bottom w:val="nil"/>
            </w:tcBorders>
            <w:shd w:val="clear" w:color="auto" w:fill="F2F2F2" w:themeFill="background1" w:themeFillShade="F2"/>
          </w:tcPr>
          <w:p w14:paraId="345BACB9" w14:textId="77777777" w:rsidR="00DB2ED9" w:rsidRPr="00611CB4" w:rsidRDefault="00DB2ED9">
            <w:pPr>
              <w:pStyle w:val="TableBody"/>
            </w:pPr>
            <w:r>
              <w:t>Emerging technology</w:t>
            </w:r>
          </w:p>
        </w:tc>
        <w:tc>
          <w:tcPr>
            <w:tcW w:w="567" w:type="dxa"/>
            <w:tcBorders>
              <w:top w:val="nil"/>
              <w:bottom w:val="nil"/>
            </w:tcBorders>
            <w:shd w:val="clear" w:color="auto" w:fill="F2F2F2" w:themeFill="background1" w:themeFillShade="F2"/>
          </w:tcPr>
          <w:p w14:paraId="3BFDF86B" w14:textId="77777777" w:rsidR="00DB2ED9" w:rsidRPr="00611CB4" w:rsidRDefault="00DB2ED9">
            <w:pPr>
              <w:pStyle w:val="TableBody"/>
            </w:pPr>
            <w:r>
              <w:t>Yes</w:t>
            </w:r>
          </w:p>
        </w:tc>
        <w:tc>
          <w:tcPr>
            <w:tcW w:w="708" w:type="dxa"/>
            <w:tcBorders>
              <w:top w:val="nil"/>
              <w:bottom w:val="nil"/>
            </w:tcBorders>
            <w:shd w:val="clear" w:color="auto" w:fill="F2F2F2" w:themeFill="background1" w:themeFillShade="F2"/>
          </w:tcPr>
          <w:p w14:paraId="192FF817" w14:textId="77777777" w:rsidR="00DB2ED9" w:rsidRPr="00C70A13" w:rsidRDefault="00DB2ED9">
            <w:pPr>
              <w:pStyle w:val="TableBody"/>
              <w:ind w:right="57"/>
              <w:jc w:val="right"/>
            </w:pPr>
            <w:r w:rsidRPr="00C70A13">
              <w:t>..</w:t>
            </w:r>
          </w:p>
        </w:tc>
        <w:tc>
          <w:tcPr>
            <w:tcW w:w="709" w:type="dxa"/>
            <w:tcBorders>
              <w:top w:val="nil"/>
              <w:bottom w:val="nil"/>
            </w:tcBorders>
            <w:shd w:val="clear" w:color="auto" w:fill="F2F2F2" w:themeFill="background1" w:themeFillShade="F2"/>
          </w:tcPr>
          <w:p w14:paraId="604D4E50" w14:textId="77777777" w:rsidR="00DB2ED9" w:rsidRPr="00C70A13" w:rsidRDefault="00DB2ED9">
            <w:pPr>
              <w:pStyle w:val="TableBody"/>
              <w:ind w:right="57"/>
              <w:jc w:val="right"/>
            </w:pPr>
            <w:r w:rsidRPr="00C70A13">
              <w:t>711</w:t>
            </w:r>
          </w:p>
        </w:tc>
        <w:tc>
          <w:tcPr>
            <w:tcW w:w="705" w:type="dxa"/>
            <w:tcBorders>
              <w:top w:val="nil"/>
              <w:bottom w:val="nil"/>
            </w:tcBorders>
            <w:shd w:val="clear" w:color="auto" w:fill="F2F2F2" w:themeFill="background1" w:themeFillShade="F2"/>
          </w:tcPr>
          <w:p w14:paraId="10C2499A" w14:textId="77777777" w:rsidR="00DB2ED9" w:rsidRPr="00C70A13" w:rsidRDefault="00DB2ED9">
            <w:pPr>
              <w:pStyle w:val="TableBody"/>
              <w:ind w:right="57"/>
              <w:jc w:val="right"/>
            </w:pPr>
            <w:r w:rsidRPr="00C70A13">
              <w:t>..</w:t>
            </w:r>
          </w:p>
        </w:tc>
        <w:tc>
          <w:tcPr>
            <w:tcW w:w="713" w:type="dxa"/>
            <w:tcBorders>
              <w:top w:val="nil"/>
              <w:bottom w:val="nil"/>
            </w:tcBorders>
            <w:shd w:val="clear" w:color="auto" w:fill="F2F2F2" w:themeFill="background1" w:themeFillShade="F2"/>
          </w:tcPr>
          <w:p w14:paraId="088E5A10" w14:textId="77777777" w:rsidR="00DB2ED9" w:rsidRPr="00C70A13" w:rsidRDefault="00DB2ED9">
            <w:pPr>
              <w:pStyle w:val="TableBody"/>
              <w:ind w:right="57"/>
              <w:jc w:val="right"/>
            </w:pPr>
            <w:r w:rsidRPr="00C70A13">
              <w:t>+0.02</w:t>
            </w:r>
          </w:p>
        </w:tc>
        <w:tc>
          <w:tcPr>
            <w:tcW w:w="2976" w:type="dxa"/>
            <w:tcBorders>
              <w:top w:val="nil"/>
              <w:bottom w:val="nil"/>
            </w:tcBorders>
            <w:shd w:val="clear" w:color="auto" w:fill="F2F2F2" w:themeFill="background1" w:themeFillShade="F2"/>
          </w:tcPr>
          <w:p w14:paraId="5821C55E" w14:textId="77777777" w:rsidR="00DB2ED9" w:rsidRPr="00611CB4" w:rsidRDefault="00DB2ED9">
            <w:pPr>
              <w:pStyle w:val="TableBody"/>
            </w:pPr>
            <w:r>
              <w:t>Effects in other industries, innovation effects</w:t>
            </w:r>
          </w:p>
        </w:tc>
      </w:tr>
      <w:tr w:rsidR="00DB2ED9" w:rsidRPr="00611CB4" w14:paraId="178E72C8" w14:textId="77777777">
        <w:tc>
          <w:tcPr>
            <w:tcW w:w="426" w:type="dxa"/>
            <w:tcBorders>
              <w:top w:val="nil"/>
              <w:bottom w:val="nil"/>
            </w:tcBorders>
            <w:shd w:val="clear" w:color="auto" w:fill="auto"/>
          </w:tcPr>
          <w:p w14:paraId="11EE1E9E" w14:textId="77777777" w:rsidR="00DB2ED9" w:rsidRPr="00A21E4E" w:rsidRDefault="00DB2ED9">
            <w:pPr>
              <w:pStyle w:val="TableBodyHeading"/>
            </w:pPr>
            <w:r>
              <w:t>D4</w:t>
            </w:r>
          </w:p>
        </w:tc>
        <w:tc>
          <w:tcPr>
            <w:tcW w:w="2835" w:type="dxa"/>
            <w:tcBorders>
              <w:top w:val="nil"/>
              <w:bottom w:val="nil"/>
            </w:tcBorders>
            <w:shd w:val="clear" w:color="auto" w:fill="auto"/>
          </w:tcPr>
          <w:p w14:paraId="77194406" w14:textId="77777777" w:rsidR="00DB2ED9" w:rsidRPr="00436299" w:rsidRDefault="00DB2ED9">
            <w:pPr>
              <w:pStyle w:val="TableBody"/>
            </w:pPr>
            <w:r w:rsidRPr="00436299">
              <w:t>Banking</w:t>
            </w:r>
          </w:p>
        </w:tc>
        <w:tc>
          <w:tcPr>
            <w:tcW w:w="567" w:type="dxa"/>
            <w:tcBorders>
              <w:top w:val="nil"/>
              <w:bottom w:val="nil"/>
            </w:tcBorders>
            <w:shd w:val="clear" w:color="auto" w:fill="auto"/>
          </w:tcPr>
          <w:p w14:paraId="1F5395F7" w14:textId="77777777" w:rsidR="00DB2ED9" w:rsidRPr="00436299" w:rsidRDefault="00DB2ED9">
            <w:pPr>
              <w:pStyle w:val="TableBody"/>
            </w:pPr>
            <w:r w:rsidRPr="00436299">
              <w:t>Yes</w:t>
            </w:r>
          </w:p>
        </w:tc>
        <w:tc>
          <w:tcPr>
            <w:tcW w:w="708" w:type="dxa"/>
            <w:tcBorders>
              <w:top w:val="nil"/>
              <w:bottom w:val="nil"/>
            </w:tcBorders>
            <w:shd w:val="clear" w:color="auto" w:fill="auto"/>
          </w:tcPr>
          <w:p w14:paraId="64ACDAE7" w14:textId="77777777" w:rsidR="00DB2ED9" w:rsidRPr="00436299" w:rsidRDefault="00DB2ED9">
            <w:pPr>
              <w:pStyle w:val="TableBody"/>
              <w:ind w:left="0" w:right="57"/>
              <w:jc w:val="right"/>
            </w:pPr>
            <w:r>
              <w:t>3</w:t>
            </w:r>
            <w:r w:rsidRPr="00436299">
              <w:t>,</w:t>
            </w:r>
            <w:r>
              <w:t>532</w:t>
            </w:r>
          </w:p>
        </w:tc>
        <w:tc>
          <w:tcPr>
            <w:tcW w:w="709" w:type="dxa"/>
            <w:tcBorders>
              <w:top w:val="nil"/>
              <w:bottom w:val="nil"/>
            </w:tcBorders>
            <w:shd w:val="clear" w:color="auto" w:fill="auto"/>
          </w:tcPr>
          <w:p w14:paraId="5656B645" w14:textId="77777777" w:rsidR="00DB2ED9" w:rsidRPr="00436299" w:rsidRDefault="00DB2ED9">
            <w:pPr>
              <w:pStyle w:val="TableBody"/>
              <w:ind w:left="0" w:right="57"/>
              <w:jc w:val="right"/>
            </w:pPr>
            <w:r w:rsidRPr="00436299">
              <w:t>6,</w:t>
            </w:r>
            <w:r>
              <w:t>574</w:t>
            </w:r>
          </w:p>
        </w:tc>
        <w:tc>
          <w:tcPr>
            <w:tcW w:w="705" w:type="dxa"/>
            <w:tcBorders>
              <w:top w:val="nil"/>
              <w:bottom w:val="nil"/>
            </w:tcBorders>
            <w:shd w:val="clear" w:color="auto" w:fill="auto"/>
          </w:tcPr>
          <w:p w14:paraId="579B538D" w14:textId="77777777" w:rsidR="00DB2ED9" w:rsidRPr="00436299" w:rsidRDefault="00DB2ED9">
            <w:pPr>
              <w:pStyle w:val="TableBody"/>
              <w:ind w:left="0" w:right="57"/>
              <w:jc w:val="right"/>
            </w:pPr>
            <w:r w:rsidRPr="00436299">
              <w:t>-0.</w:t>
            </w:r>
            <w:r>
              <w:t>17</w:t>
            </w:r>
          </w:p>
        </w:tc>
        <w:tc>
          <w:tcPr>
            <w:tcW w:w="713" w:type="dxa"/>
            <w:tcBorders>
              <w:top w:val="nil"/>
              <w:bottom w:val="nil"/>
            </w:tcBorders>
            <w:shd w:val="clear" w:color="auto" w:fill="auto"/>
          </w:tcPr>
          <w:p w14:paraId="7CE123EE" w14:textId="77777777" w:rsidR="00DB2ED9" w:rsidRPr="00436299" w:rsidRDefault="00DB2ED9">
            <w:pPr>
              <w:pStyle w:val="TableBody"/>
              <w:ind w:right="57"/>
              <w:jc w:val="right"/>
            </w:pPr>
            <w:r w:rsidRPr="00436299">
              <w:t>-0.4</w:t>
            </w:r>
            <w:r>
              <w:t>7</w:t>
            </w:r>
          </w:p>
        </w:tc>
        <w:tc>
          <w:tcPr>
            <w:tcW w:w="2976" w:type="dxa"/>
            <w:tcBorders>
              <w:top w:val="nil"/>
              <w:bottom w:val="nil"/>
            </w:tcBorders>
            <w:shd w:val="clear" w:color="auto" w:fill="auto"/>
          </w:tcPr>
          <w:p w14:paraId="642C6E40" w14:textId="77777777" w:rsidR="00DB2ED9" w:rsidRPr="00436299" w:rsidRDefault="00DB2ED9">
            <w:pPr>
              <w:pStyle w:val="TableBody"/>
            </w:pPr>
            <w:r w:rsidRPr="00436299">
              <w:t>..</w:t>
            </w:r>
          </w:p>
        </w:tc>
      </w:tr>
      <w:tr w:rsidR="00DB2ED9" w14:paraId="7409ED11" w14:textId="77777777">
        <w:tc>
          <w:tcPr>
            <w:tcW w:w="426" w:type="dxa"/>
            <w:tcBorders>
              <w:top w:val="nil"/>
              <w:bottom w:val="nil"/>
            </w:tcBorders>
            <w:shd w:val="clear" w:color="auto" w:fill="F2F2F2" w:themeFill="background1" w:themeFillShade="F2"/>
          </w:tcPr>
          <w:p w14:paraId="4ED61ADA" w14:textId="77777777" w:rsidR="00DB2ED9" w:rsidRDefault="00DB2ED9">
            <w:pPr>
              <w:pStyle w:val="TableBodyHeading"/>
            </w:pPr>
            <w:r>
              <w:t>D5</w:t>
            </w:r>
          </w:p>
        </w:tc>
        <w:tc>
          <w:tcPr>
            <w:tcW w:w="2835" w:type="dxa"/>
            <w:tcBorders>
              <w:top w:val="nil"/>
              <w:bottom w:val="nil"/>
            </w:tcBorders>
            <w:shd w:val="clear" w:color="auto" w:fill="F2F2F2" w:themeFill="background1" w:themeFillShade="F2"/>
          </w:tcPr>
          <w:p w14:paraId="06D0FFE1" w14:textId="77777777" w:rsidR="00DB2ED9" w:rsidRPr="00436299" w:rsidRDefault="00DB2ED9">
            <w:pPr>
              <w:pStyle w:val="TableBody"/>
            </w:pPr>
            <w:r w:rsidRPr="00436299">
              <w:rPr>
                <w:rFonts w:ascii="Arial (Body)" w:hAnsi="Arial (Body)"/>
                <w:color w:val="000000"/>
              </w:rPr>
              <w:t>Payment systems</w:t>
            </w:r>
          </w:p>
        </w:tc>
        <w:tc>
          <w:tcPr>
            <w:tcW w:w="567" w:type="dxa"/>
            <w:tcBorders>
              <w:top w:val="nil"/>
              <w:bottom w:val="nil"/>
            </w:tcBorders>
            <w:shd w:val="clear" w:color="auto" w:fill="F2F2F2" w:themeFill="background1" w:themeFillShade="F2"/>
          </w:tcPr>
          <w:p w14:paraId="1AF516AF" w14:textId="77777777" w:rsidR="00DB2ED9" w:rsidRPr="00436299" w:rsidRDefault="00DB2ED9">
            <w:pPr>
              <w:pStyle w:val="TableBody"/>
            </w:pPr>
            <w:r w:rsidRPr="00436299">
              <w:t>Yes</w:t>
            </w:r>
          </w:p>
        </w:tc>
        <w:tc>
          <w:tcPr>
            <w:tcW w:w="708" w:type="dxa"/>
            <w:tcBorders>
              <w:top w:val="nil"/>
              <w:bottom w:val="nil"/>
            </w:tcBorders>
            <w:shd w:val="clear" w:color="auto" w:fill="F2F2F2" w:themeFill="background1" w:themeFillShade="F2"/>
          </w:tcPr>
          <w:p w14:paraId="4773F70A" w14:textId="77777777" w:rsidR="00DB2ED9" w:rsidRPr="00436299" w:rsidRDefault="00DB2ED9">
            <w:pPr>
              <w:pStyle w:val="TableBody"/>
              <w:ind w:left="0" w:right="57"/>
              <w:jc w:val="right"/>
            </w:pPr>
            <w:r w:rsidRPr="00436299">
              <w:t>17</w:t>
            </w:r>
            <w:r>
              <w:t>2</w:t>
            </w:r>
          </w:p>
        </w:tc>
        <w:tc>
          <w:tcPr>
            <w:tcW w:w="709" w:type="dxa"/>
            <w:tcBorders>
              <w:top w:val="nil"/>
              <w:bottom w:val="nil"/>
            </w:tcBorders>
            <w:shd w:val="clear" w:color="auto" w:fill="F2F2F2" w:themeFill="background1" w:themeFillShade="F2"/>
          </w:tcPr>
          <w:p w14:paraId="46D90EB4" w14:textId="77777777" w:rsidR="00DB2ED9" w:rsidRPr="00436299" w:rsidRDefault="00DB2ED9">
            <w:pPr>
              <w:pStyle w:val="TableBody"/>
              <w:ind w:left="0" w:right="57"/>
              <w:jc w:val="right"/>
            </w:pPr>
            <w:r w:rsidRPr="00436299">
              <w:t>44</w:t>
            </w:r>
            <w:r>
              <w:t>5</w:t>
            </w:r>
          </w:p>
        </w:tc>
        <w:tc>
          <w:tcPr>
            <w:tcW w:w="705" w:type="dxa"/>
            <w:tcBorders>
              <w:top w:val="nil"/>
              <w:bottom w:val="nil"/>
            </w:tcBorders>
            <w:shd w:val="clear" w:color="auto" w:fill="F2F2F2" w:themeFill="background1" w:themeFillShade="F2"/>
          </w:tcPr>
          <w:p w14:paraId="1015E197" w14:textId="77777777" w:rsidR="00DB2ED9" w:rsidRPr="00436299" w:rsidRDefault="00DB2ED9">
            <w:pPr>
              <w:pStyle w:val="TableBody"/>
              <w:ind w:left="0" w:right="57"/>
              <w:jc w:val="right"/>
            </w:pPr>
            <w:r w:rsidRPr="00436299">
              <w:t>-0.0</w:t>
            </w:r>
            <w:r>
              <w:t>2</w:t>
            </w:r>
          </w:p>
        </w:tc>
        <w:tc>
          <w:tcPr>
            <w:tcW w:w="713" w:type="dxa"/>
            <w:tcBorders>
              <w:top w:val="nil"/>
              <w:bottom w:val="nil"/>
            </w:tcBorders>
            <w:shd w:val="clear" w:color="auto" w:fill="F2F2F2" w:themeFill="background1" w:themeFillShade="F2"/>
          </w:tcPr>
          <w:p w14:paraId="327C1B4C" w14:textId="77777777" w:rsidR="00DB2ED9" w:rsidRPr="00436299" w:rsidRDefault="00DB2ED9">
            <w:pPr>
              <w:pStyle w:val="TableBody"/>
              <w:ind w:right="57"/>
              <w:jc w:val="right"/>
            </w:pPr>
            <w:r w:rsidRPr="00436299">
              <w:t>-0.0</w:t>
            </w:r>
            <w:r>
              <w:t>6</w:t>
            </w:r>
          </w:p>
        </w:tc>
        <w:tc>
          <w:tcPr>
            <w:tcW w:w="2976" w:type="dxa"/>
            <w:tcBorders>
              <w:top w:val="nil"/>
              <w:bottom w:val="nil"/>
            </w:tcBorders>
            <w:shd w:val="clear" w:color="auto" w:fill="F2F2F2" w:themeFill="background1" w:themeFillShade="F2"/>
          </w:tcPr>
          <w:p w14:paraId="5E300A59" w14:textId="77777777" w:rsidR="00DB2ED9" w:rsidRPr="00436299" w:rsidRDefault="00DB2ED9">
            <w:pPr>
              <w:pStyle w:val="TableBody"/>
            </w:pPr>
            <w:r w:rsidRPr="00436299">
              <w:rPr>
                <w:rFonts w:ascii="Arial (Body)" w:hAnsi="Arial (Body)"/>
                <w:color w:val="000000"/>
              </w:rPr>
              <w:t>Innovation effects</w:t>
            </w:r>
          </w:p>
        </w:tc>
      </w:tr>
      <w:tr w:rsidR="00DB2ED9" w:rsidRPr="00030C67" w14:paraId="76762AC1" w14:textId="77777777">
        <w:trPr>
          <w:trHeight w:val="84"/>
        </w:trPr>
        <w:tc>
          <w:tcPr>
            <w:tcW w:w="3261" w:type="dxa"/>
            <w:gridSpan w:val="2"/>
            <w:tcBorders>
              <w:bottom w:val="single" w:sz="4" w:space="0" w:color="B3B3B3"/>
            </w:tcBorders>
            <w:shd w:val="clear" w:color="auto" w:fill="CBDDF2" w:themeFill="background2" w:themeFillTint="33"/>
          </w:tcPr>
          <w:p w14:paraId="3BD8A53B" w14:textId="77777777" w:rsidR="00DB2ED9" w:rsidRPr="00030C67" w:rsidRDefault="00DB2ED9">
            <w:pPr>
              <w:pStyle w:val="TableBodyHeading"/>
            </w:pPr>
            <w:proofErr w:type="spellStart"/>
            <w:r>
              <w:t>TOTAL</w:t>
            </w:r>
            <w:r>
              <w:rPr>
                <w:vertAlign w:val="superscript"/>
              </w:rPr>
              <w:t>e</w:t>
            </w:r>
            <w:proofErr w:type="spellEnd"/>
          </w:p>
        </w:tc>
        <w:tc>
          <w:tcPr>
            <w:tcW w:w="567" w:type="dxa"/>
            <w:tcBorders>
              <w:bottom w:val="single" w:sz="4" w:space="0" w:color="B3B3B3"/>
            </w:tcBorders>
            <w:shd w:val="clear" w:color="auto" w:fill="CBDDF2" w:themeFill="background2" w:themeFillTint="33"/>
          </w:tcPr>
          <w:p w14:paraId="01478C3F" w14:textId="77777777" w:rsidR="00DB2ED9" w:rsidRPr="00C70A13" w:rsidRDefault="00DB2ED9">
            <w:pPr>
              <w:pStyle w:val="TableBodyHeading"/>
              <w:jc w:val="right"/>
            </w:pPr>
          </w:p>
        </w:tc>
        <w:tc>
          <w:tcPr>
            <w:tcW w:w="708" w:type="dxa"/>
            <w:tcBorders>
              <w:bottom w:val="single" w:sz="4" w:space="0" w:color="B3B3B3"/>
            </w:tcBorders>
            <w:shd w:val="clear" w:color="auto" w:fill="CBDDF2" w:themeFill="background2" w:themeFillTint="33"/>
          </w:tcPr>
          <w:p w14:paraId="30DC0F20" w14:textId="77777777" w:rsidR="00DB2ED9" w:rsidRPr="00C70A13" w:rsidRDefault="00DB2ED9">
            <w:pPr>
              <w:pStyle w:val="TableBodyHeading"/>
              <w:ind w:right="57"/>
              <w:jc w:val="right"/>
            </w:pPr>
            <w:r w:rsidRPr="009144A3">
              <w:t>25,5</w:t>
            </w:r>
            <w:r>
              <w:t>42</w:t>
            </w:r>
          </w:p>
        </w:tc>
        <w:tc>
          <w:tcPr>
            <w:tcW w:w="709" w:type="dxa"/>
            <w:tcBorders>
              <w:bottom w:val="single" w:sz="4" w:space="0" w:color="B3B3B3"/>
            </w:tcBorders>
            <w:shd w:val="clear" w:color="auto" w:fill="CBDDF2" w:themeFill="background2" w:themeFillTint="33"/>
          </w:tcPr>
          <w:p w14:paraId="053D07FC" w14:textId="77777777" w:rsidR="00DB2ED9" w:rsidRPr="00C70A13" w:rsidRDefault="00DB2ED9">
            <w:pPr>
              <w:pStyle w:val="TableBodyHeading"/>
              <w:ind w:right="57"/>
              <w:jc w:val="right"/>
            </w:pPr>
            <w:r>
              <w:t>44,864</w:t>
            </w:r>
          </w:p>
        </w:tc>
        <w:tc>
          <w:tcPr>
            <w:tcW w:w="705" w:type="dxa"/>
            <w:tcBorders>
              <w:bottom w:val="single" w:sz="4" w:space="0" w:color="B3B3B3"/>
            </w:tcBorders>
            <w:shd w:val="clear" w:color="auto" w:fill="CBDDF2" w:themeFill="background2" w:themeFillTint="33"/>
          </w:tcPr>
          <w:p w14:paraId="116806DC" w14:textId="77777777" w:rsidR="00DB2ED9" w:rsidRPr="00C70A13" w:rsidRDefault="00DB2ED9">
            <w:pPr>
              <w:pStyle w:val="TableBodyHeading"/>
              <w:ind w:right="57"/>
              <w:jc w:val="right"/>
            </w:pPr>
            <w:r w:rsidRPr="009144A3">
              <w:t>-0.7</w:t>
            </w:r>
            <w:r>
              <w:t>2</w:t>
            </w:r>
          </w:p>
        </w:tc>
        <w:tc>
          <w:tcPr>
            <w:tcW w:w="713" w:type="dxa"/>
            <w:tcBorders>
              <w:bottom w:val="single" w:sz="4" w:space="0" w:color="B3B3B3"/>
            </w:tcBorders>
            <w:shd w:val="clear" w:color="auto" w:fill="CBDDF2" w:themeFill="background2" w:themeFillTint="33"/>
          </w:tcPr>
          <w:p w14:paraId="5EDBD982" w14:textId="77777777" w:rsidR="00DB2ED9" w:rsidRPr="00C70A13" w:rsidRDefault="00DB2ED9">
            <w:pPr>
              <w:pStyle w:val="TableBodyHeading"/>
              <w:ind w:right="57"/>
              <w:jc w:val="right"/>
            </w:pPr>
            <w:r w:rsidRPr="00C70A13">
              <w:t>-1.4</w:t>
            </w:r>
            <w:r>
              <w:t>5</w:t>
            </w:r>
          </w:p>
        </w:tc>
        <w:tc>
          <w:tcPr>
            <w:tcW w:w="2976" w:type="dxa"/>
            <w:tcBorders>
              <w:bottom w:val="single" w:sz="4" w:space="0" w:color="B3B3B3"/>
            </w:tcBorders>
            <w:shd w:val="clear" w:color="auto" w:fill="CBDDF2" w:themeFill="background2" w:themeFillTint="33"/>
          </w:tcPr>
          <w:p w14:paraId="33343F89" w14:textId="77777777" w:rsidR="00DB2ED9" w:rsidRPr="00C70A13" w:rsidRDefault="00DB2ED9">
            <w:pPr>
              <w:pStyle w:val="TableBodyHeading"/>
              <w:jc w:val="right"/>
            </w:pPr>
          </w:p>
        </w:tc>
      </w:tr>
    </w:tbl>
    <w:p w14:paraId="2E5332F6" w14:textId="77777777" w:rsidR="00DB2ED9" w:rsidRDefault="00DB2ED9">
      <w:pPr>
        <w:pStyle w:val="Note"/>
      </w:pPr>
      <w:bookmarkStart w:id="60" w:name="_Hlk180573470"/>
      <w:r w:rsidRPr="00C36914">
        <w:rPr>
          <w:b/>
          <w:bCs/>
        </w:rPr>
        <w:t>a.</w:t>
      </w:r>
      <w:r w:rsidRPr="00C36914">
        <w:t xml:space="preserve"> </w:t>
      </w:r>
      <w:r>
        <w:t xml:space="preserve">Whether we conducted CGE modelling </w:t>
      </w:r>
      <w:bookmarkEnd w:id="60"/>
      <w:r>
        <w:t>for any part of the reform. GDP and CPI effects are only reported for CGE</w:t>
      </w:r>
      <w:r>
        <w:noBreakHyphen/>
        <w:t xml:space="preserve">modelled reforms, as they are CGE modelling outputs. </w:t>
      </w:r>
      <w:r>
        <w:rPr>
          <w:b/>
          <w:bCs/>
        </w:rPr>
        <w:t xml:space="preserve">b. </w:t>
      </w:r>
      <w:r w:rsidRPr="0055601B">
        <w:t>W</w:t>
      </w:r>
      <w:r>
        <w:t xml:space="preserve">e estimated the </w:t>
      </w:r>
      <w:r w:rsidRPr="00E253A1">
        <w:t>responsiveness</w:t>
      </w:r>
      <w:r>
        <w:t xml:space="preserve"> of the overall economy to the direct effects of the reform. This means that the CGE modelling outputs are not a measure of estimated </w:t>
      </w:r>
      <w:proofErr w:type="gramStart"/>
      <w:r>
        <w:t>impacts, but</w:t>
      </w:r>
      <w:proofErr w:type="gramEnd"/>
      <w:r>
        <w:t xml:space="preserve"> are instead an elasticity measure. These results are reported in tables 5 and 8. </w:t>
      </w:r>
      <w:r>
        <w:rPr>
          <w:b/>
          <w:bCs/>
        </w:rPr>
        <w:t>c</w:t>
      </w:r>
      <w:r w:rsidRPr="00016DE8">
        <w:rPr>
          <w:b/>
          <w:bCs/>
        </w:rPr>
        <w:t>.</w:t>
      </w:r>
      <w:r>
        <w:rPr>
          <w:b/>
          <w:bCs/>
        </w:rPr>
        <w:t xml:space="preserve"> </w:t>
      </w:r>
      <w:r w:rsidRPr="00A15C72">
        <w:t>A</w:t>
      </w:r>
      <w:r>
        <w:t xml:space="preserve"> range is reported for certain reforms to reflect where we undertook sensitivity analysis.</w:t>
      </w:r>
      <w:r>
        <w:rPr>
          <w:b/>
          <w:bCs/>
        </w:rPr>
        <w:t xml:space="preserve"> d</w:t>
      </w:r>
      <w:r w:rsidRPr="003E15D7">
        <w:rPr>
          <w:b/>
          <w:bCs/>
        </w:rPr>
        <w:t>.</w:t>
      </w:r>
      <w:r w:rsidRPr="00C36914">
        <w:t xml:space="preserve"> </w:t>
      </w:r>
      <w:r>
        <w:t xml:space="preserve">This column reports significant other benefits that we </w:t>
      </w:r>
      <w:proofErr w:type="gramStart"/>
      <w:r>
        <w:t>anticipate, but</w:t>
      </w:r>
      <w:proofErr w:type="gramEnd"/>
      <w:r>
        <w:t xml:space="preserve"> could not be (directly) quantified in our modelling. </w:t>
      </w:r>
      <w:r>
        <w:rPr>
          <w:b/>
          <w:bCs/>
        </w:rPr>
        <w:t>e</w:t>
      </w:r>
      <w:r w:rsidRPr="003E15D7">
        <w:rPr>
          <w:b/>
          <w:bCs/>
        </w:rPr>
        <w:t>.</w:t>
      </w:r>
      <w:r w:rsidRPr="00C36914">
        <w:t xml:space="preserve"> </w:t>
      </w:r>
      <w:r>
        <w:t>Individual values may not sum to total due to rounding. The lower total is the sum of lower estimates for reforms where sensitivity analysis was undertaken, plus central estimates for reforms where sensitivity analysis was not undertaken.</w:t>
      </w:r>
    </w:p>
    <w:p w14:paraId="48D6E327" w14:textId="77777777" w:rsidR="00DB2ED9" w:rsidRDefault="00DB2ED9">
      <w:pPr>
        <w:pStyle w:val="FigureTableHeading"/>
      </w:pPr>
      <w:r>
        <w:lastRenderedPageBreak/>
        <w:t>Table 4</w:t>
      </w:r>
      <w:r>
        <w:rPr>
          <w:noProof/>
        </w:rPr>
        <w:t xml:space="preserve"> – </w:t>
      </w:r>
      <w:r>
        <w:t xml:space="preserve">Estimated effect of the reform package on Gross State </w:t>
      </w:r>
      <w:proofErr w:type="spellStart"/>
      <w:r>
        <w:t>Products</w:t>
      </w:r>
      <w:r w:rsidRPr="00E253A1">
        <w:rPr>
          <w:vertAlign w:val="superscript"/>
        </w:rPr>
        <w:t>a</w:t>
      </w:r>
      <w:proofErr w:type="spellEnd"/>
    </w:p>
    <w:tbl>
      <w:tblPr>
        <w:tblW w:w="5000" w:type="pct"/>
        <w:tblBorders>
          <w:bottom w:val="single" w:sz="4" w:space="0" w:color="B3B3B3"/>
        </w:tblBorders>
        <w:shd w:val="clear" w:color="000000" w:fill="auto"/>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3218"/>
        <w:gridCol w:w="3210"/>
        <w:gridCol w:w="3210"/>
      </w:tblGrid>
      <w:tr w:rsidR="00DB2ED9" w:rsidRPr="00030C67" w14:paraId="71D73D81" w14:textId="77777777">
        <w:trPr>
          <w:tblHeader/>
        </w:trPr>
        <w:tc>
          <w:tcPr>
            <w:tcW w:w="1669" w:type="pct"/>
            <w:tcBorders>
              <w:bottom w:val="single" w:sz="4" w:space="0" w:color="B3B3B3"/>
            </w:tcBorders>
            <w:shd w:val="clear" w:color="000000" w:fill="auto"/>
            <w:vAlign w:val="bottom"/>
          </w:tcPr>
          <w:p w14:paraId="76D53C8F" w14:textId="77777777" w:rsidR="00DB2ED9" w:rsidRPr="00030C67" w:rsidRDefault="00DB2ED9">
            <w:pPr>
              <w:pStyle w:val="TableBodyHeading"/>
              <w:jc w:val="right"/>
            </w:pPr>
          </w:p>
        </w:tc>
        <w:tc>
          <w:tcPr>
            <w:tcW w:w="1665" w:type="pct"/>
            <w:tcBorders>
              <w:bottom w:val="single" w:sz="4" w:space="0" w:color="B3B3B3"/>
            </w:tcBorders>
            <w:shd w:val="clear" w:color="000000" w:fill="auto"/>
            <w:vAlign w:val="bottom"/>
          </w:tcPr>
          <w:p w14:paraId="6D8141A4" w14:textId="77777777" w:rsidR="00DB2ED9" w:rsidRPr="00030C67" w:rsidRDefault="00DB2ED9">
            <w:pPr>
              <w:pStyle w:val="TableBodyHeading"/>
              <w:jc w:val="right"/>
            </w:pPr>
            <w:r>
              <w:t>Change ($ m)</w:t>
            </w:r>
          </w:p>
        </w:tc>
        <w:tc>
          <w:tcPr>
            <w:tcW w:w="1665" w:type="pct"/>
            <w:tcBorders>
              <w:bottom w:val="single" w:sz="4" w:space="0" w:color="B3B3B3"/>
            </w:tcBorders>
            <w:shd w:val="clear" w:color="000000" w:fill="auto"/>
            <w:vAlign w:val="bottom"/>
          </w:tcPr>
          <w:p w14:paraId="12C02EFC" w14:textId="77777777" w:rsidR="00DB2ED9" w:rsidRPr="00030C67" w:rsidRDefault="00DB2ED9">
            <w:pPr>
              <w:pStyle w:val="TableBodyHeading"/>
              <w:jc w:val="right"/>
            </w:pPr>
            <w:r>
              <w:t>Change (%)</w:t>
            </w:r>
          </w:p>
        </w:tc>
      </w:tr>
      <w:tr w:rsidR="00DB2ED9" w:rsidRPr="008F13A4" w14:paraId="66A3638E" w14:textId="77777777">
        <w:tc>
          <w:tcPr>
            <w:tcW w:w="1669" w:type="pct"/>
            <w:tcBorders>
              <w:top w:val="nil"/>
              <w:bottom w:val="nil"/>
            </w:tcBorders>
            <w:shd w:val="clear" w:color="000000" w:fill="auto"/>
          </w:tcPr>
          <w:p w14:paraId="695F7466" w14:textId="77777777" w:rsidR="00DB2ED9" w:rsidRPr="00FA2D97" w:rsidRDefault="00DB2ED9">
            <w:pPr>
              <w:pStyle w:val="TableBodyHeading"/>
              <w:spacing w:line="260" w:lineRule="atLeast"/>
            </w:pPr>
            <w:r w:rsidRPr="00FA2D97">
              <w:t>New South Wales</w:t>
            </w:r>
          </w:p>
        </w:tc>
        <w:tc>
          <w:tcPr>
            <w:tcW w:w="1665" w:type="pct"/>
            <w:tcBorders>
              <w:top w:val="nil"/>
              <w:bottom w:val="nil"/>
            </w:tcBorders>
            <w:shd w:val="clear" w:color="000000" w:fill="auto"/>
          </w:tcPr>
          <w:p w14:paraId="0E0154AF" w14:textId="77777777" w:rsidR="00DB2ED9" w:rsidRPr="008F13A4" w:rsidRDefault="00DB2ED9">
            <w:pPr>
              <w:pStyle w:val="TableBody"/>
              <w:spacing w:before="45" w:after="45" w:line="260" w:lineRule="atLeast"/>
              <w:ind w:right="108"/>
              <w:jc w:val="right"/>
              <w:rPr>
                <w:rFonts w:ascii="Arial (Body)" w:hAnsi="Arial (Body)"/>
              </w:rPr>
            </w:pPr>
            <w:r w:rsidRPr="008F13A4">
              <w:rPr>
                <w:rFonts w:ascii="Arial (Body)" w:hAnsi="Arial (Body)" w:cs="Arial"/>
                <w:szCs w:val="18"/>
              </w:rPr>
              <w:t>11,431</w:t>
            </w:r>
          </w:p>
        </w:tc>
        <w:tc>
          <w:tcPr>
            <w:tcW w:w="1665" w:type="pct"/>
            <w:tcBorders>
              <w:top w:val="nil"/>
              <w:bottom w:val="nil"/>
            </w:tcBorders>
            <w:shd w:val="clear" w:color="000000" w:fill="auto"/>
          </w:tcPr>
          <w:p w14:paraId="641A7911" w14:textId="77777777" w:rsidR="00DB2ED9" w:rsidRPr="008F13A4" w:rsidRDefault="00DB2ED9">
            <w:pPr>
              <w:pStyle w:val="TableBody"/>
              <w:spacing w:before="45" w:after="45" w:line="260" w:lineRule="atLeast"/>
              <w:ind w:right="108"/>
              <w:jc w:val="right"/>
              <w:rPr>
                <w:rFonts w:ascii="Arial (Body)" w:hAnsi="Arial (Body)"/>
              </w:rPr>
            </w:pPr>
            <w:r w:rsidRPr="008F13A4">
              <w:rPr>
                <w:rFonts w:ascii="Arial (Body)" w:hAnsi="Arial (Body)" w:cs="Arial"/>
                <w:szCs w:val="18"/>
              </w:rPr>
              <w:t>1.3</w:t>
            </w:r>
          </w:p>
        </w:tc>
      </w:tr>
      <w:tr w:rsidR="00DB2ED9" w:rsidRPr="008F13A4" w14:paraId="5B702107" w14:textId="77777777">
        <w:tc>
          <w:tcPr>
            <w:tcW w:w="1669" w:type="pct"/>
            <w:shd w:val="clear" w:color="000000" w:fill="F2F2F2"/>
          </w:tcPr>
          <w:p w14:paraId="252F2B62" w14:textId="77777777" w:rsidR="00DB2ED9" w:rsidRPr="00FA2D97" w:rsidRDefault="00DB2ED9">
            <w:pPr>
              <w:pStyle w:val="TableBodyHeading"/>
              <w:spacing w:line="260" w:lineRule="atLeast"/>
            </w:pPr>
            <w:r w:rsidRPr="00FA2D97">
              <w:t>Victoria</w:t>
            </w:r>
          </w:p>
        </w:tc>
        <w:tc>
          <w:tcPr>
            <w:tcW w:w="1665" w:type="pct"/>
            <w:shd w:val="clear" w:color="000000" w:fill="F2F2F2"/>
          </w:tcPr>
          <w:p w14:paraId="1DA01E8D" w14:textId="77777777" w:rsidR="00DB2ED9" w:rsidRPr="008F13A4" w:rsidRDefault="00DB2ED9">
            <w:pPr>
              <w:pStyle w:val="TableBody"/>
              <w:spacing w:before="45" w:after="45" w:line="260" w:lineRule="atLeast"/>
              <w:ind w:right="108"/>
              <w:jc w:val="right"/>
              <w:rPr>
                <w:rFonts w:ascii="Arial (Body)" w:hAnsi="Arial (Body)"/>
              </w:rPr>
            </w:pPr>
            <w:r w:rsidRPr="008F13A4">
              <w:rPr>
                <w:rFonts w:ascii="Arial (Body)" w:hAnsi="Arial (Body)" w:cs="Arial"/>
                <w:szCs w:val="18"/>
              </w:rPr>
              <w:t>7,76</w:t>
            </w:r>
            <w:r>
              <w:rPr>
                <w:rFonts w:ascii="Arial (Body)" w:hAnsi="Arial (Body)" w:cs="Arial"/>
                <w:szCs w:val="18"/>
              </w:rPr>
              <w:t>2</w:t>
            </w:r>
          </w:p>
        </w:tc>
        <w:tc>
          <w:tcPr>
            <w:tcW w:w="1665" w:type="pct"/>
            <w:shd w:val="clear" w:color="000000" w:fill="F2F2F2"/>
          </w:tcPr>
          <w:p w14:paraId="22C0D9CC" w14:textId="77777777" w:rsidR="00DB2ED9" w:rsidRPr="008F13A4" w:rsidRDefault="00DB2ED9">
            <w:pPr>
              <w:pStyle w:val="TableBody"/>
              <w:spacing w:before="45" w:after="45" w:line="260" w:lineRule="atLeast"/>
              <w:ind w:right="108"/>
              <w:jc w:val="right"/>
              <w:rPr>
                <w:rFonts w:ascii="Arial (Body)" w:hAnsi="Arial (Body)"/>
              </w:rPr>
            </w:pPr>
            <w:r w:rsidRPr="008F13A4">
              <w:rPr>
                <w:rFonts w:ascii="Arial (Body)" w:hAnsi="Arial (Body)" w:cs="Arial"/>
                <w:szCs w:val="18"/>
              </w:rPr>
              <w:t>1.2</w:t>
            </w:r>
          </w:p>
        </w:tc>
      </w:tr>
      <w:tr w:rsidR="00DB2ED9" w:rsidRPr="008F13A4" w14:paraId="495796C3" w14:textId="77777777">
        <w:tc>
          <w:tcPr>
            <w:tcW w:w="1669" w:type="pct"/>
            <w:shd w:val="clear" w:color="auto" w:fill="FFFFFF" w:themeFill="background1"/>
          </w:tcPr>
          <w:p w14:paraId="77AFF30A" w14:textId="77777777" w:rsidR="00DB2ED9" w:rsidRPr="00FA2D97" w:rsidRDefault="00DB2ED9">
            <w:pPr>
              <w:pStyle w:val="TableBodyHeading"/>
              <w:spacing w:line="260" w:lineRule="atLeast"/>
            </w:pPr>
            <w:r w:rsidRPr="00FA2D97">
              <w:t>Queensland</w:t>
            </w:r>
          </w:p>
        </w:tc>
        <w:tc>
          <w:tcPr>
            <w:tcW w:w="1665" w:type="pct"/>
            <w:shd w:val="clear" w:color="auto" w:fill="FFFFFF" w:themeFill="background1"/>
          </w:tcPr>
          <w:p w14:paraId="340BBD3F" w14:textId="77777777" w:rsidR="00DB2ED9" w:rsidRPr="008F13A4" w:rsidRDefault="00DB2ED9">
            <w:pPr>
              <w:pStyle w:val="TableBody"/>
              <w:spacing w:before="45" w:after="45" w:line="260" w:lineRule="atLeast"/>
              <w:ind w:right="108"/>
              <w:jc w:val="right"/>
              <w:rPr>
                <w:rFonts w:ascii="Arial (Body)" w:hAnsi="Arial (Body)"/>
              </w:rPr>
            </w:pPr>
            <w:r w:rsidRPr="008F13A4">
              <w:rPr>
                <w:rFonts w:ascii="Arial (Body)" w:hAnsi="Arial (Body)" w:cs="Arial"/>
                <w:szCs w:val="18"/>
              </w:rPr>
              <w:t>9,433</w:t>
            </w:r>
          </w:p>
        </w:tc>
        <w:tc>
          <w:tcPr>
            <w:tcW w:w="1665" w:type="pct"/>
            <w:shd w:val="clear" w:color="auto" w:fill="FFFFFF" w:themeFill="background1"/>
          </w:tcPr>
          <w:p w14:paraId="4167E20B" w14:textId="77777777" w:rsidR="00DB2ED9" w:rsidRPr="008F13A4" w:rsidRDefault="00DB2ED9">
            <w:pPr>
              <w:pStyle w:val="TableBody"/>
              <w:spacing w:before="45" w:after="45" w:line="260" w:lineRule="atLeast"/>
              <w:ind w:right="108"/>
              <w:jc w:val="right"/>
              <w:rPr>
                <w:rFonts w:ascii="Arial (Body)" w:hAnsi="Arial (Body)"/>
              </w:rPr>
            </w:pPr>
            <w:r w:rsidRPr="008F13A4">
              <w:rPr>
                <w:rFonts w:ascii="Arial (Body)" w:hAnsi="Arial (Body)" w:cs="Arial"/>
                <w:szCs w:val="18"/>
              </w:rPr>
              <w:t>1.9</w:t>
            </w:r>
          </w:p>
        </w:tc>
      </w:tr>
      <w:tr w:rsidR="00DB2ED9" w:rsidRPr="008F13A4" w14:paraId="65BB8247" w14:textId="77777777">
        <w:tc>
          <w:tcPr>
            <w:tcW w:w="1669" w:type="pct"/>
            <w:shd w:val="clear" w:color="000000" w:fill="F2F2F2"/>
          </w:tcPr>
          <w:p w14:paraId="403F9DB7" w14:textId="77777777" w:rsidR="00DB2ED9" w:rsidRPr="00FA2D97" w:rsidRDefault="00DB2ED9">
            <w:pPr>
              <w:pStyle w:val="TableBodyHeading"/>
              <w:spacing w:line="260" w:lineRule="atLeast"/>
            </w:pPr>
            <w:r w:rsidRPr="00FA2D97">
              <w:t>South Australia</w:t>
            </w:r>
          </w:p>
        </w:tc>
        <w:tc>
          <w:tcPr>
            <w:tcW w:w="1665" w:type="pct"/>
            <w:shd w:val="clear" w:color="000000" w:fill="F2F2F2"/>
          </w:tcPr>
          <w:p w14:paraId="63925E61" w14:textId="77777777" w:rsidR="00DB2ED9" w:rsidRPr="008F13A4" w:rsidRDefault="00DB2ED9">
            <w:pPr>
              <w:pStyle w:val="TableBody"/>
              <w:spacing w:before="45" w:after="45" w:line="260" w:lineRule="atLeast"/>
              <w:ind w:right="108"/>
              <w:jc w:val="right"/>
              <w:rPr>
                <w:rFonts w:ascii="Arial (Body)" w:hAnsi="Arial (Body)"/>
              </w:rPr>
            </w:pPr>
            <w:r w:rsidRPr="008F13A4">
              <w:rPr>
                <w:rFonts w:ascii="Arial (Body)" w:hAnsi="Arial (Body)" w:cs="Arial"/>
                <w:szCs w:val="18"/>
              </w:rPr>
              <w:t>2,101</w:t>
            </w:r>
          </w:p>
        </w:tc>
        <w:tc>
          <w:tcPr>
            <w:tcW w:w="1665" w:type="pct"/>
            <w:shd w:val="clear" w:color="000000" w:fill="F2F2F2"/>
          </w:tcPr>
          <w:p w14:paraId="013B9478" w14:textId="77777777" w:rsidR="00DB2ED9" w:rsidRPr="008F13A4" w:rsidRDefault="00DB2ED9">
            <w:pPr>
              <w:pStyle w:val="TableBody"/>
              <w:spacing w:before="45" w:after="45" w:line="260" w:lineRule="atLeast"/>
              <w:ind w:right="108"/>
              <w:jc w:val="right"/>
              <w:rPr>
                <w:rFonts w:ascii="Arial (Body)" w:hAnsi="Arial (Body)"/>
              </w:rPr>
            </w:pPr>
            <w:r w:rsidRPr="008F13A4">
              <w:rPr>
                <w:rFonts w:ascii="Arial (Body)" w:hAnsi="Arial (Body)" w:cs="Arial"/>
                <w:szCs w:val="18"/>
              </w:rPr>
              <w:t>1.4</w:t>
            </w:r>
          </w:p>
        </w:tc>
      </w:tr>
      <w:tr w:rsidR="00DB2ED9" w:rsidRPr="008F13A4" w14:paraId="5E898F92" w14:textId="77777777">
        <w:tc>
          <w:tcPr>
            <w:tcW w:w="1669" w:type="pct"/>
            <w:shd w:val="clear" w:color="auto" w:fill="FFFFFF" w:themeFill="background1"/>
          </w:tcPr>
          <w:p w14:paraId="6581D0F5" w14:textId="77777777" w:rsidR="00DB2ED9" w:rsidRPr="00FA2D97" w:rsidRDefault="00DB2ED9">
            <w:pPr>
              <w:pStyle w:val="TableBodyHeading"/>
              <w:spacing w:line="260" w:lineRule="atLeast"/>
            </w:pPr>
            <w:r w:rsidRPr="00FA2D97">
              <w:t>Western Australia</w:t>
            </w:r>
          </w:p>
        </w:tc>
        <w:tc>
          <w:tcPr>
            <w:tcW w:w="1665" w:type="pct"/>
            <w:shd w:val="clear" w:color="auto" w:fill="FFFFFF" w:themeFill="background1"/>
          </w:tcPr>
          <w:p w14:paraId="403A3347" w14:textId="77777777" w:rsidR="00DB2ED9" w:rsidRPr="008F13A4" w:rsidRDefault="00DB2ED9">
            <w:pPr>
              <w:pStyle w:val="TableBody"/>
              <w:spacing w:before="45" w:after="45" w:line="260" w:lineRule="atLeast"/>
              <w:ind w:right="108"/>
              <w:jc w:val="right"/>
              <w:rPr>
                <w:rFonts w:ascii="Arial (Body)" w:hAnsi="Arial (Body)"/>
              </w:rPr>
            </w:pPr>
            <w:r w:rsidRPr="008F13A4">
              <w:rPr>
                <w:rFonts w:ascii="Arial (Body)" w:hAnsi="Arial (Body)" w:cs="Arial"/>
                <w:szCs w:val="18"/>
              </w:rPr>
              <w:t>12,231</w:t>
            </w:r>
          </w:p>
        </w:tc>
        <w:tc>
          <w:tcPr>
            <w:tcW w:w="1665" w:type="pct"/>
            <w:shd w:val="clear" w:color="auto" w:fill="FFFFFF" w:themeFill="background1"/>
          </w:tcPr>
          <w:p w14:paraId="13CDF054" w14:textId="77777777" w:rsidR="00DB2ED9" w:rsidRPr="008F13A4" w:rsidRDefault="00DB2ED9">
            <w:pPr>
              <w:pStyle w:val="TableBody"/>
              <w:spacing w:before="45" w:after="45" w:line="260" w:lineRule="atLeast"/>
              <w:ind w:right="108"/>
              <w:jc w:val="right"/>
              <w:rPr>
                <w:rFonts w:ascii="Arial (Body)" w:hAnsi="Arial (Body)"/>
              </w:rPr>
            </w:pPr>
            <w:r w:rsidRPr="008F13A4">
              <w:rPr>
                <w:rFonts w:ascii="Arial (Body)" w:hAnsi="Arial (Body)" w:cs="Arial"/>
                <w:szCs w:val="18"/>
              </w:rPr>
              <w:t>3.1</w:t>
            </w:r>
          </w:p>
        </w:tc>
      </w:tr>
      <w:tr w:rsidR="00DB2ED9" w:rsidRPr="008F13A4" w14:paraId="22586357" w14:textId="77777777">
        <w:tc>
          <w:tcPr>
            <w:tcW w:w="1669" w:type="pct"/>
            <w:shd w:val="clear" w:color="000000" w:fill="F2F2F2"/>
          </w:tcPr>
          <w:p w14:paraId="5E55B1B3" w14:textId="77777777" w:rsidR="00DB2ED9" w:rsidRPr="00FA2D97" w:rsidRDefault="00DB2ED9">
            <w:pPr>
              <w:pStyle w:val="TableBodyHeading"/>
              <w:spacing w:line="260" w:lineRule="atLeast"/>
            </w:pPr>
            <w:r w:rsidRPr="00FA2D97">
              <w:t>Tasmania</w:t>
            </w:r>
          </w:p>
        </w:tc>
        <w:tc>
          <w:tcPr>
            <w:tcW w:w="1665" w:type="pct"/>
            <w:shd w:val="clear" w:color="000000" w:fill="F2F2F2"/>
          </w:tcPr>
          <w:p w14:paraId="188EFBD1" w14:textId="77777777" w:rsidR="00DB2ED9" w:rsidRPr="008F13A4" w:rsidRDefault="00DB2ED9">
            <w:pPr>
              <w:pStyle w:val="TableBody"/>
              <w:spacing w:before="45" w:after="45" w:line="260" w:lineRule="atLeast"/>
              <w:ind w:right="108"/>
              <w:jc w:val="right"/>
              <w:rPr>
                <w:rFonts w:ascii="Arial (Body)" w:hAnsi="Arial (Body)"/>
              </w:rPr>
            </w:pPr>
            <w:r w:rsidRPr="008F13A4">
              <w:rPr>
                <w:rFonts w:ascii="Arial (Body)" w:hAnsi="Arial (Body)" w:cs="Arial"/>
                <w:szCs w:val="18"/>
              </w:rPr>
              <w:t>635</w:t>
            </w:r>
          </w:p>
        </w:tc>
        <w:tc>
          <w:tcPr>
            <w:tcW w:w="1665" w:type="pct"/>
            <w:shd w:val="clear" w:color="000000" w:fill="F2F2F2"/>
          </w:tcPr>
          <w:p w14:paraId="405F47F5" w14:textId="77777777" w:rsidR="00DB2ED9" w:rsidRPr="008F13A4" w:rsidRDefault="00DB2ED9">
            <w:pPr>
              <w:pStyle w:val="TableBody"/>
              <w:spacing w:before="45" w:after="45" w:line="260" w:lineRule="atLeast"/>
              <w:ind w:right="108"/>
              <w:jc w:val="right"/>
              <w:rPr>
                <w:rFonts w:ascii="Arial (Body)" w:hAnsi="Arial (Body)"/>
              </w:rPr>
            </w:pPr>
            <w:r w:rsidRPr="008F13A4">
              <w:rPr>
                <w:rFonts w:ascii="Arial (Body)" w:hAnsi="Arial (Body)" w:cs="Arial"/>
                <w:szCs w:val="18"/>
              </w:rPr>
              <w:t>1.5</w:t>
            </w:r>
          </w:p>
        </w:tc>
      </w:tr>
      <w:tr w:rsidR="00DB2ED9" w:rsidRPr="008F13A4" w14:paraId="753F52F0" w14:textId="77777777">
        <w:tc>
          <w:tcPr>
            <w:tcW w:w="1669" w:type="pct"/>
            <w:shd w:val="clear" w:color="auto" w:fill="FFFFFF" w:themeFill="background1"/>
          </w:tcPr>
          <w:p w14:paraId="33E7B236" w14:textId="77777777" w:rsidR="00DB2ED9" w:rsidRPr="00FA2D97" w:rsidRDefault="00DB2ED9">
            <w:pPr>
              <w:pStyle w:val="TableBodyHeading"/>
              <w:spacing w:line="260" w:lineRule="atLeast"/>
            </w:pPr>
            <w:r w:rsidRPr="00FA2D97">
              <w:t>Northern Territory</w:t>
            </w:r>
          </w:p>
        </w:tc>
        <w:tc>
          <w:tcPr>
            <w:tcW w:w="1665" w:type="pct"/>
            <w:shd w:val="clear" w:color="auto" w:fill="FFFFFF" w:themeFill="background1"/>
          </w:tcPr>
          <w:p w14:paraId="5AAC7E88" w14:textId="77777777" w:rsidR="00DB2ED9" w:rsidRPr="008F13A4" w:rsidRDefault="00DB2ED9">
            <w:pPr>
              <w:pStyle w:val="TableBody"/>
              <w:spacing w:before="45" w:after="45" w:line="260" w:lineRule="atLeast"/>
              <w:ind w:right="108"/>
              <w:jc w:val="right"/>
              <w:rPr>
                <w:rFonts w:ascii="Arial (Body)" w:hAnsi="Arial (Body)"/>
              </w:rPr>
            </w:pPr>
            <w:r w:rsidRPr="008F13A4">
              <w:rPr>
                <w:rFonts w:ascii="Arial (Body)" w:hAnsi="Arial (Body)" w:cs="Arial"/>
                <w:szCs w:val="18"/>
              </w:rPr>
              <w:t>798</w:t>
            </w:r>
          </w:p>
        </w:tc>
        <w:tc>
          <w:tcPr>
            <w:tcW w:w="1665" w:type="pct"/>
            <w:shd w:val="clear" w:color="auto" w:fill="FFFFFF" w:themeFill="background1"/>
          </w:tcPr>
          <w:p w14:paraId="267F1B19" w14:textId="77777777" w:rsidR="00DB2ED9" w:rsidRPr="008F13A4" w:rsidRDefault="00DB2ED9">
            <w:pPr>
              <w:pStyle w:val="TableBody"/>
              <w:spacing w:before="45" w:after="45" w:line="260" w:lineRule="atLeast"/>
              <w:ind w:right="108"/>
              <w:jc w:val="right"/>
              <w:rPr>
                <w:rFonts w:ascii="Arial (Body)" w:hAnsi="Arial (Body)"/>
              </w:rPr>
            </w:pPr>
            <w:r w:rsidRPr="008F13A4">
              <w:rPr>
                <w:rFonts w:ascii="Arial (Body)" w:hAnsi="Arial (Body)" w:cs="Arial"/>
                <w:szCs w:val="18"/>
              </w:rPr>
              <w:t>2.3</w:t>
            </w:r>
          </w:p>
        </w:tc>
      </w:tr>
      <w:tr w:rsidR="00DB2ED9" w:rsidRPr="008F13A4" w14:paraId="0C095ED6" w14:textId="77777777">
        <w:tc>
          <w:tcPr>
            <w:tcW w:w="1669" w:type="pct"/>
            <w:shd w:val="clear" w:color="000000" w:fill="F2F2F2"/>
          </w:tcPr>
          <w:p w14:paraId="195DBE9F" w14:textId="77777777" w:rsidR="00DB2ED9" w:rsidRPr="00FA2D97" w:rsidRDefault="00DB2ED9">
            <w:pPr>
              <w:pStyle w:val="TableBodyHeading"/>
              <w:spacing w:line="260" w:lineRule="atLeast"/>
            </w:pPr>
            <w:r w:rsidRPr="00FA2D97">
              <w:t>Australian Capital Territory</w:t>
            </w:r>
          </w:p>
        </w:tc>
        <w:tc>
          <w:tcPr>
            <w:tcW w:w="1665" w:type="pct"/>
            <w:shd w:val="clear" w:color="000000" w:fill="F2F2F2"/>
          </w:tcPr>
          <w:p w14:paraId="3C668FEF" w14:textId="77777777" w:rsidR="00DB2ED9" w:rsidRPr="008F13A4" w:rsidRDefault="00DB2ED9">
            <w:pPr>
              <w:pStyle w:val="TableBody"/>
              <w:spacing w:before="45" w:after="45" w:line="260" w:lineRule="atLeast"/>
              <w:ind w:right="108"/>
              <w:jc w:val="right"/>
              <w:rPr>
                <w:rFonts w:ascii="Arial (Body)" w:hAnsi="Arial (Body)"/>
              </w:rPr>
            </w:pPr>
            <w:r w:rsidRPr="008F13A4">
              <w:rPr>
                <w:rFonts w:ascii="Arial (Body)" w:hAnsi="Arial (Body)" w:cs="Arial"/>
                <w:szCs w:val="18"/>
              </w:rPr>
              <w:t>443</w:t>
            </w:r>
          </w:p>
        </w:tc>
        <w:tc>
          <w:tcPr>
            <w:tcW w:w="1665" w:type="pct"/>
            <w:shd w:val="clear" w:color="000000" w:fill="F2F2F2"/>
          </w:tcPr>
          <w:p w14:paraId="45ACAA2D" w14:textId="77777777" w:rsidR="00DB2ED9" w:rsidRPr="008F13A4" w:rsidRDefault="00DB2ED9">
            <w:pPr>
              <w:pStyle w:val="TableBody"/>
              <w:spacing w:before="45" w:after="45" w:line="260" w:lineRule="atLeast"/>
              <w:ind w:right="108"/>
              <w:jc w:val="right"/>
              <w:rPr>
                <w:rFonts w:ascii="Arial (Body)" w:hAnsi="Arial (Body)"/>
              </w:rPr>
            </w:pPr>
            <w:r w:rsidRPr="008F13A4">
              <w:rPr>
                <w:rFonts w:ascii="Arial (Body)" w:hAnsi="Arial (Body)" w:cs="Arial"/>
                <w:szCs w:val="18"/>
              </w:rPr>
              <w:t>0.8</w:t>
            </w:r>
          </w:p>
        </w:tc>
      </w:tr>
    </w:tbl>
    <w:p w14:paraId="5E87ED17" w14:textId="6457B324" w:rsidR="00DB2ED9" w:rsidRDefault="00DB2ED9">
      <w:pPr>
        <w:pStyle w:val="Note"/>
      </w:pPr>
      <w:r w:rsidRPr="00C36914">
        <w:rPr>
          <w:b/>
          <w:bCs/>
        </w:rPr>
        <w:t>a.</w:t>
      </w:r>
      <w:r w:rsidRPr="00C36914">
        <w:t xml:space="preserve"> </w:t>
      </w:r>
      <w:r w:rsidR="00534181" w:rsidRPr="00534181">
        <w:t>For upper-bound estimates. Values do not sum to the estimated effect on GDP due to rounding.</w:t>
      </w:r>
    </w:p>
    <w:p w14:paraId="1F9F71C9" w14:textId="77777777" w:rsidR="00DB2ED9" w:rsidRDefault="00DB2ED9">
      <w:pPr>
        <w:pStyle w:val="Heading3"/>
      </w:pPr>
      <w:bookmarkStart w:id="61" w:name="_Toc181174218"/>
      <w:bookmarkStart w:id="62" w:name="_Toc181360248"/>
      <w:r>
        <w:t>But not all benefits could be quantified</w:t>
      </w:r>
      <w:bookmarkEnd w:id="61"/>
      <w:bookmarkEnd w:id="62"/>
    </w:p>
    <w:p w14:paraId="42DCEB1C" w14:textId="1C8BDE16" w:rsidR="00DB2ED9" w:rsidRDefault="00DB2ED9">
      <w:pPr>
        <w:pStyle w:val="BodyText"/>
      </w:pPr>
      <w:r>
        <w:t xml:space="preserve">For some reforms, the benefits are reflected in their effect on GDP; however, for many others, their effect on GDP should be seen as a secondary consideration. For example, for many of the net zero reforms, the main focus is on helping Australia meet its emission targets. In addition, for many of the human services reforms, the focus is on a range of outcomes including improved access and consumer choice. Our analysis indicates that, overall, these various reforms are likely to have the effect of helping Australia meet its emission targets, improving access and promoting consumer choice </w:t>
      </w:r>
      <w:r w:rsidR="00677CD6">
        <w:t>–</w:t>
      </w:r>
      <w:r>
        <w:t xml:space="preserve"> but these benefits are not reflected in the headline results from the CGE modelling. </w:t>
      </w:r>
    </w:p>
    <w:p w14:paraId="303468C4" w14:textId="77777777" w:rsidR="00DB2ED9" w:rsidRDefault="00DB2ED9">
      <w:pPr>
        <w:pStyle w:val="BodyText"/>
      </w:pPr>
      <w:r>
        <w:t xml:space="preserve">Therefore, it should be emphasised that no single number can capture the full impacts and benefits of any reform agenda. Many of the reforms have benefits that are not amenable to quantification in monetary terms, and we have identified and discussed these benefits in appendices B1–B5. This includes some measures that we were asked to consider. where possible, in the terms of reference, such as effects on consumer choice, living standards and quality of life. </w:t>
      </w:r>
    </w:p>
    <w:p w14:paraId="65A3E7A4" w14:textId="25AD4B98" w:rsidR="00DB2ED9" w:rsidRDefault="00DB2ED9">
      <w:pPr>
        <w:pStyle w:val="BodyText"/>
      </w:pPr>
      <w:r>
        <w:t>Even where the primary direct effects of the reform are quantifiable, the flow</w:t>
      </w:r>
      <w:r>
        <w:noBreakHyphen/>
        <w:t>on effects of reform can be so far</w:t>
      </w:r>
      <w:r>
        <w:noBreakHyphen/>
        <w:t xml:space="preserve">reaching and nuanced that it would be impossible to capture them in </w:t>
      </w:r>
      <w:r w:rsidRPr="00DF3E9B">
        <w:t>full</w:t>
      </w:r>
      <w:r>
        <w:t xml:space="preserve">. For example, several of the data and digital reforms are aimed at encouraging innovation and improving economic dynamism </w:t>
      </w:r>
      <w:r w:rsidR="00677CD6">
        <w:t>–</w:t>
      </w:r>
      <w:r>
        <w:t xml:space="preserve"> for these, the exact nature and magnitude of their impacts are inherently unforeseeable. Moreover, the evolving scope of some reforms means they could be applied to markets and industries that were not anticipated at the time of this study </w:t>
      </w:r>
      <w:r w:rsidR="00677CD6">
        <w:t>–</w:t>
      </w:r>
      <w:r>
        <w:t xml:space="preserve"> by definition, our modelling does not account for these benefits. </w:t>
      </w:r>
    </w:p>
    <w:p w14:paraId="5BFA6082" w14:textId="77777777" w:rsidR="00DB2ED9" w:rsidRDefault="00DB2ED9">
      <w:pPr>
        <w:pStyle w:val="Heading3"/>
      </w:pPr>
      <w:bookmarkStart w:id="63" w:name="_Toc181174219"/>
      <w:bookmarkStart w:id="64" w:name="_Toc181360249"/>
      <w:r>
        <w:t>Getting scope and implementation right is key</w:t>
      </w:r>
      <w:bookmarkEnd w:id="63"/>
      <w:bookmarkEnd w:id="64"/>
      <w:r>
        <w:t xml:space="preserve"> </w:t>
      </w:r>
    </w:p>
    <w:p w14:paraId="2F554494" w14:textId="77777777" w:rsidR="00DB2ED9" w:rsidRDefault="00DB2ED9">
      <w:pPr>
        <w:pStyle w:val="BodyText"/>
      </w:pPr>
      <w:r>
        <w:t>For all of the proposed reforms, getting scope and implementation right is essential to realising the potential benefits to the fullest extent possible. But for some, extra caution is required when deciding whether and how to proceed with the reforms, and decision</w:t>
      </w:r>
      <w:r>
        <w:noBreakHyphen/>
        <w:t xml:space="preserve">makers should consider how the downside risks will be managed. </w:t>
      </w:r>
    </w:p>
    <w:p w14:paraId="7534A413" w14:textId="5DFA0FDC" w:rsidR="00DB2ED9" w:rsidRDefault="00DB2ED9">
      <w:pPr>
        <w:pStyle w:val="ListBullet"/>
      </w:pPr>
      <w:r w:rsidRPr="00F516A0">
        <w:rPr>
          <w:b/>
          <w:bCs/>
        </w:rPr>
        <w:t>Reform D1 – Consumer switching.</w:t>
      </w:r>
      <w:r>
        <w:t xml:space="preserve"> </w:t>
      </w:r>
      <w:r w:rsidRPr="00081F2A">
        <w:t>There is mixed evidence about the efficacy of measures to improve consumer switching in various markets. Well</w:t>
      </w:r>
      <w:r>
        <w:noBreakHyphen/>
      </w:r>
      <w:r w:rsidRPr="00081F2A">
        <w:t xml:space="preserve">designed initiatives (such as mobile number portability) </w:t>
      </w:r>
      <w:r>
        <w:t>can</w:t>
      </w:r>
      <w:r w:rsidRPr="00081F2A">
        <w:t xml:space="preserve"> boost levels of switching, but initiatives that are badly designed can result in net costs. Moreover, many efforts to improve switching have</w:t>
      </w:r>
      <w:r>
        <w:t xml:space="preserve"> been market</w:t>
      </w:r>
      <w:r>
        <w:noBreakHyphen/>
        <w:t xml:space="preserve">led (for example comparison websites), and there is a question about the ability of </w:t>
      </w:r>
      <w:r w:rsidR="00677CD6">
        <w:t>–</w:t>
      </w:r>
      <w:r>
        <w:t xml:space="preserve"> or the need for </w:t>
      </w:r>
      <w:r w:rsidR="00677CD6">
        <w:t>–</w:t>
      </w:r>
      <w:r>
        <w:t xml:space="preserve"> government</w:t>
      </w:r>
      <w:r>
        <w:noBreakHyphen/>
        <w:t>led initiatives to generate similar benefits.</w:t>
      </w:r>
    </w:p>
    <w:p w14:paraId="7F876396" w14:textId="77777777" w:rsidR="00DB2ED9" w:rsidRDefault="00DB2ED9">
      <w:pPr>
        <w:pStyle w:val="ListBullet"/>
      </w:pPr>
      <w:r w:rsidRPr="00F516A0">
        <w:rPr>
          <w:b/>
          <w:bCs/>
        </w:rPr>
        <w:lastRenderedPageBreak/>
        <w:t>Reform D</w:t>
      </w:r>
      <w:r>
        <w:rPr>
          <w:b/>
          <w:bCs/>
        </w:rPr>
        <w:t>2</w:t>
      </w:r>
      <w:r w:rsidRPr="00F516A0">
        <w:rPr>
          <w:b/>
          <w:bCs/>
        </w:rPr>
        <w:t xml:space="preserve"> – </w:t>
      </w:r>
      <w:r>
        <w:rPr>
          <w:b/>
          <w:bCs/>
        </w:rPr>
        <w:t>Data sharing</w:t>
      </w:r>
      <w:r w:rsidRPr="00F516A0">
        <w:rPr>
          <w:b/>
          <w:bCs/>
        </w:rPr>
        <w:t>.</w:t>
      </w:r>
      <w:r>
        <w:t xml:space="preserve"> While improved data sharing has the potential to deliver large net benefits, the exact costs, benefits and risks depends on the type of data being shared. A one</w:t>
      </w:r>
      <w:r>
        <w:noBreakHyphen/>
        <w:t>size</w:t>
      </w:r>
      <w:r>
        <w:noBreakHyphen/>
        <w:t>fits all policy is not appropriate as different datasets generate different value and risks, and the design of each of the data</w:t>
      </w:r>
      <w:r>
        <w:noBreakHyphen/>
        <w:t xml:space="preserve">sharing schemes will be a key determinant of the size of the benefits (if any) from this reform. </w:t>
      </w:r>
    </w:p>
    <w:p w14:paraId="080466E9" w14:textId="48D6CF54" w:rsidR="00DB2ED9" w:rsidRPr="00B21D36" w:rsidRDefault="00DB2ED9">
      <w:pPr>
        <w:pStyle w:val="ListBullet"/>
      </w:pPr>
      <w:r w:rsidRPr="00B21D36">
        <w:rPr>
          <w:b/>
          <w:bCs/>
        </w:rPr>
        <w:t>Reform H1 –</w:t>
      </w:r>
      <w:r w:rsidR="00DB0EA7">
        <w:rPr>
          <w:b/>
          <w:bCs/>
        </w:rPr>
        <w:t xml:space="preserve"> </w:t>
      </w:r>
      <w:r>
        <w:rPr>
          <w:b/>
          <w:bCs/>
        </w:rPr>
        <w:t>M</w:t>
      </w:r>
      <w:r w:rsidRPr="00B21D36">
        <w:rPr>
          <w:b/>
          <w:bCs/>
        </w:rPr>
        <w:t xml:space="preserve">atching. </w:t>
      </w:r>
      <w:r w:rsidRPr="00B21D36">
        <w:t>For human services, the evidence suggests that providing consumers with more information about services providers, such as performance rankings, may not change consumer behaviour. While information sharing can motivate poor</w:t>
      </w:r>
      <w:r>
        <w:noBreakHyphen/>
      </w:r>
      <w:r w:rsidRPr="00B21D36">
        <w:t>performing providers to improve or exit the market</w:t>
      </w:r>
      <w:r>
        <w:t>.</w:t>
      </w:r>
      <w:r w:rsidRPr="00B21D36" w:rsidDel="00610E5A">
        <w:t xml:space="preserve"> </w:t>
      </w:r>
      <w:r>
        <w:t>I</w:t>
      </w:r>
      <w:r w:rsidRPr="00B21D36">
        <w:t>f not carefully designed, i</w:t>
      </w:r>
      <w:r>
        <w:t>nformation sharing</w:t>
      </w:r>
      <w:r w:rsidRPr="00B21D36">
        <w:t xml:space="preserve"> can also result in unintended (and adverse) consequences</w:t>
      </w:r>
      <w:r>
        <w:t>:</w:t>
      </w:r>
      <w:r w:rsidRPr="00B21D36">
        <w:t xml:space="preserve"> This includes providers refusing to provide certain services or serve certain cohorts in order to maintain higher ratings. </w:t>
      </w:r>
    </w:p>
    <w:p w14:paraId="2BEC9E09" w14:textId="1D1EB789" w:rsidR="00DB2ED9" w:rsidRDefault="00DB2ED9">
      <w:pPr>
        <w:pStyle w:val="ListBullet"/>
      </w:pPr>
      <w:r w:rsidRPr="00041744">
        <w:rPr>
          <w:b/>
          <w:bCs/>
        </w:rPr>
        <w:t xml:space="preserve">Reform B8 </w:t>
      </w:r>
      <w:r>
        <w:rPr>
          <w:b/>
          <w:bCs/>
        </w:rPr>
        <w:t>–</w:t>
      </w:r>
      <w:r w:rsidRPr="00041744">
        <w:rPr>
          <w:b/>
          <w:bCs/>
        </w:rPr>
        <w:t xml:space="preserve"> Efficient user charging</w:t>
      </w:r>
      <w:r>
        <w:t xml:space="preserve">. </w:t>
      </w:r>
      <w:r w:rsidRPr="00081F2A">
        <w:t xml:space="preserve">There are </w:t>
      </w:r>
      <w:r>
        <w:t>some</w:t>
      </w:r>
      <w:r w:rsidRPr="00081F2A">
        <w:t xml:space="preserve"> government services for which </w:t>
      </w:r>
      <w:r>
        <w:t>fully cost</w:t>
      </w:r>
      <w:r>
        <w:noBreakHyphen/>
        <w:t xml:space="preserve">reflective </w:t>
      </w:r>
      <w:r w:rsidRPr="00081F2A">
        <w:t xml:space="preserve">user charging is not appropriate, so the reform to adopt efficient user charges more widely has the potential to result in net costs (including worse equity outcomes and increased cost of living pressures), if applied to the wrong government services. </w:t>
      </w:r>
      <w:r>
        <w:t>Whether efficient user charging should be adopted for government services should be considered on a case</w:t>
      </w:r>
      <w:r>
        <w:noBreakHyphen/>
        <w:t>by</w:t>
      </w:r>
      <w:r>
        <w:noBreakHyphen/>
        <w:t xml:space="preserve">case basis </w:t>
      </w:r>
      <w:r w:rsidR="00677CD6">
        <w:t>–</w:t>
      </w:r>
      <w:r>
        <w:t xml:space="preserve"> a detailed review of the prospective (positive) externalities or equity implications would be needed for each service. </w:t>
      </w:r>
    </w:p>
    <w:p w14:paraId="2F778B40" w14:textId="77777777" w:rsidR="00DB2ED9" w:rsidRDefault="00DB2ED9">
      <w:pPr>
        <w:pStyle w:val="BodyText"/>
      </w:pPr>
      <w:r>
        <w:t>These reforms, and key implementation considerations, are discussed further in appendices B1</w:t>
      </w:r>
      <w:r>
        <w:noBreakHyphen/>
        <w:t>B5.</w:t>
      </w:r>
    </w:p>
    <w:p w14:paraId="1825D0C6" w14:textId="77777777" w:rsidR="00DB2ED9" w:rsidRDefault="00DB2ED9">
      <w:pPr>
        <w:pStyle w:val="Heading3"/>
      </w:pPr>
      <w:bookmarkStart w:id="65" w:name="_Toc181174220"/>
      <w:bookmarkStart w:id="66" w:name="_Toc181360250"/>
      <w:r w:rsidRPr="00BB4665">
        <w:t>The cost of living will be modestly lower in the long run</w:t>
      </w:r>
      <w:bookmarkEnd w:id="65"/>
      <w:bookmarkEnd w:id="66"/>
    </w:p>
    <w:p w14:paraId="7DC6EA15" w14:textId="6B8B317C" w:rsidR="00DB2ED9" w:rsidRPr="00635EBA" w:rsidRDefault="00DB2ED9">
      <w:pPr>
        <w:pStyle w:val="BodyText"/>
        <w:rPr>
          <w:spacing w:val="-4"/>
        </w:rPr>
      </w:pPr>
      <w:r w:rsidRPr="00635EBA">
        <w:rPr>
          <w:spacing w:val="-4"/>
        </w:rPr>
        <w:t>As discussed above, cost of living relief is another focus of the proposed reform package. The terms of reference for this study direct the Commission to assess the cost</w:t>
      </w:r>
      <w:r w:rsidRPr="00635EBA">
        <w:rPr>
          <w:spacing w:val="-4"/>
        </w:rPr>
        <w:noBreakHyphen/>
        <w:t>of</w:t>
      </w:r>
      <w:r w:rsidRPr="00635EBA">
        <w:rPr>
          <w:spacing w:val="-4"/>
        </w:rPr>
        <w:noBreakHyphen/>
        <w:t>living effects of the proposed reforms and the Treasury’s National Competition Policy consultation paper stated that ‘a subset of reforms that are important for addressing cost</w:t>
      </w:r>
      <w:r w:rsidRPr="00635EBA">
        <w:rPr>
          <w:spacing w:val="-4"/>
        </w:rPr>
        <w:noBreakHyphen/>
        <w:t>of</w:t>
      </w:r>
      <w:r w:rsidRPr="00635EBA">
        <w:rPr>
          <w:spacing w:val="-4"/>
        </w:rPr>
        <w:noBreakHyphen/>
        <w:t xml:space="preserve">living pressures will be prioritised for early implementation’ (Treasury 2024c, p. 32). </w:t>
      </w:r>
    </w:p>
    <w:p w14:paraId="530F23A2" w14:textId="77777777" w:rsidR="00DB2ED9" w:rsidRPr="00B211AE" w:rsidRDefault="00DB2ED9">
      <w:pPr>
        <w:pStyle w:val="BodyText"/>
      </w:pPr>
      <w:r w:rsidRPr="00B211AE">
        <w:t>Our modelling results show</w:t>
      </w:r>
      <w:r>
        <w:t>ed</w:t>
      </w:r>
      <w:r w:rsidRPr="00B211AE">
        <w:t xml:space="preserve"> that, overall, the total effect of the reforms will be to decrease prices in the long run by </w:t>
      </w:r>
      <w:r w:rsidRPr="002342D2">
        <w:t xml:space="preserve">0.7–1.5%, </w:t>
      </w:r>
      <w:r w:rsidRPr="00B211AE">
        <w:t xml:space="preserve">which will ease cost of living pressures. </w:t>
      </w:r>
    </w:p>
    <w:p w14:paraId="06D6EF5F" w14:textId="77777777" w:rsidR="00DB2ED9" w:rsidRPr="00B211AE" w:rsidRDefault="00DB2ED9">
      <w:pPr>
        <w:pStyle w:val="BodyText"/>
      </w:pPr>
      <w:r w:rsidRPr="00B211AE">
        <w:t xml:space="preserve">The effect of individual reforms is mixed (table 3). For reforms where we modelled long run prices, we found that </w:t>
      </w:r>
      <w:r>
        <w:t xml:space="preserve">only two would increase prices and the remainder </w:t>
      </w:r>
      <w:r w:rsidRPr="00B211AE">
        <w:t>would decrease prices. In the CGE modelling, the effect of reforms on long run prices is determined by two factors.</w:t>
      </w:r>
    </w:p>
    <w:p w14:paraId="7EA9CA1A" w14:textId="77777777" w:rsidR="00DB2ED9" w:rsidRDefault="00DB2ED9">
      <w:pPr>
        <w:pStyle w:val="ListBullet"/>
      </w:pPr>
      <w:r>
        <w:t>Whether the price change</w:t>
      </w:r>
      <w:r w:rsidDel="00FE3CF2">
        <w:t xml:space="preserve"> </w:t>
      </w:r>
      <w:r>
        <w:t xml:space="preserve">is positive or negative is determined by the structure of the CGE model, including how related markets interact with each other. </w:t>
      </w:r>
      <w:r w:rsidRPr="00B33529">
        <w:t xml:space="preserve">For example, </w:t>
      </w:r>
      <w:r>
        <w:t xml:space="preserve">because many markets use labour as an input, changes in demand for labour in one market could affect the amount of labour available to be used in other markets, leading to increased labour costs in those latter markets. These relationships are fixed in the CGE model. </w:t>
      </w:r>
    </w:p>
    <w:p w14:paraId="52BB494C" w14:textId="77777777" w:rsidR="00DB2ED9" w:rsidRDefault="00DB2ED9">
      <w:pPr>
        <w:pStyle w:val="ListBullet"/>
      </w:pPr>
      <w:r>
        <w:t xml:space="preserve">The magnitude of the change is affected by the size of the shock applied to the CGE model. The size of these shocks was determined by our estimation of the direct effects associated with each reform (discussed above). </w:t>
      </w:r>
    </w:p>
    <w:p w14:paraId="75F7BA34" w14:textId="77777777" w:rsidR="00DB2ED9" w:rsidRDefault="00DB2ED9">
      <w:pPr>
        <w:pStyle w:val="BodyText"/>
      </w:pPr>
      <w:r>
        <w:t>It should be noted that the CGE</w:t>
      </w:r>
      <w:r>
        <w:noBreakHyphen/>
        <w:t>model provides insights into long</w:t>
      </w:r>
      <w:r>
        <w:noBreakHyphen/>
        <w:t>run price effects only, and the short</w:t>
      </w:r>
      <w:r>
        <w:noBreakHyphen/>
        <w:t>run price effects could be different. This means it is plausible that some reforms may ease cost of living pressures in the short run, even if they do not in the long run. In the short run, cost of living effects will also be influenced by the timing and sequencing of reform implementation.</w:t>
      </w:r>
    </w:p>
    <w:p w14:paraId="3BAF55AD" w14:textId="77777777" w:rsidR="00DB2ED9" w:rsidRPr="00981DA1" w:rsidRDefault="00DB2ED9">
      <w:pPr>
        <w:pStyle w:val="Heading3"/>
      </w:pPr>
      <w:bookmarkStart w:id="67" w:name="_Toc181174221"/>
      <w:bookmarkStart w:id="68" w:name="_Toc181360251"/>
      <w:r>
        <w:t>For governments, net revenues will increase overall</w:t>
      </w:r>
      <w:bookmarkEnd w:id="67"/>
      <w:bookmarkEnd w:id="68"/>
    </w:p>
    <w:p w14:paraId="5076A031" w14:textId="3CC15847" w:rsidR="00DB2ED9" w:rsidRDefault="00DB2ED9">
      <w:pPr>
        <w:pStyle w:val="BodyText"/>
      </w:pPr>
      <w:r>
        <w:t xml:space="preserve">As a whole, the proposed reforms will have the long-run effect of increasing net revenues for governments overall (table 5). In the CGE modelling, the effect on government budgets </w:t>
      </w:r>
      <w:r w:rsidRPr="004938EB">
        <w:t xml:space="preserve">is the combined effect of changes </w:t>
      </w:r>
      <w:r w:rsidRPr="004938EB">
        <w:lastRenderedPageBreak/>
        <w:t>to tax revenue collections (incomings) and changes to expenditure (outlays)</w:t>
      </w:r>
      <w:r>
        <w:t xml:space="preserve"> </w:t>
      </w:r>
      <w:r w:rsidR="00677CD6">
        <w:t>–</w:t>
      </w:r>
      <w:r>
        <w:t xml:space="preserve"> </w:t>
      </w:r>
      <w:r w:rsidRPr="004938EB">
        <w:t xml:space="preserve">and the net effect is determined by the relative magnitude of these changes. These </w:t>
      </w:r>
      <w:r>
        <w:t xml:space="preserve">were </w:t>
      </w:r>
      <w:r w:rsidRPr="004938EB">
        <w:t xml:space="preserve">all determined in the CGE model as a response to the shock that we </w:t>
      </w:r>
      <w:r>
        <w:t>specified</w:t>
      </w:r>
      <w:r w:rsidRPr="004938EB">
        <w:t xml:space="preserve">. </w:t>
      </w:r>
    </w:p>
    <w:p w14:paraId="71EC698A" w14:textId="77777777" w:rsidR="00DB2ED9" w:rsidRDefault="00DB2ED9">
      <w:pPr>
        <w:pStyle w:val="BodyText"/>
      </w:pPr>
      <w:r w:rsidRPr="00627CC4">
        <w:t>For the Australian Government, net revenues will be an estimated $</w:t>
      </w:r>
      <w:r w:rsidRPr="000235F3">
        <w:t xml:space="preserve">5.7–9.2 billion </w:t>
      </w:r>
      <w:r w:rsidRPr="00627CC4">
        <w:t>higher, largely due to increased income tax collection (driven by increases in nominal income). For state and territory governments, as a whole, net revenues will be an estimated $</w:t>
      </w:r>
      <w:r w:rsidRPr="000235F3">
        <w:t xml:space="preserve">2.4 billion </w:t>
      </w:r>
      <w:r w:rsidRPr="00627CC4">
        <w:t>higher</w:t>
      </w:r>
      <w:r w:rsidRPr="008E0EC5">
        <w:t>. This is the net effect of changes to revenue (comprising GST grants, non</w:t>
      </w:r>
      <w:r w:rsidRPr="008E0EC5">
        <w:noBreakHyphen/>
        <w:t>GST grants, payroll tax and property taxes) and changes to expenditures (employee expenses, driven by nominal wages), which is unique to each jurisdiction</w:t>
      </w:r>
      <w:r>
        <w:t xml:space="preserve">. </w:t>
      </w:r>
    </w:p>
    <w:p w14:paraId="1599C8FF" w14:textId="77777777" w:rsidR="00DB2ED9" w:rsidRDefault="00DB2ED9">
      <w:pPr>
        <w:pStyle w:val="FigureTableHeading"/>
      </w:pPr>
      <w:r>
        <w:t>Table 5</w:t>
      </w:r>
      <w:r>
        <w:rPr>
          <w:noProof/>
        </w:rPr>
        <w:t xml:space="preserve"> – </w:t>
      </w:r>
      <w:r>
        <w:t xml:space="preserve">Changes to net government </w:t>
      </w:r>
      <w:proofErr w:type="spellStart"/>
      <w:r>
        <w:t>revenue</w:t>
      </w:r>
      <w:r w:rsidRPr="00524D78">
        <w:rPr>
          <w:vertAlign w:val="superscript"/>
        </w:rPr>
        <w:t>a</w:t>
      </w:r>
      <w:proofErr w:type="spellEnd"/>
    </w:p>
    <w:tbl>
      <w:tblPr>
        <w:tblW w:w="5000" w:type="pct"/>
        <w:tblBorders>
          <w:bottom w:val="single" w:sz="4" w:space="0" w:color="B3B3B3"/>
        </w:tblBorders>
        <w:shd w:val="clear" w:color="000000" w:fill="auto"/>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3218"/>
        <w:gridCol w:w="3210"/>
        <w:gridCol w:w="3210"/>
      </w:tblGrid>
      <w:tr w:rsidR="00DB2ED9" w:rsidRPr="00030C67" w14:paraId="3D49A931" w14:textId="77777777">
        <w:trPr>
          <w:tblHeader/>
        </w:trPr>
        <w:tc>
          <w:tcPr>
            <w:tcW w:w="1669" w:type="pct"/>
            <w:tcBorders>
              <w:bottom w:val="single" w:sz="4" w:space="0" w:color="B3B3B3"/>
            </w:tcBorders>
            <w:shd w:val="clear" w:color="000000" w:fill="auto"/>
            <w:vAlign w:val="bottom"/>
          </w:tcPr>
          <w:p w14:paraId="47C0ADD6" w14:textId="77777777" w:rsidR="00DB2ED9" w:rsidRPr="00030C67" w:rsidRDefault="00DB2ED9">
            <w:pPr>
              <w:pStyle w:val="TableBodyHeading"/>
              <w:jc w:val="right"/>
            </w:pPr>
          </w:p>
        </w:tc>
        <w:tc>
          <w:tcPr>
            <w:tcW w:w="1665" w:type="pct"/>
            <w:tcBorders>
              <w:bottom w:val="single" w:sz="4" w:space="0" w:color="B3B3B3"/>
            </w:tcBorders>
            <w:shd w:val="clear" w:color="000000" w:fill="auto"/>
            <w:vAlign w:val="bottom"/>
          </w:tcPr>
          <w:p w14:paraId="45D9C45B" w14:textId="77777777" w:rsidR="00DB2ED9" w:rsidRPr="00030C67" w:rsidRDefault="00DB2ED9">
            <w:pPr>
              <w:pStyle w:val="TableBodyHeading"/>
              <w:jc w:val="right"/>
            </w:pPr>
            <w:r>
              <w:t>Change ($ m)</w:t>
            </w:r>
          </w:p>
        </w:tc>
        <w:tc>
          <w:tcPr>
            <w:tcW w:w="1665" w:type="pct"/>
            <w:tcBorders>
              <w:bottom w:val="single" w:sz="4" w:space="0" w:color="B3B3B3"/>
            </w:tcBorders>
            <w:shd w:val="clear" w:color="000000" w:fill="auto"/>
            <w:vAlign w:val="bottom"/>
          </w:tcPr>
          <w:p w14:paraId="4E4EBA30" w14:textId="77777777" w:rsidR="00DB2ED9" w:rsidRPr="00030C67" w:rsidRDefault="00DB2ED9">
            <w:pPr>
              <w:pStyle w:val="TableBodyHeading"/>
              <w:jc w:val="right"/>
            </w:pPr>
            <w:r>
              <w:t>Change (%)</w:t>
            </w:r>
          </w:p>
        </w:tc>
      </w:tr>
      <w:tr w:rsidR="00DB2ED9" w:rsidRPr="004F67FC" w14:paraId="59FB0A55" w14:textId="77777777">
        <w:tc>
          <w:tcPr>
            <w:tcW w:w="1669" w:type="pct"/>
            <w:tcBorders>
              <w:top w:val="single" w:sz="4" w:space="0" w:color="B3B3B3"/>
              <w:bottom w:val="nil"/>
            </w:tcBorders>
            <w:shd w:val="clear" w:color="000000" w:fill="F2F2F2"/>
          </w:tcPr>
          <w:p w14:paraId="4DEC89E7" w14:textId="77777777" w:rsidR="00DB2ED9" w:rsidRPr="004F67FC" w:rsidRDefault="00DB2ED9">
            <w:pPr>
              <w:pStyle w:val="TableBodyHeading"/>
              <w:spacing w:line="260" w:lineRule="atLeast"/>
              <w:rPr>
                <w:color w:val="auto"/>
              </w:rPr>
            </w:pPr>
            <w:r w:rsidRPr="004F67FC">
              <w:rPr>
                <w:color w:val="auto"/>
              </w:rPr>
              <w:t>Australian Government</w:t>
            </w:r>
          </w:p>
        </w:tc>
        <w:tc>
          <w:tcPr>
            <w:tcW w:w="1665" w:type="pct"/>
            <w:tcBorders>
              <w:top w:val="single" w:sz="4" w:space="0" w:color="B3B3B3"/>
              <w:bottom w:val="nil"/>
            </w:tcBorders>
            <w:shd w:val="clear" w:color="000000" w:fill="F2F2F2"/>
          </w:tcPr>
          <w:p w14:paraId="0673393D" w14:textId="77777777" w:rsidR="00DB2ED9" w:rsidRPr="004F67FC" w:rsidRDefault="00DB2ED9">
            <w:pPr>
              <w:pStyle w:val="TableBody"/>
              <w:spacing w:before="45" w:after="45" w:line="260" w:lineRule="atLeast"/>
              <w:ind w:left="0" w:right="108"/>
              <w:jc w:val="right"/>
              <w:rPr>
                <w:rFonts w:ascii="Arial (Body)" w:hAnsi="Arial (Body)"/>
                <w:highlight w:val="yellow"/>
              </w:rPr>
            </w:pPr>
            <w:r w:rsidRPr="004F67FC">
              <w:rPr>
                <w:rFonts w:ascii="Arial (Body)" w:hAnsi="Arial (Body)" w:cs="Arial"/>
                <w:szCs w:val="18"/>
              </w:rPr>
              <w:t>9,183</w:t>
            </w:r>
          </w:p>
        </w:tc>
        <w:tc>
          <w:tcPr>
            <w:tcW w:w="1665" w:type="pct"/>
            <w:tcBorders>
              <w:top w:val="single" w:sz="4" w:space="0" w:color="B3B3B3"/>
              <w:bottom w:val="nil"/>
            </w:tcBorders>
            <w:shd w:val="clear" w:color="000000" w:fill="F2F2F2"/>
          </w:tcPr>
          <w:p w14:paraId="0D67963B" w14:textId="77777777" w:rsidR="00DB2ED9" w:rsidRPr="004F67FC" w:rsidRDefault="00DB2ED9">
            <w:pPr>
              <w:pStyle w:val="TableBody"/>
              <w:spacing w:before="45" w:after="45" w:line="260" w:lineRule="atLeast"/>
              <w:ind w:right="108"/>
              <w:jc w:val="right"/>
              <w:rPr>
                <w:rFonts w:ascii="Arial (Body)" w:hAnsi="Arial (Body)"/>
                <w:highlight w:val="yellow"/>
              </w:rPr>
            </w:pPr>
            <w:r w:rsidRPr="004F67FC">
              <w:rPr>
                <w:rFonts w:ascii="Arial (Body)" w:hAnsi="Arial (Body)" w:cs="Arial"/>
                <w:szCs w:val="18"/>
              </w:rPr>
              <w:t>1.3</w:t>
            </w:r>
          </w:p>
        </w:tc>
      </w:tr>
      <w:tr w:rsidR="00DB2ED9" w:rsidRPr="004F67FC" w14:paraId="7E6C4FEE" w14:textId="77777777">
        <w:tc>
          <w:tcPr>
            <w:tcW w:w="1669" w:type="pct"/>
            <w:tcBorders>
              <w:top w:val="nil"/>
              <w:bottom w:val="nil"/>
            </w:tcBorders>
            <w:shd w:val="clear" w:color="000000" w:fill="auto"/>
          </w:tcPr>
          <w:p w14:paraId="0EC841DD" w14:textId="77777777" w:rsidR="00DB2ED9" w:rsidRPr="004F67FC" w:rsidRDefault="00DB2ED9">
            <w:pPr>
              <w:pStyle w:val="TableBodyHeading"/>
              <w:spacing w:line="260" w:lineRule="atLeast"/>
              <w:rPr>
                <w:color w:val="auto"/>
              </w:rPr>
            </w:pPr>
            <w:r w:rsidRPr="004F67FC">
              <w:rPr>
                <w:color w:val="auto"/>
              </w:rPr>
              <w:t>New South Wales</w:t>
            </w:r>
          </w:p>
        </w:tc>
        <w:tc>
          <w:tcPr>
            <w:tcW w:w="1665" w:type="pct"/>
            <w:tcBorders>
              <w:top w:val="nil"/>
              <w:bottom w:val="nil"/>
            </w:tcBorders>
            <w:shd w:val="clear" w:color="000000" w:fill="auto"/>
          </w:tcPr>
          <w:p w14:paraId="33936CBD" w14:textId="77777777" w:rsidR="00DB2ED9" w:rsidRPr="004F67FC" w:rsidRDefault="00DB2ED9">
            <w:pPr>
              <w:pStyle w:val="TableBody"/>
              <w:tabs>
                <w:tab w:val="left" w:pos="2250"/>
              </w:tabs>
              <w:spacing w:before="45" w:after="45" w:line="260" w:lineRule="atLeast"/>
              <w:ind w:right="108"/>
              <w:jc w:val="right"/>
              <w:rPr>
                <w:rFonts w:ascii="Arial (Body)" w:hAnsi="Arial (Body)"/>
                <w:highlight w:val="yellow"/>
              </w:rPr>
            </w:pPr>
            <w:r w:rsidRPr="004F67FC">
              <w:rPr>
                <w:rFonts w:ascii="Arial (Body)" w:hAnsi="Arial (Body)" w:cs="Arial"/>
                <w:szCs w:val="18"/>
              </w:rPr>
              <w:t>706</w:t>
            </w:r>
          </w:p>
        </w:tc>
        <w:tc>
          <w:tcPr>
            <w:tcW w:w="1665" w:type="pct"/>
            <w:tcBorders>
              <w:top w:val="nil"/>
              <w:bottom w:val="nil"/>
            </w:tcBorders>
            <w:shd w:val="clear" w:color="000000" w:fill="auto"/>
          </w:tcPr>
          <w:p w14:paraId="39BF6401" w14:textId="77777777" w:rsidR="00DB2ED9" w:rsidRPr="004F67FC" w:rsidRDefault="00DB2ED9">
            <w:pPr>
              <w:pStyle w:val="TableBody"/>
              <w:spacing w:before="45" w:after="45" w:line="260" w:lineRule="atLeast"/>
              <w:ind w:right="108"/>
              <w:jc w:val="right"/>
              <w:rPr>
                <w:rFonts w:ascii="Arial (Body)" w:hAnsi="Arial (Body)"/>
                <w:highlight w:val="yellow"/>
              </w:rPr>
            </w:pPr>
            <w:r w:rsidRPr="004F67FC">
              <w:rPr>
                <w:rFonts w:ascii="Arial (Body)" w:hAnsi="Arial (Body)" w:cs="Arial"/>
                <w:szCs w:val="18"/>
              </w:rPr>
              <w:t>0.6</w:t>
            </w:r>
          </w:p>
        </w:tc>
      </w:tr>
      <w:tr w:rsidR="00DB2ED9" w:rsidRPr="004F67FC" w14:paraId="619C6F02" w14:textId="77777777">
        <w:tc>
          <w:tcPr>
            <w:tcW w:w="1669" w:type="pct"/>
            <w:shd w:val="clear" w:color="000000" w:fill="F2F2F2"/>
          </w:tcPr>
          <w:p w14:paraId="1C4347F0" w14:textId="77777777" w:rsidR="00DB2ED9" w:rsidRPr="004F67FC" w:rsidRDefault="00DB2ED9">
            <w:pPr>
              <w:pStyle w:val="TableBodyHeading"/>
              <w:spacing w:line="260" w:lineRule="atLeast"/>
              <w:rPr>
                <w:color w:val="auto"/>
              </w:rPr>
            </w:pPr>
            <w:r w:rsidRPr="004F67FC">
              <w:rPr>
                <w:color w:val="auto"/>
              </w:rPr>
              <w:t>Victoria</w:t>
            </w:r>
          </w:p>
        </w:tc>
        <w:tc>
          <w:tcPr>
            <w:tcW w:w="1665" w:type="pct"/>
            <w:shd w:val="clear" w:color="000000" w:fill="F2F2F2"/>
          </w:tcPr>
          <w:p w14:paraId="5C2B7A02" w14:textId="77777777" w:rsidR="00DB2ED9" w:rsidRPr="004F67FC" w:rsidRDefault="00DB2ED9">
            <w:pPr>
              <w:pStyle w:val="TableBody"/>
              <w:spacing w:before="45" w:after="45" w:line="260" w:lineRule="atLeast"/>
              <w:ind w:right="108"/>
              <w:jc w:val="right"/>
              <w:rPr>
                <w:rFonts w:ascii="Arial (Body)" w:hAnsi="Arial (Body)"/>
                <w:highlight w:val="yellow"/>
              </w:rPr>
            </w:pPr>
            <w:r w:rsidRPr="004F67FC">
              <w:rPr>
                <w:rFonts w:ascii="Arial (Body)" w:hAnsi="Arial (Body)" w:cs="Arial"/>
                <w:szCs w:val="18"/>
              </w:rPr>
              <w:t>663</w:t>
            </w:r>
          </w:p>
        </w:tc>
        <w:tc>
          <w:tcPr>
            <w:tcW w:w="1665" w:type="pct"/>
            <w:shd w:val="clear" w:color="000000" w:fill="F2F2F2"/>
          </w:tcPr>
          <w:p w14:paraId="0AF484EF" w14:textId="77777777" w:rsidR="00DB2ED9" w:rsidRPr="004F67FC" w:rsidRDefault="00DB2ED9">
            <w:pPr>
              <w:pStyle w:val="TableBody"/>
              <w:spacing w:before="45" w:after="45" w:line="260" w:lineRule="atLeast"/>
              <w:ind w:right="108"/>
              <w:jc w:val="right"/>
              <w:rPr>
                <w:rFonts w:ascii="Arial (Body)" w:hAnsi="Arial (Body)"/>
                <w:highlight w:val="yellow"/>
              </w:rPr>
            </w:pPr>
            <w:r w:rsidRPr="004F67FC">
              <w:rPr>
                <w:rFonts w:ascii="Arial (Body)" w:hAnsi="Arial (Body)" w:cs="Arial"/>
                <w:szCs w:val="18"/>
              </w:rPr>
              <w:t>0.7</w:t>
            </w:r>
          </w:p>
        </w:tc>
      </w:tr>
      <w:tr w:rsidR="00DB2ED9" w:rsidRPr="004F67FC" w14:paraId="77B12ECD" w14:textId="77777777">
        <w:tc>
          <w:tcPr>
            <w:tcW w:w="1669" w:type="pct"/>
            <w:shd w:val="clear" w:color="auto" w:fill="FFFFFF" w:themeFill="background1"/>
          </w:tcPr>
          <w:p w14:paraId="495B83AE" w14:textId="77777777" w:rsidR="00DB2ED9" w:rsidRPr="004F67FC" w:rsidRDefault="00DB2ED9">
            <w:pPr>
              <w:pStyle w:val="TableBodyHeading"/>
              <w:spacing w:line="260" w:lineRule="atLeast"/>
              <w:rPr>
                <w:color w:val="auto"/>
              </w:rPr>
            </w:pPr>
            <w:r w:rsidRPr="004F67FC">
              <w:rPr>
                <w:color w:val="auto"/>
              </w:rPr>
              <w:t>Queensland</w:t>
            </w:r>
          </w:p>
        </w:tc>
        <w:tc>
          <w:tcPr>
            <w:tcW w:w="1665" w:type="pct"/>
            <w:shd w:val="clear" w:color="auto" w:fill="FFFFFF" w:themeFill="background1"/>
          </w:tcPr>
          <w:p w14:paraId="56D78FE3" w14:textId="77777777" w:rsidR="00DB2ED9" w:rsidRPr="004F67FC" w:rsidRDefault="00DB2ED9">
            <w:pPr>
              <w:pStyle w:val="TableBody"/>
              <w:spacing w:before="45" w:after="45" w:line="260" w:lineRule="atLeast"/>
              <w:ind w:right="108"/>
              <w:jc w:val="right"/>
              <w:rPr>
                <w:rFonts w:ascii="Arial (Body)" w:hAnsi="Arial (Body)"/>
                <w:highlight w:val="yellow"/>
              </w:rPr>
            </w:pPr>
            <w:r w:rsidRPr="004F67FC">
              <w:rPr>
                <w:rFonts w:ascii="Arial (Body)" w:hAnsi="Arial (Body)" w:cs="Arial"/>
                <w:szCs w:val="18"/>
              </w:rPr>
              <w:t>410</w:t>
            </w:r>
          </w:p>
        </w:tc>
        <w:tc>
          <w:tcPr>
            <w:tcW w:w="1665" w:type="pct"/>
            <w:shd w:val="clear" w:color="auto" w:fill="FFFFFF" w:themeFill="background1"/>
          </w:tcPr>
          <w:p w14:paraId="26B7E3F6" w14:textId="77777777" w:rsidR="00DB2ED9" w:rsidRPr="004F67FC" w:rsidRDefault="00DB2ED9">
            <w:pPr>
              <w:pStyle w:val="TableBody"/>
              <w:spacing w:before="45" w:after="45" w:line="260" w:lineRule="atLeast"/>
              <w:ind w:right="108"/>
              <w:jc w:val="right"/>
              <w:rPr>
                <w:rFonts w:ascii="Arial (Body)" w:hAnsi="Arial (Body)"/>
                <w:highlight w:val="yellow"/>
              </w:rPr>
            </w:pPr>
            <w:r w:rsidRPr="004F67FC">
              <w:rPr>
                <w:rFonts w:ascii="Arial (Body)" w:hAnsi="Arial (Body)" w:cs="Arial"/>
                <w:szCs w:val="18"/>
              </w:rPr>
              <w:t>0.4</w:t>
            </w:r>
          </w:p>
        </w:tc>
      </w:tr>
      <w:tr w:rsidR="00DB2ED9" w:rsidRPr="004F67FC" w14:paraId="0C45E9B4" w14:textId="77777777">
        <w:tc>
          <w:tcPr>
            <w:tcW w:w="1669" w:type="pct"/>
            <w:shd w:val="clear" w:color="000000" w:fill="F2F2F2"/>
          </w:tcPr>
          <w:p w14:paraId="635D77E4" w14:textId="77777777" w:rsidR="00DB2ED9" w:rsidRPr="004F67FC" w:rsidRDefault="00DB2ED9">
            <w:pPr>
              <w:pStyle w:val="TableBodyHeading"/>
              <w:spacing w:line="260" w:lineRule="atLeast"/>
              <w:rPr>
                <w:color w:val="auto"/>
              </w:rPr>
            </w:pPr>
            <w:r w:rsidRPr="004F67FC">
              <w:rPr>
                <w:color w:val="auto"/>
              </w:rPr>
              <w:t>South Australia</w:t>
            </w:r>
          </w:p>
        </w:tc>
        <w:tc>
          <w:tcPr>
            <w:tcW w:w="1665" w:type="pct"/>
            <w:shd w:val="clear" w:color="000000" w:fill="F2F2F2"/>
          </w:tcPr>
          <w:p w14:paraId="13CD44C4" w14:textId="77777777" w:rsidR="00DB2ED9" w:rsidRPr="004F67FC" w:rsidRDefault="00DB2ED9">
            <w:pPr>
              <w:pStyle w:val="TableBody"/>
              <w:spacing w:before="45" w:after="45" w:line="260" w:lineRule="atLeast"/>
              <w:ind w:right="108"/>
              <w:jc w:val="right"/>
              <w:rPr>
                <w:rFonts w:ascii="Arial (Body)" w:hAnsi="Arial (Body)"/>
                <w:highlight w:val="yellow"/>
              </w:rPr>
            </w:pPr>
            <w:r w:rsidRPr="004F67FC">
              <w:rPr>
                <w:rFonts w:ascii="Arial (Body)" w:hAnsi="Arial (Body)" w:cs="Arial"/>
                <w:szCs w:val="18"/>
              </w:rPr>
              <w:t>150</w:t>
            </w:r>
          </w:p>
        </w:tc>
        <w:tc>
          <w:tcPr>
            <w:tcW w:w="1665" w:type="pct"/>
            <w:shd w:val="clear" w:color="000000" w:fill="F2F2F2"/>
          </w:tcPr>
          <w:p w14:paraId="44D3CC00" w14:textId="77777777" w:rsidR="00DB2ED9" w:rsidRPr="004F67FC" w:rsidRDefault="00DB2ED9">
            <w:pPr>
              <w:pStyle w:val="TableBody"/>
              <w:spacing w:before="45" w:after="45" w:line="260" w:lineRule="atLeast"/>
              <w:ind w:right="108"/>
              <w:jc w:val="right"/>
              <w:rPr>
                <w:rFonts w:ascii="Arial (Body)" w:hAnsi="Arial (Body)"/>
                <w:highlight w:val="yellow"/>
              </w:rPr>
            </w:pPr>
            <w:r w:rsidRPr="004F67FC">
              <w:rPr>
                <w:rFonts w:ascii="Arial (Body)" w:hAnsi="Arial (Body)" w:cs="Arial"/>
                <w:szCs w:val="18"/>
              </w:rPr>
              <w:t>0.5</w:t>
            </w:r>
          </w:p>
        </w:tc>
      </w:tr>
      <w:tr w:rsidR="00DB2ED9" w:rsidRPr="004F67FC" w14:paraId="67F61A64" w14:textId="77777777">
        <w:tc>
          <w:tcPr>
            <w:tcW w:w="1669" w:type="pct"/>
            <w:shd w:val="clear" w:color="auto" w:fill="FFFFFF" w:themeFill="background1"/>
          </w:tcPr>
          <w:p w14:paraId="71235FBA" w14:textId="77777777" w:rsidR="00DB2ED9" w:rsidRPr="004F67FC" w:rsidRDefault="00DB2ED9">
            <w:pPr>
              <w:pStyle w:val="TableBodyHeading"/>
              <w:spacing w:line="260" w:lineRule="atLeast"/>
              <w:rPr>
                <w:color w:val="auto"/>
              </w:rPr>
            </w:pPr>
            <w:r w:rsidRPr="004F67FC">
              <w:rPr>
                <w:color w:val="auto"/>
              </w:rPr>
              <w:t>Western Australia</w:t>
            </w:r>
          </w:p>
        </w:tc>
        <w:tc>
          <w:tcPr>
            <w:tcW w:w="1665" w:type="pct"/>
            <w:shd w:val="clear" w:color="auto" w:fill="FFFFFF" w:themeFill="background1"/>
          </w:tcPr>
          <w:p w14:paraId="751C4B64" w14:textId="77777777" w:rsidR="00DB2ED9" w:rsidRPr="004F67FC" w:rsidRDefault="00DB2ED9">
            <w:pPr>
              <w:pStyle w:val="TableBody"/>
              <w:spacing w:before="45" w:after="45" w:line="260" w:lineRule="atLeast"/>
              <w:ind w:right="108"/>
              <w:jc w:val="right"/>
              <w:rPr>
                <w:rFonts w:ascii="Arial (Body)" w:hAnsi="Arial (Body)"/>
                <w:highlight w:val="yellow"/>
              </w:rPr>
            </w:pPr>
            <w:r w:rsidRPr="004F67FC">
              <w:rPr>
                <w:rFonts w:ascii="Arial (Body)" w:hAnsi="Arial (Body)" w:cs="Arial"/>
                <w:szCs w:val="18"/>
              </w:rPr>
              <w:t>303</w:t>
            </w:r>
          </w:p>
        </w:tc>
        <w:tc>
          <w:tcPr>
            <w:tcW w:w="1665" w:type="pct"/>
            <w:shd w:val="clear" w:color="auto" w:fill="FFFFFF" w:themeFill="background1"/>
          </w:tcPr>
          <w:p w14:paraId="59854006" w14:textId="77777777" w:rsidR="00DB2ED9" w:rsidRPr="004F67FC" w:rsidRDefault="00DB2ED9">
            <w:pPr>
              <w:pStyle w:val="TableBody"/>
              <w:spacing w:before="45" w:after="45" w:line="260" w:lineRule="atLeast"/>
              <w:ind w:right="108"/>
              <w:jc w:val="right"/>
              <w:rPr>
                <w:rFonts w:ascii="Arial (Body)" w:hAnsi="Arial (Body)"/>
                <w:highlight w:val="yellow"/>
              </w:rPr>
            </w:pPr>
            <w:r w:rsidRPr="004F67FC">
              <w:rPr>
                <w:rFonts w:ascii="Arial (Body)" w:hAnsi="Arial (Body)" w:cs="Arial"/>
                <w:szCs w:val="18"/>
              </w:rPr>
              <w:t>0.6</w:t>
            </w:r>
          </w:p>
        </w:tc>
      </w:tr>
      <w:tr w:rsidR="00DB2ED9" w:rsidRPr="004F67FC" w14:paraId="127477AB" w14:textId="77777777">
        <w:tc>
          <w:tcPr>
            <w:tcW w:w="1669" w:type="pct"/>
            <w:shd w:val="clear" w:color="000000" w:fill="F2F2F2"/>
          </w:tcPr>
          <w:p w14:paraId="675F63F7" w14:textId="77777777" w:rsidR="00DB2ED9" w:rsidRPr="004F67FC" w:rsidRDefault="00DB2ED9">
            <w:pPr>
              <w:pStyle w:val="TableBodyHeading"/>
              <w:spacing w:line="260" w:lineRule="atLeast"/>
              <w:rPr>
                <w:color w:val="auto"/>
              </w:rPr>
            </w:pPr>
            <w:r w:rsidRPr="004F67FC">
              <w:rPr>
                <w:color w:val="auto"/>
              </w:rPr>
              <w:t>Tasmania</w:t>
            </w:r>
          </w:p>
        </w:tc>
        <w:tc>
          <w:tcPr>
            <w:tcW w:w="1665" w:type="pct"/>
            <w:shd w:val="clear" w:color="000000" w:fill="F2F2F2"/>
          </w:tcPr>
          <w:p w14:paraId="518ADB50" w14:textId="77777777" w:rsidR="00DB2ED9" w:rsidRPr="004F67FC" w:rsidRDefault="00DB2ED9">
            <w:pPr>
              <w:pStyle w:val="TableBody"/>
              <w:spacing w:before="45" w:after="45" w:line="260" w:lineRule="atLeast"/>
              <w:ind w:right="108"/>
              <w:jc w:val="right"/>
              <w:rPr>
                <w:rFonts w:ascii="Arial (Body)" w:hAnsi="Arial (Body)"/>
                <w:highlight w:val="yellow"/>
              </w:rPr>
            </w:pPr>
            <w:r w:rsidRPr="004F67FC">
              <w:rPr>
                <w:rFonts w:ascii="Arial (Body)" w:hAnsi="Arial (Body)" w:cs="Arial"/>
                <w:szCs w:val="18"/>
              </w:rPr>
              <w:t>46</w:t>
            </w:r>
          </w:p>
        </w:tc>
        <w:tc>
          <w:tcPr>
            <w:tcW w:w="1665" w:type="pct"/>
            <w:shd w:val="clear" w:color="000000" w:fill="F2F2F2"/>
          </w:tcPr>
          <w:p w14:paraId="570C6B12" w14:textId="77777777" w:rsidR="00DB2ED9" w:rsidRPr="004F67FC" w:rsidRDefault="00DB2ED9">
            <w:pPr>
              <w:pStyle w:val="TableBody"/>
              <w:spacing w:before="45" w:after="45" w:line="260" w:lineRule="atLeast"/>
              <w:ind w:right="108"/>
              <w:jc w:val="right"/>
              <w:rPr>
                <w:rFonts w:ascii="Arial (Body)" w:hAnsi="Arial (Body)"/>
                <w:highlight w:val="yellow"/>
              </w:rPr>
            </w:pPr>
            <w:r w:rsidRPr="004F67FC">
              <w:rPr>
                <w:rFonts w:ascii="Arial (Body)" w:hAnsi="Arial (Body)" w:cs="Arial"/>
                <w:szCs w:val="18"/>
              </w:rPr>
              <w:t>0.5</w:t>
            </w:r>
          </w:p>
        </w:tc>
      </w:tr>
      <w:tr w:rsidR="00DB2ED9" w:rsidRPr="004F67FC" w14:paraId="7C3DF867" w14:textId="77777777">
        <w:tc>
          <w:tcPr>
            <w:tcW w:w="1669" w:type="pct"/>
            <w:shd w:val="clear" w:color="auto" w:fill="FFFFFF" w:themeFill="background1"/>
          </w:tcPr>
          <w:p w14:paraId="191FA4B4" w14:textId="77777777" w:rsidR="00DB2ED9" w:rsidRPr="004F67FC" w:rsidRDefault="00DB2ED9">
            <w:pPr>
              <w:pStyle w:val="TableBodyHeading"/>
              <w:spacing w:line="260" w:lineRule="atLeast"/>
              <w:rPr>
                <w:color w:val="auto"/>
              </w:rPr>
            </w:pPr>
            <w:r w:rsidRPr="004F67FC">
              <w:rPr>
                <w:color w:val="auto"/>
              </w:rPr>
              <w:t>Northern Territory</w:t>
            </w:r>
          </w:p>
        </w:tc>
        <w:tc>
          <w:tcPr>
            <w:tcW w:w="1665" w:type="pct"/>
            <w:shd w:val="clear" w:color="auto" w:fill="FFFFFF" w:themeFill="background1"/>
          </w:tcPr>
          <w:p w14:paraId="6DFE4F1A" w14:textId="77777777" w:rsidR="00DB2ED9" w:rsidRPr="004F67FC" w:rsidRDefault="00DB2ED9">
            <w:pPr>
              <w:pStyle w:val="TableBody"/>
              <w:spacing w:before="45" w:after="45" w:line="260" w:lineRule="atLeast"/>
              <w:ind w:right="108"/>
              <w:jc w:val="right"/>
              <w:rPr>
                <w:rFonts w:ascii="Arial (Body)" w:hAnsi="Arial (Body)"/>
                <w:highlight w:val="yellow"/>
              </w:rPr>
            </w:pPr>
            <w:r w:rsidRPr="004F67FC">
              <w:rPr>
                <w:rFonts w:ascii="Arial (Body)" w:hAnsi="Arial (Body)" w:cs="Arial"/>
                <w:szCs w:val="18"/>
              </w:rPr>
              <w:t>25</w:t>
            </w:r>
          </w:p>
        </w:tc>
        <w:tc>
          <w:tcPr>
            <w:tcW w:w="1665" w:type="pct"/>
            <w:shd w:val="clear" w:color="auto" w:fill="FFFFFF" w:themeFill="background1"/>
          </w:tcPr>
          <w:p w14:paraId="502D7DBF" w14:textId="77777777" w:rsidR="00DB2ED9" w:rsidRPr="004F67FC" w:rsidRDefault="00DB2ED9">
            <w:pPr>
              <w:pStyle w:val="TableBody"/>
              <w:spacing w:before="45" w:after="45" w:line="260" w:lineRule="atLeast"/>
              <w:ind w:right="108"/>
              <w:jc w:val="right"/>
              <w:rPr>
                <w:rFonts w:ascii="Arial (Body)" w:hAnsi="Arial (Body)"/>
                <w:highlight w:val="yellow"/>
              </w:rPr>
            </w:pPr>
            <w:r w:rsidRPr="004F67FC">
              <w:rPr>
                <w:rFonts w:ascii="Arial (Body)" w:hAnsi="Arial (Body)" w:cs="Arial"/>
                <w:szCs w:val="18"/>
              </w:rPr>
              <w:t>0.3</w:t>
            </w:r>
          </w:p>
        </w:tc>
      </w:tr>
      <w:tr w:rsidR="00DB2ED9" w:rsidRPr="004F67FC" w14:paraId="4FA80F00" w14:textId="77777777">
        <w:tc>
          <w:tcPr>
            <w:tcW w:w="1669" w:type="pct"/>
            <w:shd w:val="clear" w:color="000000" w:fill="F2F2F2"/>
          </w:tcPr>
          <w:p w14:paraId="706F7676" w14:textId="77777777" w:rsidR="00DB2ED9" w:rsidRPr="004F67FC" w:rsidRDefault="00DB2ED9">
            <w:pPr>
              <w:pStyle w:val="TableBodyHeading"/>
              <w:spacing w:line="260" w:lineRule="atLeast"/>
              <w:rPr>
                <w:color w:val="auto"/>
              </w:rPr>
            </w:pPr>
            <w:r w:rsidRPr="004F67FC">
              <w:rPr>
                <w:color w:val="auto"/>
              </w:rPr>
              <w:t>Australian Capital Territory</w:t>
            </w:r>
          </w:p>
        </w:tc>
        <w:tc>
          <w:tcPr>
            <w:tcW w:w="1665" w:type="pct"/>
            <w:shd w:val="clear" w:color="000000" w:fill="F2F2F2"/>
          </w:tcPr>
          <w:p w14:paraId="7F206E32" w14:textId="77777777" w:rsidR="00DB2ED9" w:rsidRPr="004F67FC" w:rsidRDefault="00DB2ED9">
            <w:pPr>
              <w:pStyle w:val="TableBody"/>
              <w:spacing w:before="45" w:after="45" w:line="260" w:lineRule="atLeast"/>
              <w:ind w:right="108"/>
              <w:jc w:val="right"/>
              <w:rPr>
                <w:rFonts w:ascii="Arial (Body)" w:hAnsi="Arial (Body)"/>
                <w:highlight w:val="yellow"/>
              </w:rPr>
            </w:pPr>
            <w:r w:rsidRPr="004F67FC">
              <w:rPr>
                <w:rFonts w:ascii="Arial (Body)" w:hAnsi="Arial (Body)" w:cs="Arial"/>
                <w:szCs w:val="18"/>
              </w:rPr>
              <w:t>47</w:t>
            </w:r>
          </w:p>
        </w:tc>
        <w:tc>
          <w:tcPr>
            <w:tcW w:w="1665" w:type="pct"/>
            <w:shd w:val="clear" w:color="000000" w:fill="F2F2F2"/>
          </w:tcPr>
          <w:p w14:paraId="1A307292" w14:textId="77777777" w:rsidR="00DB2ED9" w:rsidRPr="004F67FC" w:rsidRDefault="00DB2ED9">
            <w:pPr>
              <w:pStyle w:val="TableBody"/>
              <w:spacing w:before="45" w:after="45" w:line="260" w:lineRule="atLeast"/>
              <w:ind w:right="108"/>
              <w:jc w:val="right"/>
              <w:rPr>
                <w:rFonts w:ascii="Arial (Body)" w:hAnsi="Arial (Body)"/>
                <w:highlight w:val="yellow"/>
              </w:rPr>
            </w:pPr>
            <w:r w:rsidRPr="004F67FC">
              <w:rPr>
                <w:rFonts w:ascii="Arial (Body)" w:hAnsi="Arial (Body)" w:cs="Arial"/>
                <w:szCs w:val="18"/>
              </w:rPr>
              <w:t>0.6</w:t>
            </w:r>
          </w:p>
        </w:tc>
      </w:tr>
    </w:tbl>
    <w:p w14:paraId="7D54432B" w14:textId="70226C4F" w:rsidR="00DB2ED9" w:rsidRDefault="00DB2ED9">
      <w:pPr>
        <w:pStyle w:val="Note"/>
      </w:pPr>
      <w:r w:rsidRPr="00C36914">
        <w:rPr>
          <w:b/>
          <w:bCs/>
        </w:rPr>
        <w:t>a.</w:t>
      </w:r>
      <w:r w:rsidRPr="00C36914">
        <w:t xml:space="preserve"> </w:t>
      </w:r>
      <w:r w:rsidR="00E73E64" w:rsidRPr="00E73E64">
        <w:t>For upper-bound estimates. Values may not sum to totals reported elsewhere due to rounding.</w:t>
      </w:r>
    </w:p>
    <w:p w14:paraId="24A1D676" w14:textId="77777777" w:rsidR="00DB2ED9" w:rsidRPr="004938EB" w:rsidRDefault="00DB2ED9">
      <w:pPr>
        <w:pStyle w:val="BodyText"/>
      </w:pPr>
      <w:r>
        <w:t xml:space="preserve">It should be noted that </w:t>
      </w:r>
      <w:r w:rsidRPr="004938EB">
        <w:t>these results do not account for the expense of implementing the reform. This includes the fixed cost of rolling out the reform, as well as any ongoing administrative</w:t>
      </w:r>
      <w:r>
        <w:t xml:space="preserve"> or </w:t>
      </w:r>
      <w:r w:rsidRPr="004938EB">
        <w:t xml:space="preserve">operational costs. This is a costing exercise separate to the one we have been asked to undertake and will require significantly more detail about the intended implementation pathway of each reform than we have been provided. </w:t>
      </w:r>
    </w:p>
    <w:p w14:paraId="6FAD40DC" w14:textId="77777777" w:rsidR="00DB2ED9" w:rsidRDefault="00DB2ED9">
      <w:pPr>
        <w:pStyle w:val="Heading2-nonumber"/>
      </w:pPr>
      <w:bookmarkStart w:id="69" w:name="_Toc181107367"/>
      <w:bookmarkStart w:id="70" w:name="_Toc181339543"/>
      <w:bookmarkStart w:id="71" w:name="_Toc181360252"/>
      <w:r>
        <w:t>A closer look at the reform areas</w:t>
      </w:r>
      <w:bookmarkEnd w:id="69"/>
      <w:bookmarkEnd w:id="70"/>
      <w:bookmarkEnd w:id="71"/>
    </w:p>
    <w:p w14:paraId="649E2983" w14:textId="77777777" w:rsidR="00DB2ED9" w:rsidRDefault="00DB2ED9">
      <w:pPr>
        <w:pStyle w:val="Heading3"/>
      </w:pPr>
      <w:bookmarkStart w:id="72" w:name="_Toc181174223"/>
      <w:bookmarkStart w:id="73" w:name="_Toc181360253"/>
      <w:r>
        <w:t>Dynamic business environment</w:t>
      </w:r>
      <w:bookmarkEnd w:id="72"/>
      <w:bookmarkEnd w:id="73"/>
    </w:p>
    <w:p w14:paraId="22AB6E84" w14:textId="77777777" w:rsidR="00DB2ED9" w:rsidRPr="00B211AE" w:rsidRDefault="00DB2ED9">
      <w:pPr>
        <w:pStyle w:val="BodyText"/>
      </w:pPr>
      <w:r w:rsidRPr="00B211AE">
        <w:t xml:space="preserve">We were asked to consider nine reforms for enhancing business dynamism (tables 1 and 6). A dynamic business environment is important because it means that the economy can respond and adapt to changing economic circumstances. As the Treasury explained: </w:t>
      </w:r>
    </w:p>
    <w:p w14:paraId="25BB9552" w14:textId="5AE9B105" w:rsidR="00DB2ED9" w:rsidRDefault="00DB2ED9">
      <w:pPr>
        <w:pStyle w:val="Quote"/>
      </w:pPr>
      <w:r w:rsidRPr="005E6A21">
        <w:t>Enhancing business dynamism is key to restoring Australia’s productivity. A more dynamic business environment directly supports competition, through encouraging innovation, information sharing, diffusing technological advancement, and greater choice for consumers</w:t>
      </w:r>
      <w:r>
        <w:t xml:space="preserve">. </w:t>
      </w:r>
      <w:r w:rsidRPr="00712631">
        <w:rPr>
          <w:rFonts w:ascii="Arial" w:hAnsi="Arial" w:cs="Arial"/>
        </w:rPr>
        <w:t>(Treasury 2024c, p. 34)</w:t>
      </w:r>
    </w:p>
    <w:p w14:paraId="285C3CB0" w14:textId="3CE43A9F" w:rsidR="00DB2ED9" w:rsidRPr="005E6A21" w:rsidRDefault="00DB2ED9">
      <w:pPr>
        <w:pStyle w:val="BodyText"/>
      </w:pPr>
      <w:r>
        <w:t xml:space="preserve">The role for government in this area is to ensure that the regulatory environment does not unnecessarily impede </w:t>
      </w:r>
      <w:r w:rsidR="00677CD6">
        <w:t>–</w:t>
      </w:r>
      <w:r>
        <w:t xml:space="preserve"> and, where possible, promotes </w:t>
      </w:r>
      <w:r w:rsidR="00677CD6">
        <w:t>–</w:t>
      </w:r>
      <w:r>
        <w:t xml:space="preserve"> dynamism.</w:t>
      </w:r>
    </w:p>
    <w:p w14:paraId="7590F3DE" w14:textId="77777777" w:rsidR="00DB2ED9" w:rsidRDefault="00DB2ED9">
      <w:pPr>
        <w:pStyle w:val="FigureTableHeading"/>
      </w:pPr>
      <w:r>
        <w:lastRenderedPageBreak/>
        <w:t>Table 6</w:t>
      </w:r>
      <w:r>
        <w:rPr>
          <w:noProof/>
        </w:rPr>
        <w:t xml:space="preserve"> – </w:t>
      </w:r>
      <w:r>
        <w:t>Summary of dynamic business environment reforms</w:t>
      </w:r>
    </w:p>
    <w:tbl>
      <w:tblPr>
        <w:tblW w:w="9639" w:type="dxa"/>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426"/>
        <w:gridCol w:w="1559"/>
        <w:gridCol w:w="3685"/>
        <w:gridCol w:w="3969"/>
      </w:tblGrid>
      <w:tr w:rsidR="00DB2ED9" w:rsidRPr="001D1F30" w14:paraId="14F80B9E" w14:textId="77777777">
        <w:trPr>
          <w:tblHeader/>
        </w:trPr>
        <w:tc>
          <w:tcPr>
            <w:tcW w:w="426" w:type="dxa"/>
            <w:tcBorders>
              <w:bottom w:val="single" w:sz="4" w:space="0" w:color="B3B3B3"/>
            </w:tcBorders>
            <w:shd w:val="clear" w:color="auto" w:fill="auto"/>
            <w:vAlign w:val="bottom"/>
          </w:tcPr>
          <w:p w14:paraId="54E873DF" w14:textId="77777777" w:rsidR="00DB2ED9" w:rsidRPr="001D1F30" w:rsidRDefault="00DB2ED9">
            <w:pPr>
              <w:pStyle w:val="TableBodyHeading"/>
            </w:pPr>
            <w:r w:rsidRPr="001D1F30">
              <w:t>No.</w:t>
            </w:r>
          </w:p>
        </w:tc>
        <w:tc>
          <w:tcPr>
            <w:tcW w:w="1559" w:type="dxa"/>
            <w:tcBorders>
              <w:bottom w:val="single" w:sz="4" w:space="0" w:color="B3B3B3"/>
            </w:tcBorders>
            <w:shd w:val="clear" w:color="auto" w:fill="auto"/>
          </w:tcPr>
          <w:p w14:paraId="74B22553" w14:textId="77777777" w:rsidR="00DB2ED9" w:rsidRPr="001D1F30" w:rsidRDefault="00DB2ED9">
            <w:pPr>
              <w:pStyle w:val="TableBodyHeading"/>
            </w:pPr>
            <w:r w:rsidRPr="001D1F30">
              <w:t>Short name</w:t>
            </w:r>
          </w:p>
        </w:tc>
        <w:tc>
          <w:tcPr>
            <w:tcW w:w="3685" w:type="dxa"/>
            <w:tcBorders>
              <w:bottom w:val="single" w:sz="4" w:space="0" w:color="B3B3B3"/>
            </w:tcBorders>
            <w:shd w:val="clear" w:color="auto" w:fill="auto"/>
            <w:vAlign w:val="bottom"/>
          </w:tcPr>
          <w:p w14:paraId="714ECFE5" w14:textId="77777777" w:rsidR="00DB2ED9" w:rsidRPr="001D1F30" w:rsidRDefault="00DB2ED9">
            <w:pPr>
              <w:pStyle w:val="TableBodyHeading"/>
            </w:pPr>
            <w:r w:rsidRPr="001D1F30">
              <w:t>Key direct effects</w:t>
            </w:r>
          </w:p>
        </w:tc>
        <w:tc>
          <w:tcPr>
            <w:tcW w:w="3969" w:type="dxa"/>
            <w:tcBorders>
              <w:bottom w:val="single" w:sz="4" w:space="0" w:color="B3B3B3"/>
            </w:tcBorders>
            <w:shd w:val="clear" w:color="auto" w:fill="auto"/>
            <w:vAlign w:val="bottom"/>
          </w:tcPr>
          <w:p w14:paraId="778A7003" w14:textId="77777777" w:rsidR="00DB2ED9" w:rsidRPr="001D1F30" w:rsidRDefault="00DB2ED9">
            <w:pPr>
              <w:pStyle w:val="TableBodyHeading"/>
            </w:pPr>
            <w:r w:rsidRPr="001D1F30">
              <w:t>Key flow</w:t>
            </w:r>
            <w:r>
              <w:noBreakHyphen/>
            </w:r>
            <w:r w:rsidRPr="001D1F30">
              <w:t>on effects</w:t>
            </w:r>
          </w:p>
        </w:tc>
      </w:tr>
      <w:tr w:rsidR="00DB2ED9" w:rsidRPr="00030C67" w14:paraId="10107F97" w14:textId="77777777">
        <w:tc>
          <w:tcPr>
            <w:tcW w:w="426" w:type="dxa"/>
            <w:tcBorders>
              <w:top w:val="nil"/>
              <w:bottom w:val="nil"/>
            </w:tcBorders>
            <w:shd w:val="clear" w:color="auto" w:fill="F2F2F2" w:themeFill="background1" w:themeFillShade="F2"/>
          </w:tcPr>
          <w:p w14:paraId="0AE26EDD" w14:textId="77777777" w:rsidR="00DB2ED9" w:rsidRPr="00611CB4" w:rsidRDefault="00DB2ED9">
            <w:pPr>
              <w:pStyle w:val="TableBodyHeading"/>
              <w:rPr>
                <w:color w:val="auto"/>
              </w:rPr>
            </w:pPr>
            <w:r>
              <w:t>B1</w:t>
            </w:r>
          </w:p>
        </w:tc>
        <w:tc>
          <w:tcPr>
            <w:tcW w:w="1559" w:type="dxa"/>
            <w:tcBorders>
              <w:top w:val="nil"/>
              <w:bottom w:val="nil"/>
            </w:tcBorders>
            <w:shd w:val="clear" w:color="auto" w:fill="F2F2F2" w:themeFill="background1" w:themeFillShade="F2"/>
          </w:tcPr>
          <w:p w14:paraId="2BC3CC2F" w14:textId="77777777" w:rsidR="00DB2ED9" w:rsidRPr="00611CB4" w:rsidRDefault="00DB2ED9">
            <w:pPr>
              <w:pStyle w:val="TableBody"/>
            </w:pPr>
            <w:r>
              <w:t xml:space="preserve">Overseas standards </w:t>
            </w:r>
          </w:p>
        </w:tc>
        <w:tc>
          <w:tcPr>
            <w:tcW w:w="3685" w:type="dxa"/>
            <w:tcBorders>
              <w:top w:val="nil"/>
              <w:bottom w:val="nil"/>
            </w:tcBorders>
            <w:shd w:val="clear" w:color="auto" w:fill="F2F2F2" w:themeFill="background1" w:themeFillShade="F2"/>
          </w:tcPr>
          <w:p w14:paraId="117CEDE2" w14:textId="77777777" w:rsidR="00DB2ED9" w:rsidRPr="00813A83" w:rsidRDefault="00DB2ED9">
            <w:pPr>
              <w:pStyle w:val="TableBody"/>
              <w:rPr>
                <w:b/>
                <w:bCs/>
              </w:rPr>
            </w:pPr>
            <w:r w:rsidRPr="00813A83">
              <w:rPr>
                <w:b/>
                <w:bCs/>
              </w:rPr>
              <w:t>Estimated effects:</w:t>
            </w:r>
          </w:p>
          <w:p w14:paraId="00BEC388" w14:textId="77777777" w:rsidR="00DB2ED9" w:rsidRDefault="00DB2ED9">
            <w:pPr>
              <w:pStyle w:val="TableBody"/>
            </w:pPr>
            <w:r>
              <w:t>Lower compliance costs for businesses ($500m per annum)</w:t>
            </w:r>
          </w:p>
          <w:p w14:paraId="315FF660" w14:textId="77777777" w:rsidR="00DB2ED9" w:rsidRDefault="00DB2ED9">
            <w:pPr>
              <w:pStyle w:val="TableBody"/>
              <w:rPr>
                <w:b/>
                <w:bCs/>
              </w:rPr>
            </w:pPr>
            <w:r>
              <w:rPr>
                <w:b/>
                <w:bCs/>
              </w:rPr>
              <w:t xml:space="preserve">Other key </w:t>
            </w:r>
            <w:r w:rsidRPr="00813A83">
              <w:rPr>
                <w:b/>
                <w:bCs/>
              </w:rPr>
              <w:t>effects:</w:t>
            </w:r>
          </w:p>
          <w:p w14:paraId="497B7CAB" w14:textId="77777777" w:rsidR="00DB2ED9" w:rsidRPr="003D2F30" w:rsidRDefault="00DB2ED9">
            <w:pPr>
              <w:pStyle w:val="TableBody"/>
            </w:pPr>
            <w:r>
              <w:t>Fewer out</w:t>
            </w:r>
            <w:r>
              <w:noBreakHyphen/>
              <w:t>of</w:t>
            </w:r>
            <w:r>
              <w:noBreakHyphen/>
              <w:t>date standards</w:t>
            </w:r>
            <w:r>
              <w:br/>
              <w:t>Lower admin costs for regulatory agencies</w:t>
            </w:r>
            <w:r>
              <w:br/>
              <w:t>Increased product variety (some markets)</w:t>
            </w:r>
          </w:p>
        </w:tc>
        <w:tc>
          <w:tcPr>
            <w:tcW w:w="3969" w:type="dxa"/>
            <w:tcBorders>
              <w:top w:val="nil"/>
              <w:bottom w:val="nil"/>
            </w:tcBorders>
            <w:shd w:val="clear" w:color="auto" w:fill="F2F2F2" w:themeFill="background1" w:themeFillShade="F2"/>
          </w:tcPr>
          <w:p w14:paraId="216A8F84" w14:textId="77777777" w:rsidR="00DB2ED9" w:rsidRPr="003D2F30" w:rsidRDefault="00DB2ED9">
            <w:pPr>
              <w:pStyle w:val="TableBody"/>
            </w:pPr>
            <w:r>
              <w:t>Flow</w:t>
            </w:r>
            <w:r>
              <w:noBreakHyphen/>
              <w:t>on effects were not estimated</w:t>
            </w:r>
            <w:r w:rsidRPr="003D2F30">
              <w:t xml:space="preserve"> </w:t>
            </w:r>
          </w:p>
        </w:tc>
      </w:tr>
      <w:tr w:rsidR="00DB2ED9" w:rsidRPr="00030C67" w14:paraId="6A8D7941" w14:textId="77777777">
        <w:tc>
          <w:tcPr>
            <w:tcW w:w="426" w:type="dxa"/>
            <w:tcBorders>
              <w:top w:val="nil"/>
              <w:bottom w:val="nil"/>
            </w:tcBorders>
            <w:shd w:val="clear" w:color="auto" w:fill="auto"/>
          </w:tcPr>
          <w:p w14:paraId="63FB8604" w14:textId="77777777" w:rsidR="00DB2ED9" w:rsidRPr="00611CB4" w:rsidRDefault="00DB2ED9">
            <w:pPr>
              <w:pStyle w:val="TableBodyHeading"/>
              <w:rPr>
                <w:color w:val="auto"/>
              </w:rPr>
            </w:pPr>
            <w:r>
              <w:t>B2</w:t>
            </w:r>
          </w:p>
        </w:tc>
        <w:tc>
          <w:tcPr>
            <w:tcW w:w="1559" w:type="dxa"/>
            <w:tcBorders>
              <w:top w:val="nil"/>
              <w:bottom w:val="nil"/>
            </w:tcBorders>
            <w:shd w:val="clear" w:color="auto" w:fill="auto"/>
          </w:tcPr>
          <w:p w14:paraId="43513034" w14:textId="77777777" w:rsidR="00DB2ED9" w:rsidRPr="00611CB4" w:rsidRDefault="00DB2ED9">
            <w:pPr>
              <w:pStyle w:val="TableBody"/>
            </w:pPr>
            <w:r>
              <w:t>Commercial planning and zoning</w:t>
            </w:r>
          </w:p>
        </w:tc>
        <w:tc>
          <w:tcPr>
            <w:tcW w:w="3685" w:type="dxa"/>
            <w:tcBorders>
              <w:top w:val="nil"/>
              <w:bottom w:val="nil"/>
            </w:tcBorders>
            <w:shd w:val="clear" w:color="auto" w:fill="auto"/>
          </w:tcPr>
          <w:p w14:paraId="1CB3122F" w14:textId="77777777" w:rsidR="00DB2ED9" w:rsidRPr="00813A83" w:rsidRDefault="00DB2ED9">
            <w:pPr>
              <w:pStyle w:val="TableBody"/>
              <w:rPr>
                <w:b/>
                <w:bCs/>
              </w:rPr>
            </w:pPr>
            <w:r w:rsidRPr="00813A83">
              <w:rPr>
                <w:b/>
                <w:bCs/>
              </w:rPr>
              <w:t>Estimated effects:</w:t>
            </w:r>
          </w:p>
          <w:p w14:paraId="1CCD6001" w14:textId="18C37705" w:rsidR="00DB2ED9" w:rsidRPr="00791733" w:rsidRDefault="00DB2ED9">
            <w:pPr>
              <w:pStyle w:val="TableBody"/>
              <w:rPr>
                <w:spacing w:val="-2"/>
              </w:rPr>
            </w:pPr>
            <w:r w:rsidRPr="00791733">
              <w:rPr>
                <w:spacing w:val="-2"/>
              </w:rPr>
              <w:t xml:space="preserve">Increased competition in downstream markets (modelled as an illustrative </w:t>
            </w:r>
            <w:r w:rsidR="00302C03" w:rsidRPr="00791733">
              <w:rPr>
                <w:spacing w:val="-2"/>
              </w:rPr>
              <w:t>0.1</w:t>
            </w:r>
            <w:r w:rsidRPr="00791733">
              <w:rPr>
                <w:spacing w:val="-2"/>
              </w:rPr>
              <w:t xml:space="preserve">% increase in </w:t>
            </w:r>
            <w:r w:rsidR="00791733" w:rsidRPr="00791733">
              <w:rPr>
                <w:spacing w:val="-2"/>
              </w:rPr>
              <w:t xml:space="preserve">capital </w:t>
            </w:r>
            <w:r w:rsidRPr="00791733">
              <w:rPr>
                <w:spacing w:val="-2"/>
              </w:rPr>
              <w:t>productivity of retail markets)</w:t>
            </w:r>
          </w:p>
          <w:p w14:paraId="0DE8D26B" w14:textId="77777777" w:rsidR="00DB2ED9" w:rsidRDefault="00DB2ED9">
            <w:pPr>
              <w:pStyle w:val="TableBody"/>
              <w:rPr>
                <w:b/>
                <w:bCs/>
              </w:rPr>
            </w:pPr>
            <w:r>
              <w:rPr>
                <w:b/>
                <w:bCs/>
              </w:rPr>
              <w:t xml:space="preserve">Other key </w:t>
            </w:r>
            <w:r w:rsidRPr="00813A83">
              <w:rPr>
                <w:b/>
                <w:bCs/>
              </w:rPr>
              <w:t>effects:</w:t>
            </w:r>
          </w:p>
          <w:p w14:paraId="37DD145C" w14:textId="77777777" w:rsidR="00DB2ED9" w:rsidRPr="003D2F30" w:rsidRDefault="00DB2ED9">
            <w:pPr>
              <w:pStyle w:val="TableBody"/>
            </w:pPr>
            <w:r>
              <w:t>Higher land use values</w:t>
            </w:r>
          </w:p>
        </w:tc>
        <w:tc>
          <w:tcPr>
            <w:tcW w:w="3969" w:type="dxa"/>
            <w:tcBorders>
              <w:top w:val="nil"/>
              <w:bottom w:val="nil"/>
            </w:tcBorders>
            <w:shd w:val="clear" w:color="auto" w:fill="auto"/>
          </w:tcPr>
          <w:p w14:paraId="3762DDD2" w14:textId="77777777" w:rsidR="00DB2ED9" w:rsidRDefault="00DB2ED9">
            <w:pPr>
              <w:pStyle w:val="TableBody"/>
            </w:pPr>
            <w:r>
              <w:t xml:space="preserve">The following results are </w:t>
            </w:r>
            <w:r w:rsidRPr="00A144B8">
              <w:t>elasticit</w:t>
            </w:r>
            <w:r>
              <w:t>y measures:</w:t>
            </w:r>
          </w:p>
          <w:p w14:paraId="66E4974E" w14:textId="77777777" w:rsidR="00DB2ED9" w:rsidRPr="003D2F30" w:rsidRDefault="00DB2ED9">
            <w:pPr>
              <w:pStyle w:val="TableBody"/>
            </w:pPr>
            <w:r w:rsidRPr="005F6A6E">
              <w:rPr>
                <w:b/>
              </w:rPr>
              <w:t>GDP:</w:t>
            </w:r>
            <w:r w:rsidRPr="005F6A6E">
              <w:t xml:space="preserve"> +$23 m (+0.00%)</w:t>
            </w:r>
            <w:r w:rsidRPr="005F6A6E">
              <w:br/>
            </w:r>
            <w:r w:rsidRPr="005F6A6E">
              <w:rPr>
                <w:b/>
              </w:rPr>
              <w:t>CPI:</w:t>
            </w:r>
            <w:r w:rsidRPr="005F6A6E">
              <w:t xml:space="preserve"> </w:t>
            </w:r>
            <w:r w:rsidRPr="005F6A6E">
              <w:noBreakHyphen/>
              <w:t>0.00%</w:t>
            </w:r>
            <w:r w:rsidRPr="005F6A6E">
              <w:br/>
            </w:r>
            <w:r w:rsidRPr="005F6A6E">
              <w:rPr>
                <w:b/>
              </w:rPr>
              <w:t>Net govt revenue (</w:t>
            </w:r>
            <w:proofErr w:type="spellStart"/>
            <w:r w:rsidRPr="005F6A6E">
              <w:rPr>
                <w:b/>
              </w:rPr>
              <w:t>Cth</w:t>
            </w:r>
            <w:proofErr w:type="spellEnd"/>
            <w:r w:rsidRPr="005F6A6E">
              <w:rPr>
                <w:b/>
              </w:rPr>
              <w:t>):</w:t>
            </w:r>
            <w:r w:rsidRPr="005F6A6E">
              <w:t xml:space="preserve"> +$6 m</w:t>
            </w:r>
            <w:r w:rsidRPr="005F6A6E">
              <w:br/>
            </w:r>
            <w:r w:rsidRPr="005F6A6E">
              <w:rPr>
                <w:b/>
              </w:rPr>
              <w:t>Net govt revenue (S/T):</w:t>
            </w:r>
            <w:r w:rsidRPr="005F6A6E">
              <w:t xml:space="preserve"> -$1 m</w:t>
            </w:r>
          </w:p>
        </w:tc>
      </w:tr>
      <w:tr w:rsidR="00DB2ED9" w:rsidRPr="00030C67" w14:paraId="3BF0A309" w14:textId="77777777">
        <w:tc>
          <w:tcPr>
            <w:tcW w:w="426" w:type="dxa"/>
            <w:tcBorders>
              <w:top w:val="nil"/>
              <w:bottom w:val="nil"/>
            </w:tcBorders>
            <w:shd w:val="clear" w:color="auto" w:fill="F2F2F2" w:themeFill="background1" w:themeFillShade="F2"/>
          </w:tcPr>
          <w:p w14:paraId="50719E5C" w14:textId="77777777" w:rsidR="00DB2ED9" w:rsidRPr="00611CB4" w:rsidRDefault="00DB2ED9">
            <w:pPr>
              <w:pStyle w:val="TableBodyHeading"/>
              <w:rPr>
                <w:color w:val="auto"/>
              </w:rPr>
            </w:pPr>
            <w:r>
              <w:t>B3</w:t>
            </w:r>
          </w:p>
        </w:tc>
        <w:tc>
          <w:tcPr>
            <w:tcW w:w="1559" w:type="dxa"/>
            <w:tcBorders>
              <w:top w:val="nil"/>
              <w:bottom w:val="nil"/>
            </w:tcBorders>
            <w:shd w:val="clear" w:color="auto" w:fill="F2F2F2" w:themeFill="background1" w:themeFillShade="F2"/>
          </w:tcPr>
          <w:p w14:paraId="31D510E8" w14:textId="77777777" w:rsidR="00DB2ED9" w:rsidRPr="00611CB4" w:rsidRDefault="00DB2ED9">
            <w:pPr>
              <w:pStyle w:val="TableBody"/>
            </w:pPr>
            <w:r>
              <w:t>Public procurement</w:t>
            </w:r>
          </w:p>
        </w:tc>
        <w:tc>
          <w:tcPr>
            <w:tcW w:w="3685" w:type="dxa"/>
            <w:tcBorders>
              <w:top w:val="nil"/>
              <w:bottom w:val="nil"/>
            </w:tcBorders>
            <w:shd w:val="clear" w:color="auto" w:fill="F2F2F2" w:themeFill="background1" w:themeFillShade="F2"/>
          </w:tcPr>
          <w:p w14:paraId="55F653D2" w14:textId="77777777" w:rsidR="00DB2ED9" w:rsidRPr="00813A83" w:rsidRDefault="00DB2ED9">
            <w:pPr>
              <w:pStyle w:val="TableBody"/>
              <w:rPr>
                <w:b/>
                <w:bCs/>
              </w:rPr>
            </w:pPr>
            <w:r w:rsidRPr="00813A83">
              <w:rPr>
                <w:b/>
                <w:bCs/>
              </w:rPr>
              <w:t>Estimated effects:</w:t>
            </w:r>
          </w:p>
          <w:p w14:paraId="65FA7A53" w14:textId="77777777" w:rsidR="00DB2ED9" w:rsidRPr="001443F7" w:rsidRDefault="00DB2ED9">
            <w:pPr>
              <w:pStyle w:val="TableBody"/>
            </w:pPr>
            <w:r w:rsidRPr="00CF0669">
              <w:t>Lower government procurement costs (2% decrease in government expenditure)</w:t>
            </w:r>
          </w:p>
        </w:tc>
        <w:tc>
          <w:tcPr>
            <w:tcW w:w="3969" w:type="dxa"/>
            <w:tcBorders>
              <w:top w:val="nil"/>
              <w:bottom w:val="nil"/>
            </w:tcBorders>
            <w:shd w:val="clear" w:color="auto" w:fill="F2F2F2" w:themeFill="background1" w:themeFillShade="F2"/>
          </w:tcPr>
          <w:p w14:paraId="5533B697" w14:textId="77777777" w:rsidR="00DB2ED9" w:rsidRPr="00CE288E" w:rsidRDefault="00DB2ED9">
            <w:pPr>
              <w:pStyle w:val="TableBody"/>
              <w:rPr>
                <w:highlight w:val="yellow"/>
              </w:rPr>
            </w:pPr>
            <w:r w:rsidRPr="00CE288E">
              <w:rPr>
                <w:b/>
              </w:rPr>
              <w:t>GDP:</w:t>
            </w:r>
            <w:r w:rsidRPr="00CE288E">
              <w:t xml:space="preserve"> +$34 m (+0</w:t>
            </w:r>
            <w:r>
              <w:t>.00</w:t>
            </w:r>
            <w:r w:rsidRPr="00CE288E">
              <w:t>%)</w:t>
            </w:r>
            <w:r w:rsidRPr="00CE288E">
              <w:br/>
            </w:r>
            <w:r w:rsidRPr="00CE288E">
              <w:rPr>
                <w:b/>
              </w:rPr>
              <w:t>CPI:</w:t>
            </w:r>
            <w:r w:rsidRPr="00CE288E">
              <w:t xml:space="preserve"> -0.00%</w:t>
            </w:r>
            <w:r w:rsidRPr="00CE288E">
              <w:br/>
            </w:r>
            <w:r w:rsidRPr="00CE288E">
              <w:rPr>
                <w:b/>
              </w:rPr>
              <w:t>Net govt revenue (</w:t>
            </w:r>
            <w:proofErr w:type="spellStart"/>
            <w:r w:rsidRPr="00CE288E">
              <w:rPr>
                <w:b/>
              </w:rPr>
              <w:t>Cth</w:t>
            </w:r>
            <w:proofErr w:type="spellEnd"/>
            <w:r w:rsidRPr="00CE288E">
              <w:rPr>
                <w:b/>
              </w:rPr>
              <w:t>):</w:t>
            </w:r>
            <w:r w:rsidRPr="00CE288E">
              <w:t xml:space="preserve"> +$1,654 m</w:t>
            </w:r>
            <w:r w:rsidRPr="00CE288E">
              <w:br/>
            </w:r>
            <w:r w:rsidRPr="00CE288E">
              <w:rPr>
                <w:b/>
              </w:rPr>
              <w:t>Net govt revenue (S/T):</w:t>
            </w:r>
            <w:r w:rsidRPr="00CE288E">
              <w:t xml:space="preserve"> +$3,035 m</w:t>
            </w:r>
          </w:p>
        </w:tc>
      </w:tr>
      <w:tr w:rsidR="00DB2ED9" w:rsidRPr="00030C67" w14:paraId="6A732CAC" w14:textId="77777777">
        <w:tc>
          <w:tcPr>
            <w:tcW w:w="426" w:type="dxa"/>
            <w:tcBorders>
              <w:top w:val="nil"/>
              <w:bottom w:val="nil"/>
            </w:tcBorders>
            <w:shd w:val="clear" w:color="auto" w:fill="auto"/>
          </w:tcPr>
          <w:p w14:paraId="19AB647E" w14:textId="77777777" w:rsidR="00DB2ED9" w:rsidRPr="00611CB4" w:rsidRDefault="00DB2ED9">
            <w:pPr>
              <w:pStyle w:val="TableBodyHeading"/>
              <w:rPr>
                <w:color w:val="auto"/>
              </w:rPr>
            </w:pPr>
            <w:r>
              <w:t>B4</w:t>
            </w:r>
          </w:p>
        </w:tc>
        <w:tc>
          <w:tcPr>
            <w:tcW w:w="1559" w:type="dxa"/>
            <w:tcBorders>
              <w:top w:val="nil"/>
              <w:bottom w:val="nil"/>
            </w:tcBorders>
            <w:shd w:val="clear" w:color="auto" w:fill="auto"/>
          </w:tcPr>
          <w:p w14:paraId="5F3AEF8B" w14:textId="77777777" w:rsidR="00DB2ED9" w:rsidRPr="00611CB4" w:rsidRDefault="00DB2ED9">
            <w:pPr>
              <w:pStyle w:val="TableBody"/>
            </w:pPr>
            <w:proofErr w:type="spellStart"/>
            <w:r>
              <w:t>Phoenixing</w:t>
            </w:r>
            <w:proofErr w:type="spellEnd"/>
          </w:p>
        </w:tc>
        <w:tc>
          <w:tcPr>
            <w:tcW w:w="3685" w:type="dxa"/>
            <w:tcBorders>
              <w:top w:val="nil"/>
              <w:bottom w:val="nil"/>
            </w:tcBorders>
            <w:shd w:val="clear" w:color="auto" w:fill="auto"/>
          </w:tcPr>
          <w:p w14:paraId="7304830E" w14:textId="77777777" w:rsidR="00DB2ED9" w:rsidRDefault="00DB2ED9">
            <w:pPr>
              <w:pStyle w:val="TableBody"/>
              <w:rPr>
                <w:b/>
                <w:bCs/>
              </w:rPr>
            </w:pPr>
            <w:r w:rsidRPr="00813A83">
              <w:rPr>
                <w:b/>
                <w:bCs/>
              </w:rPr>
              <w:t>Estimated effects:</w:t>
            </w:r>
          </w:p>
          <w:p w14:paraId="0F24AEF1" w14:textId="77777777" w:rsidR="00DB2ED9" w:rsidRDefault="00DB2ED9">
            <w:pPr>
              <w:pStyle w:val="TableBody"/>
            </w:pPr>
            <w:r>
              <w:t>Reduced costs for creditors, including suppliers, workers, consumers and government (</w:t>
            </w:r>
            <w:r w:rsidRPr="009702F4">
              <w:t>$2.85</w:t>
            </w:r>
            <w:r>
              <w:noBreakHyphen/>
            </w:r>
            <w:r w:rsidRPr="009702F4">
              <w:t>5.13 billion annually</w:t>
            </w:r>
            <w:r>
              <w:t>)</w:t>
            </w:r>
          </w:p>
          <w:p w14:paraId="0D581AF6" w14:textId="77777777" w:rsidR="00DB2ED9" w:rsidRDefault="00DB2ED9">
            <w:pPr>
              <w:pStyle w:val="TableBody"/>
              <w:rPr>
                <w:b/>
                <w:bCs/>
              </w:rPr>
            </w:pPr>
            <w:r>
              <w:rPr>
                <w:b/>
                <w:bCs/>
              </w:rPr>
              <w:t xml:space="preserve">Other key </w:t>
            </w:r>
            <w:r w:rsidRPr="00813A83">
              <w:rPr>
                <w:b/>
                <w:bCs/>
              </w:rPr>
              <w:t>effects:</w:t>
            </w:r>
          </w:p>
          <w:p w14:paraId="080F06D1" w14:textId="77777777" w:rsidR="00DB2ED9" w:rsidRPr="00C674B6" w:rsidRDefault="00DB2ED9">
            <w:pPr>
              <w:pStyle w:val="TableBody"/>
            </w:pPr>
            <w:r>
              <w:t>‘Fairer’ competition in construction market</w:t>
            </w:r>
          </w:p>
        </w:tc>
        <w:tc>
          <w:tcPr>
            <w:tcW w:w="3969" w:type="dxa"/>
            <w:tcBorders>
              <w:top w:val="nil"/>
              <w:bottom w:val="nil"/>
            </w:tcBorders>
            <w:shd w:val="clear" w:color="auto" w:fill="auto"/>
          </w:tcPr>
          <w:p w14:paraId="43854349" w14:textId="77777777" w:rsidR="00DB2ED9" w:rsidRPr="003D2F30" w:rsidRDefault="00DB2ED9">
            <w:pPr>
              <w:pStyle w:val="TableBody"/>
            </w:pPr>
            <w:r>
              <w:t>Flow</w:t>
            </w:r>
            <w:r>
              <w:noBreakHyphen/>
              <w:t xml:space="preserve">on </w:t>
            </w:r>
            <w:r w:rsidRPr="00604865">
              <w:t>effects</w:t>
            </w:r>
            <w:r>
              <w:t xml:space="preserve"> were not estimated</w:t>
            </w:r>
            <w:r w:rsidRPr="003D2F30">
              <w:t xml:space="preserve"> </w:t>
            </w:r>
          </w:p>
        </w:tc>
      </w:tr>
      <w:tr w:rsidR="00DB2ED9" w:rsidRPr="00030C67" w14:paraId="5A35618D" w14:textId="77777777">
        <w:tc>
          <w:tcPr>
            <w:tcW w:w="426" w:type="dxa"/>
            <w:tcBorders>
              <w:top w:val="nil"/>
              <w:bottom w:val="nil"/>
            </w:tcBorders>
            <w:shd w:val="clear" w:color="auto" w:fill="F2F2F2" w:themeFill="background1" w:themeFillShade="F2"/>
          </w:tcPr>
          <w:p w14:paraId="5F85A490" w14:textId="77777777" w:rsidR="00DB2ED9" w:rsidRPr="00611CB4" w:rsidRDefault="00DB2ED9">
            <w:pPr>
              <w:pStyle w:val="TableBodyHeading"/>
              <w:rPr>
                <w:color w:val="auto"/>
              </w:rPr>
            </w:pPr>
            <w:r>
              <w:t>B5</w:t>
            </w:r>
          </w:p>
        </w:tc>
        <w:tc>
          <w:tcPr>
            <w:tcW w:w="1559" w:type="dxa"/>
            <w:tcBorders>
              <w:top w:val="nil"/>
              <w:bottom w:val="nil"/>
            </w:tcBorders>
            <w:shd w:val="clear" w:color="auto" w:fill="F2F2F2" w:themeFill="background1" w:themeFillShade="F2"/>
          </w:tcPr>
          <w:p w14:paraId="25071F9A" w14:textId="77777777" w:rsidR="00DB2ED9" w:rsidRPr="00611CB4" w:rsidRDefault="00DB2ED9">
            <w:pPr>
              <w:pStyle w:val="TableBody"/>
            </w:pPr>
            <w:r>
              <w:t>E</w:t>
            </w:r>
            <w:r>
              <w:noBreakHyphen/>
              <w:t>conveyancing</w:t>
            </w:r>
          </w:p>
        </w:tc>
        <w:tc>
          <w:tcPr>
            <w:tcW w:w="3685" w:type="dxa"/>
            <w:tcBorders>
              <w:top w:val="nil"/>
              <w:bottom w:val="nil"/>
            </w:tcBorders>
            <w:shd w:val="clear" w:color="auto" w:fill="F2F2F2" w:themeFill="background1" w:themeFillShade="F2"/>
          </w:tcPr>
          <w:p w14:paraId="1D541104" w14:textId="77777777" w:rsidR="00DB2ED9" w:rsidRDefault="00DB2ED9">
            <w:pPr>
              <w:pStyle w:val="TableBody"/>
              <w:rPr>
                <w:b/>
                <w:bCs/>
              </w:rPr>
            </w:pPr>
            <w:r w:rsidRPr="00813A83">
              <w:rPr>
                <w:b/>
                <w:bCs/>
              </w:rPr>
              <w:t>Estimated effects:</w:t>
            </w:r>
          </w:p>
          <w:p w14:paraId="3D1D9787" w14:textId="77777777" w:rsidR="00DB2ED9" w:rsidRPr="003D2F30" w:rsidRDefault="00DB2ED9">
            <w:pPr>
              <w:pStyle w:val="TableBody"/>
            </w:pPr>
            <w:r>
              <w:t>Increased competition, leading to lower prices ($8</w:t>
            </w:r>
            <w:r>
              <w:noBreakHyphen/>
              <w:t>$15 per transaction)</w:t>
            </w:r>
          </w:p>
        </w:tc>
        <w:tc>
          <w:tcPr>
            <w:tcW w:w="3969" w:type="dxa"/>
            <w:tcBorders>
              <w:top w:val="nil"/>
              <w:bottom w:val="nil"/>
            </w:tcBorders>
            <w:shd w:val="clear" w:color="auto" w:fill="F2F2F2" w:themeFill="background1" w:themeFillShade="F2"/>
          </w:tcPr>
          <w:p w14:paraId="334ADE0D" w14:textId="77777777" w:rsidR="00DB2ED9" w:rsidRPr="003D2F30" w:rsidRDefault="00DB2ED9">
            <w:pPr>
              <w:pStyle w:val="TableBody"/>
            </w:pPr>
            <w:r>
              <w:t>Flow</w:t>
            </w:r>
            <w:r>
              <w:noBreakHyphen/>
              <w:t xml:space="preserve">on </w:t>
            </w:r>
            <w:r w:rsidRPr="00604865">
              <w:t>effects</w:t>
            </w:r>
            <w:r>
              <w:t xml:space="preserve"> were not estimated</w:t>
            </w:r>
            <w:r w:rsidRPr="003D2F30">
              <w:t xml:space="preserve"> </w:t>
            </w:r>
          </w:p>
        </w:tc>
      </w:tr>
      <w:tr w:rsidR="00DB2ED9" w:rsidRPr="00030C67" w14:paraId="0989D540" w14:textId="77777777">
        <w:tc>
          <w:tcPr>
            <w:tcW w:w="426" w:type="dxa"/>
            <w:tcBorders>
              <w:top w:val="nil"/>
              <w:bottom w:val="nil"/>
            </w:tcBorders>
            <w:shd w:val="clear" w:color="auto" w:fill="auto"/>
          </w:tcPr>
          <w:p w14:paraId="4CEC4D57" w14:textId="77777777" w:rsidR="00DB2ED9" w:rsidRPr="00611CB4" w:rsidRDefault="00DB2ED9">
            <w:pPr>
              <w:pStyle w:val="TableBodyHeading"/>
              <w:rPr>
                <w:color w:val="auto"/>
              </w:rPr>
            </w:pPr>
            <w:r>
              <w:t>B6</w:t>
            </w:r>
          </w:p>
        </w:tc>
        <w:tc>
          <w:tcPr>
            <w:tcW w:w="1559" w:type="dxa"/>
            <w:tcBorders>
              <w:top w:val="nil"/>
              <w:bottom w:val="nil"/>
            </w:tcBorders>
            <w:shd w:val="clear" w:color="auto" w:fill="auto"/>
          </w:tcPr>
          <w:p w14:paraId="205FEAC2" w14:textId="77777777" w:rsidR="00DB2ED9" w:rsidRPr="00611CB4" w:rsidRDefault="00DB2ED9">
            <w:pPr>
              <w:pStyle w:val="TableBody"/>
            </w:pPr>
            <w:r>
              <w:t>Marine freight industry</w:t>
            </w:r>
          </w:p>
        </w:tc>
        <w:tc>
          <w:tcPr>
            <w:tcW w:w="3685" w:type="dxa"/>
            <w:tcBorders>
              <w:top w:val="nil"/>
              <w:bottom w:val="nil"/>
            </w:tcBorders>
            <w:shd w:val="clear" w:color="auto" w:fill="auto"/>
          </w:tcPr>
          <w:p w14:paraId="1ABDDA63" w14:textId="77777777" w:rsidR="00DB2ED9" w:rsidRPr="00813A83" w:rsidRDefault="00DB2ED9">
            <w:pPr>
              <w:pStyle w:val="TableBody"/>
              <w:rPr>
                <w:b/>
                <w:bCs/>
              </w:rPr>
            </w:pPr>
            <w:r>
              <w:rPr>
                <w:b/>
                <w:bCs/>
              </w:rPr>
              <w:t xml:space="preserve">Key </w:t>
            </w:r>
            <w:r w:rsidRPr="00813A83">
              <w:rPr>
                <w:b/>
                <w:bCs/>
              </w:rPr>
              <w:t>effects:</w:t>
            </w:r>
          </w:p>
          <w:p w14:paraId="006FCD81" w14:textId="77777777" w:rsidR="00DB2ED9" w:rsidRPr="003D2F30" w:rsidRDefault="00DB2ED9">
            <w:pPr>
              <w:pStyle w:val="TableBody"/>
            </w:pPr>
            <w:r>
              <w:t>Uncertain</w:t>
            </w:r>
          </w:p>
        </w:tc>
        <w:tc>
          <w:tcPr>
            <w:tcW w:w="3969" w:type="dxa"/>
            <w:tcBorders>
              <w:top w:val="nil"/>
              <w:bottom w:val="nil"/>
            </w:tcBorders>
            <w:shd w:val="clear" w:color="auto" w:fill="auto"/>
          </w:tcPr>
          <w:p w14:paraId="5C2B708E" w14:textId="77777777" w:rsidR="00DB2ED9" w:rsidRPr="003D2F30" w:rsidRDefault="00DB2ED9">
            <w:pPr>
              <w:pStyle w:val="TableBody"/>
            </w:pPr>
            <w:r>
              <w:t>Flow</w:t>
            </w:r>
            <w:r>
              <w:noBreakHyphen/>
              <w:t xml:space="preserve">on </w:t>
            </w:r>
            <w:r w:rsidRPr="00604865">
              <w:t>effects</w:t>
            </w:r>
            <w:r>
              <w:t xml:space="preserve"> were not estimated</w:t>
            </w:r>
            <w:r w:rsidRPr="003D2F30">
              <w:t xml:space="preserve"> </w:t>
            </w:r>
          </w:p>
        </w:tc>
      </w:tr>
      <w:tr w:rsidR="00DB2ED9" w:rsidRPr="00030C67" w14:paraId="61AADA93" w14:textId="77777777">
        <w:tc>
          <w:tcPr>
            <w:tcW w:w="426" w:type="dxa"/>
            <w:tcBorders>
              <w:top w:val="nil"/>
              <w:bottom w:val="nil"/>
            </w:tcBorders>
            <w:shd w:val="clear" w:color="auto" w:fill="F2F2F2" w:themeFill="background1" w:themeFillShade="F2"/>
          </w:tcPr>
          <w:p w14:paraId="07C6B924" w14:textId="77777777" w:rsidR="00DB2ED9" w:rsidRPr="0037560F" w:rsidRDefault="00DB2ED9">
            <w:pPr>
              <w:pStyle w:val="TableBodyHeading"/>
              <w:rPr>
                <w:color w:val="auto"/>
              </w:rPr>
            </w:pPr>
            <w:r w:rsidRPr="0037560F">
              <w:t>B7</w:t>
            </w:r>
          </w:p>
        </w:tc>
        <w:tc>
          <w:tcPr>
            <w:tcW w:w="1559" w:type="dxa"/>
            <w:tcBorders>
              <w:top w:val="nil"/>
              <w:bottom w:val="nil"/>
            </w:tcBorders>
            <w:shd w:val="clear" w:color="auto" w:fill="F2F2F2" w:themeFill="background1" w:themeFillShade="F2"/>
          </w:tcPr>
          <w:p w14:paraId="6DB95917" w14:textId="77777777" w:rsidR="00DB2ED9" w:rsidRPr="0037560F" w:rsidRDefault="00DB2ED9">
            <w:pPr>
              <w:pStyle w:val="TableBody"/>
            </w:pPr>
            <w:r w:rsidRPr="0037560F">
              <w:t>Distribution networks</w:t>
            </w:r>
          </w:p>
        </w:tc>
        <w:tc>
          <w:tcPr>
            <w:tcW w:w="3685" w:type="dxa"/>
            <w:tcBorders>
              <w:top w:val="nil"/>
              <w:bottom w:val="nil"/>
            </w:tcBorders>
            <w:shd w:val="clear" w:color="auto" w:fill="F2F2F2" w:themeFill="background1" w:themeFillShade="F2"/>
          </w:tcPr>
          <w:p w14:paraId="7A9BBE57" w14:textId="77777777" w:rsidR="00DB2ED9" w:rsidRPr="00813A83" w:rsidRDefault="00DB2ED9">
            <w:pPr>
              <w:pStyle w:val="TableBody"/>
              <w:rPr>
                <w:b/>
                <w:bCs/>
              </w:rPr>
            </w:pPr>
            <w:r w:rsidRPr="00813A83">
              <w:rPr>
                <w:b/>
                <w:bCs/>
              </w:rPr>
              <w:t>Estimated effects:</w:t>
            </w:r>
          </w:p>
          <w:p w14:paraId="43E1FA87" w14:textId="77777777" w:rsidR="00DB2ED9" w:rsidRPr="00FB164A" w:rsidRDefault="00DB2ED9">
            <w:pPr>
              <w:pStyle w:val="TableBody"/>
            </w:pPr>
            <w:r w:rsidRPr="00FB164A">
              <w:rPr>
                <w:i/>
                <w:iCs/>
              </w:rPr>
              <w:t>For parallel imports:</w:t>
            </w:r>
            <w:r w:rsidRPr="00FB164A">
              <w:t xml:space="preserve"> </w:t>
            </w:r>
            <w:r w:rsidRPr="00FB164A">
              <w:br/>
              <w:t xml:space="preserve">Lower prices for vehicles (by </w:t>
            </w:r>
            <w:r>
              <w:t>15</w:t>
            </w:r>
            <w:r w:rsidRPr="00FB164A">
              <w:t>%)</w:t>
            </w:r>
            <w:r w:rsidRPr="00FB164A">
              <w:br/>
            </w:r>
            <w:r w:rsidRPr="00FB164A">
              <w:rPr>
                <w:i/>
                <w:iCs/>
              </w:rPr>
              <w:t>For tariff and excise systems:</w:t>
            </w:r>
            <w:r w:rsidRPr="00FB164A">
              <w:rPr>
                <w:i/>
                <w:iCs/>
              </w:rPr>
              <w:br/>
            </w:r>
            <w:r w:rsidRPr="00FB164A">
              <w:t>Lower compliance costs for importers ($1.29</w:t>
            </w:r>
            <w:r w:rsidRPr="00FB164A">
              <w:noBreakHyphen/>
            </w:r>
            <w:r>
              <w:t xml:space="preserve">2.58 </w:t>
            </w:r>
            <w:r w:rsidRPr="00FB164A">
              <w:t>billion annually)</w:t>
            </w:r>
          </w:p>
          <w:p w14:paraId="4F54EEAD" w14:textId="77777777" w:rsidR="00DB2ED9" w:rsidRPr="003D2F30" w:rsidRDefault="00DB2ED9">
            <w:pPr>
              <w:pStyle w:val="TableBody"/>
            </w:pPr>
            <w:r w:rsidRPr="00FB164A">
              <w:rPr>
                <w:i/>
                <w:iCs/>
              </w:rPr>
              <w:t xml:space="preserve">For coastal shipping services: </w:t>
            </w:r>
            <w:r w:rsidRPr="00FB164A">
              <w:rPr>
                <w:i/>
                <w:iCs/>
              </w:rPr>
              <w:br/>
            </w:r>
            <w:r w:rsidRPr="00FB164A">
              <w:t>Savings of $33 million annually</w:t>
            </w:r>
          </w:p>
        </w:tc>
        <w:tc>
          <w:tcPr>
            <w:tcW w:w="3969" w:type="dxa"/>
            <w:tcBorders>
              <w:top w:val="nil"/>
              <w:bottom w:val="nil"/>
            </w:tcBorders>
            <w:shd w:val="clear" w:color="auto" w:fill="F2F2F2" w:themeFill="background1" w:themeFillShade="F2"/>
          </w:tcPr>
          <w:p w14:paraId="08553054" w14:textId="77777777" w:rsidR="00DB2ED9" w:rsidRPr="009433BE" w:rsidRDefault="00DB2ED9">
            <w:pPr>
              <w:pStyle w:val="TableBody"/>
              <w:rPr>
                <w:i/>
                <w:iCs/>
                <w:u w:val="single"/>
              </w:rPr>
            </w:pPr>
            <w:r w:rsidRPr="009433BE">
              <w:rPr>
                <w:i/>
                <w:iCs/>
              </w:rPr>
              <w:t>For parallel imports of vehicles:</w:t>
            </w:r>
          </w:p>
          <w:p w14:paraId="472BB2F3" w14:textId="77777777" w:rsidR="00DB2ED9" w:rsidRPr="009433BE" w:rsidRDefault="00DB2ED9">
            <w:pPr>
              <w:pStyle w:val="TableBody"/>
            </w:pPr>
            <w:r w:rsidRPr="009433BE">
              <w:rPr>
                <w:b/>
              </w:rPr>
              <w:t>GDP:</w:t>
            </w:r>
            <w:r w:rsidRPr="009433BE">
              <w:t xml:space="preserve"> +$89 m (+0.00%)</w:t>
            </w:r>
            <w:r w:rsidRPr="009433BE">
              <w:br/>
            </w:r>
            <w:r w:rsidRPr="009433BE">
              <w:rPr>
                <w:b/>
              </w:rPr>
              <w:t>CPI:</w:t>
            </w:r>
            <w:r w:rsidRPr="009433BE">
              <w:t xml:space="preserve"> -0.00%</w:t>
            </w:r>
            <w:r w:rsidRPr="009433BE">
              <w:br/>
            </w:r>
            <w:r w:rsidRPr="009433BE">
              <w:rPr>
                <w:b/>
              </w:rPr>
              <w:t>Net govt revenue (</w:t>
            </w:r>
            <w:proofErr w:type="spellStart"/>
            <w:r w:rsidRPr="009433BE">
              <w:rPr>
                <w:b/>
              </w:rPr>
              <w:t>Cth</w:t>
            </w:r>
            <w:proofErr w:type="spellEnd"/>
            <w:r w:rsidRPr="009433BE">
              <w:rPr>
                <w:b/>
              </w:rPr>
              <w:t>):</w:t>
            </w:r>
            <w:r w:rsidRPr="009433BE">
              <w:t xml:space="preserve"> +$13 m</w:t>
            </w:r>
            <w:r w:rsidRPr="009433BE">
              <w:br/>
            </w:r>
            <w:r w:rsidRPr="009433BE">
              <w:rPr>
                <w:b/>
              </w:rPr>
              <w:t>Net govt revenue (S/T):</w:t>
            </w:r>
            <w:r w:rsidRPr="009433BE">
              <w:t xml:space="preserve"> -$10 m</w:t>
            </w:r>
          </w:p>
          <w:p w14:paraId="727CE319" w14:textId="77777777" w:rsidR="00DB2ED9" w:rsidRPr="009433BE" w:rsidRDefault="00DB2ED9">
            <w:pPr>
              <w:pStyle w:val="TableBody"/>
              <w:rPr>
                <w:i/>
                <w:iCs/>
                <w:u w:val="single"/>
              </w:rPr>
            </w:pPr>
            <w:r w:rsidRPr="009433BE">
              <w:rPr>
                <w:i/>
                <w:iCs/>
              </w:rPr>
              <w:t>For tariffs:</w:t>
            </w:r>
          </w:p>
          <w:p w14:paraId="3C213995" w14:textId="77777777" w:rsidR="00DB2ED9" w:rsidRPr="009433BE" w:rsidRDefault="00DB2ED9">
            <w:pPr>
              <w:pStyle w:val="TableBody"/>
            </w:pPr>
            <w:r w:rsidRPr="009433BE">
              <w:rPr>
                <w:b/>
                <w:bCs/>
              </w:rPr>
              <w:t>GDP:</w:t>
            </w:r>
            <w:r w:rsidRPr="009433BE">
              <w:t xml:space="preserve"> +$</w:t>
            </w:r>
            <w:r>
              <w:t>3,346–</w:t>
            </w:r>
            <w:r w:rsidRPr="009433BE">
              <w:t>6,691 m (+</w:t>
            </w:r>
            <w:r>
              <w:t>0.13–</w:t>
            </w:r>
            <w:r w:rsidRPr="009433BE">
              <w:t>0.25%)</w:t>
            </w:r>
            <w:r w:rsidRPr="009433BE">
              <w:br/>
            </w:r>
            <w:r w:rsidRPr="009433BE">
              <w:rPr>
                <w:b/>
                <w:bCs/>
              </w:rPr>
              <w:t>CPI:</w:t>
            </w:r>
            <w:r w:rsidRPr="009433BE">
              <w:t xml:space="preserve"> -</w:t>
            </w:r>
            <w:r>
              <w:t>0.13–</w:t>
            </w:r>
            <w:r w:rsidRPr="009433BE">
              <w:t>0.25%</w:t>
            </w:r>
            <w:r w:rsidRPr="009433BE">
              <w:br/>
            </w:r>
            <w:r w:rsidRPr="009433BE">
              <w:rPr>
                <w:b/>
                <w:bCs/>
              </w:rPr>
              <w:t>Net govt revenue (</w:t>
            </w:r>
            <w:proofErr w:type="spellStart"/>
            <w:r w:rsidRPr="009433BE">
              <w:rPr>
                <w:b/>
                <w:bCs/>
              </w:rPr>
              <w:t>Cth</w:t>
            </w:r>
            <w:proofErr w:type="spellEnd"/>
            <w:r w:rsidRPr="009433BE">
              <w:rPr>
                <w:b/>
                <w:bCs/>
              </w:rPr>
              <w:t>):</w:t>
            </w:r>
            <w:r w:rsidRPr="009433BE">
              <w:t xml:space="preserve"> +$</w:t>
            </w:r>
            <w:r>
              <w:t>152–</w:t>
            </w:r>
            <w:r w:rsidRPr="009433BE">
              <w:t>304 m</w:t>
            </w:r>
            <w:r w:rsidRPr="009433BE">
              <w:br/>
            </w:r>
            <w:r w:rsidRPr="009433BE">
              <w:rPr>
                <w:b/>
                <w:bCs/>
              </w:rPr>
              <w:t>Net govt revenue (S/T):</w:t>
            </w:r>
            <w:r w:rsidRPr="009433BE">
              <w:t xml:space="preserve"> +$</w:t>
            </w:r>
            <w:r>
              <w:t>199–</w:t>
            </w:r>
            <w:r w:rsidRPr="009433BE">
              <w:t>399 m</w:t>
            </w:r>
          </w:p>
        </w:tc>
      </w:tr>
      <w:tr w:rsidR="00DB2ED9" w:rsidRPr="00030C67" w14:paraId="4B81A1C7" w14:textId="77777777">
        <w:tc>
          <w:tcPr>
            <w:tcW w:w="426" w:type="dxa"/>
            <w:tcBorders>
              <w:top w:val="nil"/>
              <w:bottom w:val="nil"/>
            </w:tcBorders>
            <w:shd w:val="clear" w:color="auto" w:fill="auto"/>
          </w:tcPr>
          <w:p w14:paraId="7290243F" w14:textId="77777777" w:rsidR="00DB2ED9" w:rsidRPr="00611CB4" w:rsidRDefault="00DB2ED9">
            <w:pPr>
              <w:pStyle w:val="TableBodyHeading"/>
              <w:rPr>
                <w:color w:val="auto"/>
              </w:rPr>
            </w:pPr>
            <w:r>
              <w:t>B8</w:t>
            </w:r>
          </w:p>
        </w:tc>
        <w:tc>
          <w:tcPr>
            <w:tcW w:w="1559" w:type="dxa"/>
            <w:tcBorders>
              <w:top w:val="nil"/>
              <w:bottom w:val="nil"/>
            </w:tcBorders>
            <w:shd w:val="clear" w:color="auto" w:fill="auto"/>
          </w:tcPr>
          <w:p w14:paraId="1ECB85D7" w14:textId="77777777" w:rsidR="00DB2ED9" w:rsidRPr="00611CB4" w:rsidRDefault="00DB2ED9">
            <w:pPr>
              <w:pStyle w:val="TableBody"/>
            </w:pPr>
            <w:r>
              <w:t>Efficient user charging</w:t>
            </w:r>
          </w:p>
        </w:tc>
        <w:tc>
          <w:tcPr>
            <w:tcW w:w="3685" w:type="dxa"/>
            <w:tcBorders>
              <w:top w:val="nil"/>
              <w:bottom w:val="nil"/>
            </w:tcBorders>
            <w:shd w:val="clear" w:color="auto" w:fill="auto"/>
          </w:tcPr>
          <w:p w14:paraId="00DA53D0" w14:textId="77777777" w:rsidR="00DB2ED9" w:rsidRPr="00813A83" w:rsidRDefault="00DB2ED9">
            <w:pPr>
              <w:pStyle w:val="TableBody"/>
              <w:rPr>
                <w:b/>
                <w:bCs/>
              </w:rPr>
            </w:pPr>
            <w:r w:rsidRPr="00813A83">
              <w:rPr>
                <w:b/>
                <w:bCs/>
              </w:rPr>
              <w:t>Estimated effects:</w:t>
            </w:r>
          </w:p>
          <w:p w14:paraId="52CE09B5" w14:textId="77777777" w:rsidR="00DB2ED9" w:rsidRDefault="00DB2ED9">
            <w:pPr>
              <w:pStyle w:val="TableBody"/>
            </w:pPr>
            <w:r w:rsidRPr="002C51A9">
              <w:rPr>
                <w:i/>
                <w:iCs/>
              </w:rPr>
              <w:t>For roads:</w:t>
            </w:r>
            <w:r w:rsidRPr="002C51A9">
              <w:rPr>
                <w:i/>
                <w:iCs/>
              </w:rPr>
              <w:br/>
            </w:r>
            <w:r>
              <w:t>More efficient road usage (modelled as an illustrative 1% increase in road transport productivity)</w:t>
            </w:r>
          </w:p>
          <w:p w14:paraId="455758F8" w14:textId="77777777" w:rsidR="00DB2ED9" w:rsidRDefault="00DB2ED9">
            <w:pPr>
              <w:pStyle w:val="TableBody"/>
              <w:rPr>
                <w:b/>
                <w:bCs/>
              </w:rPr>
            </w:pPr>
            <w:r>
              <w:rPr>
                <w:b/>
                <w:bCs/>
              </w:rPr>
              <w:lastRenderedPageBreak/>
              <w:t xml:space="preserve">Other key </w:t>
            </w:r>
            <w:r w:rsidRPr="00813A83">
              <w:rPr>
                <w:b/>
                <w:bCs/>
              </w:rPr>
              <w:t>effects:</w:t>
            </w:r>
          </w:p>
          <w:p w14:paraId="42FCFCD5" w14:textId="77777777" w:rsidR="00DB2ED9" w:rsidRPr="003D2F30" w:rsidRDefault="00DB2ED9">
            <w:pPr>
              <w:pStyle w:val="TableBody"/>
            </w:pPr>
            <w:r w:rsidRPr="00114BE1">
              <w:rPr>
                <w:i/>
                <w:iCs/>
              </w:rPr>
              <w:t>For other government services:</w:t>
            </w:r>
            <w:r>
              <w:br/>
              <w:t>More socially efficient allocation of investment in government services</w:t>
            </w:r>
          </w:p>
        </w:tc>
        <w:tc>
          <w:tcPr>
            <w:tcW w:w="3969" w:type="dxa"/>
            <w:tcBorders>
              <w:top w:val="nil"/>
              <w:bottom w:val="nil"/>
            </w:tcBorders>
            <w:shd w:val="clear" w:color="auto" w:fill="auto"/>
          </w:tcPr>
          <w:p w14:paraId="7E7C4FF1" w14:textId="77777777" w:rsidR="00DB2ED9" w:rsidRPr="009433BE" w:rsidRDefault="00DB2ED9">
            <w:pPr>
              <w:pStyle w:val="TableBody"/>
            </w:pPr>
            <w:r w:rsidRPr="009433BE">
              <w:lastRenderedPageBreak/>
              <w:t>The following results are elasticity measures:</w:t>
            </w:r>
          </w:p>
          <w:p w14:paraId="0213C538" w14:textId="77777777" w:rsidR="00DB2ED9" w:rsidRPr="009433BE" w:rsidRDefault="00DB2ED9">
            <w:pPr>
              <w:pStyle w:val="TableBody"/>
            </w:pPr>
            <w:r w:rsidRPr="009433BE">
              <w:rPr>
                <w:b/>
                <w:bCs/>
              </w:rPr>
              <w:t xml:space="preserve">GDP: </w:t>
            </w:r>
            <w:r w:rsidRPr="009433BE">
              <w:t>+$693 m (+0.03%)</w:t>
            </w:r>
            <w:r w:rsidRPr="009433BE">
              <w:br/>
            </w:r>
            <w:r w:rsidRPr="009433BE">
              <w:rPr>
                <w:b/>
                <w:bCs/>
              </w:rPr>
              <w:t>CPI:</w:t>
            </w:r>
            <w:r w:rsidRPr="009433BE">
              <w:t xml:space="preserve"> -0.01%</w:t>
            </w:r>
            <w:r w:rsidRPr="009433BE">
              <w:br/>
            </w:r>
            <w:r w:rsidRPr="009433BE">
              <w:rPr>
                <w:b/>
                <w:bCs/>
              </w:rPr>
              <w:t>Net govt revenue (</w:t>
            </w:r>
            <w:proofErr w:type="spellStart"/>
            <w:r w:rsidRPr="009433BE">
              <w:rPr>
                <w:b/>
                <w:bCs/>
              </w:rPr>
              <w:t>Cth</w:t>
            </w:r>
            <w:proofErr w:type="spellEnd"/>
            <w:r w:rsidRPr="009433BE">
              <w:rPr>
                <w:b/>
                <w:bCs/>
              </w:rPr>
              <w:t>):</w:t>
            </w:r>
            <w:r w:rsidRPr="009433BE">
              <w:t xml:space="preserve"> +$76 m</w:t>
            </w:r>
            <w:r w:rsidRPr="009433BE">
              <w:br/>
            </w:r>
            <w:r w:rsidRPr="009433BE">
              <w:rPr>
                <w:b/>
                <w:bCs/>
              </w:rPr>
              <w:t>Net govt revenue (S/T):</w:t>
            </w:r>
            <w:r w:rsidRPr="009433BE">
              <w:t xml:space="preserve"> -$67 m</w:t>
            </w:r>
          </w:p>
        </w:tc>
      </w:tr>
      <w:tr w:rsidR="00DB2ED9" w:rsidRPr="00030C67" w14:paraId="1F3AEBE6" w14:textId="77777777">
        <w:tc>
          <w:tcPr>
            <w:tcW w:w="426" w:type="dxa"/>
            <w:tcBorders>
              <w:bottom w:val="single" w:sz="4" w:space="0" w:color="B3B3B3"/>
            </w:tcBorders>
            <w:shd w:val="clear" w:color="auto" w:fill="F2F2F2" w:themeFill="background1" w:themeFillShade="F2"/>
          </w:tcPr>
          <w:p w14:paraId="47281E1F" w14:textId="77777777" w:rsidR="00DB2ED9" w:rsidRPr="00A21E4E" w:rsidRDefault="00DB2ED9">
            <w:pPr>
              <w:pStyle w:val="TableBodyHeading"/>
            </w:pPr>
            <w:bookmarkStart w:id="74" w:name="_Hlk174961546"/>
            <w:r>
              <w:t>B9</w:t>
            </w:r>
          </w:p>
        </w:tc>
        <w:tc>
          <w:tcPr>
            <w:tcW w:w="1559" w:type="dxa"/>
            <w:tcBorders>
              <w:bottom w:val="single" w:sz="4" w:space="0" w:color="B3B3B3"/>
            </w:tcBorders>
            <w:shd w:val="clear" w:color="auto" w:fill="F2F2F2" w:themeFill="background1" w:themeFillShade="F2"/>
          </w:tcPr>
          <w:p w14:paraId="69185909" w14:textId="77777777" w:rsidR="00DB2ED9" w:rsidRPr="00030C67" w:rsidRDefault="00DB2ED9">
            <w:pPr>
              <w:pStyle w:val="TableBody"/>
              <w:rPr>
                <w:rFonts w:ascii="Arial (Body)" w:hAnsi="Arial (Body)"/>
                <w:color w:val="000000"/>
              </w:rPr>
            </w:pPr>
            <w:r>
              <w:t>M</w:t>
            </w:r>
            <w:r w:rsidRPr="00D05C95">
              <w:t>odern methods of construction</w:t>
            </w:r>
          </w:p>
        </w:tc>
        <w:tc>
          <w:tcPr>
            <w:tcW w:w="3685" w:type="dxa"/>
            <w:tcBorders>
              <w:bottom w:val="single" w:sz="4" w:space="0" w:color="B3B3B3"/>
            </w:tcBorders>
            <w:shd w:val="clear" w:color="auto" w:fill="F2F2F2" w:themeFill="background1" w:themeFillShade="F2"/>
          </w:tcPr>
          <w:p w14:paraId="661C9CF0" w14:textId="77777777" w:rsidR="00DB2ED9" w:rsidRPr="00813A83" w:rsidRDefault="00DB2ED9">
            <w:pPr>
              <w:pStyle w:val="TableBody"/>
              <w:rPr>
                <w:b/>
                <w:bCs/>
              </w:rPr>
            </w:pPr>
            <w:r w:rsidRPr="00813A83">
              <w:rPr>
                <w:b/>
                <w:bCs/>
              </w:rPr>
              <w:t>Estimated effects:</w:t>
            </w:r>
          </w:p>
          <w:p w14:paraId="6C131476" w14:textId="0650A20F" w:rsidR="00DB2ED9" w:rsidRPr="005649CB" w:rsidRDefault="00DB2ED9" w:rsidP="005649CB">
            <w:pPr>
              <w:pStyle w:val="TableBody"/>
            </w:pPr>
            <w:r>
              <w:t>Increase in construction output (1–</w:t>
            </w:r>
            <w:r w:rsidRPr="00430226">
              <w:t>2%</w:t>
            </w:r>
            <w:r>
              <w:t>) (modelled as an equivalent increase in labour and capital productivity)</w:t>
            </w:r>
          </w:p>
        </w:tc>
        <w:tc>
          <w:tcPr>
            <w:tcW w:w="3969" w:type="dxa"/>
            <w:tcBorders>
              <w:bottom w:val="single" w:sz="4" w:space="0" w:color="B3B3B3"/>
            </w:tcBorders>
            <w:shd w:val="clear" w:color="auto" w:fill="F2F2F2" w:themeFill="background1" w:themeFillShade="F2"/>
          </w:tcPr>
          <w:p w14:paraId="3304DC98" w14:textId="77777777" w:rsidR="00DB2ED9" w:rsidRPr="00625337" w:rsidRDefault="00DB2ED9">
            <w:pPr>
              <w:pStyle w:val="TableBody"/>
              <w:rPr>
                <w:i/>
                <w:iCs/>
              </w:rPr>
            </w:pPr>
            <w:r w:rsidRPr="00625337">
              <w:rPr>
                <w:i/>
                <w:iCs/>
              </w:rPr>
              <w:t>For residential construction</w:t>
            </w:r>
          </w:p>
          <w:p w14:paraId="5C8F7215" w14:textId="77777777" w:rsidR="00DB2ED9" w:rsidRPr="009433BE" w:rsidRDefault="00DB2ED9">
            <w:pPr>
              <w:pStyle w:val="TableBody"/>
            </w:pPr>
            <w:r w:rsidRPr="009433BE">
              <w:rPr>
                <w:b/>
              </w:rPr>
              <w:t xml:space="preserve">GDP: </w:t>
            </w:r>
            <w:r w:rsidRPr="009433BE">
              <w:t>+$</w:t>
            </w:r>
            <w:r>
              <w:t>2,021–</w:t>
            </w:r>
            <w:r w:rsidRPr="009433BE">
              <w:t>4,05</w:t>
            </w:r>
            <w:r>
              <w:t>0</w:t>
            </w:r>
            <w:r w:rsidRPr="009433BE">
              <w:t xml:space="preserve"> m (+</w:t>
            </w:r>
            <w:r>
              <w:t>0.08–</w:t>
            </w:r>
            <w:r w:rsidRPr="009433BE">
              <w:t>0.15%)</w:t>
            </w:r>
            <w:r w:rsidRPr="009433BE">
              <w:br/>
            </w:r>
            <w:r w:rsidRPr="009433BE">
              <w:rPr>
                <w:b/>
              </w:rPr>
              <w:t>CPI:</w:t>
            </w:r>
            <w:r w:rsidRPr="009433BE">
              <w:t xml:space="preserve"> -</w:t>
            </w:r>
            <w:r>
              <w:t>0.03–</w:t>
            </w:r>
            <w:r w:rsidRPr="009433BE">
              <w:t>0.07%</w:t>
            </w:r>
            <w:r w:rsidRPr="009433BE">
              <w:br/>
            </w:r>
            <w:r w:rsidRPr="009433BE">
              <w:rPr>
                <w:b/>
              </w:rPr>
              <w:t>Net govt revenue (</w:t>
            </w:r>
            <w:proofErr w:type="spellStart"/>
            <w:r w:rsidRPr="009433BE">
              <w:rPr>
                <w:b/>
              </w:rPr>
              <w:t>Cth</w:t>
            </w:r>
            <w:proofErr w:type="spellEnd"/>
            <w:r w:rsidRPr="009433BE">
              <w:rPr>
                <w:b/>
              </w:rPr>
              <w:t>):</w:t>
            </w:r>
            <w:r w:rsidRPr="009433BE">
              <w:t xml:space="preserve"> +$</w:t>
            </w:r>
            <w:r>
              <w:t>202–</w:t>
            </w:r>
            <w:r w:rsidRPr="009433BE">
              <w:t>406 m</w:t>
            </w:r>
            <w:r w:rsidRPr="009433BE">
              <w:br/>
            </w:r>
            <w:r w:rsidRPr="009433BE">
              <w:rPr>
                <w:b/>
              </w:rPr>
              <w:t>Net govt revenue (S/T):</w:t>
            </w:r>
            <w:r w:rsidRPr="009433BE">
              <w:t xml:space="preserve"> -$</w:t>
            </w:r>
            <w:r>
              <w:t>73–</w:t>
            </w:r>
            <w:r w:rsidRPr="009433BE">
              <w:t>146 m</w:t>
            </w:r>
          </w:p>
          <w:p w14:paraId="061878AF" w14:textId="77777777" w:rsidR="00DB2ED9" w:rsidRPr="00625337" w:rsidRDefault="00DB2ED9">
            <w:pPr>
              <w:pStyle w:val="TableBody"/>
              <w:rPr>
                <w:i/>
                <w:iCs/>
              </w:rPr>
            </w:pPr>
            <w:r w:rsidRPr="00625337">
              <w:rPr>
                <w:i/>
                <w:iCs/>
              </w:rPr>
              <w:t xml:space="preserve">For </w:t>
            </w:r>
            <w:r>
              <w:rPr>
                <w:i/>
                <w:iCs/>
              </w:rPr>
              <w:t>non</w:t>
            </w:r>
            <w:r>
              <w:rPr>
                <w:i/>
                <w:iCs/>
              </w:rPr>
              <w:noBreakHyphen/>
            </w:r>
            <w:r w:rsidRPr="00625337">
              <w:rPr>
                <w:i/>
                <w:iCs/>
              </w:rPr>
              <w:t>residential construction</w:t>
            </w:r>
          </w:p>
          <w:p w14:paraId="73DA7802" w14:textId="77777777" w:rsidR="00DB2ED9" w:rsidRPr="00430226" w:rsidRDefault="00DB2ED9">
            <w:pPr>
              <w:pStyle w:val="TableBody"/>
              <w:rPr>
                <w:rFonts w:ascii="Arial (Body)" w:hAnsi="Arial (Body)"/>
              </w:rPr>
            </w:pPr>
            <w:r w:rsidRPr="002D3B48">
              <w:rPr>
                <w:b/>
                <w:bCs/>
              </w:rPr>
              <w:t xml:space="preserve">GDP: </w:t>
            </w:r>
            <w:r w:rsidRPr="002D3B48">
              <w:t>+$</w:t>
            </w:r>
            <w:r>
              <w:t>837–</w:t>
            </w:r>
            <w:r w:rsidRPr="002D3B48">
              <w:t>1,680 m (+</w:t>
            </w:r>
            <w:r>
              <w:t>0.03–</w:t>
            </w:r>
            <w:r w:rsidRPr="002D3B48">
              <w:t>0.06%)</w:t>
            </w:r>
            <w:r w:rsidRPr="002D3B48">
              <w:br/>
            </w:r>
            <w:r w:rsidRPr="002D3B48">
              <w:rPr>
                <w:b/>
                <w:bCs/>
              </w:rPr>
              <w:t>CPI:</w:t>
            </w:r>
            <w:r w:rsidRPr="002D3B48">
              <w:t xml:space="preserve"> -</w:t>
            </w:r>
            <w:r>
              <w:t>0.02–</w:t>
            </w:r>
            <w:r w:rsidRPr="002D3B48">
              <w:t>0.04%</w:t>
            </w:r>
            <w:r w:rsidRPr="002D3B48">
              <w:br/>
            </w:r>
            <w:r w:rsidRPr="002D3B48">
              <w:rPr>
                <w:b/>
                <w:bCs/>
              </w:rPr>
              <w:t>Net govt revenue (</w:t>
            </w:r>
            <w:proofErr w:type="spellStart"/>
            <w:r w:rsidRPr="002D3B48">
              <w:rPr>
                <w:b/>
                <w:bCs/>
              </w:rPr>
              <w:t>Cth</w:t>
            </w:r>
            <w:proofErr w:type="spellEnd"/>
            <w:r w:rsidRPr="002D3B48">
              <w:rPr>
                <w:b/>
                <w:bCs/>
              </w:rPr>
              <w:t>):</w:t>
            </w:r>
            <w:r w:rsidRPr="002D3B48">
              <w:t xml:space="preserve"> +$</w:t>
            </w:r>
            <w:r>
              <w:t>96–</w:t>
            </w:r>
            <w:r w:rsidRPr="002D3B48">
              <w:t>194 m</w:t>
            </w:r>
            <w:r w:rsidRPr="002D3B48">
              <w:br/>
            </w:r>
            <w:r w:rsidRPr="002D3B48">
              <w:rPr>
                <w:b/>
                <w:bCs/>
              </w:rPr>
              <w:t>Net govt revenue (S/T):</w:t>
            </w:r>
            <w:r w:rsidRPr="002D3B48">
              <w:t xml:space="preserve"> -$</w:t>
            </w:r>
            <w:r>
              <w:t>20–</w:t>
            </w:r>
            <w:r w:rsidRPr="002D3B48">
              <w:t>40 m</w:t>
            </w:r>
          </w:p>
        </w:tc>
      </w:tr>
    </w:tbl>
    <w:bookmarkEnd w:id="74"/>
    <w:p w14:paraId="3278A41B" w14:textId="77777777" w:rsidR="00DB2ED9" w:rsidRDefault="00DB2ED9">
      <w:pPr>
        <w:pStyle w:val="Heading4"/>
      </w:pPr>
      <w:r>
        <w:t>Removing red tape</w:t>
      </w:r>
    </w:p>
    <w:p w14:paraId="593C7992" w14:textId="77777777" w:rsidR="00DB2ED9" w:rsidRDefault="00DB2ED9">
      <w:pPr>
        <w:pStyle w:val="BodyText"/>
        <w:keepNext/>
      </w:pPr>
      <w:r>
        <w:t>Four of the reforms in this theme were about addressing red tape. This includes:</w:t>
      </w:r>
    </w:p>
    <w:p w14:paraId="0010C71C" w14:textId="77777777" w:rsidR="00DB2ED9" w:rsidRDefault="00DB2ED9">
      <w:pPr>
        <w:pStyle w:val="ListBullet"/>
      </w:pPr>
      <w:r>
        <w:t xml:space="preserve">reviewing and </w:t>
      </w:r>
      <w:r w:rsidRPr="00ED55CD">
        <w:t>standardis</w:t>
      </w:r>
      <w:r>
        <w:t>ing</w:t>
      </w:r>
      <w:r w:rsidRPr="00ED55CD">
        <w:t xml:space="preserve"> commercial </w:t>
      </w:r>
      <w:r>
        <w:t xml:space="preserve">planning and </w:t>
      </w:r>
      <w:r w:rsidRPr="00ED55CD">
        <w:t xml:space="preserve">zoning rules </w:t>
      </w:r>
      <w:r>
        <w:t>between jurisdictions (B2)</w:t>
      </w:r>
    </w:p>
    <w:p w14:paraId="1EB33452" w14:textId="77777777" w:rsidR="00DB2ED9" w:rsidRDefault="00DB2ED9">
      <w:pPr>
        <w:pStyle w:val="ListBullet"/>
      </w:pPr>
      <w:r>
        <w:t>updating building regulations to facilitate modern methods of construction, including prefabricated and modular construction (B9)</w:t>
      </w:r>
    </w:p>
    <w:p w14:paraId="5BEAFBA4" w14:textId="77777777" w:rsidR="00DB2ED9" w:rsidRDefault="00DB2ED9">
      <w:pPr>
        <w:pStyle w:val="ListBullet"/>
      </w:pPr>
      <w:r>
        <w:t xml:space="preserve">addressing </w:t>
      </w:r>
      <w:r w:rsidRPr="00BC0F6A">
        <w:t>barriers that restrict distribution networks</w:t>
      </w:r>
      <w:r>
        <w:t>, including restrictions on parallel imports and compliance costs for importers (B7)</w:t>
      </w:r>
    </w:p>
    <w:p w14:paraId="60C49F7D" w14:textId="77777777" w:rsidR="00DB2ED9" w:rsidRDefault="00DB2ED9">
      <w:pPr>
        <w:pStyle w:val="ListBullet"/>
      </w:pPr>
      <w:r>
        <w:t>streamlining processes for recognising trusted overseas standards (B1).</w:t>
      </w:r>
    </w:p>
    <w:p w14:paraId="7227613D" w14:textId="6DCB750D" w:rsidR="00DB2ED9" w:rsidRDefault="00DB2ED9">
      <w:pPr>
        <w:pStyle w:val="BodyText"/>
      </w:pPr>
      <w:r>
        <w:t xml:space="preserve">The reforms to refresh </w:t>
      </w:r>
      <w:r w:rsidRPr="00ED55CD">
        <w:t>commercial</w:t>
      </w:r>
      <w:r>
        <w:t xml:space="preserve"> planning and</w:t>
      </w:r>
      <w:r w:rsidRPr="00ED55CD">
        <w:t xml:space="preserve"> zoning rules</w:t>
      </w:r>
      <w:r>
        <w:t xml:space="preserve"> (B2) and update building regulations (B9), and one aspect of the reform about distribution networks (B7), have the capacity to deliver significant economic benefits. The Commission has previously recommended that commercial and industrial planning and zoning should move to fewer, broader, and standardised land use zones </w:t>
      </w:r>
      <w:r w:rsidR="00442DC5" w:rsidRPr="00442DC5">
        <w:rPr>
          <w:rFonts w:ascii="Arial" w:hAnsi="Arial" w:cs="Arial"/>
        </w:rPr>
        <w:t>(PC 2011b, 2011c, 2014d, 2017g, 2017h, 2023b)</w:t>
      </w:r>
      <w:r>
        <w:t xml:space="preserve">. Reducing overly prescriptive zoning could deliver two types of benefits. </w:t>
      </w:r>
    </w:p>
    <w:p w14:paraId="6BCA5167" w14:textId="5D15951C" w:rsidR="00DB2ED9" w:rsidRDefault="00DB2ED9">
      <w:pPr>
        <w:pStyle w:val="ListBullet"/>
      </w:pPr>
      <w:r>
        <w:t xml:space="preserve">Increased </w:t>
      </w:r>
      <w:r w:rsidRPr="005E38E6">
        <w:t>economic value of land</w:t>
      </w:r>
      <w:r>
        <w:t xml:space="preserve"> </w:t>
      </w:r>
      <w:r w:rsidR="00677CD6">
        <w:t>–</w:t>
      </w:r>
      <w:r>
        <w:t xml:space="preserve"> increasing competition for land would enable land to be put to higher value uses.</w:t>
      </w:r>
    </w:p>
    <w:p w14:paraId="4BA1BA27" w14:textId="4476A3A3" w:rsidR="00DB2ED9" w:rsidRDefault="00DB2ED9">
      <w:pPr>
        <w:pStyle w:val="ListBullet"/>
      </w:pPr>
      <w:r>
        <w:t>I</w:t>
      </w:r>
      <w:r w:rsidRPr="005E38E6">
        <w:t>ncreas</w:t>
      </w:r>
      <w:r>
        <w:t>ed</w:t>
      </w:r>
      <w:r w:rsidRPr="005E38E6">
        <w:t xml:space="preserve"> competition in downstream market</w:t>
      </w:r>
      <w:r>
        <w:t xml:space="preserve">s </w:t>
      </w:r>
      <w:r w:rsidR="00677CD6">
        <w:t>–</w:t>
      </w:r>
      <w:r>
        <w:t xml:space="preserve"> giving businesses more choice over where they can locate would make it easier for new firms to enter local markets and for existing firms to expand, enabling them to compete in new geographical areas. </w:t>
      </w:r>
      <w:r w:rsidRPr="00EB37A1">
        <w:t>It would also remove distortions in competition between in-store and online retailers.</w:t>
      </w:r>
    </w:p>
    <w:p w14:paraId="166F4D00" w14:textId="30069848" w:rsidR="00DB2ED9" w:rsidRDefault="00DB2ED9">
      <w:pPr>
        <w:pStyle w:val="BodyText"/>
      </w:pPr>
      <w:r>
        <w:t xml:space="preserve">Although these potential benefits are large, quantifying their magnitude is not straightforward. As the Commission has previously noted, modelling changes to </w:t>
      </w:r>
      <w:r w:rsidRPr="00ED55CD">
        <w:t>commercial</w:t>
      </w:r>
      <w:r>
        <w:t xml:space="preserve"> planning and</w:t>
      </w:r>
      <w:r w:rsidRPr="00ED55CD">
        <w:t xml:space="preserve"> zoning rules</w:t>
      </w:r>
      <w:r>
        <w:t xml:space="preserve"> would be a highly speculative exercise </w:t>
      </w:r>
      <w:r w:rsidR="00442DC5" w:rsidRPr="00442DC5">
        <w:rPr>
          <w:rFonts w:ascii="Arial" w:hAnsi="Arial" w:cs="Arial"/>
        </w:rPr>
        <w:t>(PC 2020c, p. 21)</w:t>
      </w:r>
      <w:r>
        <w:t xml:space="preserve">, and therefore would not produce reliable insights. The fact that demand for land is affected by a range of factors means that isolating the effect of previous reforms is not possible </w:t>
      </w:r>
      <w:r w:rsidR="00442DC5" w:rsidRPr="00442DC5">
        <w:rPr>
          <w:rFonts w:ascii="Arial" w:hAnsi="Arial" w:cs="Arial"/>
        </w:rPr>
        <w:t>(PC 2020c, p. 12)</w:t>
      </w:r>
      <w:r>
        <w:t xml:space="preserve">. For example, in recent years, the COVID-19 pandemic has led to a shift in the relationship between metropolitan and suburban areas, affecting the decisions of businesses about where to locate </w:t>
      </w:r>
      <w:r w:rsidR="00442DC5" w:rsidRPr="00442DC5">
        <w:rPr>
          <w:rFonts w:ascii="Arial" w:hAnsi="Arial" w:cs="Arial"/>
        </w:rPr>
        <w:t>(PC 2021f, p. 59)</w:t>
      </w:r>
      <w:r>
        <w:t xml:space="preserve">. We have examined </w:t>
      </w:r>
      <w:r w:rsidRPr="00C53A81">
        <w:t xml:space="preserve">a specific documented case of change (supermarket competition in Victoria) to </w:t>
      </w:r>
      <w:r>
        <w:t xml:space="preserve">illustrate the </w:t>
      </w:r>
      <w:r w:rsidRPr="00C53A81">
        <w:t xml:space="preserve">potential gains </w:t>
      </w:r>
      <w:r>
        <w:t xml:space="preserve">from reform, though it is not clear to what extent these outcomes can be extrapolated to other markets. </w:t>
      </w:r>
      <w:r w:rsidRPr="00C53A81">
        <w:t xml:space="preserve">To overcome these empirical issues, </w:t>
      </w:r>
      <w:r>
        <w:t xml:space="preserve">we took an elasticity approach to illustrate the possible flow-on effects for increasing competition in the retail sector. </w:t>
      </w:r>
    </w:p>
    <w:p w14:paraId="46E9C2E1" w14:textId="39495CE0" w:rsidR="00DB2ED9" w:rsidRDefault="00DB2ED9">
      <w:pPr>
        <w:pStyle w:val="BodyText"/>
      </w:pPr>
      <w:r>
        <w:lastRenderedPageBreak/>
        <w:t>Updating building regulations to enable greater use of modern methods of construction also has the potential to have significant economic impacts. Currently, p</w:t>
      </w:r>
      <w:r w:rsidDel="00F44AD1">
        <w:t>refabricated construction</w:t>
      </w:r>
      <w:r>
        <w:t xml:space="preserve"> makes up about </w:t>
      </w:r>
      <w:r w:rsidDel="00F44AD1">
        <w:t>3</w:t>
      </w:r>
      <w:r>
        <w:t>–5% of Australian residential and non-residential construction (such as schools, hospitals, and hotels)</w:t>
      </w:r>
      <w:r w:rsidDel="00C41CCD">
        <w:t xml:space="preserve"> </w:t>
      </w:r>
      <w:r w:rsidR="00677CD6">
        <w:t>–</w:t>
      </w:r>
      <w:r>
        <w:t xml:space="preserve"> compared to, for example, compared to, for example, Canada at 8–16% </w:t>
      </w:r>
      <w:r w:rsidRPr="00B7652F">
        <w:rPr>
          <w:rFonts w:ascii="Arial" w:hAnsi="Arial" w:cs="Arial"/>
        </w:rPr>
        <w:t>(HIA 2022, p. 10)</w:t>
      </w:r>
      <w:r>
        <w:t xml:space="preserve">. Relative to traditional methods, modern methods of construction save time and can have lower costs. Overall, this reform could increase output in the residential and non-residential construction market, leading to a </w:t>
      </w:r>
      <w:r w:rsidRPr="009075F4">
        <w:t xml:space="preserve">$2.9–5.7 billion </w:t>
      </w:r>
      <w:proofErr w:type="gramStart"/>
      <w:r w:rsidRPr="009075F4">
        <w:t>increase</w:t>
      </w:r>
      <w:proofErr w:type="gramEnd"/>
      <w:r w:rsidRPr="009075F4">
        <w:t xml:space="preserve"> in GDP</w:t>
      </w:r>
      <w:r>
        <w:t>. It could also help alleviate housing supply pressures in the longer term.</w:t>
      </w:r>
      <w:r w:rsidRPr="00413935">
        <w:t xml:space="preserve"> </w:t>
      </w:r>
      <w:r>
        <w:t xml:space="preserve">It should be noted, however, that regulation is not the only barrier to the uptake of modern methods of construction; other limiting factors include consumer preferences and access to finance. </w:t>
      </w:r>
    </w:p>
    <w:p w14:paraId="10E60F54" w14:textId="12CE5924" w:rsidR="00DB2ED9" w:rsidRDefault="00DB2ED9">
      <w:pPr>
        <w:pStyle w:val="BodyText"/>
      </w:pPr>
      <w:r>
        <w:t xml:space="preserve">One limb of the reform about </w:t>
      </w:r>
      <w:r w:rsidRPr="00BC0F6A">
        <w:t>distribution networks</w:t>
      </w:r>
      <w:r>
        <w:t xml:space="preserve"> (B7) is about compliance costs imposed by the tariff, excise, tax and quarantine systems </w:t>
      </w:r>
      <w:r w:rsidR="00677CD6">
        <w:t>–</w:t>
      </w:r>
      <w:r>
        <w:t xml:space="preserve"> including a proposal to remove the remaining import tariffs. This reform has the potential to deliver a significant boost to GDP</w:t>
      </w:r>
      <w:r w:rsidRPr="00EF2C1D">
        <w:t xml:space="preserve"> </w:t>
      </w:r>
      <w:r>
        <w:t>due to the breadth of imports that could be affected. This reform will reduce the price of imports, through both the removal of tariffs and compliance costs for importers. It will also place downward pressure on the price of domestically produced goods.</w:t>
      </w:r>
    </w:p>
    <w:p w14:paraId="64E6B7F8" w14:textId="77777777" w:rsidR="00DB2ED9" w:rsidRDefault="00DB2ED9">
      <w:pPr>
        <w:pStyle w:val="BodyText"/>
      </w:pPr>
      <w:r>
        <w:t xml:space="preserve">The reform about recognising overseas standards (B1) and the other aspects of the reform about distribution networks (B7) are expected to have more modest economic impacts. </w:t>
      </w:r>
    </w:p>
    <w:p w14:paraId="022C969D" w14:textId="77777777" w:rsidR="00DB2ED9" w:rsidRDefault="00DB2ED9">
      <w:pPr>
        <w:pStyle w:val="ListBullet"/>
      </w:pPr>
      <w:r>
        <w:t xml:space="preserve">The other limbs of the reform about </w:t>
      </w:r>
      <w:r w:rsidRPr="00BC0F6A">
        <w:t>distribution networks</w:t>
      </w:r>
      <w:r>
        <w:t xml:space="preserve"> (B7) include restrictions on parallel imports and coastal shipping rules. Of those, restrictions on the parallel imports of internal combustion engine vehicles will have an economic impact in the immediate term, but this will decrease over time as the market transitions to EVs (there is a separate reform about the import of EVs, discussed below). The other limbs are anticipated to have smaller economic impacts (table 4). </w:t>
      </w:r>
    </w:p>
    <w:p w14:paraId="039ABFA2" w14:textId="6DDA5CD9" w:rsidR="00DB2ED9" w:rsidRDefault="00DB2ED9">
      <w:pPr>
        <w:pStyle w:val="ListBullet"/>
      </w:pPr>
      <w:r>
        <w:t xml:space="preserve">The reform about standards covers mandatory standards. Based on feedback in workshops (box 3), we focused on mandatory standards for products. Overall, we found that streamlining the process for adopting overseas standards would lower administrative costs for regulatory agencies, lower compliance costs for businesses, and could lead to greater product variety. The Australian Competition and Consumer Commission estimated business savings of </w:t>
      </w:r>
      <w:r w:rsidRPr="00AB7BD1">
        <w:t xml:space="preserve">at least $500 million per year </w:t>
      </w:r>
      <w:r>
        <w:t>i</w:t>
      </w:r>
      <w:r w:rsidRPr="00AB7BD1">
        <w:t>n regulatory cos</w:t>
      </w:r>
      <w:r>
        <w:t xml:space="preserve">ts </w:t>
      </w:r>
      <w:r w:rsidRPr="00AB7BD1">
        <w:rPr>
          <w:rFonts w:ascii="Arial" w:hAnsi="Arial" w:cs="Arial"/>
        </w:rPr>
        <w:t>(Cass-Gottlieb 2024)</w:t>
      </w:r>
      <w:r>
        <w:t>. To the extent that it reduces standards falling out of date, there could also be innovation and safety improvements. For consumers, our analysis of a selection of products sold in Australia and overseas showed that the price differential is small or non</w:t>
      </w:r>
      <w:r>
        <w:noBreakHyphen/>
        <w:t xml:space="preserve">existent, meaning that there are unlikely to be significant effects on prices (as opposed to product variety) in Australia. </w:t>
      </w:r>
    </w:p>
    <w:p w14:paraId="62B65EFA" w14:textId="77777777" w:rsidR="00DB2ED9" w:rsidRDefault="00DB2ED9">
      <w:pPr>
        <w:pStyle w:val="Heading4"/>
      </w:pPr>
      <w:r>
        <w:t>Changing government practices</w:t>
      </w:r>
    </w:p>
    <w:p w14:paraId="09668557" w14:textId="77777777" w:rsidR="00DB2ED9" w:rsidRDefault="00DB2ED9">
      <w:pPr>
        <w:pStyle w:val="BodyText"/>
      </w:pPr>
      <w:r>
        <w:t xml:space="preserve">Two reforms were about changing the way government conducts business, including how it procures and charges for goods and services. </w:t>
      </w:r>
    </w:p>
    <w:p w14:paraId="3D160DB5" w14:textId="77777777" w:rsidR="00DB2ED9" w:rsidRDefault="00DB2ED9">
      <w:pPr>
        <w:pStyle w:val="BodyText"/>
      </w:pPr>
      <w:r>
        <w:t xml:space="preserve">In broad terms, the first reform is about adopting better practices in relation to public procurement, with a view to achieving better value for money </w:t>
      </w:r>
      <w:r>
        <w:rPr>
          <w:rFonts w:ascii="Arial" w:eastAsia="Arial" w:hAnsi="Arial" w:cs="Arial"/>
        </w:rPr>
        <w:t>(B3)</w:t>
      </w:r>
      <w:r>
        <w:t xml:space="preserve">. Much has been written about how public procurement practices can be improved (in particular, avoiding or minimising the use of panels). Based on the literature, we estimate that governments could potentially aim to achieve savings of 2% on current expenditure levels by implementing better procurement practices. Given Australia’s high rate of public procurement this reform could deliver significant savings to governments </w:t>
      </w:r>
      <w:r w:rsidRPr="00581B55">
        <w:t>($1.7 billion</w:t>
      </w:r>
      <w:r w:rsidRPr="0087761A">
        <w:t xml:space="preserve"> to the Australian Government and </w:t>
      </w:r>
      <w:r w:rsidRPr="00581B55">
        <w:t xml:space="preserve">$3.0 billion </w:t>
      </w:r>
      <w:r w:rsidRPr="0087761A">
        <w:t xml:space="preserve">to the </w:t>
      </w:r>
      <w:r>
        <w:t xml:space="preserve">state and territory governments </w:t>
      </w:r>
      <w:r w:rsidRPr="0087761A">
        <w:t>combined).</w:t>
      </w:r>
      <w:r>
        <w:t xml:space="preserve"> Because we modelled this reform as a saving to government for a given level of output, the estimated GDP impact is practically zero. In practice, however, those savings could fund additional government expenditures or be passed on to households in the form of tax cuts, either of which could in turn boost GDP (though they would then no longer manifest as savings). </w:t>
      </w:r>
    </w:p>
    <w:p w14:paraId="1218ADF3" w14:textId="5BC8F5A1" w:rsidR="00DB2ED9" w:rsidRDefault="00DB2ED9">
      <w:pPr>
        <w:pStyle w:val="BodyText"/>
        <w:rPr>
          <w:rFonts w:ascii="Arial" w:eastAsia="Arial" w:hAnsi="Arial" w:cs="Arial"/>
        </w:rPr>
      </w:pPr>
      <w:r>
        <w:rPr>
          <w:rFonts w:ascii="Arial" w:eastAsia="Arial" w:hAnsi="Arial" w:cs="Arial"/>
        </w:rPr>
        <w:lastRenderedPageBreak/>
        <w:t xml:space="preserve">The second reform is about the development of an efficient user charging framework. </w:t>
      </w:r>
      <w:r w:rsidDel="00100D8F">
        <w:rPr>
          <w:rFonts w:ascii="Arial" w:eastAsia="Arial" w:hAnsi="Arial" w:cs="Arial"/>
        </w:rPr>
        <w:t xml:space="preserve">As discussed above, </w:t>
      </w:r>
      <w:r>
        <w:t>the question of whether efficient user charging should be adopted for</w:t>
      </w:r>
      <w:r w:rsidRPr="00EF0D8D">
        <w:t xml:space="preserve"> government services </w:t>
      </w:r>
      <w:r>
        <w:t xml:space="preserve">must </w:t>
      </w:r>
      <w:r w:rsidRPr="00EF0D8D">
        <w:t>be considered case</w:t>
      </w:r>
      <w:r>
        <w:t xml:space="preserve"> </w:t>
      </w:r>
      <w:r w:rsidRPr="00EF0D8D">
        <w:t>by</w:t>
      </w:r>
      <w:r>
        <w:t xml:space="preserve"> </w:t>
      </w:r>
      <w:r w:rsidRPr="00EF0D8D">
        <w:t>case</w:t>
      </w:r>
      <w:r>
        <w:t>. This means that the benefit</w:t>
      </w:r>
      <w:r w:rsidDel="00064145">
        <w:t>s</w:t>
      </w:r>
      <w:r>
        <w:t xml:space="preserve"> of adopting a broad</w:t>
      </w:r>
      <w:r w:rsidDel="00D428A2">
        <w:t xml:space="preserve"> framework </w:t>
      </w:r>
      <w:r w:rsidDel="00064145">
        <w:rPr>
          <w:rFonts w:ascii="Arial" w:eastAsia="Arial" w:hAnsi="Arial" w:cs="Arial"/>
        </w:rPr>
        <w:t xml:space="preserve">are </w:t>
      </w:r>
      <w:r>
        <w:rPr>
          <w:rFonts w:ascii="Arial" w:eastAsia="Arial" w:hAnsi="Arial" w:cs="Arial"/>
        </w:rPr>
        <w:t xml:space="preserve">not clear cut. There are some services where the case for efficient user charging is well-established. For example, </w:t>
      </w:r>
      <w:r>
        <w:t xml:space="preserve">the Commission previously estimated that better asset utilisation due to road reform (including but not limited to pricing) could deliver economic and social benefits in the order of 0.7% of GDP </w:t>
      </w:r>
      <w:r w:rsidR="00442DC5" w:rsidRPr="00442DC5">
        <w:rPr>
          <w:rFonts w:ascii="Arial" w:hAnsi="Arial" w:cs="Arial"/>
        </w:rPr>
        <w:t>(PC 2017b, p. 17)</w:t>
      </w:r>
      <w:r w:rsidR="00677CD6">
        <w:rPr>
          <w:rFonts w:ascii="Arial" w:hAnsi="Arial" w:cs="Arial"/>
        </w:rPr>
        <w:t xml:space="preserve"> </w:t>
      </w:r>
      <w:r w:rsidR="00677CD6">
        <w:t>–</w:t>
      </w:r>
      <w:r w:rsidDel="00B621B4">
        <w:t xml:space="preserve"> though it should be noted that this was not a measure of GDP uplift</w:t>
      </w:r>
      <w:r>
        <w:t xml:space="preserve">. For this study we took an elasticity approach to modelling the flow-on economic effects of road user charging. </w:t>
      </w:r>
      <w:r w:rsidDel="00FD5F97">
        <w:t xml:space="preserve">However, </w:t>
      </w:r>
      <w:r>
        <w:t>t</w:t>
      </w:r>
      <w:r w:rsidRPr="00081F2A">
        <w:t>here are</w:t>
      </w:r>
      <w:r>
        <w:t xml:space="preserve"> </w:t>
      </w:r>
      <w:r w:rsidDel="00FD5F97">
        <w:t xml:space="preserve">also </w:t>
      </w:r>
      <w:r>
        <w:t xml:space="preserve">many </w:t>
      </w:r>
      <w:r w:rsidRPr="00081F2A">
        <w:t xml:space="preserve">government services for which </w:t>
      </w:r>
      <w:r>
        <w:t>fully cost</w:t>
      </w:r>
      <w:r>
        <w:noBreakHyphen/>
        <w:t xml:space="preserve">reflective </w:t>
      </w:r>
      <w:r w:rsidRPr="00081F2A">
        <w:t>user charging is not appropriate</w:t>
      </w:r>
      <w:r>
        <w:t xml:space="preserve"> </w:t>
      </w:r>
      <w:r w:rsidRPr="009E588A">
        <w:rPr>
          <w:rFonts w:ascii="Arial" w:eastAsia="Arial" w:hAnsi="Arial" w:cs="Arial"/>
        </w:rPr>
        <w:t>and would be contrary to the objectives of government policy, such as in health and education</w:t>
      </w:r>
      <w:r>
        <w:t xml:space="preserve">. </w:t>
      </w:r>
    </w:p>
    <w:p w14:paraId="57D60AE8" w14:textId="77777777" w:rsidR="00DB2ED9" w:rsidRPr="00E51C4A" w:rsidRDefault="00DB2ED9">
      <w:pPr>
        <w:pStyle w:val="Heading4"/>
      </w:pPr>
      <w:r>
        <w:t>Reforms to s</w:t>
      </w:r>
      <w:r w:rsidRPr="00E51C4A">
        <w:t>pecific industries</w:t>
      </w:r>
    </w:p>
    <w:p w14:paraId="496D58FF" w14:textId="77777777" w:rsidR="00DB2ED9" w:rsidRDefault="00DB2ED9">
      <w:pPr>
        <w:pStyle w:val="BodyText"/>
      </w:pPr>
      <w:r>
        <w:t xml:space="preserve">This theme also included three reforms to address market dynamics or reform competition settings in specific industries. This includes the reforms: </w:t>
      </w:r>
    </w:p>
    <w:p w14:paraId="02FC0C00" w14:textId="77777777" w:rsidR="00DB2ED9" w:rsidRPr="00E51C4A" w:rsidRDefault="00DB2ED9">
      <w:pPr>
        <w:pStyle w:val="ListBullet"/>
      </w:pPr>
      <w:r>
        <w:t xml:space="preserve">to address </w:t>
      </w:r>
      <w:proofErr w:type="spellStart"/>
      <w:r>
        <w:t>p</w:t>
      </w:r>
      <w:r w:rsidRPr="00E51C4A">
        <w:t>hoenixing</w:t>
      </w:r>
      <w:proofErr w:type="spellEnd"/>
      <w:r>
        <w:t xml:space="preserve"> in the construction industry (B4)</w:t>
      </w:r>
    </w:p>
    <w:p w14:paraId="1A651BEB" w14:textId="77777777" w:rsidR="00DB2ED9" w:rsidRPr="00E51C4A" w:rsidRDefault="00DB2ED9">
      <w:pPr>
        <w:pStyle w:val="ListBullet"/>
      </w:pPr>
      <w:r>
        <w:t>to improve competition in the e-conveyancing market (</w:t>
      </w:r>
      <w:r w:rsidRPr="00E51C4A">
        <w:t>B5</w:t>
      </w:r>
      <w:r>
        <w:t>)</w:t>
      </w:r>
    </w:p>
    <w:p w14:paraId="33ECB787" w14:textId="77777777" w:rsidR="00DB2ED9" w:rsidRDefault="00DB2ED9">
      <w:pPr>
        <w:pStyle w:val="ListBullet"/>
      </w:pPr>
      <w:r>
        <w:t>for the marine freight industry, to repeal exemptions from certain competition laws (</w:t>
      </w:r>
      <w:r w:rsidRPr="00E51C4A">
        <w:t>B6</w:t>
      </w:r>
      <w:r>
        <w:t xml:space="preserve">). </w:t>
      </w:r>
    </w:p>
    <w:p w14:paraId="1B498685" w14:textId="77777777" w:rsidR="00DB2ED9" w:rsidRDefault="00DB2ED9">
      <w:pPr>
        <w:pStyle w:val="BodyText"/>
      </w:pPr>
      <w:r>
        <w:t>These reforms have the potential to have significant economic impacts in the specific markets and industries that they affect. For example, e</w:t>
      </w:r>
      <w:r>
        <w:noBreakHyphen/>
        <w:t>conveyancing reforms could transform that market from a near-monopoly to one that is more competitive, which could significantly reduce the cost of e</w:t>
      </w:r>
      <w:r>
        <w:noBreakHyphen/>
        <w:t>conveyancing services. While these reforms are expected to have significant sectoral effects, the flow</w:t>
      </w:r>
      <w:r>
        <w:noBreakHyphen/>
        <w:t xml:space="preserve">on effects to the broader Australian economy are limited. For this reason, we did not separately estimate the flow-on effects of these reforms. </w:t>
      </w:r>
    </w:p>
    <w:p w14:paraId="6EBA52F0" w14:textId="77777777" w:rsidR="00DB2ED9" w:rsidRDefault="00DB2ED9">
      <w:pPr>
        <w:pStyle w:val="Heading3"/>
      </w:pPr>
      <w:bookmarkStart w:id="75" w:name="_Toc181174224"/>
      <w:bookmarkStart w:id="76" w:name="_Toc181360254"/>
      <w:r>
        <w:t xml:space="preserve">Net </w:t>
      </w:r>
      <w:r w:rsidRPr="009447CA">
        <w:t>zero</w:t>
      </w:r>
      <w:bookmarkEnd w:id="75"/>
      <w:bookmarkEnd w:id="76"/>
    </w:p>
    <w:p w14:paraId="7D0CAAFC" w14:textId="12D8842C" w:rsidR="00DB2ED9" w:rsidRDefault="00DB2ED9">
      <w:pPr>
        <w:pStyle w:val="BodyText"/>
      </w:pPr>
      <w:r>
        <w:t xml:space="preserve">As a signatory to the Paris Agreement, Australia </w:t>
      </w:r>
      <w:r w:rsidRPr="00522D05">
        <w:t xml:space="preserve">has committed </w:t>
      </w:r>
      <w:r>
        <w:t xml:space="preserve">to international </w:t>
      </w:r>
      <w:r w:rsidRPr="00522D05">
        <w:t>goal</w:t>
      </w:r>
      <w:r>
        <w:t>s</w:t>
      </w:r>
      <w:r w:rsidRPr="00522D05">
        <w:t xml:space="preserve"> </w:t>
      </w:r>
      <w:r>
        <w:t xml:space="preserve">and efforts to contain the extent of global warming </w:t>
      </w:r>
      <w:r w:rsidRPr="00BC1C2F">
        <w:rPr>
          <w:rFonts w:ascii="Arial" w:hAnsi="Arial" w:cs="Arial"/>
        </w:rPr>
        <w:t>(DCCEEW </w:t>
      </w:r>
      <w:proofErr w:type="spellStart"/>
      <w:r w:rsidRPr="00BC1C2F">
        <w:rPr>
          <w:rFonts w:ascii="Arial" w:hAnsi="Arial" w:cs="Arial"/>
        </w:rPr>
        <w:t>nd</w:t>
      </w:r>
      <w:proofErr w:type="spellEnd"/>
      <w:r w:rsidRPr="00BC1C2F">
        <w:rPr>
          <w:rFonts w:ascii="Arial" w:hAnsi="Arial" w:cs="Arial"/>
        </w:rPr>
        <w:t>; UNCC 2024)</w:t>
      </w:r>
      <w:r>
        <w:t xml:space="preserve">. In line with this commitment, </w:t>
      </w:r>
      <w:r w:rsidRPr="007931B8">
        <w:t>Australia has pledged to achieve net</w:t>
      </w:r>
      <w:r>
        <w:t xml:space="preserve"> </w:t>
      </w:r>
      <w:r w:rsidRPr="007931B8">
        <w:t>zero emissions by 2050</w:t>
      </w:r>
      <w:r>
        <w:t xml:space="preserve"> </w:t>
      </w:r>
      <w:r w:rsidRPr="001C1618">
        <w:rPr>
          <w:rFonts w:ascii="Arial" w:hAnsi="Arial" w:cs="Arial"/>
        </w:rPr>
        <w:t>(DCCEEW </w:t>
      </w:r>
      <w:proofErr w:type="spellStart"/>
      <w:r w:rsidRPr="001C1618">
        <w:rPr>
          <w:rFonts w:ascii="Arial" w:hAnsi="Arial" w:cs="Arial"/>
        </w:rPr>
        <w:t>nd</w:t>
      </w:r>
      <w:proofErr w:type="spellEnd"/>
      <w:r w:rsidRPr="001C1618">
        <w:rPr>
          <w:rFonts w:ascii="Arial" w:hAnsi="Arial" w:cs="Arial"/>
        </w:rPr>
        <w:t>)</w:t>
      </w:r>
      <w:r>
        <w:t xml:space="preserve">. Unnecessarily restrictive regulatory settings could hamper innovation that might otherwise enable the transition to net zero. As the Treasury explained: </w:t>
      </w:r>
    </w:p>
    <w:p w14:paraId="6A0871AB" w14:textId="4AB08958" w:rsidR="00DB2ED9" w:rsidRDefault="00DB2ED9">
      <w:pPr>
        <w:pStyle w:val="Quote"/>
      </w:pPr>
      <w:r w:rsidRPr="00780C92">
        <w:t>Competition has a key role to play in advancing the net zero transformation. Competitive markets drive the innovation and adoption of technologies needed to dramatically reduce emissions. Unnecessary regulatory requirements that reduce efficiency, and limit access to low emissions technology, will increase the abatement costs.</w:t>
      </w:r>
      <w:r>
        <w:t xml:space="preserve"> </w:t>
      </w:r>
      <w:r w:rsidRPr="001E6B60">
        <w:t>(Treasury 2024c, p. 41)</w:t>
      </w:r>
    </w:p>
    <w:p w14:paraId="60FD8B28" w14:textId="77777777" w:rsidR="00DB2ED9" w:rsidRDefault="00DB2ED9">
      <w:pPr>
        <w:pStyle w:val="BodyText"/>
      </w:pPr>
      <w:r>
        <w:t>We were asked to assess five reforms under the net zero theme, which are summarised in tables 1 and 7. The full analysis of each reform is in appendix B2.</w:t>
      </w:r>
    </w:p>
    <w:p w14:paraId="79D055CB" w14:textId="77777777" w:rsidR="00DB2ED9" w:rsidRDefault="00DB2ED9">
      <w:pPr>
        <w:pStyle w:val="Heading4"/>
      </w:pPr>
      <w:r>
        <w:t>Electric vehicles</w:t>
      </w:r>
    </w:p>
    <w:p w14:paraId="48784BE6" w14:textId="77777777" w:rsidR="00DB2ED9" w:rsidRDefault="00DB2ED9">
      <w:pPr>
        <w:pStyle w:val="BodyText"/>
      </w:pPr>
      <w:r>
        <w:t xml:space="preserve">Four reforms were about the uptake of EVs and related infrastructure. </w:t>
      </w:r>
    </w:p>
    <w:p w14:paraId="4A0499D6" w14:textId="77777777" w:rsidR="00DB2ED9" w:rsidRDefault="00DB2ED9" w:rsidP="0012509E">
      <w:pPr>
        <w:pStyle w:val="ListBullet"/>
      </w:pPr>
      <w:r>
        <w:t>Of these, two were to directly enable the import of heavy vehicles (</w:t>
      </w:r>
      <w:r w:rsidRPr="00B428DD">
        <w:t>electric trucks and buses</w:t>
      </w:r>
      <w:r>
        <w:t>) (NZ3) and other types of vehicles including passenger</w:t>
      </w:r>
      <w:r w:rsidRPr="00B234AB">
        <w:t xml:space="preserve"> vehicles (NZ5).</w:t>
      </w:r>
      <w:r>
        <w:t xml:space="preserve"> Overall, we found that these reforms will open up those markets to greater competition. So long as global supply of EVs is not constrained, this will increase the </w:t>
      </w:r>
      <w:r w:rsidRPr="0012509E">
        <w:t>number</w:t>
      </w:r>
      <w:r>
        <w:t xml:space="preserve"> of vehicles available for purchase, leading to lower prices and therefore cost savings for Australian households and businesses. It will also enhance product variety and consumer choice, by expanding the range of vehicles that are available in Australia. </w:t>
      </w:r>
    </w:p>
    <w:p w14:paraId="2D8E7412" w14:textId="2DD35653" w:rsidR="00DB2ED9" w:rsidRDefault="00DB2ED9">
      <w:pPr>
        <w:pStyle w:val="ListBullet"/>
      </w:pPr>
      <w:r>
        <w:lastRenderedPageBreak/>
        <w:t xml:space="preserve">The other two reforms cover standards about charging infrastructure </w:t>
      </w:r>
      <w:r w:rsidR="00677CD6">
        <w:t>–</w:t>
      </w:r>
      <w:r>
        <w:t xml:space="preserve"> to allow bidirectional charging of EVs (NZ2) (this reform could potentially also cover other emerging standards)</w:t>
      </w:r>
      <w:r w:rsidRPr="00B234AB">
        <w:t xml:space="preserve"> </w:t>
      </w:r>
      <w:r>
        <w:t xml:space="preserve">and for EV charging plugs (NZ4). We found that these reforms would create greater certainty for consumers and industry, which will support the uptake of EVs. </w:t>
      </w:r>
    </w:p>
    <w:p w14:paraId="4D079B66" w14:textId="77777777" w:rsidR="00DB2ED9" w:rsidRDefault="00DB2ED9">
      <w:pPr>
        <w:pStyle w:val="FigureTableHeading"/>
      </w:pPr>
      <w:r>
        <w:t>Table 7</w:t>
      </w:r>
      <w:r>
        <w:rPr>
          <w:noProof/>
        </w:rPr>
        <w:t xml:space="preserve"> – </w:t>
      </w:r>
      <w:r>
        <w:t>Summary of net zero reforms</w:t>
      </w:r>
    </w:p>
    <w:tbl>
      <w:tblPr>
        <w:tblW w:w="9639" w:type="dxa"/>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426"/>
        <w:gridCol w:w="1559"/>
        <w:gridCol w:w="3685"/>
        <w:gridCol w:w="3969"/>
      </w:tblGrid>
      <w:tr w:rsidR="00DB2ED9" w:rsidRPr="00030C67" w14:paraId="26164D01" w14:textId="77777777">
        <w:trPr>
          <w:tblHeader/>
        </w:trPr>
        <w:tc>
          <w:tcPr>
            <w:tcW w:w="426" w:type="dxa"/>
            <w:tcBorders>
              <w:bottom w:val="single" w:sz="4" w:space="0" w:color="B3B3B3"/>
            </w:tcBorders>
            <w:shd w:val="clear" w:color="000000" w:fill="auto"/>
            <w:vAlign w:val="bottom"/>
          </w:tcPr>
          <w:p w14:paraId="37E16F1F" w14:textId="77777777" w:rsidR="00DB2ED9" w:rsidRPr="00F5280C" w:rsidRDefault="00DB2ED9">
            <w:pPr>
              <w:pStyle w:val="TableBodyHeading"/>
            </w:pPr>
            <w:r w:rsidRPr="00F5280C">
              <w:t>No.</w:t>
            </w:r>
          </w:p>
        </w:tc>
        <w:tc>
          <w:tcPr>
            <w:tcW w:w="1559" w:type="dxa"/>
            <w:tcBorders>
              <w:bottom w:val="single" w:sz="4" w:space="0" w:color="B3B3B3"/>
            </w:tcBorders>
            <w:shd w:val="clear" w:color="000000" w:fill="auto"/>
          </w:tcPr>
          <w:p w14:paraId="5E70D4A6" w14:textId="77777777" w:rsidR="00DB2ED9" w:rsidRPr="00F5280C" w:rsidRDefault="00DB2ED9">
            <w:pPr>
              <w:pStyle w:val="TableBodyHeading"/>
            </w:pPr>
            <w:r>
              <w:t>Short name</w:t>
            </w:r>
          </w:p>
        </w:tc>
        <w:tc>
          <w:tcPr>
            <w:tcW w:w="3685" w:type="dxa"/>
            <w:tcBorders>
              <w:bottom w:val="single" w:sz="4" w:space="0" w:color="B3B3B3"/>
            </w:tcBorders>
            <w:shd w:val="clear" w:color="000000" w:fill="auto"/>
            <w:vAlign w:val="bottom"/>
          </w:tcPr>
          <w:p w14:paraId="299ABCB9" w14:textId="77777777" w:rsidR="00DB2ED9" w:rsidRPr="00F5280C" w:rsidRDefault="00DB2ED9">
            <w:pPr>
              <w:pStyle w:val="TableBodyHeading"/>
            </w:pPr>
            <w:r>
              <w:t>Key direct effects</w:t>
            </w:r>
          </w:p>
        </w:tc>
        <w:tc>
          <w:tcPr>
            <w:tcW w:w="3969" w:type="dxa"/>
            <w:tcBorders>
              <w:bottom w:val="single" w:sz="4" w:space="0" w:color="B3B3B3"/>
            </w:tcBorders>
            <w:shd w:val="clear" w:color="000000" w:fill="auto"/>
            <w:vAlign w:val="bottom"/>
          </w:tcPr>
          <w:p w14:paraId="3046C592" w14:textId="77777777" w:rsidR="00DB2ED9" w:rsidRPr="00F5280C" w:rsidRDefault="00DB2ED9">
            <w:pPr>
              <w:pStyle w:val="TableBodyHeading"/>
            </w:pPr>
            <w:r>
              <w:t>Key flow-on effects</w:t>
            </w:r>
          </w:p>
        </w:tc>
      </w:tr>
      <w:tr w:rsidR="00DB2ED9" w:rsidRPr="00030C67" w14:paraId="685761EB" w14:textId="77777777">
        <w:tc>
          <w:tcPr>
            <w:tcW w:w="426" w:type="dxa"/>
            <w:tcBorders>
              <w:top w:val="nil"/>
              <w:bottom w:val="nil"/>
            </w:tcBorders>
            <w:shd w:val="clear" w:color="auto" w:fill="F2F2F2" w:themeFill="background1" w:themeFillShade="F2"/>
          </w:tcPr>
          <w:p w14:paraId="4094E678" w14:textId="77777777" w:rsidR="00DB2ED9" w:rsidRPr="00A21E4E" w:rsidRDefault="00DB2ED9">
            <w:pPr>
              <w:pStyle w:val="TableBodyHeading"/>
            </w:pPr>
            <w:r w:rsidRPr="00A21E4E">
              <w:t>NZ1</w:t>
            </w:r>
          </w:p>
        </w:tc>
        <w:tc>
          <w:tcPr>
            <w:tcW w:w="1559" w:type="dxa"/>
            <w:tcBorders>
              <w:top w:val="nil"/>
              <w:bottom w:val="nil"/>
            </w:tcBorders>
            <w:shd w:val="clear" w:color="auto" w:fill="F2F2F2" w:themeFill="background1" w:themeFillShade="F2"/>
          </w:tcPr>
          <w:p w14:paraId="2B5A71E5" w14:textId="77777777" w:rsidR="00DB2ED9" w:rsidRPr="00611CB4" w:rsidRDefault="00DB2ED9">
            <w:pPr>
              <w:pStyle w:val="TableBody"/>
            </w:pPr>
            <w:r>
              <w:t>Right to repair</w:t>
            </w:r>
          </w:p>
        </w:tc>
        <w:tc>
          <w:tcPr>
            <w:tcW w:w="3685" w:type="dxa"/>
            <w:tcBorders>
              <w:top w:val="nil"/>
              <w:bottom w:val="nil"/>
            </w:tcBorders>
            <w:shd w:val="clear" w:color="auto" w:fill="F2F2F2" w:themeFill="background1" w:themeFillShade="F2"/>
          </w:tcPr>
          <w:p w14:paraId="47D03209" w14:textId="77777777" w:rsidR="00DB2ED9" w:rsidRPr="00813A83" w:rsidRDefault="00DB2ED9">
            <w:pPr>
              <w:pStyle w:val="TableBody"/>
              <w:rPr>
                <w:b/>
                <w:bCs/>
              </w:rPr>
            </w:pPr>
            <w:r w:rsidRPr="00813A83">
              <w:rPr>
                <w:b/>
                <w:bCs/>
              </w:rPr>
              <w:t>Estimated effects:</w:t>
            </w:r>
          </w:p>
          <w:p w14:paraId="191C66ED" w14:textId="77777777" w:rsidR="00DB2ED9" w:rsidRDefault="00DB2ED9">
            <w:pPr>
              <w:pStyle w:val="TableBody"/>
            </w:pPr>
            <w:r>
              <w:rPr>
                <w:i/>
                <w:iCs/>
              </w:rPr>
              <w:t xml:space="preserve">For the </w:t>
            </w:r>
            <w:r w:rsidRPr="0057440D">
              <w:rPr>
                <w:i/>
                <w:iCs/>
              </w:rPr>
              <w:t xml:space="preserve">repair </w:t>
            </w:r>
            <w:r>
              <w:rPr>
                <w:i/>
                <w:iCs/>
              </w:rPr>
              <w:t>market:</w:t>
            </w:r>
          </w:p>
          <w:p w14:paraId="71A55BE6" w14:textId="77777777" w:rsidR="00DB2ED9" w:rsidRPr="008531D2" w:rsidRDefault="00DB2ED9">
            <w:pPr>
              <w:pStyle w:val="TableBody"/>
            </w:pPr>
            <w:r>
              <w:t>Lower prices for repair services (</w:t>
            </w:r>
            <w:r w:rsidRPr="008531D2">
              <w:t>remove 10% profit margins for repairers)</w:t>
            </w:r>
          </w:p>
          <w:p w14:paraId="6FC38388" w14:textId="77777777" w:rsidR="00DB2ED9" w:rsidRDefault="00DB2ED9">
            <w:pPr>
              <w:pStyle w:val="TableBody"/>
              <w:keepNext/>
              <w:rPr>
                <w:i/>
                <w:iCs/>
              </w:rPr>
            </w:pPr>
            <w:r>
              <w:rPr>
                <w:i/>
                <w:iCs/>
              </w:rPr>
              <w:t xml:space="preserve">For a </w:t>
            </w:r>
            <w:r w:rsidRPr="00C11A3E">
              <w:rPr>
                <w:i/>
                <w:iCs/>
              </w:rPr>
              <w:t>repair supplies obligation</w:t>
            </w:r>
            <w:r>
              <w:rPr>
                <w:i/>
                <w:iCs/>
              </w:rPr>
              <w:t>:</w:t>
            </w:r>
          </w:p>
          <w:p w14:paraId="3A99F7B6" w14:textId="77777777" w:rsidR="00DB2ED9" w:rsidRPr="00611CB4" w:rsidRDefault="00DB2ED9">
            <w:pPr>
              <w:pStyle w:val="TableBody"/>
            </w:pPr>
            <w:r>
              <w:t xml:space="preserve">Higher </w:t>
            </w:r>
            <w:r w:rsidRPr="008531D2">
              <w:t>agricultural output (value of grain output increases by 3</w:t>
            </w:r>
            <w:r w:rsidRPr="00205F5A">
              <w:t>%</w:t>
            </w:r>
            <w:r>
              <w:t>)</w:t>
            </w:r>
          </w:p>
        </w:tc>
        <w:tc>
          <w:tcPr>
            <w:tcW w:w="3969" w:type="dxa"/>
            <w:tcBorders>
              <w:top w:val="nil"/>
              <w:bottom w:val="nil"/>
            </w:tcBorders>
            <w:shd w:val="clear" w:color="auto" w:fill="F2F2F2" w:themeFill="background1" w:themeFillShade="F2"/>
          </w:tcPr>
          <w:p w14:paraId="3FC0CBF9" w14:textId="77777777" w:rsidR="00DB2ED9" w:rsidRPr="00494F2F" w:rsidRDefault="00DB2ED9">
            <w:pPr>
              <w:pStyle w:val="TableBody"/>
            </w:pPr>
            <w:r w:rsidRPr="00494F2F">
              <w:rPr>
                <w:i/>
                <w:iCs/>
              </w:rPr>
              <w:t xml:space="preserve">For </w:t>
            </w:r>
            <w:r>
              <w:rPr>
                <w:i/>
                <w:iCs/>
              </w:rPr>
              <w:t xml:space="preserve">the </w:t>
            </w:r>
            <w:r w:rsidRPr="00494F2F">
              <w:rPr>
                <w:i/>
                <w:iCs/>
              </w:rPr>
              <w:t>repair market:</w:t>
            </w:r>
          </w:p>
          <w:p w14:paraId="625DD48A" w14:textId="77777777" w:rsidR="00DB2ED9" w:rsidRPr="00494F2F" w:rsidRDefault="00DB2ED9">
            <w:pPr>
              <w:pStyle w:val="TableBody"/>
              <w:keepNext/>
            </w:pPr>
            <w:r w:rsidRPr="00494F2F">
              <w:rPr>
                <w:b/>
              </w:rPr>
              <w:t>GDP:</w:t>
            </w:r>
            <w:r w:rsidRPr="00494F2F">
              <w:t xml:space="preserve"> +$311 m (0.01%)</w:t>
            </w:r>
            <w:r w:rsidRPr="00494F2F">
              <w:br/>
            </w:r>
            <w:r w:rsidRPr="00494F2F">
              <w:rPr>
                <w:b/>
              </w:rPr>
              <w:t>CPI:</w:t>
            </w:r>
            <w:r w:rsidRPr="00494F2F">
              <w:t xml:space="preserve"> +0.01%</w:t>
            </w:r>
            <w:r w:rsidRPr="00494F2F">
              <w:br/>
            </w:r>
            <w:r w:rsidRPr="00494F2F">
              <w:rPr>
                <w:b/>
              </w:rPr>
              <w:t>Net govt revenue (</w:t>
            </w:r>
            <w:proofErr w:type="spellStart"/>
            <w:r w:rsidRPr="00494F2F">
              <w:rPr>
                <w:b/>
              </w:rPr>
              <w:t>Cth</w:t>
            </w:r>
            <w:proofErr w:type="spellEnd"/>
            <w:r w:rsidRPr="00494F2F">
              <w:rPr>
                <w:b/>
              </w:rPr>
              <w:t>):</w:t>
            </w:r>
            <w:r w:rsidRPr="00494F2F">
              <w:t xml:space="preserve"> +$86 m</w:t>
            </w:r>
            <w:r w:rsidRPr="00494F2F">
              <w:br/>
            </w:r>
            <w:r w:rsidRPr="00494F2F">
              <w:rPr>
                <w:b/>
              </w:rPr>
              <w:t>Net govt revenue (S/T):</w:t>
            </w:r>
            <w:r w:rsidRPr="00494F2F">
              <w:t xml:space="preserve"> -$98 m</w:t>
            </w:r>
          </w:p>
          <w:p w14:paraId="44AF9E1B" w14:textId="77777777" w:rsidR="00DB2ED9" w:rsidRPr="00494F2F" w:rsidRDefault="00DB2ED9">
            <w:pPr>
              <w:pStyle w:val="TableBody"/>
            </w:pPr>
            <w:r w:rsidRPr="00494F2F">
              <w:rPr>
                <w:i/>
                <w:iCs/>
              </w:rPr>
              <w:t>For a repair supplies obligation:</w:t>
            </w:r>
          </w:p>
          <w:p w14:paraId="205141D6" w14:textId="77777777" w:rsidR="00DB2ED9" w:rsidRPr="00494F2F" w:rsidRDefault="00DB2ED9">
            <w:pPr>
              <w:pStyle w:val="TableBody"/>
              <w:keepNext/>
            </w:pPr>
            <w:r w:rsidRPr="00494F2F">
              <w:rPr>
                <w:b/>
              </w:rPr>
              <w:t>GDP:</w:t>
            </w:r>
            <w:r w:rsidRPr="00494F2F">
              <w:t xml:space="preserve"> +$97 m (0.00%)</w:t>
            </w:r>
            <w:r w:rsidRPr="00494F2F">
              <w:br/>
            </w:r>
            <w:r w:rsidRPr="00494F2F">
              <w:rPr>
                <w:b/>
              </w:rPr>
              <w:t>CPI:</w:t>
            </w:r>
            <w:r w:rsidRPr="00494F2F">
              <w:t xml:space="preserve"> +0.01%</w:t>
            </w:r>
            <w:r w:rsidRPr="00494F2F">
              <w:br/>
            </w:r>
            <w:r w:rsidRPr="00494F2F">
              <w:rPr>
                <w:b/>
              </w:rPr>
              <w:t>Net govt revenue (</w:t>
            </w:r>
            <w:proofErr w:type="spellStart"/>
            <w:r w:rsidRPr="00494F2F">
              <w:rPr>
                <w:b/>
              </w:rPr>
              <w:t>Cth</w:t>
            </w:r>
            <w:proofErr w:type="spellEnd"/>
            <w:r w:rsidRPr="00494F2F">
              <w:rPr>
                <w:b/>
              </w:rPr>
              <w:t>):</w:t>
            </w:r>
            <w:r w:rsidRPr="00494F2F">
              <w:t xml:space="preserve"> -$19 m</w:t>
            </w:r>
            <w:r w:rsidRPr="00494F2F">
              <w:br/>
            </w:r>
            <w:r w:rsidRPr="00494F2F">
              <w:rPr>
                <w:b/>
              </w:rPr>
              <w:t>Net govt revenue (S/T):</w:t>
            </w:r>
            <w:r w:rsidRPr="00494F2F">
              <w:t xml:space="preserve"> -$17 m</w:t>
            </w:r>
          </w:p>
        </w:tc>
      </w:tr>
      <w:tr w:rsidR="00DB2ED9" w:rsidRPr="00030C67" w14:paraId="24A218F1" w14:textId="77777777">
        <w:tc>
          <w:tcPr>
            <w:tcW w:w="426" w:type="dxa"/>
            <w:tcBorders>
              <w:top w:val="nil"/>
              <w:bottom w:val="nil"/>
            </w:tcBorders>
            <w:shd w:val="clear" w:color="auto" w:fill="auto"/>
          </w:tcPr>
          <w:p w14:paraId="7B545088" w14:textId="77777777" w:rsidR="00DB2ED9" w:rsidRPr="00A21E4E" w:rsidRDefault="00DB2ED9">
            <w:pPr>
              <w:pStyle w:val="TableBodyHeading"/>
            </w:pPr>
            <w:r w:rsidRPr="00A21E4E">
              <w:t>NZ</w:t>
            </w:r>
            <w:r>
              <w:t>2</w:t>
            </w:r>
          </w:p>
        </w:tc>
        <w:tc>
          <w:tcPr>
            <w:tcW w:w="1559" w:type="dxa"/>
            <w:tcBorders>
              <w:top w:val="nil"/>
              <w:bottom w:val="nil"/>
            </w:tcBorders>
            <w:shd w:val="clear" w:color="auto" w:fill="auto"/>
          </w:tcPr>
          <w:p w14:paraId="6CA25B47" w14:textId="77777777" w:rsidR="00DB2ED9" w:rsidRPr="00611CB4" w:rsidRDefault="00DB2ED9">
            <w:pPr>
              <w:pStyle w:val="TableBody"/>
            </w:pPr>
            <w:r>
              <w:t>Overseas standards</w:t>
            </w:r>
          </w:p>
        </w:tc>
        <w:tc>
          <w:tcPr>
            <w:tcW w:w="3685" w:type="dxa"/>
            <w:tcBorders>
              <w:top w:val="nil"/>
              <w:bottom w:val="nil"/>
            </w:tcBorders>
            <w:shd w:val="clear" w:color="auto" w:fill="auto"/>
          </w:tcPr>
          <w:p w14:paraId="2B94A5F6" w14:textId="77777777" w:rsidR="00DB2ED9" w:rsidRDefault="00DB2ED9">
            <w:pPr>
              <w:pStyle w:val="TableBody"/>
              <w:rPr>
                <w:b/>
                <w:bCs/>
              </w:rPr>
            </w:pPr>
            <w:r>
              <w:rPr>
                <w:b/>
                <w:bCs/>
              </w:rPr>
              <w:t>Estimated</w:t>
            </w:r>
            <w:r w:rsidRPr="00813A83">
              <w:rPr>
                <w:b/>
                <w:bCs/>
              </w:rPr>
              <w:t xml:space="preserve"> effects</w:t>
            </w:r>
            <w:r>
              <w:rPr>
                <w:b/>
                <w:bCs/>
              </w:rPr>
              <w:t>:</w:t>
            </w:r>
          </w:p>
          <w:p w14:paraId="00AF88E4" w14:textId="77777777" w:rsidR="00DB2ED9" w:rsidRPr="00031FB4" w:rsidRDefault="00DB2ED9">
            <w:pPr>
              <w:pStyle w:val="TableBody"/>
            </w:pPr>
            <w:r>
              <w:t>Enabling vehicle</w:t>
            </w:r>
            <w:r>
              <w:noBreakHyphen/>
              <w:t>to</w:t>
            </w:r>
            <w:r>
              <w:noBreakHyphen/>
              <w:t>grid reduces the amount of grid</w:t>
            </w:r>
            <w:r>
              <w:noBreakHyphen/>
              <w:t>scale battery storage required (net present value $2 </w:t>
            </w:r>
            <w:proofErr w:type="gramStart"/>
            <w:r>
              <w:t>billion)</w:t>
            </w:r>
            <w:r>
              <w:rPr>
                <w:b/>
                <w:bCs/>
                <w:vertAlign w:val="superscript"/>
              </w:rPr>
              <w:t>a</w:t>
            </w:r>
            <w:proofErr w:type="gramEnd"/>
            <w:r w:rsidRPr="00031FB4">
              <w:t xml:space="preserve"> </w:t>
            </w:r>
          </w:p>
          <w:p w14:paraId="692340FB" w14:textId="77777777" w:rsidR="00DB2ED9" w:rsidRPr="00813A83" w:rsidRDefault="00DB2ED9">
            <w:pPr>
              <w:pStyle w:val="TableBody"/>
              <w:rPr>
                <w:b/>
                <w:bCs/>
              </w:rPr>
            </w:pPr>
            <w:r>
              <w:rPr>
                <w:b/>
                <w:bCs/>
              </w:rPr>
              <w:t xml:space="preserve">Other key </w:t>
            </w:r>
            <w:proofErr w:type="gramStart"/>
            <w:r>
              <w:rPr>
                <w:b/>
                <w:bCs/>
              </w:rPr>
              <w:t xml:space="preserve">effects </w:t>
            </w:r>
            <w:r w:rsidRPr="00813A83">
              <w:rPr>
                <w:b/>
                <w:bCs/>
              </w:rPr>
              <w:t>:</w:t>
            </w:r>
            <w:proofErr w:type="gramEnd"/>
          </w:p>
          <w:p w14:paraId="0880D932" w14:textId="77777777" w:rsidR="00DB2ED9" w:rsidRPr="00611CB4" w:rsidRDefault="00DB2ED9">
            <w:pPr>
              <w:pStyle w:val="TableBody"/>
            </w:pPr>
            <w:r>
              <w:t>Lower prices and greater availability of vehicle</w:t>
            </w:r>
            <w:r>
              <w:noBreakHyphen/>
              <w:t>to</w:t>
            </w:r>
            <w:r>
              <w:noBreakHyphen/>
              <w:t>grid technology</w:t>
            </w:r>
            <w:r>
              <w:br/>
              <w:t>Reduced emissions</w:t>
            </w:r>
          </w:p>
        </w:tc>
        <w:tc>
          <w:tcPr>
            <w:tcW w:w="3969" w:type="dxa"/>
            <w:tcBorders>
              <w:top w:val="nil"/>
              <w:bottom w:val="nil"/>
            </w:tcBorders>
            <w:shd w:val="clear" w:color="auto" w:fill="auto"/>
          </w:tcPr>
          <w:p w14:paraId="52190358" w14:textId="77777777" w:rsidR="00DB2ED9" w:rsidRPr="00611CB4" w:rsidRDefault="00DB2ED9">
            <w:pPr>
              <w:pStyle w:val="TableBody"/>
            </w:pPr>
            <w:r>
              <w:t>Flow on effects were not estimated</w:t>
            </w:r>
          </w:p>
        </w:tc>
      </w:tr>
      <w:tr w:rsidR="00DB2ED9" w:rsidRPr="00030C67" w14:paraId="4C32C776" w14:textId="77777777">
        <w:tc>
          <w:tcPr>
            <w:tcW w:w="426" w:type="dxa"/>
            <w:tcBorders>
              <w:top w:val="nil"/>
              <w:bottom w:val="nil"/>
            </w:tcBorders>
            <w:shd w:val="clear" w:color="auto" w:fill="F2F2F2" w:themeFill="background1" w:themeFillShade="F2"/>
          </w:tcPr>
          <w:p w14:paraId="79A3A472" w14:textId="77777777" w:rsidR="00DB2ED9" w:rsidRPr="001365E0" w:rsidRDefault="00DB2ED9">
            <w:pPr>
              <w:pStyle w:val="TableBodyHeading"/>
            </w:pPr>
            <w:r w:rsidRPr="001365E0">
              <w:t>NZ3</w:t>
            </w:r>
          </w:p>
        </w:tc>
        <w:tc>
          <w:tcPr>
            <w:tcW w:w="1559" w:type="dxa"/>
            <w:tcBorders>
              <w:top w:val="nil"/>
              <w:bottom w:val="nil"/>
            </w:tcBorders>
            <w:shd w:val="clear" w:color="auto" w:fill="F2F2F2" w:themeFill="background1" w:themeFillShade="F2"/>
          </w:tcPr>
          <w:p w14:paraId="15E8B3E2" w14:textId="77777777" w:rsidR="00DB2ED9" w:rsidRPr="001365E0" w:rsidRDefault="00DB2ED9">
            <w:pPr>
              <w:pStyle w:val="TableBody"/>
            </w:pPr>
            <w:r w:rsidRPr="001365E0">
              <w:t>Heavy EVs</w:t>
            </w:r>
          </w:p>
        </w:tc>
        <w:tc>
          <w:tcPr>
            <w:tcW w:w="3685" w:type="dxa"/>
            <w:tcBorders>
              <w:top w:val="nil"/>
              <w:bottom w:val="nil"/>
            </w:tcBorders>
            <w:shd w:val="clear" w:color="auto" w:fill="F2F2F2" w:themeFill="background1" w:themeFillShade="F2"/>
          </w:tcPr>
          <w:p w14:paraId="1B49B25B" w14:textId="77777777" w:rsidR="00DB2ED9" w:rsidRPr="00813A83" w:rsidRDefault="00DB2ED9">
            <w:pPr>
              <w:pStyle w:val="TableBody"/>
              <w:rPr>
                <w:b/>
                <w:bCs/>
              </w:rPr>
            </w:pPr>
            <w:r w:rsidRPr="00813A83">
              <w:rPr>
                <w:b/>
                <w:bCs/>
              </w:rPr>
              <w:t>Estimated effects:</w:t>
            </w:r>
          </w:p>
          <w:p w14:paraId="754C0AF2" w14:textId="77777777" w:rsidR="00DB2ED9" w:rsidRDefault="00DB2ED9">
            <w:pPr>
              <w:pStyle w:val="TableBody"/>
            </w:pPr>
            <w:r>
              <w:t xml:space="preserve">Reduced transport costs for heavy EVs </w:t>
            </w:r>
            <w:r>
              <w:br/>
              <w:t>(1–4% decrease)</w:t>
            </w:r>
          </w:p>
          <w:p w14:paraId="014CE778" w14:textId="77777777" w:rsidR="00DB2ED9" w:rsidRDefault="00DB2ED9">
            <w:pPr>
              <w:pStyle w:val="TableBody"/>
            </w:pPr>
            <w:r>
              <w:t>Increased road damage (5–10% increase)</w:t>
            </w:r>
          </w:p>
          <w:p w14:paraId="7E589C50" w14:textId="77777777" w:rsidR="00DB2ED9" w:rsidRPr="00B715D7" w:rsidRDefault="00DB2ED9">
            <w:pPr>
              <w:pStyle w:val="TableBody"/>
            </w:pPr>
            <w:r w:rsidRPr="00B715D7">
              <w:t xml:space="preserve">Lower prices for </w:t>
            </w:r>
            <w:r w:rsidRPr="008531D2">
              <w:t>heavy EVs (10</w:t>
            </w:r>
            <w:r w:rsidRPr="00205F5A">
              <w:t>%</w:t>
            </w:r>
            <w:r w:rsidRPr="00B715D7">
              <w:t xml:space="preserve"> lower) </w:t>
            </w:r>
          </w:p>
          <w:p w14:paraId="2871B256" w14:textId="77777777" w:rsidR="00DB2ED9" w:rsidRDefault="00DB2ED9">
            <w:pPr>
              <w:pStyle w:val="TableBody"/>
            </w:pPr>
            <w:r>
              <w:t>Removal of 5% import</w:t>
            </w:r>
            <w:r w:rsidRPr="00B715D7">
              <w:t xml:space="preserve"> tariff </w:t>
            </w:r>
            <w:r>
              <w:t>on heavy EVs</w:t>
            </w:r>
            <w:r w:rsidRPr="00B715D7">
              <w:t xml:space="preserve"> </w:t>
            </w:r>
          </w:p>
          <w:p w14:paraId="2CD34344" w14:textId="77777777" w:rsidR="00DB2ED9" w:rsidRDefault="00DB2ED9">
            <w:pPr>
              <w:pStyle w:val="TableBody"/>
              <w:rPr>
                <w:b/>
                <w:bCs/>
              </w:rPr>
            </w:pPr>
            <w:r>
              <w:rPr>
                <w:b/>
                <w:bCs/>
              </w:rPr>
              <w:t xml:space="preserve">Other key </w:t>
            </w:r>
            <w:r w:rsidRPr="00813A83">
              <w:rPr>
                <w:b/>
                <w:bCs/>
              </w:rPr>
              <w:t>effects:</w:t>
            </w:r>
          </w:p>
          <w:p w14:paraId="3FC8601E" w14:textId="77777777" w:rsidR="00DB2ED9" w:rsidRPr="00611CB4" w:rsidRDefault="00DB2ED9">
            <w:pPr>
              <w:pStyle w:val="TableBody"/>
            </w:pPr>
            <w:r>
              <w:t>Reduced emissions</w:t>
            </w:r>
          </w:p>
        </w:tc>
        <w:tc>
          <w:tcPr>
            <w:tcW w:w="3969" w:type="dxa"/>
            <w:tcBorders>
              <w:top w:val="nil"/>
              <w:bottom w:val="nil"/>
            </w:tcBorders>
            <w:shd w:val="clear" w:color="auto" w:fill="F2F2F2" w:themeFill="background1" w:themeFillShade="F2"/>
          </w:tcPr>
          <w:p w14:paraId="051C45A1" w14:textId="77777777" w:rsidR="00DB2ED9" w:rsidRPr="00C0515E" w:rsidRDefault="00DB2ED9">
            <w:pPr>
              <w:pStyle w:val="TableBody"/>
              <w:rPr>
                <w:bCs/>
                <w:i/>
                <w:iCs/>
              </w:rPr>
            </w:pPr>
            <w:r w:rsidRPr="00C0515E">
              <w:rPr>
                <w:bCs/>
                <w:i/>
                <w:iCs/>
              </w:rPr>
              <w:t xml:space="preserve">Combined </w:t>
            </w:r>
            <w:proofErr w:type="spellStart"/>
            <w:r w:rsidRPr="00C0515E">
              <w:rPr>
                <w:bCs/>
                <w:i/>
                <w:iCs/>
              </w:rPr>
              <w:t>effect</w:t>
            </w:r>
            <w:r w:rsidRPr="00636931">
              <w:rPr>
                <w:bCs/>
                <w:i/>
                <w:iCs/>
                <w:vertAlign w:val="superscript"/>
              </w:rPr>
              <w:t>b</w:t>
            </w:r>
            <w:proofErr w:type="spellEnd"/>
            <w:r w:rsidRPr="00C0515E">
              <w:rPr>
                <w:bCs/>
                <w:i/>
                <w:iCs/>
              </w:rPr>
              <w:t>:</w:t>
            </w:r>
          </w:p>
          <w:p w14:paraId="28A7E617" w14:textId="77777777" w:rsidR="00DB2ED9" w:rsidRPr="00611CB4" w:rsidRDefault="00DB2ED9">
            <w:pPr>
              <w:pStyle w:val="TableBody"/>
            </w:pPr>
            <w:r w:rsidRPr="009463A9">
              <w:rPr>
                <w:b/>
              </w:rPr>
              <w:t>GDP:</w:t>
            </w:r>
            <w:r w:rsidRPr="009463A9">
              <w:t xml:space="preserve"> +$748 m (0.03%)</w:t>
            </w:r>
            <w:r w:rsidRPr="009463A9">
              <w:br/>
            </w:r>
            <w:r w:rsidRPr="009463A9">
              <w:rPr>
                <w:b/>
              </w:rPr>
              <w:t>CPI:</w:t>
            </w:r>
            <w:r w:rsidRPr="009463A9">
              <w:t xml:space="preserve"> -0.02%</w:t>
            </w:r>
            <w:r w:rsidRPr="009463A9">
              <w:br/>
            </w:r>
            <w:r w:rsidRPr="009463A9">
              <w:rPr>
                <w:b/>
              </w:rPr>
              <w:t>Net govt revenue (</w:t>
            </w:r>
            <w:proofErr w:type="spellStart"/>
            <w:r w:rsidRPr="009463A9">
              <w:rPr>
                <w:b/>
              </w:rPr>
              <w:t>Cth</w:t>
            </w:r>
            <w:proofErr w:type="spellEnd"/>
            <w:r w:rsidRPr="009463A9">
              <w:rPr>
                <w:b/>
              </w:rPr>
              <w:t>):</w:t>
            </w:r>
            <w:r w:rsidRPr="009463A9">
              <w:t xml:space="preserve"> </w:t>
            </w:r>
            <w:r w:rsidRPr="006632B9">
              <w:t>$51 m</w:t>
            </w:r>
            <w:r w:rsidRPr="009463A9">
              <w:br/>
            </w:r>
            <w:r w:rsidRPr="009463A9">
              <w:rPr>
                <w:b/>
              </w:rPr>
              <w:t>Net govt revenue (S/T):</w:t>
            </w:r>
            <w:r w:rsidRPr="009463A9">
              <w:t xml:space="preserve"> </w:t>
            </w:r>
            <w:r w:rsidRPr="006632B9">
              <w:t>-$58 m</w:t>
            </w:r>
          </w:p>
        </w:tc>
      </w:tr>
      <w:tr w:rsidR="00DB2ED9" w:rsidRPr="00030C67" w14:paraId="6FC95083" w14:textId="77777777">
        <w:tc>
          <w:tcPr>
            <w:tcW w:w="426" w:type="dxa"/>
            <w:tcBorders>
              <w:top w:val="nil"/>
              <w:bottom w:val="nil"/>
            </w:tcBorders>
            <w:shd w:val="clear" w:color="auto" w:fill="auto"/>
          </w:tcPr>
          <w:p w14:paraId="531AE22B" w14:textId="77777777" w:rsidR="00DB2ED9" w:rsidRPr="00A21E4E" w:rsidRDefault="00DB2ED9">
            <w:pPr>
              <w:pStyle w:val="TableBodyHeading"/>
            </w:pPr>
            <w:r w:rsidRPr="00A21E4E">
              <w:t>NZ</w:t>
            </w:r>
            <w:r>
              <w:t>4</w:t>
            </w:r>
          </w:p>
        </w:tc>
        <w:tc>
          <w:tcPr>
            <w:tcW w:w="1559" w:type="dxa"/>
            <w:tcBorders>
              <w:top w:val="nil"/>
              <w:bottom w:val="nil"/>
            </w:tcBorders>
            <w:shd w:val="clear" w:color="auto" w:fill="auto"/>
          </w:tcPr>
          <w:p w14:paraId="49635F77" w14:textId="77777777" w:rsidR="00DB2ED9" w:rsidRPr="00611CB4" w:rsidRDefault="00DB2ED9">
            <w:pPr>
              <w:pStyle w:val="TableBody"/>
            </w:pPr>
            <w:r>
              <w:t xml:space="preserve">EV charging </w:t>
            </w:r>
          </w:p>
        </w:tc>
        <w:tc>
          <w:tcPr>
            <w:tcW w:w="3685" w:type="dxa"/>
            <w:tcBorders>
              <w:top w:val="nil"/>
              <w:bottom w:val="nil"/>
            </w:tcBorders>
            <w:shd w:val="clear" w:color="auto" w:fill="auto"/>
          </w:tcPr>
          <w:p w14:paraId="04523BE4" w14:textId="77777777" w:rsidR="00DB2ED9" w:rsidRPr="00813A83" w:rsidRDefault="00DB2ED9">
            <w:pPr>
              <w:pStyle w:val="TableBody"/>
              <w:rPr>
                <w:b/>
                <w:bCs/>
              </w:rPr>
            </w:pPr>
            <w:r>
              <w:rPr>
                <w:b/>
                <w:bCs/>
              </w:rPr>
              <w:t>Key</w:t>
            </w:r>
            <w:r w:rsidRPr="00813A83">
              <w:rPr>
                <w:b/>
                <w:bCs/>
              </w:rPr>
              <w:t xml:space="preserve"> effects</w:t>
            </w:r>
            <w:r>
              <w:rPr>
                <w:b/>
                <w:bCs/>
              </w:rPr>
              <w:t xml:space="preserve"> (not estimated)</w:t>
            </w:r>
            <w:r w:rsidRPr="00813A83">
              <w:rPr>
                <w:b/>
                <w:bCs/>
              </w:rPr>
              <w:t>:</w:t>
            </w:r>
          </w:p>
          <w:p w14:paraId="61D03D44" w14:textId="77777777" w:rsidR="00DB2ED9" w:rsidRPr="00611CB4" w:rsidRDefault="00DB2ED9">
            <w:pPr>
              <w:pStyle w:val="TableBody"/>
            </w:pPr>
            <w:r>
              <w:t>Greater certainty for charging infrastructure</w:t>
            </w:r>
            <w:r>
              <w:br/>
              <w:t>Greater take up of EVs, which may contribute to reduced emissions</w:t>
            </w:r>
          </w:p>
        </w:tc>
        <w:tc>
          <w:tcPr>
            <w:tcW w:w="3969" w:type="dxa"/>
            <w:tcBorders>
              <w:top w:val="nil"/>
              <w:bottom w:val="nil"/>
            </w:tcBorders>
            <w:shd w:val="clear" w:color="auto" w:fill="auto"/>
          </w:tcPr>
          <w:p w14:paraId="0CCB56B0" w14:textId="77777777" w:rsidR="00DB2ED9" w:rsidRPr="00611CB4" w:rsidRDefault="00DB2ED9">
            <w:pPr>
              <w:pStyle w:val="TableBody"/>
            </w:pPr>
            <w:r>
              <w:t>Flow on effects were not estimated</w:t>
            </w:r>
          </w:p>
        </w:tc>
      </w:tr>
      <w:tr w:rsidR="00DB2ED9" w:rsidRPr="00030C67" w14:paraId="5CA1C993" w14:textId="77777777">
        <w:tc>
          <w:tcPr>
            <w:tcW w:w="426" w:type="dxa"/>
            <w:tcBorders>
              <w:bottom w:val="single" w:sz="4" w:space="0" w:color="B3B3B3"/>
            </w:tcBorders>
            <w:shd w:val="clear" w:color="auto" w:fill="F2F2F2" w:themeFill="background1" w:themeFillShade="F2"/>
          </w:tcPr>
          <w:p w14:paraId="1922A2BC" w14:textId="77777777" w:rsidR="00DB2ED9" w:rsidRPr="00A21E4E" w:rsidRDefault="00DB2ED9">
            <w:pPr>
              <w:pStyle w:val="TableBodyHeading"/>
            </w:pPr>
            <w:r w:rsidRPr="00A21E4E">
              <w:t>NZ</w:t>
            </w:r>
            <w:r>
              <w:t>5</w:t>
            </w:r>
          </w:p>
        </w:tc>
        <w:tc>
          <w:tcPr>
            <w:tcW w:w="1559" w:type="dxa"/>
            <w:tcBorders>
              <w:bottom w:val="single" w:sz="4" w:space="0" w:color="B3B3B3"/>
            </w:tcBorders>
            <w:shd w:val="clear" w:color="auto" w:fill="F2F2F2" w:themeFill="background1" w:themeFillShade="F2"/>
          </w:tcPr>
          <w:p w14:paraId="60C9C490" w14:textId="77777777" w:rsidR="00DB2ED9" w:rsidRPr="00030C67" w:rsidRDefault="00DB2ED9">
            <w:pPr>
              <w:pStyle w:val="TableBody"/>
              <w:rPr>
                <w:rFonts w:ascii="Arial (Body)" w:hAnsi="Arial (Body)"/>
                <w:color w:val="000000"/>
              </w:rPr>
            </w:pPr>
            <w:r>
              <w:t>EV imports</w:t>
            </w:r>
          </w:p>
        </w:tc>
        <w:tc>
          <w:tcPr>
            <w:tcW w:w="3685" w:type="dxa"/>
            <w:tcBorders>
              <w:bottom w:val="single" w:sz="4" w:space="0" w:color="B3B3B3"/>
            </w:tcBorders>
            <w:shd w:val="clear" w:color="auto" w:fill="F2F2F2" w:themeFill="background1" w:themeFillShade="F2"/>
          </w:tcPr>
          <w:p w14:paraId="37869FFB" w14:textId="77777777" w:rsidR="00DB2ED9" w:rsidRPr="00813A83" w:rsidRDefault="00DB2ED9">
            <w:pPr>
              <w:pStyle w:val="TableBody"/>
              <w:rPr>
                <w:b/>
                <w:bCs/>
              </w:rPr>
            </w:pPr>
            <w:r w:rsidRPr="00813A83">
              <w:rPr>
                <w:b/>
                <w:bCs/>
              </w:rPr>
              <w:t>Estimated effects:</w:t>
            </w:r>
          </w:p>
          <w:p w14:paraId="42B42797" w14:textId="77777777" w:rsidR="00DB2ED9" w:rsidRPr="008531D2" w:rsidRDefault="00DB2ED9">
            <w:pPr>
              <w:pStyle w:val="TableBody"/>
            </w:pPr>
            <w:r>
              <w:t xml:space="preserve">Lower prices for second </w:t>
            </w:r>
            <w:r w:rsidRPr="008531D2">
              <w:t xml:space="preserve">hand EVs (15% decrease) </w:t>
            </w:r>
          </w:p>
          <w:p w14:paraId="145FA9AB" w14:textId="77777777" w:rsidR="00DB2ED9" w:rsidRDefault="00DB2ED9">
            <w:pPr>
              <w:pStyle w:val="TableBody"/>
              <w:rPr>
                <w:b/>
                <w:bCs/>
              </w:rPr>
            </w:pPr>
            <w:r>
              <w:rPr>
                <w:b/>
                <w:bCs/>
              </w:rPr>
              <w:t xml:space="preserve">Other key </w:t>
            </w:r>
            <w:r w:rsidRPr="00813A83">
              <w:rPr>
                <w:b/>
                <w:bCs/>
              </w:rPr>
              <w:t>effects:</w:t>
            </w:r>
          </w:p>
          <w:p w14:paraId="34FCC87C" w14:textId="77777777" w:rsidR="00DB2ED9" w:rsidRPr="000C7A11" w:rsidRDefault="00DB2ED9">
            <w:pPr>
              <w:pStyle w:val="TableBody"/>
            </w:pPr>
            <w:r>
              <w:t>Increase in product variety</w:t>
            </w:r>
          </w:p>
        </w:tc>
        <w:tc>
          <w:tcPr>
            <w:tcW w:w="3969" w:type="dxa"/>
            <w:tcBorders>
              <w:bottom w:val="single" w:sz="4" w:space="0" w:color="B3B3B3"/>
            </w:tcBorders>
            <w:shd w:val="clear" w:color="auto" w:fill="F2F2F2" w:themeFill="background1" w:themeFillShade="F2"/>
          </w:tcPr>
          <w:p w14:paraId="60A3FBD6" w14:textId="77777777" w:rsidR="00DB2ED9" w:rsidRPr="00ED23AB" w:rsidRDefault="00DB2ED9">
            <w:pPr>
              <w:pStyle w:val="TableBody"/>
              <w:rPr>
                <w:b/>
              </w:rPr>
            </w:pPr>
            <w:r w:rsidRPr="00ED23AB">
              <w:rPr>
                <w:b/>
              </w:rPr>
              <w:t>GDP:</w:t>
            </w:r>
            <w:r w:rsidRPr="00ED23AB">
              <w:t xml:space="preserve"> +$1,095 m (0.04%)</w:t>
            </w:r>
            <w:r w:rsidRPr="00ED23AB">
              <w:br/>
            </w:r>
            <w:r w:rsidRPr="00ED23AB">
              <w:rPr>
                <w:b/>
              </w:rPr>
              <w:t>CPI:</w:t>
            </w:r>
            <w:r w:rsidRPr="00ED23AB">
              <w:t xml:space="preserve"> -0.04%</w:t>
            </w:r>
            <w:r w:rsidRPr="00ED23AB">
              <w:br/>
            </w:r>
            <w:r w:rsidRPr="00ED23AB">
              <w:rPr>
                <w:b/>
              </w:rPr>
              <w:t>Net govt revenue (</w:t>
            </w:r>
            <w:proofErr w:type="spellStart"/>
            <w:r w:rsidRPr="00ED23AB">
              <w:rPr>
                <w:b/>
              </w:rPr>
              <w:t>Cth</w:t>
            </w:r>
            <w:proofErr w:type="spellEnd"/>
            <w:r w:rsidRPr="00ED23AB">
              <w:rPr>
                <w:b/>
              </w:rPr>
              <w:t>):</w:t>
            </w:r>
            <w:r w:rsidRPr="00ED23AB">
              <w:t xml:space="preserve"> +$164 m</w:t>
            </w:r>
            <w:r w:rsidRPr="00ED23AB">
              <w:br/>
            </w:r>
            <w:r w:rsidRPr="00ED23AB">
              <w:rPr>
                <w:b/>
              </w:rPr>
              <w:t>Net govt revenue (S/T):</w:t>
            </w:r>
            <w:r w:rsidRPr="00ED23AB">
              <w:t xml:space="preserve"> -$124 m</w:t>
            </w:r>
          </w:p>
          <w:p w14:paraId="0E0122D4" w14:textId="77777777" w:rsidR="00DB2ED9" w:rsidRPr="00ED23AB" w:rsidRDefault="00DB2ED9">
            <w:pPr>
              <w:pStyle w:val="TableBody"/>
              <w:rPr>
                <w:rFonts w:ascii="Arial (Body)" w:hAnsi="Arial (Body)"/>
              </w:rPr>
            </w:pPr>
          </w:p>
        </w:tc>
      </w:tr>
    </w:tbl>
    <w:p w14:paraId="45BEECD6" w14:textId="77777777" w:rsidR="00DB2ED9" w:rsidRDefault="00DB2ED9">
      <w:pPr>
        <w:pStyle w:val="Note"/>
      </w:pPr>
      <w:r w:rsidRPr="00C36914">
        <w:rPr>
          <w:b/>
          <w:bCs/>
        </w:rPr>
        <w:t>a.</w:t>
      </w:r>
      <w:r w:rsidRPr="00C36914">
        <w:t xml:space="preserve"> </w:t>
      </w:r>
      <w:r>
        <w:t>Effects of adopting vehicle-to-grid technology, compared to no uptake</w:t>
      </w:r>
      <w:r w:rsidRPr="00824ABC">
        <w:t>.</w:t>
      </w:r>
      <w:r>
        <w:t xml:space="preserve"> </w:t>
      </w:r>
      <w:r>
        <w:rPr>
          <w:b/>
          <w:bCs/>
        </w:rPr>
        <w:t xml:space="preserve">b. </w:t>
      </w:r>
      <w:r>
        <w:t>Estimated for a scenario with maximal reduction in transport costs (4%) and minimal increase in road damage (5%). For disaggregated estimates, see appendix B2.</w:t>
      </w:r>
    </w:p>
    <w:p w14:paraId="48909ED0" w14:textId="6F1CF6A7" w:rsidR="00DB2ED9" w:rsidRDefault="00DB2ED9">
      <w:pPr>
        <w:pStyle w:val="BodyText"/>
      </w:pPr>
      <w:r>
        <w:lastRenderedPageBreak/>
        <w:t xml:space="preserve">Together, these reforms are estimated to boost Australia’s GDP by </w:t>
      </w:r>
      <w:r w:rsidRPr="00581B55">
        <w:t>$1.8 billion</w:t>
      </w:r>
      <w:r>
        <w:t xml:space="preserve">. These reforms will also facilitate a quicker transition from internal combustion engine vehicles to EVs, enabling faster emissions reduction </w:t>
      </w:r>
      <w:r w:rsidR="00677CD6">
        <w:t>–</w:t>
      </w:r>
      <w:r>
        <w:t xml:space="preserve"> thereby supporting Australia’s net zero objectives. There will be some costs involved. Transitioning to heavy EVs will increase wear and tear on roads, as heavy EVs generally weigh more than their conventional counterparts. In the short run, road damage will increase as heavy EV uptake increases</w:t>
      </w:r>
      <w:r w:rsidR="002B6FB2">
        <w:t xml:space="preserve"> </w:t>
      </w:r>
      <w:r>
        <w:t xml:space="preserve">but given international efforts to </w:t>
      </w:r>
      <w:r w:rsidRPr="00C14FFD">
        <w:t>develop lighter EV</w:t>
      </w:r>
      <w:r>
        <w:t>s</w:t>
      </w:r>
      <w:r w:rsidRPr="00C14FFD">
        <w:t xml:space="preserve"> and more efficient engines</w:t>
      </w:r>
      <w:r>
        <w:t xml:space="preserve"> </w:t>
      </w:r>
      <w:r w:rsidRPr="00C14FFD">
        <w:t>(</w:t>
      </w:r>
      <w:proofErr w:type="spellStart"/>
      <w:r w:rsidRPr="00C14FFD">
        <w:t>Elmelin</w:t>
      </w:r>
      <w:proofErr w:type="spellEnd"/>
      <w:r w:rsidRPr="00C14FFD">
        <w:t> 2023)</w:t>
      </w:r>
      <w:r>
        <w:t xml:space="preserve">, it is unclear whether these costs will persist in the long run. </w:t>
      </w:r>
    </w:p>
    <w:p w14:paraId="6F297FEE" w14:textId="77777777" w:rsidR="00DB2ED9" w:rsidRPr="0053439A" w:rsidRDefault="00DB2ED9">
      <w:pPr>
        <w:pStyle w:val="Heading4"/>
      </w:pPr>
      <w:r w:rsidRPr="0053439A">
        <w:t>Right to repair</w:t>
      </w:r>
    </w:p>
    <w:p w14:paraId="261DBCA8" w14:textId="0F625C8D" w:rsidR="00DB2ED9" w:rsidRPr="005025AF" w:rsidRDefault="00DB2ED9">
      <w:pPr>
        <w:pStyle w:val="BodyText"/>
      </w:pPr>
      <w:r w:rsidRPr="0053439A">
        <w:t xml:space="preserve">We also considered one reform about addressing barriers to the right to repair (NZ1), stemming from recommendations made in the Commission’s </w:t>
      </w:r>
      <w:r w:rsidRPr="00CF1298">
        <w:rPr>
          <w:i/>
          <w:iCs/>
        </w:rPr>
        <w:t xml:space="preserve">Right to </w:t>
      </w:r>
      <w:r>
        <w:rPr>
          <w:i/>
          <w:iCs/>
        </w:rPr>
        <w:t>r</w:t>
      </w:r>
      <w:r w:rsidRPr="00CF1298">
        <w:rPr>
          <w:i/>
          <w:iCs/>
        </w:rPr>
        <w:t>epair</w:t>
      </w:r>
      <w:r w:rsidRPr="0053439A">
        <w:t xml:space="preserve"> inquiry </w:t>
      </w:r>
      <w:r w:rsidR="00442DC5" w:rsidRPr="00442DC5">
        <w:rPr>
          <w:rFonts w:ascii="Arial" w:hAnsi="Arial" w:cs="Arial"/>
        </w:rPr>
        <w:t>(PC 2021d)</w:t>
      </w:r>
      <w:r w:rsidRPr="0053439A">
        <w:t>. One key</w:t>
      </w:r>
      <w:r>
        <w:t xml:space="preserve"> recommendation </w:t>
      </w:r>
      <w:r w:rsidRPr="0053439A">
        <w:t xml:space="preserve">was </w:t>
      </w:r>
      <w:r>
        <w:t xml:space="preserve">to introduce a repair supplies obligation for agricultural machinery. This would mean that, when agricultural machinery breaks down, farmers would be able access more repairs in a timelier fashion. This is important because, at critical points during harvest time, delays can cause crops to spoil or deteriorate in quality, leading to production losses. We found that implementing that recommendation could lead to higher output for farmers, translating to </w:t>
      </w:r>
      <w:r w:rsidRPr="00DF7A87">
        <w:t>a $97 million increase to GDP</w:t>
      </w:r>
      <w:r>
        <w:t xml:space="preserve">. The inquiry also made recommendations to </w:t>
      </w:r>
      <w:r>
        <w:rPr>
          <w:rFonts w:ascii="Arial" w:eastAsia="Calibri" w:hAnsi="Arial" w:cs="Arial"/>
        </w:rPr>
        <w:t>bolster the rights of consumers and third</w:t>
      </w:r>
      <w:r>
        <w:rPr>
          <w:rFonts w:ascii="Arial" w:eastAsia="Calibri" w:hAnsi="Arial" w:cs="Arial"/>
        </w:rPr>
        <w:noBreakHyphen/>
        <w:t>party repairers. Implementing these recommendations will lead to greater competition in the repair sector, leading to a $</w:t>
      </w:r>
      <w:r w:rsidRPr="00DF7A87">
        <w:rPr>
          <w:rFonts w:ascii="Arial" w:eastAsia="Calibri" w:hAnsi="Arial" w:cs="Arial"/>
        </w:rPr>
        <w:t>311</w:t>
      </w:r>
      <w:r>
        <w:rPr>
          <w:rFonts w:ascii="Arial" w:eastAsia="Calibri" w:hAnsi="Arial" w:cs="Arial"/>
        </w:rPr>
        <w:t xml:space="preserve"> million increase to GDP. Implementing the reforms could also have upstream effects on the original product market that bolster consumer wellbeing, though it was not possible to estimate the magnitude of these effects. </w:t>
      </w:r>
    </w:p>
    <w:p w14:paraId="5DDB41C9" w14:textId="77777777" w:rsidR="00DB2ED9" w:rsidRDefault="00DB2ED9">
      <w:pPr>
        <w:pStyle w:val="Heading3"/>
      </w:pPr>
      <w:bookmarkStart w:id="77" w:name="_Toc181174225"/>
      <w:bookmarkStart w:id="78" w:name="_Toc181360255"/>
      <w:r>
        <w:t>Labour mobility</w:t>
      </w:r>
      <w:bookmarkEnd w:id="77"/>
      <w:bookmarkEnd w:id="78"/>
    </w:p>
    <w:p w14:paraId="3F77A42C" w14:textId="12381A74" w:rsidR="00DB2ED9" w:rsidRDefault="00DB2ED9">
      <w:pPr>
        <w:pStyle w:val="BodyText"/>
      </w:pPr>
      <w:r w:rsidRPr="00923BAF">
        <w:t xml:space="preserve">Labour mobility </w:t>
      </w:r>
      <w:r>
        <w:t xml:space="preserve">is about the ability of workers to move between different employers, occupations and geographical regions. A flexible workforce means that the labour market is more competitive, leading to better employment conditions and higher real wages for workers </w:t>
      </w:r>
      <w:r w:rsidRPr="00942810">
        <w:rPr>
          <w:rFonts w:ascii="Arial" w:hAnsi="Arial" w:cs="Arial"/>
        </w:rPr>
        <w:t>(Deutscher 2019)</w:t>
      </w:r>
      <w:r>
        <w:t>. It also means that the economy can more readily adapt to changes, which improves productivity and supports economic dynamism:</w:t>
      </w:r>
    </w:p>
    <w:p w14:paraId="6BE1F1E4" w14:textId="44A897A5" w:rsidR="00DB2ED9" w:rsidRDefault="00DB2ED9">
      <w:pPr>
        <w:pStyle w:val="Quote"/>
      </w:pPr>
      <w:r>
        <w:t>J</w:t>
      </w:r>
      <w:r w:rsidRPr="00FA0586">
        <w:t>ob mobility matters to the entire economy. In fact, job switching is something economists use as an indicator of a well</w:t>
      </w:r>
      <w:r>
        <w:noBreakHyphen/>
      </w:r>
      <w:r w:rsidRPr="00FA0586">
        <w:t>functioning, competitive and dynamic labour market. For businesses, it means improved productivity, as they can attract the talent and skills they need.</w:t>
      </w:r>
      <w:r>
        <w:t xml:space="preserve"> </w:t>
      </w:r>
      <w:r w:rsidRPr="006E6E64">
        <w:rPr>
          <w:rFonts w:ascii="Arial" w:hAnsi="Arial" w:cs="Arial"/>
        </w:rPr>
        <w:t>(Leigh 2024)</w:t>
      </w:r>
    </w:p>
    <w:p w14:paraId="5609A3B9" w14:textId="77777777" w:rsidR="00DB2ED9" w:rsidRDefault="00DB2ED9">
      <w:pPr>
        <w:pStyle w:val="BodyText"/>
        <w:keepNext/>
      </w:pPr>
      <w:r>
        <w:t xml:space="preserve">The two proposed reforms under the labour mobility theme focus on the ability of workers to move between employers and between occupations (tables 1 and 8). </w:t>
      </w:r>
    </w:p>
    <w:p w14:paraId="4ADADFA0" w14:textId="21AAD2B6" w:rsidR="00DB2ED9" w:rsidRDefault="00DB2ED9">
      <w:pPr>
        <w:pStyle w:val="ListBullet"/>
      </w:pPr>
      <w:r>
        <w:t xml:space="preserve">One is about limiting the unreasonable use of restraint of trade clauses (L1) </w:t>
      </w:r>
      <w:r w:rsidR="00677CD6">
        <w:t>–</w:t>
      </w:r>
      <w:r>
        <w:t xml:space="preserve"> focusing on non</w:t>
      </w:r>
      <w:r>
        <w:noBreakHyphen/>
        <w:t xml:space="preserve">compete clauses, which impede the ability of workers to switch employers and start up rival businesses. </w:t>
      </w:r>
    </w:p>
    <w:p w14:paraId="49C1DAC9" w14:textId="77777777" w:rsidR="00DB2ED9" w:rsidRDefault="00DB2ED9">
      <w:pPr>
        <w:pStyle w:val="ListBullet"/>
      </w:pPr>
      <w:r>
        <w:t>The second reform is about occupational licensing, which governs the entry of new workers into certain professions. This reform consists of two sub</w:t>
      </w:r>
      <w:r>
        <w:noBreakHyphen/>
        <w:t>reforms to: r</w:t>
      </w:r>
      <w:r w:rsidRPr="005B04E1">
        <w:t>educ</w:t>
      </w:r>
      <w:r>
        <w:t>e</w:t>
      </w:r>
      <w:r w:rsidRPr="005B04E1">
        <w:t xml:space="preserve"> unnecessary occupational licensing requirements</w:t>
      </w:r>
      <w:r>
        <w:t xml:space="preserve"> (L2.1); and address</w:t>
      </w:r>
      <w:r w:rsidRPr="00ED529D">
        <w:t xml:space="preserve"> conflicts of interests</w:t>
      </w:r>
      <w:r>
        <w:t xml:space="preserve"> in occupational licensing decisions (L2.2).</w:t>
      </w:r>
    </w:p>
    <w:p w14:paraId="2CF32CCF" w14:textId="047E2CF2" w:rsidR="00DB2ED9" w:rsidRDefault="00DB2ED9">
      <w:pPr>
        <w:pStyle w:val="BodyText"/>
      </w:pPr>
      <w:r>
        <w:t xml:space="preserve">Reforms are already underway to enable automatic mutual recognition of occupational licensing between jurisdictions and therefore are not in scope for this study. In 2020, the </w:t>
      </w:r>
      <w:r w:rsidRPr="2570AD72">
        <w:rPr>
          <w:i/>
          <w:iCs/>
        </w:rPr>
        <w:t>Intergovernmental Agreement on the Automatic Mutual Recognition of Occupational Registration</w:t>
      </w:r>
      <w:r>
        <w:t xml:space="preserve"> </w:t>
      </w:r>
      <w:r w:rsidRPr="2570AD72">
        <w:rPr>
          <w:rFonts w:ascii="Arial" w:hAnsi="Arial" w:cs="Arial"/>
        </w:rPr>
        <w:t>(National Cabinet 2020)</w:t>
      </w:r>
      <w:r>
        <w:t xml:space="preserve"> was signed, to enable licensed workers to move between and operate more seamlessly across state lines. In line with the terms of the agreement, an evaluation of the automatic mutual recognition scheme is expected in 2025.</w:t>
      </w:r>
    </w:p>
    <w:p w14:paraId="080AC83C" w14:textId="77777777" w:rsidR="00DB2ED9" w:rsidRDefault="00DB2ED9">
      <w:pPr>
        <w:pStyle w:val="BodyText"/>
      </w:pPr>
      <w:r>
        <w:t xml:space="preserve">Overall, the labour mobility reforms are estimated to have a significant economic impact (the full analysis of each reform is in appendix B3), including a </w:t>
      </w:r>
      <w:r w:rsidRPr="00DF7A87">
        <w:t>$7.7–15.5 billion</w:t>
      </w:r>
      <w:r>
        <w:t xml:space="preserve"> </w:t>
      </w:r>
      <w:proofErr w:type="gramStart"/>
      <w:r>
        <w:t>boost</w:t>
      </w:r>
      <w:proofErr w:type="gramEnd"/>
      <w:r>
        <w:t xml:space="preserve"> to GDP. This estimate of the GDP impact derives solely from the effects of reforms L1 and L2.1. </w:t>
      </w:r>
    </w:p>
    <w:p w14:paraId="20B060C5" w14:textId="77777777" w:rsidR="00DB2ED9" w:rsidRDefault="00DB2ED9">
      <w:pPr>
        <w:pStyle w:val="FigureTableHeading"/>
      </w:pPr>
      <w:r>
        <w:lastRenderedPageBreak/>
        <w:t>Table 8</w:t>
      </w:r>
      <w:r>
        <w:rPr>
          <w:noProof/>
        </w:rPr>
        <w:t xml:space="preserve"> – </w:t>
      </w:r>
      <w:r>
        <w:t>Summary of l</w:t>
      </w:r>
      <w:r w:rsidRPr="001C1323">
        <w:t>abour mobility</w:t>
      </w:r>
      <w:r>
        <w:t xml:space="preserve"> reforms</w:t>
      </w:r>
    </w:p>
    <w:tbl>
      <w:tblPr>
        <w:tblW w:w="9639" w:type="dxa"/>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426"/>
        <w:gridCol w:w="1559"/>
        <w:gridCol w:w="3685"/>
        <w:gridCol w:w="3969"/>
      </w:tblGrid>
      <w:tr w:rsidR="00DB2ED9" w:rsidRPr="00030C67" w14:paraId="5DB42574" w14:textId="77777777">
        <w:trPr>
          <w:tblHeader/>
        </w:trPr>
        <w:tc>
          <w:tcPr>
            <w:tcW w:w="426" w:type="dxa"/>
            <w:tcBorders>
              <w:bottom w:val="single" w:sz="4" w:space="0" w:color="B3B3B3"/>
            </w:tcBorders>
            <w:shd w:val="clear" w:color="000000" w:fill="auto"/>
            <w:vAlign w:val="bottom"/>
          </w:tcPr>
          <w:p w14:paraId="297D172C" w14:textId="77777777" w:rsidR="00DB2ED9" w:rsidRPr="00F5280C" w:rsidRDefault="00DB2ED9">
            <w:pPr>
              <w:pStyle w:val="TableBodyHeading"/>
            </w:pPr>
            <w:r w:rsidRPr="00F5280C">
              <w:t>No.</w:t>
            </w:r>
          </w:p>
        </w:tc>
        <w:tc>
          <w:tcPr>
            <w:tcW w:w="1559" w:type="dxa"/>
            <w:tcBorders>
              <w:bottom w:val="single" w:sz="4" w:space="0" w:color="B3B3B3"/>
            </w:tcBorders>
            <w:shd w:val="clear" w:color="000000" w:fill="auto"/>
          </w:tcPr>
          <w:p w14:paraId="3EEEAFE7" w14:textId="77777777" w:rsidR="00DB2ED9" w:rsidRPr="00F5280C" w:rsidRDefault="00DB2ED9">
            <w:pPr>
              <w:pStyle w:val="TableBodyHeading"/>
            </w:pPr>
            <w:r>
              <w:t>Short name</w:t>
            </w:r>
          </w:p>
        </w:tc>
        <w:tc>
          <w:tcPr>
            <w:tcW w:w="3685" w:type="dxa"/>
            <w:tcBorders>
              <w:bottom w:val="single" w:sz="4" w:space="0" w:color="B3B3B3"/>
            </w:tcBorders>
            <w:shd w:val="clear" w:color="000000" w:fill="auto"/>
            <w:vAlign w:val="bottom"/>
          </w:tcPr>
          <w:p w14:paraId="65DEFE3E" w14:textId="77777777" w:rsidR="00DB2ED9" w:rsidRPr="00F5280C" w:rsidRDefault="00DB2ED9">
            <w:pPr>
              <w:pStyle w:val="TableBodyHeading"/>
            </w:pPr>
            <w:r>
              <w:t>Key direct effects</w:t>
            </w:r>
          </w:p>
        </w:tc>
        <w:tc>
          <w:tcPr>
            <w:tcW w:w="3969" w:type="dxa"/>
            <w:tcBorders>
              <w:bottom w:val="single" w:sz="4" w:space="0" w:color="B3B3B3"/>
            </w:tcBorders>
            <w:shd w:val="clear" w:color="000000" w:fill="auto"/>
            <w:vAlign w:val="bottom"/>
          </w:tcPr>
          <w:p w14:paraId="36CC7BBF" w14:textId="77777777" w:rsidR="00DB2ED9" w:rsidRPr="00F5280C" w:rsidRDefault="00DB2ED9">
            <w:pPr>
              <w:pStyle w:val="TableBodyHeading"/>
            </w:pPr>
            <w:r>
              <w:t>Key flow</w:t>
            </w:r>
            <w:r>
              <w:noBreakHyphen/>
              <w:t>on effects</w:t>
            </w:r>
          </w:p>
        </w:tc>
      </w:tr>
      <w:tr w:rsidR="00DB2ED9" w:rsidRPr="00030C67" w14:paraId="073C5033" w14:textId="77777777">
        <w:tc>
          <w:tcPr>
            <w:tcW w:w="426" w:type="dxa"/>
            <w:tcBorders>
              <w:top w:val="nil"/>
              <w:bottom w:val="nil"/>
            </w:tcBorders>
            <w:shd w:val="clear" w:color="auto" w:fill="F2F2F2" w:themeFill="background1" w:themeFillShade="F2"/>
          </w:tcPr>
          <w:p w14:paraId="630DAF87" w14:textId="77777777" w:rsidR="00DB2ED9" w:rsidRPr="00611CB4" w:rsidRDefault="00DB2ED9">
            <w:pPr>
              <w:pStyle w:val="TableBodyHeading"/>
              <w:rPr>
                <w:color w:val="auto"/>
              </w:rPr>
            </w:pPr>
            <w:r>
              <w:t>L1</w:t>
            </w:r>
          </w:p>
        </w:tc>
        <w:tc>
          <w:tcPr>
            <w:tcW w:w="1559" w:type="dxa"/>
            <w:tcBorders>
              <w:top w:val="nil"/>
              <w:bottom w:val="nil"/>
            </w:tcBorders>
            <w:shd w:val="clear" w:color="auto" w:fill="F2F2F2" w:themeFill="background1" w:themeFillShade="F2"/>
          </w:tcPr>
          <w:p w14:paraId="1F13A676" w14:textId="77777777" w:rsidR="00DB2ED9" w:rsidRPr="00611CB4" w:rsidRDefault="00DB2ED9">
            <w:pPr>
              <w:pStyle w:val="TableBody"/>
            </w:pPr>
            <w:r>
              <w:t>Restraint of trade clauses</w:t>
            </w:r>
          </w:p>
        </w:tc>
        <w:tc>
          <w:tcPr>
            <w:tcW w:w="3685" w:type="dxa"/>
            <w:tcBorders>
              <w:top w:val="nil"/>
              <w:bottom w:val="nil"/>
            </w:tcBorders>
            <w:shd w:val="clear" w:color="auto" w:fill="F2F2F2" w:themeFill="background1" w:themeFillShade="F2"/>
          </w:tcPr>
          <w:p w14:paraId="4FE5BD3B" w14:textId="77777777" w:rsidR="00DB2ED9" w:rsidRPr="00813A83" w:rsidRDefault="00DB2ED9">
            <w:pPr>
              <w:pStyle w:val="TableBody"/>
              <w:rPr>
                <w:b/>
                <w:bCs/>
              </w:rPr>
            </w:pPr>
            <w:r w:rsidRPr="00813A83">
              <w:rPr>
                <w:b/>
                <w:bCs/>
              </w:rPr>
              <w:t>Estimated effects:</w:t>
            </w:r>
          </w:p>
          <w:p w14:paraId="3B995B66" w14:textId="77777777" w:rsidR="00DB2ED9" w:rsidRPr="003D2F30" w:rsidRDefault="00DB2ED9">
            <w:pPr>
              <w:pStyle w:val="TableBody"/>
            </w:pPr>
            <w:r w:rsidRPr="00A548B8">
              <w:t>Increased wages for workers (up to 2.4% in industries with high use of non</w:t>
            </w:r>
            <w:r w:rsidRPr="00A548B8">
              <w:noBreakHyphen/>
              <w:t>compete clauses and up to 1.4% in others</w:t>
            </w:r>
            <w:r w:rsidRPr="000369B4">
              <w:t xml:space="preserve">) </w:t>
            </w:r>
          </w:p>
        </w:tc>
        <w:tc>
          <w:tcPr>
            <w:tcW w:w="3969" w:type="dxa"/>
            <w:tcBorders>
              <w:top w:val="nil"/>
              <w:bottom w:val="nil"/>
            </w:tcBorders>
            <w:shd w:val="clear" w:color="auto" w:fill="F2F2F2" w:themeFill="background1" w:themeFillShade="F2"/>
          </w:tcPr>
          <w:p w14:paraId="05541F2A" w14:textId="70C94197" w:rsidR="00DB2ED9" w:rsidRPr="00D932EA" w:rsidRDefault="00DB2ED9">
            <w:pPr>
              <w:pStyle w:val="TableBody"/>
            </w:pPr>
            <w:r w:rsidRPr="00D932EA">
              <w:rPr>
                <w:b/>
              </w:rPr>
              <w:t>GDP:</w:t>
            </w:r>
            <w:r w:rsidRPr="00D932EA">
              <w:t xml:space="preserve"> +$</w:t>
            </w:r>
            <w:r>
              <w:t>2</w:t>
            </w:r>
            <w:r w:rsidR="00AB3BF9">
              <w:t>,</w:t>
            </w:r>
            <w:r>
              <w:t>569–</w:t>
            </w:r>
            <w:r w:rsidRPr="00D932EA">
              <w:t>5,137 m (+0.</w:t>
            </w:r>
            <w:r>
              <w:t>10–</w:t>
            </w:r>
            <w:r w:rsidRPr="00D932EA">
              <w:t>0.19%)</w:t>
            </w:r>
            <w:r w:rsidRPr="00D932EA">
              <w:br/>
            </w:r>
            <w:r w:rsidRPr="00D932EA">
              <w:rPr>
                <w:b/>
              </w:rPr>
              <w:t>CPI:</w:t>
            </w:r>
            <w:r w:rsidRPr="00D932EA">
              <w:t xml:space="preserve"> </w:t>
            </w:r>
            <w:r w:rsidRPr="00D932EA">
              <w:noBreakHyphen/>
            </w:r>
            <w:r>
              <w:t>0.05–</w:t>
            </w:r>
            <w:r w:rsidRPr="00D932EA">
              <w:t>0.10%</w:t>
            </w:r>
            <w:r w:rsidRPr="00D932EA">
              <w:br/>
            </w:r>
            <w:r w:rsidRPr="00D932EA">
              <w:rPr>
                <w:b/>
              </w:rPr>
              <w:t>Net govt revenue (</w:t>
            </w:r>
            <w:proofErr w:type="spellStart"/>
            <w:r w:rsidRPr="00D932EA">
              <w:rPr>
                <w:b/>
              </w:rPr>
              <w:t>Cth</w:t>
            </w:r>
            <w:proofErr w:type="spellEnd"/>
            <w:r w:rsidRPr="00D932EA">
              <w:rPr>
                <w:b/>
              </w:rPr>
              <w:t>):</w:t>
            </w:r>
            <w:r w:rsidRPr="00D932EA">
              <w:t xml:space="preserve"> +$</w:t>
            </w:r>
            <w:r>
              <w:t>333–</w:t>
            </w:r>
            <w:r w:rsidRPr="00D932EA">
              <w:t>666 m</w:t>
            </w:r>
            <w:r w:rsidRPr="00D932EA">
              <w:br/>
            </w:r>
            <w:r w:rsidRPr="00D932EA">
              <w:rPr>
                <w:b/>
              </w:rPr>
              <w:t>Net govt revenue (S/T):</w:t>
            </w:r>
            <w:r w:rsidRPr="00D932EA">
              <w:t xml:space="preserve"> -$</w:t>
            </w:r>
            <w:r>
              <w:t>28–</w:t>
            </w:r>
            <w:r w:rsidRPr="00D932EA">
              <w:t>55 m</w:t>
            </w:r>
          </w:p>
        </w:tc>
      </w:tr>
      <w:tr w:rsidR="00DB2ED9" w:rsidRPr="00030C67" w14:paraId="176F117E" w14:textId="77777777">
        <w:tc>
          <w:tcPr>
            <w:tcW w:w="426" w:type="dxa"/>
            <w:shd w:val="clear" w:color="auto" w:fill="auto"/>
          </w:tcPr>
          <w:p w14:paraId="2FDD6203" w14:textId="77777777" w:rsidR="00DB2ED9" w:rsidRPr="000B04F6" w:rsidRDefault="00DB2ED9">
            <w:pPr>
              <w:pStyle w:val="TableBodyHeading"/>
              <w:rPr>
                <w:color w:val="auto"/>
              </w:rPr>
            </w:pPr>
            <w:r w:rsidRPr="000B04F6">
              <w:t>L2.1</w:t>
            </w:r>
          </w:p>
        </w:tc>
        <w:tc>
          <w:tcPr>
            <w:tcW w:w="1559" w:type="dxa"/>
            <w:shd w:val="clear" w:color="auto" w:fill="auto"/>
          </w:tcPr>
          <w:p w14:paraId="5B05CA61" w14:textId="77777777" w:rsidR="00DB2ED9" w:rsidRPr="00D932EA" w:rsidRDefault="00DB2ED9">
            <w:pPr>
              <w:pStyle w:val="TableBody"/>
              <w:rPr>
                <w:highlight w:val="yellow"/>
              </w:rPr>
            </w:pPr>
            <w:r w:rsidRPr="00775F49">
              <w:t>Occupational licensing (reduce unnecessary requirements)</w:t>
            </w:r>
          </w:p>
        </w:tc>
        <w:tc>
          <w:tcPr>
            <w:tcW w:w="3685" w:type="dxa"/>
            <w:shd w:val="clear" w:color="auto" w:fill="auto"/>
          </w:tcPr>
          <w:p w14:paraId="0831DB69" w14:textId="77777777" w:rsidR="00DB2ED9" w:rsidRPr="000B04F6" w:rsidRDefault="00DB2ED9">
            <w:pPr>
              <w:pStyle w:val="TableBody"/>
              <w:rPr>
                <w:b/>
                <w:bCs/>
              </w:rPr>
            </w:pPr>
            <w:r w:rsidRPr="000B04F6">
              <w:rPr>
                <w:b/>
                <w:bCs/>
              </w:rPr>
              <w:t>Estimated effects:</w:t>
            </w:r>
          </w:p>
          <w:p w14:paraId="7BBAFB65" w14:textId="77777777" w:rsidR="00DB2ED9" w:rsidRPr="000B04F6" w:rsidRDefault="00DB2ED9">
            <w:pPr>
              <w:pStyle w:val="TableBody"/>
            </w:pPr>
            <w:r>
              <w:t>I</w:t>
            </w:r>
            <w:r w:rsidRPr="000369B4">
              <w:t>ncrease in productivity for industries with high incidences of occupational licencing (0.8% increase)</w:t>
            </w:r>
          </w:p>
        </w:tc>
        <w:tc>
          <w:tcPr>
            <w:tcW w:w="3969" w:type="dxa"/>
            <w:shd w:val="clear" w:color="auto" w:fill="auto"/>
          </w:tcPr>
          <w:p w14:paraId="4F4B50FE" w14:textId="77777777" w:rsidR="00DB2ED9" w:rsidRPr="00D932EA" w:rsidRDefault="00DB2ED9">
            <w:pPr>
              <w:pStyle w:val="TableBody"/>
            </w:pPr>
            <w:r w:rsidRPr="00D932EA">
              <w:rPr>
                <w:b/>
              </w:rPr>
              <w:t>GDP:</w:t>
            </w:r>
            <w:r w:rsidRPr="00D932EA">
              <w:t xml:space="preserve"> +$</w:t>
            </w:r>
            <w:r>
              <w:t>5</w:t>
            </w:r>
            <w:r w:rsidRPr="00D932EA">
              <w:t>,</w:t>
            </w:r>
            <w:r>
              <w:t>155</w:t>
            </w:r>
            <w:r w:rsidRPr="00D932EA">
              <w:t xml:space="preserve"> m–10,33</w:t>
            </w:r>
            <w:r>
              <w:t>2</w:t>
            </w:r>
            <w:r w:rsidRPr="00D932EA">
              <w:t xml:space="preserve"> m (+0.</w:t>
            </w:r>
            <w:r>
              <w:t>19–</w:t>
            </w:r>
            <w:r w:rsidRPr="00D932EA">
              <w:t>0.39%)</w:t>
            </w:r>
            <w:r w:rsidRPr="00D932EA">
              <w:br/>
            </w:r>
            <w:r w:rsidRPr="00D932EA">
              <w:rPr>
                <w:b/>
              </w:rPr>
              <w:t>CPI:</w:t>
            </w:r>
            <w:r w:rsidRPr="00D932EA">
              <w:t xml:space="preserve"> -0.</w:t>
            </w:r>
            <w:r>
              <w:t>10–</w:t>
            </w:r>
            <w:r w:rsidRPr="00D932EA">
              <w:t>0.19%</w:t>
            </w:r>
            <w:r w:rsidRPr="00D932EA">
              <w:br/>
            </w:r>
            <w:r w:rsidRPr="00D932EA">
              <w:rPr>
                <w:b/>
              </w:rPr>
              <w:t>Net govt revenue (</w:t>
            </w:r>
            <w:proofErr w:type="spellStart"/>
            <w:r w:rsidRPr="00D932EA">
              <w:rPr>
                <w:b/>
              </w:rPr>
              <w:t>Cth</w:t>
            </w:r>
            <w:proofErr w:type="spellEnd"/>
            <w:r w:rsidRPr="00D932EA">
              <w:rPr>
                <w:b/>
              </w:rPr>
              <w:t>):</w:t>
            </w:r>
            <w:r w:rsidRPr="00D932EA">
              <w:t xml:space="preserve"> +$</w:t>
            </w:r>
            <w:r>
              <w:t>612–</w:t>
            </w:r>
            <w:r w:rsidRPr="00D932EA">
              <w:t>1,225 m</w:t>
            </w:r>
            <w:r w:rsidRPr="00D932EA">
              <w:br/>
            </w:r>
            <w:r w:rsidRPr="00D932EA">
              <w:rPr>
                <w:b/>
              </w:rPr>
              <w:t>Net govt revenue (S/T):</w:t>
            </w:r>
            <w:r w:rsidRPr="00D932EA">
              <w:t xml:space="preserve"> -$</w:t>
            </w:r>
            <w:r>
              <w:t>72–</w:t>
            </w:r>
            <w:r w:rsidRPr="00D932EA">
              <w:t>144 m</w:t>
            </w:r>
          </w:p>
        </w:tc>
      </w:tr>
      <w:tr w:rsidR="00DB2ED9" w:rsidRPr="00030C67" w14:paraId="2F3C3545" w14:textId="77777777">
        <w:tc>
          <w:tcPr>
            <w:tcW w:w="426" w:type="dxa"/>
            <w:tcBorders>
              <w:bottom w:val="single" w:sz="4" w:space="0" w:color="B3B3B3"/>
            </w:tcBorders>
            <w:shd w:val="clear" w:color="000000" w:fill="F2F2F2"/>
          </w:tcPr>
          <w:p w14:paraId="1AFED3DC" w14:textId="77777777" w:rsidR="00DB2ED9" w:rsidRDefault="00DB2ED9">
            <w:pPr>
              <w:pStyle w:val="TableBodyHeading"/>
            </w:pPr>
            <w:r>
              <w:t>L2.2</w:t>
            </w:r>
          </w:p>
        </w:tc>
        <w:tc>
          <w:tcPr>
            <w:tcW w:w="1559" w:type="dxa"/>
            <w:tcBorders>
              <w:bottom w:val="single" w:sz="4" w:space="0" w:color="B3B3B3"/>
            </w:tcBorders>
            <w:shd w:val="clear" w:color="000000" w:fill="F2F2F2"/>
          </w:tcPr>
          <w:p w14:paraId="3D126488" w14:textId="77777777" w:rsidR="00DB2ED9" w:rsidRDefault="00DB2ED9">
            <w:pPr>
              <w:pStyle w:val="TableBody"/>
            </w:pPr>
            <w:r>
              <w:t>O</w:t>
            </w:r>
            <w:r w:rsidRPr="0088052A">
              <w:t>ccupational licensing</w:t>
            </w:r>
            <w:r>
              <w:t xml:space="preserve"> (conflicts of interest)</w:t>
            </w:r>
          </w:p>
        </w:tc>
        <w:tc>
          <w:tcPr>
            <w:tcW w:w="3685" w:type="dxa"/>
            <w:tcBorders>
              <w:bottom w:val="single" w:sz="4" w:space="0" w:color="B3B3B3"/>
            </w:tcBorders>
            <w:shd w:val="clear" w:color="000000" w:fill="F2F2F2"/>
          </w:tcPr>
          <w:p w14:paraId="05A7856F" w14:textId="77777777" w:rsidR="00DB2ED9" w:rsidRPr="00813A83" w:rsidRDefault="00DB2ED9">
            <w:pPr>
              <w:pStyle w:val="TableBody"/>
              <w:rPr>
                <w:b/>
                <w:bCs/>
              </w:rPr>
            </w:pPr>
            <w:r>
              <w:rPr>
                <w:b/>
                <w:bCs/>
              </w:rPr>
              <w:t>Key</w:t>
            </w:r>
            <w:r w:rsidRPr="00813A83">
              <w:rPr>
                <w:b/>
                <w:bCs/>
              </w:rPr>
              <w:t xml:space="preserve"> effects</w:t>
            </w:r>
            <w:r>
              <w:rPr>
                <w:b/>
                <w:bCs/>
              </w:rPr>
              <w:t xml:space="preserve"> (not estimated)</w:t>
            </w:r>
            <w:r w:rsidRPr="00813A83">
              <w:rPr>
                <w:b/>
                <w:bCs/>
              </w:rPr>
              <w:t>:</w:t>
            </w:r>
          </w:p>
          <w:p w14:paraId="06B6A681" w14:textId="77777777" w:rsidR="00DB2ED9" w:rsidRPr="000B04F6" w:rsidRDefault="00DB2ED9">
            <w:pPr>
              <w:pStyle w:val="TableBody"/>
              <w:rPr>
                <w:b/>
                <w:bCs/>
              </w:rPr>
            </w:pPr>
            <w:r>
              <w:t xml:space="preserve">For affected occupations, possible increase in the supply of professional services </w:t>
            </w:r>
          </w:p>
        </w:tc>
        <w:tc>
          <w:tcPr>
            <w:tcW w:w="3969" w:type="dxa"/>
            <w:tcBorders>
              <w:bottom w:val="single" w:sz="4" w:space="0" w:color="B3B3B3"/>
            </w:tcBorders>
            <w:shd w:val="clear" w:color="000000" w:fill="F2F2F2"/>
          </w:tcPr>
          <w:p w14:paraId="281E58AA" w14:textId="77777777" w:rsidR="00DB2ED9" w:rsidRDefault="00DB2ED9">
            <w:pPr>
              <w:pStyle w:val="TableBody"/>
            </w:pPr>
            <w:r>
              <w:t>Flow</w:t>
            </w:r>
            <w:r>
              <w:noBreakHyphen/>
              <w:t>on effects were not estimated</w:t>
            </w:r>
          </w:p>
        </w:tc>
      </w:tr>
    </w:tbl>
    <w:p w14:paraId="33D464CB" w14:textId="480A37DC" w:rsidR="00DB2ED9" w:rsidRDefault="00DB2ED9">
      <w:pPr>
        <w:pStyle w:val="BodyText"/>
      </w:pPr>
      <w:r>
        <w:t>The sheer prevalence of restraint of trade clauses in Australia means that reform L1 has the potential to have a large economic impact. One in five Australian workers are subject to non</w:t>
      </w:r>
      <w:r>
        <w:noBreakHyphen/>
        <w:t>compete clauses and one in two are subject to some form of post</w:t>
      </w:r>
      <w:r>
        <w:noBreakHyphen/>
        <w:t xml:space="preserve">employment restraint </w:t>
      </w:r>
      <w:r w:rsidR="00442DC5" w:rsidRPr="00442DC5">
        <w:rPr>
          <w:rFonts w:ascii="Arial" w:hAnsi="Arial" w:cs="Arial"/>
        </w:rPr>
        <w:t>(ABS 2024g)</w:t>
      </w:r>
      <w:r>
        <w:t>. Non</w:t>
      </w:r>
      <w:r>
        <w:noBreakHyphen/>
        <w:t xml:space="preserve">compete clauses constrain job matching and act as a barrier to labour productivity </w:t>
      </w:r>
      <w:r w:rsidR="00677CD6">
        <w:t>–</w:t>
      </w:r>
      <w:r>
        <w:t xml:space="preserve"> therefore, we modelled this reform as having the direct effect of improving labour productivity, with the exact magnitude depending on the current prevalence of non</w:t>
      </w:r>
      <w:r>
        <w:noBreakHyphen/>
        <w:t xml:space="preserve">compete clauses in each industry. </w:t>
      </w:r>
    </w:p>
    <w:p w14:paraId="762B9995" w14:textId="5ECED45F" w:rsidR="00DB2ED9" w:rsidRPr="00E337BA" w:rsidRDefault="00DB2ED9">
      <w:pPr>
        <w:pStyle w:val="BodyText"/>
      </w:pPr>
      <w:r>
        <w:t xml:space="preserve">The Commission has previously modelled the economic effects of reducing </w:t>
      </w:r>
      <w:r w:rsidRPr="005B04E1">
        <w:t>unnecessary occupational licensing requirements</w:t>
      </w:r>
      <w:r>
        <w:t xml:space="preserve"> (L2.1) as part of its </w:t>
      </w:r>
      <w:r>
        <w:rPr>
          <w:i/>
          <w:iCs/>
        </w:rPr>
        <w:t>A</w:t>
      </w:r>
      <w:r w:rsidRPr="00DC3663">
        <w:rPr>
          <w:i/>
          <w:iCs/>
        </w:rPr>
        <w:t xml:space="preserve">dvancing </w:t>
      </w:r>
      <w:r>
        <w:rPr>
          <w:i/>
          <w:iCs/>
        </w:rPr>
        <w:t>p</w:t>
      </w:r>
      <w:r w:rsidRPr="00DC3663">
        <w:rPr>
          <w:i/>
          <w:iCs/>
        </w:rPr>
        <w:t>rosperity</w:t>
      </w:r>
      <w:r>
        <w:rPr>
          <w:i/>
          <w:iCs/>
        </w:rPr>
        <w:t xml:space="preserve"> </w:t>
      </w:r>
      <w:r>
        <w:t xml:space="preserve">report </w:t>
      </w:r>
      <w:r w:rsidR="00442DC5" w:rsidRPr="00442DC5">
        <w:rPr>
          <w:rFonts w:ascii="Arial" w:hAnsi="Arial" w:cs="Arial"/>
        </w:rPr>
        <w:t>(PC 2023d)</w:t>
      </w:r>
      <w:r>
        <w:t xml:space="preserve">. That report estimated an </w:t>
      </w:r>
      <w:r w:rsidRPr="00FF0EEB">
        <w:t>increase in productivity of 0.8% for industries with the highest incidence of occupational licensing</w:t>
      </w:r>
      <w:r>
        <w:t xml:space="preserve"> (construction; transport and wholesale; professional, scientific and technical services; school education; and health and social services). We verified this using the CGE models available for this </w:t>
      </w:r>
      <w:proofErr w:type="gramStart"/>
      <w:r>
        <w:t>study, and</w:t>
      </w:r>
      <w:proofErr w:type="gramEnd"/>
      <w:r>
        <w:t xml:space="preserve"> found a </w:t>
      </w:r>
      <w:r w:rsidRPr="00DF7A87">
        <w:t xml:space="preserve">0.39% </w:t>
      </w:r>
      <w:r>
        <w:t>boost to GDP (</w:t>
      </w:r>
      <w:r w:rsidRPr="00811409">
        <w:t xml:space="preserve">compared to 0.34% </w:t>
      </w:r>
      <w:r>
        <w:t xml:space="preserve">in </w:t>
      </w:r>
      <w:r w:rsidRPr="004852AC">
        <w:rPr>
          <w:i/>
          <w:iCs/>
        </w:rPr>
        <w:t xml:space="preserve">Advancing </w:t>
      </w:r>
      <w:r>
        <w:rPr>
          <w:i/>
          <w:iCs/>
        </w:rPr>
        <w:t>p</w:t>
      </w:r>
      <w:r w:rsidRPr="004852AC">
        <w:rPr>
          <w:i/>
          <w:iCs/>
        </w:rPr>
        <w:t>rosperity</w:t>
      </w:r>
      <w:r>
        <w:t xml:space="preserve">). </w:t>
      </w:r>
    </w:p>
    <w:p w14:paraId="01AFE12B" w14:textId="77777777" w:rsidR="00DB2ED9" w:rsidRDefault="00DB2ED9">
      <w:pPr>
        <w:pStyle w:val="BodyText"/>
      </w:pPr>
      <w:r>
        <w:t xml:space="preserve">For reform L2.2, we found no existing evidence to show that conflicts of interest are affecting the way licensing decisions are being made, nor that they are leading to worse occupational licensing outcomes. The lack of evidence does not necessarily mean that problems do not exist, but it does mean that it was not possible to predict the likely effects of such reform, and therefore not possible to model the likely benefit. We were also unable to develop the evidence base further, given the constraints on public consultation we faced (box 3). Any reform effort in this area should begin with a clear understanding of what the policy problem is and how it manifests. If there are occupations where conflicts of interest are suspected to adversely affect licensing decisions, further inquiries focusing on those specific occupations should be undertaken. Failing that, a systematic (and public) review of conflicts of interest in occupational licensing would be needed. </w:t>
      </w:r>
    </w:p>
    <w:p w14:paraId="535DE1CC" w14:textId="77777777" w:rsidR="00DB2ED9" w:rsidRDefault="00DB2ED9">
      <w:pPr>
        <w:pStyle w:val="Heading3"/>
      </w:pPr>
      <w:bookmarkStart w:id="79" w:name="_Toc181174226"/>
      <w:bookmarkStart w:id="80" w:name="_Toc181360256"/>
      <w:r>
        <w:t>Human services</w:t>
      </w:r>
      <w:bookmarkEnd w:id="79"/>
      <w:bookmarkEnd w:id="80"/>
    </w:p>
    <w:p w14:paraId="53AC2B46" w14:textId="4CB616C6" w:rsidR="00DB2ED9" w:rsidRDefault="00DB2ED9">
      <w:pPr>
        <w:pStyle w:val="BodyText"/>
      </w:pPr>
      <w:r>
        <w:t xml:space="preserve">This reform theme covers a range of human services, including </w:t>
      </w:r>
      <w:r w:rsidRPr="00374028">
        <w:t xml:space="preserve">health, </w:t>
      </w:r>
      <w:r>
        <w:t xml:space="preserve">disability, </w:t>
      </w:r>
      <w:r w:rsidRPr="00374028">
        <w:t>aged care</w:t>
      </w:r>
      <w:r>
        <w:t>,</w:t>
      </w:r>
      <w:r w:rsidRPr="00374028">
        <w:t xml:space="preserve"> community services, and </w:t>
      </w:r>
      <w:r>
        <w:t>other services. The provision of high</w:t>
      </w:r>
      <w:r>
        <w:noBreakHyphen/>
        <w:t>quality and accessible h</w:t>
      </w:r>
      <w:r w:rsidRPr="009C7C8F">
        <w:t>uman services</w:t>
      </w:r>
      <w:r>
        <w:t xml:space="preserve"> is important because they </w:t>
      </w:r>
      <w:r w:rsidRPr="009C7C8F">
        <w:t xml:space="preserve">contribute to the wellbeing of individuals </w:t>
      </w:r>
      <w:r>
        <w:t xml:space="preserve">and enable </w:t>
      </w:r>
      <w:r w:rsidRPr="009C7C8F">
        <w:t>economic and social participation</w:t>
      </w:r>
      <w:r>
        <w:t xml:space="preserve"> </w:t>
      </w:r>
      <w:r w:rsidR="00442DC5" w:rsidRPr="00442DC5">
        <w:rPr>
          <w:rFonts w:ascii="Arial" w:hAnsi="Arial" w:cs="Arial"/>
        </w:rPr>
        <w:t>(PC 2016c, p. 3)</w:t>
      </w:r>
      <w:r w:rsidRPr="009C7C8F">
        <w:t xml:space="preserve">. </w:t>
      </w:r>
      <w:r>
        <w:t xml:space="preserve">Reforms in this area have the potential to affect the entire Australian population: </w:t>
      </w:r>
    </w:p>
    <w:p w14:paraId="0F04F6F2" w14:textId="7D95E246" w:rsidR="00DB2ED9" w:rsidRPr="002B6FB2" w:rsidRDefault="00DB2ED9">
      <w:pPr>
        <w:pStyle w:val="Quote"/>
        <w:rPr>
          <w:spacing w:val="-4"/>
        </w:rPr>
      </w:pPr>
      <w:r w:rsidRPr="002B6FB2">
        <w:rPr>
          <w:spacing w:val="-4"/>
        </w:rPr>
        <w:t xml:space="preserve">Everyone will access human services in their lifetime, including children, the elderly, people facing hardship or harm, and people who require treatment for acute or chronic health conditions … Reforms to the way human services are provided [can] enable and support people and their families to have a stronger voice in shaping the services they receive, and who provides them. </w:t>
      </w:r>
      <w:r w:rsidR="00442DC5" w:rsidRPr="002B6FB2">
        <w:rPr>
          <w:rFonts w:cs="Arial"/>
          <w:spacing w:val="-4"/>
        </w:rPr>
        <w:t>(PC 2017c)</w:t>
      </w:r>
    </w:p>
    <w:p w14:paraId="4C826593" w14:textId="1D12AAA6" w:rsidR="00DB2ED9" w:rsidRDefault="00DB2ED9">
      <w:pPr>
        <w:pStyle w:val="BodyText"/>
      </w:pPr>
      <w:r>
        <w:lastRenderedPageBreak/>
        <w:t>Reforms will also be important to address the growing pressures on human services. As the population ages, the burden of chronic disease increases and community expectations rise, more pressure will be placed on government budgets. The most recent Intergenerational Report projected that Australian Government spending on health, aged care and the NDIS are projected to rise from 6.2% of GDP to 10.8% by 2062</w:t>
      </w:r>
      <w:r>
        <w:noBreakHyphen/>
        <w:t xml:space="preserve">63 </w:t>
      </w:r>
      <w:r w:rsidR="00442DC5" w:rsidRPr="00442DC5">
        <w:rPr>
          <w:rFonts w:ascii="Arial" w:hAnsi="Arial" w:cs="Arial"/>
        </w:rPr>
        <w:t>(Australian Government 2023a, p. 15)</w:t>
      </w:r>
      <w:r>
        <w:t>.</w:t>
      </w:r>
    </w:p>
    <w:p w14:paraId="417F9311" w14:textId="3E96F2BA" w:rsidR="00DB2ED9" w:rsidRDefault="00DB2ED9">
      <w:pPr>
        <w:pStyle w:val="BodyText"/>
      </w:pPr>
      <w:r>
        <w:t>The Harper Review recommended the adoption of ‘</w:t>
      </w:r>
      <w:r w:rsidRPr="00E25AB0">
        <w:t>choice and competition principles</w:t>
      </w:r>
      <w:r>
        <w:t xml:space="preserve">’ in the area of human services </w:t>
      </w:r>
      <w:r w:rsidRPr="00E25AB0">
        <w:rPr>
          <w:rFonts w:ascii="Arial" w:hAnsi="Arial" w:cs="Arial"/>
        </w:rPr>
        <w:t>(Harper et al. 2015, p. 36)</w:t>
      </w:r>
      <w:r>
        <w:t xml:space="preserve">. This would transplant one of the key principles of competitive markets </w:t>
      </w:r>
      <w:r w:rsidR="00677CD6">
        <w:t>–</w:t>
      </w:r>
      <w:r>
        <w:t xml:space="preserve"> the idea that service provision should be responsive to consumer needs and preferences </w:t>
      </w:r>
      <w:r w:rsidR="00677CD6">
        <w:t>–</w:t>
      </w:r>
      <w:r>
        <w:t xml:space="preserve"> into the context of human services. This also reflects the shift in attitudes about how services should be delivered towards person</w:t>
      </w:r>
      <w:r>
        <w:noBreakHyphen/>
        <w:t xml:space="preserve">centred approaches to human services provision </w:t>
      </w:r>
      <w:r w:rsidR="00442DC5" w:rsidRPr="00442DC5">
        <w:rPr>
          <w:rFonts w:ascii="Arial" w:hAnsi="Arial" w:cs="Arial"/>
        </w:rPr>
        <w:t>(PC 2019b, p. 171)</w:t>
      </w:r>
      <w:r>
        <w:t>.</w:t>
      </w:r>
    </w:p>
    <w:p w14:paraId="5639C4C6" w14:textId="77777777" w:rsidR="00DB2ED9" w:rsidRDefault="00DB2ED9">
      <w:pPr>
        <w:pStyle w:val="BodyText"/>
      </w:pPr>
      <w:r>
        <w:t xml:space="preserve">We were asked to assess five proposed reforms in this theme, which are summarised in tables 1 and 9. The reforms were intended to support choice, competition and contestability in a way that helps to ensure access to quality and sustainable services. The full analysis of each reform is in appendix B4. </w:t>
      </w:r>
    </w:p>
    <w:p w14:paraId="013EB25B" w14:textId="77777777" w:rsidR="00DB2ED9" w:rsidRDefault="00DB2ED9">
      <w:pPr>
        <w:pStyle w:val="Heading4"/>
      </w:pPr>
      <w:r>
        <w:t>Improving access to human services</w:t>
      </w:r>
    </w:p>
    <w:p w14:paraId="5D4CF90A" w14:textId="77777777" w:rsidR="00DB2ED9" w:rsidRDefault="00DB2ED9">
      <w:pPr>
        <w:pStyle w:val="BodyText"/>
      </w:pPr>
      <w:r>
        <w:t>In broad terms, three reforms are about improving access to human services, through:</w:t>
      </w:r>
    </w:p>
    <w:p w14:paraId="6CFAE65F" w14:textId="77777777" w:rsidR="00DB2ED9" w:rsidRDefault="00DB2ED9">
      <w:pPr>
        <w:pStyle w:val="ListBullet"/>
      </w:pPr>
      <w:r>
        <w:t xml:space="preserve">improving </w:t>
      </w:r>
      <w:r w:rsidRPr="003705D0">
        <w:t>labour mobility in the health, care and support</w:t>
      </w:r>
      <w:r>
        <w:t xml:space="preserve"> </w:t>
      </w:r>
      <w:r w:rsidRPr="003705D0">
        <w:t>services</w:t>
      </w:r>
      <w:r>
        <w:t>, with a focus on scope of practice (H2)</w:t>
      </w:r>
    </w:p>
    <w:p w14:paraId="7064CBD6" w14:textId="77777777" w:rsidR="00DB2ED9" w:rsidRDefault="00DB2ED9">
      <w:pPr>
        <w:pStyle w:val="ListBullet"/>
      </w:pPr>
      <w:r>
        <w:t>r</w:t>
      </w:r>
      <w:r w:rsidRPr="0027019E">
        <w:t>eform</w:t>
      </w:r>
      <w:r>
        <w:t>ing</w:t>
      </w:r>
      <w:r w:rsidRPr="0027019E">
        <w:t xml:space="preserve"> market access arrangements</w:t>
      </w:r>
      <w:r>
        <w:t xml:space="preserve"> in the health, care, support and social services sectors, with a focus on addressing thin markets (H3)</w:t>
      </w:r>
    </w:p>
    <w:p w14:paraId="65ECBE5C" w14:textId="77777777" w:rsidR="00DB2ED9" w:rsidRDefault="00DB2ED9">
      <w:pPr>
        <w:pStyle w:val="ListBullet"/>
      </w:pPr>
      <w:r>
        <w:t xml:space="preserve">lowering </w:t>
      </w:r>
      <w:r w:rsidRPr="005D080F">
        <w:t>barriers to consumer</w:t>
      </w:r>
      <w:r>
        <w:t>s</w:t>
      </w:r>
      <w:r w:rsidRPr="005D080F">
        <w:t xml:space="preserve"> access</w:t>
      </w:r>
      <w:r>
        <w:t xml:space="preserve">ing </w:t>
      </w:r>
      <w:r w:rsidRPr="005D080F">
        <w:t>telehealth and other digital health services</w:t>
      </w:r>
      <w:r>
        <w:t xml:space="preserve"> (H5).</w:t>
      </w:r>
    </w:p>
    <w:p w14:paraId="464FC5BC" w14:textId="4CCB1E97" w:rsidR="00DB2ED9" w:rsidRPr="00510470" w:rsidRDefault="00DB2ED9">
      <w:pPr>
        <w:pStyle w:val="BodyText"/>
      </w:pPr>
      <w:r>
        <w:t xml:space="preserve">These reforms will have modest effects for most people. For example, reforms to improve telehealth will make health services more easily accessible </w:t>
      </w:r>
      <w:r w:rsidR="00442DC5" w:rsidRPr="00442DC5">
        <w:rPr>
          <w:rFonts w:ascii="Arial" w:hAnsi="Arial" w:cs="Arial"/>
        </w:rPr>
        <w:t>(PC 2020b)</w:t>
      </w:r>
      <w:r>
        <w:t xml:space="preserve"> and deliver time savings </w:t>
      </w:r>
      <w:r w:rsidR="00677CD6">
        <w:t>–</w:t>
      </w:r>
      <w:r>
        <w:t xml:space="preserve"> compared to attending in person, a telehealth appointment</w:t>
      </w:r>
      <w:r w:rsidDel="009B4790">
        <w:t xml:space="preserve"> </w:t>
      </w:r>
      <w:r>
        <w:t xml:space="preserve">could save a patient 65 minutes in waiting and travel time on average </w:t>
      </w:r>
      <w:r w:rsidR="00442DC5" w:rsidRPr="00442DC5">
        <w:rPr>
          <w:rFonts w:ascii="Arial" w:hAnsi="Arial" w:cs="Arial"/>
        </w:rPr>
        <w:t>(PC 2024b)</w:t>
      </w:r>
      <w:r>
        <w:t xml:space="preserve">. And removing </w:t>
      </w:r>
      <w:r w:rsidRPr="00510470">
        <w:t xml:space="preserve">barriers to workers performing their full scope of practice can reduce the cost of care. For example, expanding the scope of practice of nurse practitioners could help meet the growing demand for health services at lower cost (by about </w:t>
      </w:r>
      <w:r w:rsidRPr="00DF7A87">
        <w:t>$400–823 million</w:t>
      </w:r>
      <w:r w:rsidRPr="00510470">
        <w:t>).</w:t>
      </w:r>
    </w:p>
    <w:p w14:paraId="7D618FDD" w14:textId="091B5B35" w:rsidR="00DB2ED9" w:rsidRDefault="00DB2ED9">
      <w:pPr>
        <w:pStyle w:val="BodyText"/>
      </w:pPr>
      <w:r w:rsidRPr="00510470">
        <w:t>One of the greatest opportunities for these reforms is in rural and remote areas, where they could improve access to health (and other) services, leading to improved health outcomes. This is particularly important because people living in rural and remote locations experience</w:t>
      </w:r>
      <w:r w:rsidDel="00B50CA5">
        <w:t xml:space="preserve"> </w:t>
      </w:r>
      <w:r>
        <w:t xml:space="preserve">difficulty in accessing health services, with higher rates of hospitalisations, deaths and injury </w:t>
      </w:r>
      <w:r w:rsidR="00442DC5" w:rsidRPr="00442DC5">
        <w:rPr>
          <w:rFonts w:ascii="Arial" w:hAnsi="Arial" w:cs="Arial"/>
        </w:rPr>
        <w:t>(AIHW 2024d)</w:t>
      </w:r>
      <w:r>
        <w:t xml:space="preserve">. To illustrate the potential impact of reform, we modelled the potential benefits that could accrue if health outcomes could be improved in rural and remote areas. Overall, we found that, if this led to a </w:t>
      </w:r>
      <w:r w:rsidRPr="00DF7A87">
        <w:t xml:space="preserve">0.5% </w:t>
      </w:r>
      <w:r>
        <w:t xml:space="preserve">increase in the available labour supply in those areas and healthcare productivity in regional rural Australia increased by </w:t>
      </w:r>
      <w:r w:rsidRPr="00DF7A87">
        <w:t>1</w:t>
      </w:r>
      <w:r>
        <w:t xml:space="preserve">%, then it would result in </w:t>
      </w:r>
      <w:r w:rsidRPr="00B92F2F">
        <w:t xml:space="preserve">an increase in GDP of </w:t>
      </w:r>
      <w:r w:rsidRPr="00DF7A87">
        <w:t xml:space="preserve">$3.2 billion. </w:t>
      </w:r>
    </w:p>
    <w:p w14:paraId="22D917EF" w14:textId="5DA59B9E" w:rsidR="00B13E18" w:rsidRDefault="00DB2ED9">
      <w:pPr>
        <w:pStyle w:val="BodyText"/>
      </w:pPr>
      <w:r>
        <w:t>It should be noted, however, these results do not provide insights about how these benefits could be secured. Improving access to health services in rural and remote areas is a long</w:t>
      </w:r>
      <w:r>
        <w:noBreakHyphen/>
        <w:t xml:space="preserve">standing and unsolved problem that has received considerable attention over the years </w:t>
      </w:r>
      <w:r w:rsidR="00442DC5" w:rsidRPr="00442DC5">
        <w:rPr>
          <w:rFonts w:ascii="Arial" w:hAnsi="Arial" w:cs="Arial"/>
        </w:rPr>
        <w:t>(AIHW 2024d; Nous Group 2023)</w:t>
      </w:r>
      <w:r>
        <w:t xml:space="preserve">. No modelling exercise can provide new solutions for policy problems; they can only test and validate policy ideas that have been developed through other channels. Nevertheless, our modelling results provide insights about the scale of the benefits available, and the value of continuing efforts in this area. </w:t>
      </w:r>
    </w:p>
    <w:p w14:paraId="354FDE7B" w14:textId="77777777" w:rsidR="00B13E18" w:rsidRDefault="00B13E18">
      <w:pPr>
        <w:spacing w:before="0" w:after="160" w:line="259" w:lineRule="auto"/>
      </w:pPr>
      <w:r>
        <w:br w:type="page"/>
      </w:r>
    </w:p>
    <w:p w14:paraId="7D77EF08" w14:textId="77777777" w:rsidR="00DB2ED9" w:rsidRDefault="00DB2ED9">
      <w:pPr>
        <w:pStyle w:val="FigureTableHeading"/>
      </w:pPr>
      <w:r>
        <w:lastRenderedPageBreak/>
        <w:t>Table 9</w:t>
      </w:r>
      <w:r>
        <w:rPr>
          <w:noProof/>
        </w:rPr>
        <w:t xml:space="preserve"> – </w:t>
      </w:r>
      <w:r>
        <w:t>Summary of human services reforms</w:t>
      </w:r>
    </w:p>
    <w:tbl>
      <w:tblPr>
        <w:tblW w:w="9639" w:type="dxa"/>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426"/>
        <w:gridCol w:w="1559"/>
        <w:gridCol w:w="3685"/>
        <w:gridCol w:w="3969"/>
      </w:tblGrid>
      <w:tr w:rsidR="00DB2ED9" w:rsidRPr="00030C67" w14:paraId="32D18789" w14:textId="77777777">
        <w:trPr>
          <w:tblHeader/>
        </w:trPr>
        <w:tc>
          <w:tcPr>
            <w:tcW w:w="426" w:type="dxa"/>
            <w:tcBorders>
              <w:bottom w:val="single" w:sz="4" w:space="0" w:color="B3B3B3"/>
            </w:tcBorders>
            <w:shd w:val="clear" w:color="auto" w:fill="auto"/>
            <w:vAlign w:val="bottom"/>
          </w:tcPr>
          <w:p w14:paraId="7D1A037C" w14:textId="77777777" w:rsidR="00DB2ED9" w:rsidRPr="00F5280C" w:rsidRDefault="00DB2ED9">
            <w:pPr>
              <w:pStyle w:val="TableBodyHeading"/>
            </w:pPr>
            <w:r w:rsidRPr="00F5280C">
              <w:t>No.</w:t>
            </w:r>
          </w:p>
        </w:tc>
        <w:tc>
          <w:tcPr>
            <w:tcW w:w="1559" w:type="dxa"/>
            <w:tcBorders>
              <w:bottom w:val="single" w:sz="4" w:space="0" w:color="B3B3B3"/>
            </w:tcBorders>
            <w:shd w:val="clear" w:color="auto" w:fill="auto"/>
          </w:tcPr>
          <w:p w14:paraId="6A04965E" w14:textId="77777777" w:rsidR="00DB2ED9" w:rsidRPr="00F5280C" w:rsidRDefault="00DB2ED9">
            <w:pPr>
              <w:pStyle w:val="TableBodyHeading"/>
            </w:pPr>
            <w:r>
              <w:t>Short name</w:t>
            </w:r>
          </w:p>
        </w:tc>
        <w:tc>
          <w:tcPr>
            <w:tcW w:w="3685" w:type="dxa"/>
            <w:tcBorders>
              <w:bottom w:val="single" w:sz="4" w:space="0" w:color="B3B3B3"/>
            </w:tcBorders>
            <w:shd w:val="clear" w:color="auto" w:fill="auto"/>
            <w:vAlign w:val="bottom"/>
          </w:tcPr>
          <w:p w14:paraId="4D098AC2" w14:textId="77777777" w:rsidR="00DB2ED9" w:rsidRPr="00F5280C" w:rsidRDefault="00DB2ED9">
            <w:pPr>
              <w:pStyle w:val="TableBodyHeading"/>
            </w:pPr>
            <w:r>
              <w:t>Key direct effects</w:t>
            </w:r>
          </w:p>
        </w:tc>
        <w:tc>
          <w:tcPr>
            <w:tcW w:w="3969" w:type="dxa"/>
            <w:tcBorders>
              <w:bottom w:val="single" w:sz="4" w:space="0" w:color="B3B3B3"/>
            </w:tcBorders>
            <w:shd w:val="clear" w:color="auto" w:fill="auto"/>
            <w:vAlign w:val="bottom"/>
          </w:tcPr>
          <w:p w14:paraId="021D22ED" w14:textId="77777777" w:rsidR="00DB2ED9" w:rsidRPr="00F5280C" w:rsidRDefault="00DB2ED9">
            <w:pPr>
              <w:pStyle w:val="TableBodyHeading"/>
            </w:pPr>
            <w:r>
              <w:t>Key flow</w:t>
            </w:r>
            <w:r>
              <w:noBreakHyphen/>
              <w:t>on effects</w:t>
            </w:r>
          </w:p>
        </w:tc>
      </w:tr>
      <w:tr w:rsidR="00DB2ED9" w:rsidRPr="00030C67" w14:paraId="1E8E3227" w14:textId="77777777">
        <w:tc>
          <w:tcPr>
            <w:tcW w:w="426" w:type="dxa"/>
            <w:tcBorders>
              <w:top w:val="nil"/>
              <w:bottom w:val="nil"/>
            </w:tcBorders>
            <w:shd w:val="clear" w:color="auto" w:fill="F2F2F2" w:themeFill="background1" w:themeFillShade="F2"/>
          </w:tcPr>
          <w:p w14:paraId="2B495768" w14:textId="77777777" w:rsidR="00DB2ED9" w:rsidRPr="004B5BC6" w:rsidRDefault="00DB2ED9">
            <w:pPr>
              <w:pStyle w:val="TableBodyHeading"/>
            </w:pPr>
            <w:r>
              <w:t>H1</w:t>
            </w:r>
          </w:p>
        </w:tc>
        <w:tc>
          <w:tcPr>
            <w:tcW w:w="1559" w:type="dxa"/>
            <w:tcBorders>
              <w:top w:val="nil"/>
              <w:bottom w:val="nil"/>
            </w:tcBorders>
            <w:shd w:val="clear" w:color="auto" w:fill="F2F2F2" w:themeFill="background1" w:themeFillShade="F2"/>
          </w:tcPr>
          <w:p w14:paraId="37AB09F2" w14:textId="77777777" w:rsidR="00DB2ED9" w:rsidRPr="00611CB4" w:rsidRDefault="00DB2ED9">
            <w:pPr>
              <w:pStyle w:val="TableBody"/>
            </w:pPr>
            <w:r>
              <w:t xml:space="preserve">Matching </w:t>
            </w:r>
          </w:p>
        </w:tc>
        <w:tc>
          <w:tcPr>
            <w:tcW w:w="3685" w:type="dxa"/>
            <w:tcBorders>
              <w:top w:val="nil"/>
              <w:bottom w:val="nil"/>
            </w:tcBorders>
            <w:shd w:val="clear" w:color="auto" w:fill="F2F2F2" w:themeFill="background1" w:themeFillShade="F2"/>
          </w:tcPr>
          <w:p w14:paraId="37A96899" w14:textId="77777777" w:rsidR="00DB2ED9" w:rsidRPr="00813A83" w:rsidRDefault="00DB2ED9">
            <w:pPr>
              <w:pStyle w:val="TableBody"/>
              <w:rPr>
                <w:b/>
                <w:bCs/>
              </w:rPr>
            </w:pPr>
            <w:r w:rsidRPr="00813A83">
              <w:rPr>
                <w:b/>
                <w:bCs/>
              </w:rPr>
              <w:t>Estimated effects:</w:t>
            </w:r>
          </w:p>
          <w:p w14:paraId="791E8DB2" w14:textId="77777777" w:rsidR="00DB2ED9" w:rsidRDefault="00DB2ED9">
            <w:pPr>
              <w:pStyle w:val="TableBody"/>
            </w:pPr>
            <w:r>
              <w:t>Possible improved health outcomes (modelled as an illustra</w:t>
            </w:r>
            <w:r w:rsidRPr="00982358">
              <w:t>tive 0.1%</w:t>
            </w:r>
            <w:r>
              <w:t xml:space="preserve"> increase and a</w:t>
            </w:r>
            <w:r w:rsidRPr="00982358">
              <w:t xml:space="preserve"> 0.1%</w:t>
            </w:r>
            <w:r>
              <w:t xml:space="preserve"> decrease </w:t>
            </w:r>
            <w:r w:rsidRPr="00982358">
              <w:t>in labour productivity)</w:t>
            </w:r>
          </w:p>
          <w:p w14:paraId="242ED6E2" w14:textId="77777777" w:rsidR="00DB2ED9" w:rsidRDefault="00DB2ED9">
            <w:pPr>
              <w:pStyle w:val="TableBody"/>
              <w:rPr>
                <w:b/>
                <w:bCs/>
              </w:rPr>
            </w:pPr>
            <w:r>
              <w:rPr>
                <w:b/>
                <w:bCs/>
              </w:rPr>
              <w:t xml:space="preserve">Other key </w:t>
            </w:r>
            <w:r w:rsidRPr="00813A83">
              <w:rPr>
                <w:b/>
                <w:bCs/>
              </w:rPr>
              <w:t>effects:</w:t>
            </w:r>
          </w:p>
          <w:p w14:paraId="33F66143" w14:textId="77777777" w:rsidR="00DB2ED9" w:rsidRPr="009F5B3B" w:rsidRDefault="00DB2ED9">
            <w:pPr>
              <w:pStyle w:val="TableBody"/>
            </w:pPr>
            <w:r>
              <w:t>Possible increased consumer choice</w:t>
            </w:r>
          </w:p>
        </w:tc>
        <w:tc>
          <w:tcPr>
            <w:tcW w:w="3969" w:type="dxa"/>
            <w:tcBorders>
              <w:top w:val="nil"/>
              <w:bottom w:val="nil"/>
            </w:tcBorders>
            <w:shd w:val="clear" w:color="auto" w:fill="F2F2F2" w:themeFill="background1" w:themeFillShade="F2"/>
          </w:tcPr>
          <w:p w14:paraId="0DFE13EC" w14:textId="77777777" w:rsidR="00DB2ED9" w:rsidRPr="00A144B8" w:rsidRDefault="00DB2ED9">
            <w:pPr>
              <w:pStyle w:val="TableBody"/>
            </w:pPr>
            <w:r>
              <w:t xml:space="preserve">The following results are </w:t>
            </w:r>
            <w:r w:rsidRPr="00A144B8">
              <w:t>elasticit</w:t>
            </w:r>
            <w:r>
              <w:t>y measures:</w:t>
            </w:r>
          </w:p>
          <w:p w14:paraId="674EEA45" w14:textId="77777777" w:rsidR="00DB2ED9" w:rsidRPr="004B4A40" w:rsidRDefault="00DB2ED9">
            <w:pPr>
              <w:pStyle w:val="TableBody"/>
              <w:rPr>
                <w:bCs/>
                <w:i/>
                <w:iCs/>
              </w:rPr>
            </w:pPr>
            <w:r w:rsidRPr="004B4A40">
              <w:rPr>
                <w:bCs/>
                <w:i/>
                <w:iCs/>
              </w:rPr>
              <w:t xml:space="preserve">For a </w:t>
            </w:r>
            <w:r>
              <w:rPr>
                <w:bCs/>
                <w:i/>
                <w:iCs/>
              </w:rPr>
              <w:t xml:space="preserve">labour </w:t>
            </w:r>
            <w:r w:rsidRPr="004B4A40">
              <w:rPr>
                <w:bCs/>
                <w:i/>
                <w:iCs/>
              </w:rPr>
              <w:t>productivity increase:</w:t>
            </w:r>
          </w:p>
          <w:p w14:paraId="597E5958" w14:textId="77777777" w:rsidR="00DB2ED9" w:rsidRDefault="00DB2ED9">
            <w:pPr>
              <w:pStyle w:val="TableBody"/>
            </w:pPr>
            <w:r w:rsidRPr="003C7FAD">
              <w:rPr>
                <w:b/>
              </w:rPr>
              <w:t>GDP:</w:t>
            </w:r>
            <w:r w:rsidRPr="003C7FAD">
              <w:t xml:space="preserve"> +$2,646 m (+0.10%)</w:t>
            </w:r>
            <w:r w:rsidRPr="003C7FAD">
              <w:br/>
            </w:r>
            <w:r w:rsidRPr="003C7FAD">
              <w:rPr>
                <w:b/>
              </w:rPr>
              <w:t>CPI:</w:t>
            </w:r>
            <w:r w:rsidRPr="003C7FAD">
              <w:t xml:space="preserve"> -0.05%</w:t>
            </w:r>
            <w:r w:rsidRPr="003C7FAD">
              <w:br/>
            </w:r>
            <w:r w:rsidRPr="003C7FAD">
              <w:rPr>
                <w:b/>
              </w:rPr>
              <w:t>Net govt revenue (</w:t>
            </w:r>
            <w:proofErr w:type="spellStart"/>
            <w:r w:rsidRPr="003C7FAD">
              <w:rPr>
                <w:b/>
              </w:rPr>
              <w:t>Cth</w:t>
            </w:r>
            <w:proofErr w:type="spellEnd"/>
            <w:r w:rsidRPr="003C7FAD">
              <w:rPr>
                <w:b/>
              </w:rPr>
              <w:t>):</w:t>
            </w:r>
            <w:r w:rsidRPr="003C7FAD">
              <w:t xml:space="preserve"> +$347 m</w:t>
            </w:r>
            <w:r w:rsidRPr="003C7FAD">
              <w:br/>
            </w:r>
            <w:r w:rsidRPr="003C7FAD">
              <w:rPr>
                <w:b/>
              </w:rPr>
              <w:t>Net govt revenue (S/T):</w:t>
            </w:r>
            <w:r w:rsidRPr="003C7FAD">
              <w:t xml:space="preserve"> -$35 m</w:t>
            </w:r>
          </w:p>
          <w:p w14:paraId="5F365D9B" w14:textId="77777777" w:rsidR="00DB2ED9" w:rsidRPr="00314016" w:rsidRDefault="00DB2ED9">
            <w:pPr>
              <w:pStyle w:val="TableBody"/>
              <w:rPr>
                <w:bCs/>
                <w:i/>
                <w:iCs/>
              </w:rPr>
            </w:pPr>
            <w:r w:rsidRPr="00314016">
              <w:rPr>
                <w:bCs/>
                <w:i/>
                <w:iCs/>
              </w:rPr>
              <w:t xml:space="preserve">For a </w:t>
            </w:r>
            <w:r>
              <w:rPr>
                <w:bCs/>
                <w:i/>
                <w:iCs/>
              </w:rPr>
              <w:t xml:space="preserve">labour </w:t>
            </w:r>
            <w:r w:rsidRPr="00314016">
              <w:rPr>
                <w:bCs/>
                <w:i/>
                <w:iCs/>
              </w:rPr>
              <w:t xml:space="preserve">productivity </w:t>
            </w:r>
            <w:r>
              <w:rPr>
                <w:bCs/>
                <w:i/>
                <w:iCs/>
              </w:rPr>
              <w:t>decrease</w:t>
            </w:r>
            <w:r w:rsidRPr="00314016">
              <w:rPr>
                <w:bCs/>
                <w:i/>
                <w:iCs/>
              </w:rPr>
              <w:t>:</w:t>
            </w:r>
          </w:p>
          <w:p w14:paraId="43B1FEF1" w14:textId="77777777" w:rsidR="00DB2ED9" w:rsidRPr="00AA1D40" w:rsidRDefault="00DB2ED9">
            <w:pPr>
              <w:pStyle w:val="TableBody"/>
              <w:rPr>
                <w:color w:val="FF0000"/>
              </w:rPr>
            </w:pPr>
            <w:r w:rsidRPr="003C7FAD">
              <w:rPr>
                <w:b/>
              </w:rPr>
              <w:t>GDP:</w:t>
            </w:r>
            <w:r w:rsidRPr="003C7FAD">
              <w:t xml:space="preserve"> </w:t>
            </w:r>
            <w:r>
              <w:t>-</w:t>
            </w:r>
            <w:r w:rsidRPr="003C7FAD">
              <w:t>$2,64</w:t>
            </w:r>
            <w:r>
              <w:t>1</w:t>
            </w:r>
            <w:r w:rsidRPr="003C7FAD">
              <w:t xml:space="preserve"> m (</w:t>
            </w:r>
            <w:r>
              <w:t>-</w:t>
            </w:r>
            <w:r w:rsidRPr="003C7FAD">
              <w:t>0.10%)</w:t>
            </w:r>
            <w:r w:rsidRPr="003C7FAD">
              <w:br/>
            </w:r>
            <w:r w:rsidRPr="003C7FAD">
              <w:rPr>
                <w:b/>
              </w:rPr>
              <w:t>CPI:</w:t>
            </w:r>
            <w:r w:rsidRPr="003C7FAD">
              <w:t xml:space="preserve"> </w:t>
            </w:r>
            <w:r>
              <w:t>+</w:t>
            </w:r>
            <w:r w:rsidRPr="003C7FAD">
              <w:t>0.05%</w:t>
            </w:r>
            <w:r w:rsidRPr="003C7FAD">
              <w:br/>
            </w:r>
            <w:r w:rsidRPr="003C7FAD">
              <w:rPr>
                <w:b/>
              </w:rPr>
              <w:t>Net govt revenue (</w:t>
            </w:r>
            <w:proofErr w:type="spellStart"/>
            <w:r w:rsidRPr="003C7FAD">
              <w:rPr>
                <w:b/>
              </w:rPr>
              <w:t>Cth</w:t>
            </w:r>
            <w:proofErr w:type="spellEnd"/>
            <w:r w:rsidRPr="003C7FAD">
              <w:rPr>
                <w:b/>
              </w:rPr>
              <w:t>):</w:t>
            </w:r>
            <w:r w:rsidRPr="003C7FAD">
              <w:t xml:space="preserve"> </w:t>
            </w:r>
            <w:r>
              <w:t>-</w:t>
            </w:r>
            <w:r w:rsidRPr="003C7FAD">
              <w:t>$34</w:t>
            </w:r>
            <w:r>
              <w:t>6</w:t>
            </w:r>
            <w:r w:rsidRPr="003C7FAD">
              <w:t xml:space="preserve"> m</w:t>
            </w:r>
            <w:r w:rsidRPr="003C7FAD">
              <w:br/>
            </w:r>
            <w:r w:rsidRPr="003C7FAD">
              <w:rPr>
                <w:b/>
              </w:rPr>
              <w:t>Net govt revenue (S/T):</w:t>
            </w:r>
            <w:r w:rsidRPr="003C7FAD">
              <w:t xml:space="preserve"> </w:t>
            </w:r>
            <w:r>
              <w:t>+</w:t>
            </w:r>
            <w:r w:rsidRPr="003C7FAD">
              <w:t>$35 m</w:t>
            </w:r>
          </w:p>
        </w:tc>
      </w:tr>
      <w:tr w:rsidR="00DB2ED9" w:rsidRPr="00030C67" w14:paraId="4C088B5B" w14:textId="77777777">
        <w:tc>
          <w:tcPr>
            <w:tcW w:w="426" w:type="dxa"/>
            <w:tcBorders>
              <w:top w:val="nil"/>
              <w:bottom w:val="nil"/>
            </w:tcBorders>
            <w:shd w:val="clear" w:color="auto" w:fill="auto"/>
          </w:tcPr>
          <w:p w14:paraId="5026CA66" w14:textId="77777777" w:rsidR="00DB2ED9" w:rsidRPr="00A21E4E" w:rsidRDefault="00DB2ED9">
            <w:pPr>
              <w:pStyle w:val="TableBodyHeading"/>
            </w:pPr>
            <w:r>
              <w:t>H2</w:t>
            </w:r>
          </w:p>
        </w:tc>
        <w:tc>
          <w:tcPr>
            <w:tcW w:w="1559" w:type="dxa"/>
            <w:tcBorders>
              <w:top w:val="nil"/>
              <w:bottom w:val="nil"/>
            </w:tcBorders>
            <w:shd w:val="clear" w:color="auto" w:fill="auto"/>
          </w:tcPr>
          <w:p w14:paraId="7B2F88C9" w14:textId="77777777" w:rsidR="00DB2ED9" w:rsidRPr="00611CB4" w:rsidRDefault="00DB2ED9">
            <w:pPr>
              <w:pStyle w:val="TableBody"/>
            </w:pPr>
            <w:r>
              <w:t>Labour mobility</w:t>
            </w:r>
          </w:p>
        </w:tc>
        <w:tc>
          <w:tcPr>
            <w:tcW w:w="3685" w:type="dxa"/>
            <w:tcBorders>
              <w:top w:val="nil"/>
              <w:bottom w:val="nil"/>
            </w:tcBorders>
            <w:shd w:val="clear" w:color="auto" w:fill="auto"/>
          </w:tcPr>
          <w:p w14:paraId="699F9023" w14:textId="77777777" w:rsidR="00DB2ED9" w:rsidRPr="008531D2" w:rsidRDefault="00DB2ED9">
            <w:pPr>
              <w:pStyle w:val="TableBody"/>
              <w:rPr>
                <w:b/>
                <w:bCs/>
              </w:rPr>
            </w:pPr>
            <w:r w:rsidRPr="008531D2">
              <w:rPr>
                <w:b/>
                <w:bCs/>
              </w:rPr>
              <w:t>Estimated effects:</w:t>
            </w:r>
          </w:p>
          <w:p w14:paraId="29697824" w14:textId="77777777" w:rsidR="00DB2ED9" w:rsidRPr="008531D2" w:rsidRDefault="00DB2ED9">
            <w:pPr>
              <w:pStyle w:val="TableBody"/>
            </w:pPr>
            <w:r w:rsidRPr="008531D2">
              <w:t>Cost savings ($400–823 m for nurse practitioners and $</w:t>
            </w:r>
            <w:r>
              <w:t>2</w:t>
            </w:r>
            <w:r w:rsidRPr="008531D2">
              <w:t xml:space="preserve">00m for pharmacists) </w:t>
            </w:r>
            <w:r w:rsidRPr="008531D2">
              <w:br/>
              <w:t>Improved health outcomes in regional and remote areas (see H3)</w:t>
            </w:r>
          </w:p>
          <w:p w14:paraId="4E32C65C" w14:textId="77777777" w:rsidR="00DB2ED9" w:rsidRPr="008531D2" w:rsidRDefault="00DB2ED9">
            <w:pPr>
              <w:pStyle w:val="TableBody"/>
              <w:rPr>
                <w:b/>
                <w:bCs/>
              </w:rPr>
            </w:pPr>
            <w:r w:rsidRPr="008531D2">
              <w:rPr>
                <w:b/>
                <w:bCs/>
              </w:rPr>
              <w:t>Other key effects:</w:t>
            </w:r>
          </w:p>
          <w:p w14:paraId="0CF083A1" w14:textId="77777777" w:rsidR="00DB2ED9" w:rsidRPr="008531D2" w:rsidRDefault="00DB2ED9">
            <w:pPr>
              <w:pStyle w:val="TableBody"/>
            </w:pPr>
            <w:r w:rsidRPr="008531D2">
              <w:t>Increased consumer choice and improved quality of service</w:t>
            </w:r>
          </w:p>
        </w:tc>
        <w:tc>
          <w:tcPr>
            <w:tcW w:w="3969" w:type="dxa"/>
            <w:tcBorders>
              <w:top w:val="nil"/>
              <w:bottom w:val="nil"/>
            </w:tcBorders>
            <w:shd w:val="clear" w:color="auto" w:fill="auto"/>
          </w:tcPr>
          <w:p w14:paraId="01F6608E" w14:textId="77777777" w:rsidR="00DB2ED9" w:rsidRPr="004F5A95" w:rsidRDefault="00DB2ED9">
            <w:pPr>
              <w:pStyle w:val="TableBody"/>
              <w:rPr>
                <w:i/>
                <w:iCs/>
              </w:rPr>
            </w:pPr>
            <w:r w:rsidRPr="004F5A95">
              <w:rPr>
                <w:i/>
                <w:iCs/>
              </w:rPr>
              <w:t xml:space="preserve">For </w:t>
            </w:r>
            <w:r>
              <w:rPr>
                <w:i/>
                <w:iCs/>
              </w:rPr>
              <w:t>nurse practitioners</w:t>
            </w:r>
            <w:r w:rsidRPr="004F5A95">
              <w:rPr>
                <w:i/>
                <w:iCs/>
              </w:rPr>
              <w:t>:</w:t>
            </w:r>
          </w:p>
          <w:p w14:paraId="63E2C960" w14:textId="77777777" w:rsidR="00DB2ED9" w:rsidRPr="00DF6994" w:rsidRDefault="00DB2ED9">
            <w:pPr>
              <w:pStyle w:val="TableBody"/>
            </w:pPr>
            <w:r w:rsidRPr="00902473">
              <w:rPr>
                <w:b/>
              </w:rPr>
              <w:t>GDP</w:t>
            </w:r>
            <w:r w:rsidRPr="00902473">
              <w:rPr>
                <w:b/>
                <w:bCs/>
              </w:rPr>
              <w:t>:</w:t>
            </w:r>
            <w:r w:rsidRPr="00902473">
              <w:t xml:space="preserve"> +$567–1,172 m (+0.02–0.04%)</w:t>
            </w:r>
            <w:r w:rsidRPr="00902473">
              <w:br/>
            </w:r>
            <w:r w:rsidRPr="00902473">
              <w:rPr>
                <w:b/>
              </w:rPr>
              <w:t>CPI:</w:t>
            </w:r>
            <w:r w:rsidRPr="00902473">
              <w:t xml:space="preserve"> -0.04–0.09%</w:t>
            </w:r>
            <w:r w:rsidRPr="00902473">
              <w:br/>
            </w:r>
            <w:r w:rsidRPr="00902473">
              <w:rPr>
                <w:b/>
              </w:rPr>
              <w:t>Net govt revenue (</w:t>
            </w:r>
            <w:proofErr w:type="spellStart"/>
            <w:r w:rsidRPr="00902473">
              <w:rPr>
                <w:b/>
              </w:rPr>
              <w:t>Cth</w:t>
            </w:r>
            <w:proofErr w:type="spellEnd"/>
            <w:r w:rsidRPr="00902473">
              <w:rPr>
                <w:b/>
              </w:rPr>
              <w:t>):</w:t>
            </w:r>
            <w:r w:rsidRPr="00902473">
              <w:t xml:space="preserve"> +$95–196 m</w:t>
            </w:r>
            <w:r w:rsidRPr="00902473">
              <w:br/>
            </w:r>
            <w:r w:rsidRPr="00902473">
              <w:rPr>
                <w:b/>
              </w:rPr>
              <w:t>Net govt revenue (S/T):</w:t>
            </w:r>
            <w:r w:rsidRPr="00902473">
              <w:t xml:space="preserve"> +$83–171 m</w:t>
            </w:r>
          </w:p>
          <w:p w14:paraId="0E546503" w14:textId="77777777" w:rsidR="00DB2ED9" w:rsidRPr="004F5A95" w:rsidRDefault="00DB2ED9">
            <w:pPr>
              <w:pStyle w:val="TableBody"/>
              <w:rPr>
                <w:i/>
                <w:iCs/>
              </w:rPr>
            </w:pPr>
            <w:r w:rsidRPr="004F5A95">
              <w:rPr>
                <w:i/>
                <w:iCs/>
              </w:rPr>
              <w:t xml:space="preserve">For </w:t>
            </w:r>
            <w:r>
              <w:rPr>
                <w:i/>
                <w:iCs/>
              </w:rPr>
              <w:t>pharmacists</w:t>
            </w:r>
            <w:r w:rsidRPr="004F5A95">
              <w:rPr>
                <w:i/>
                <w:iCs/>
              </w:rPr>
              <w:t>:</w:t>
            </w:r>
          </w:p>
          <w:p w14:paraId="56B3D53E" w14:textId="5AD05E9A" w:rsidR="00DB2ED9" w:rsidRPr="004F5A95" w:rsidRDefault="00DB2ED9">
            <w:pPr>
              <w:pStyle w:val="TableBody"/>
            </w:pPr>
            <w:r w:rsidRPr="004F5A95">
              <w:rPr>
                <w:b/>
              </w:rPr>
              <w:t>GDP</w:t>
            </w:r>
            <w:r w:rsidRPr="004F5A95">
              <w:rPr>
                <w:b/>
                <w:bCs/>
              </w:rPr>
              <w:t>:</w:t>
            </w:r>
            <w:r w:rsidRPr="004F5A95">
              <w:t xml:space="preserve"> +$</w:t>
            </w:r>
            <w:r w:rsidR="004458C7">
              <w:t>33</w:t>
            </w:r>
            <w:r w:rsidRPr="004F5A95">
              <w:t xml:space="preserve"> m (+0.0</w:t>
            </w:r>
            <w:r>
              <w:t>0</w:t>
            </w:r>
            <w:r w:rsidRPr="004F5A95">
              <w:t>%)</w:t>
            </w:r>
            <w:r w:rsidRPr="004F5A95">
              <w:br/>
            </w:r>
            <w:r w:rsidRPr="004F5A95">
              <w:rPr>
                <w:b/>
              </w:rPr>
              <w:t>CPI:</w:t>
            </w:r>
            <w:r w:rsidRPr="004F5A95">
              <w:t xml:space="preserve"> -0.</w:t>
            </w:r>
            <w:r>
              <w:t>03</w:t>
            </w:r>
            <w:r w:rsidRPr="004F5A95">
              <w:t>%</w:t>
            </w:r>
            <w:r w:rsidRPr="004F5A95">
              <w:br/>
            </w:r>
            <w:r w:rsidRPr="004F5A95">
              <w:rPr>
                <w:b/>
              </w:rPr>
              <w:t>Net govt revenue (</w:t>
            </w:r>
            <w:proofErr w:type="spellStart"/>
            <w:r w:rsidRPr="004F5A95">
              <w:rPr>
                <w:b/>
              </w:rPr>
              <w:t>Cth</w:t>
            </w:r>
            <w:proofErr w:type="spellEnd"/>
            <w:r w:rsidRPr="004F5A95">
              <w:rPr>
                <w:b/>
              </w:rPr>
              <w:t>):</w:t>
            </w:r>
            <w:r w:rsidRPr="004F5A95">
              <w:t xml:space="preserve"> +$</w:t>
            </w:r>
            <w:r>
              <w:t>104</w:t>
            </w:r>
            <w:r w:rsidRPr="004F5A95">
              <w:t xml:space="preserve"> m</w:t>
            </w:r>
            <w:r w:rsidRPr="004F5A95">
              <w:br/>
            </w:r>
            <w:r w:rsidRPr="004F5A95">
              <w:rPr>
                <w:b/>
              </w:rPr>
              <w:t>Net govt revenue (S/T):</w:t>
            </w:r>
            <w:r w:rsidRPr="004F5A95">
              <w:t xml:space="preserve"> </w:t>
            </w:r>
            <w:r>
              <w:t>-</w:t>
            </w:r>
            <w:r w:rsidRPr="004F5A95">
              <w:t>$</w:t>
            </w:r>
            <w:r>
              <w:t>21</w:t>
            </w:r>
            <w:r w:rsidRPr="004F5A95">
              <w:t xml:space="preserve"> m</w:t>
            </w:r>
          </w:p>
        </w:tc>
      </w:tr>
      <w:tr w:rsidR="00DB2ED9" w:rsidRPr="00030C67" w14:paraId="3CECEC61" w14:textId="77777777">
        <w:tc>
          <w:tcPr>
            <w:tcW w:w="426" w:type="dxa"/>
            <w:tcBorders>
              <w:top w:val="nil"/>
              <w:bottom w:val="nil"/>
            </w:tcBorders>
            <w:shd w:val="clear" w:color="auto" w:fill="F2F2F2" w:themeFill="background1" w:themeFillShade="F2"/>
          </w:tcPr>
          <w:p w14:paraId="7ED7081B" w14:textId="77777777" w:rsidR="00DB2ED9" w:rsidRPr="00A21E4E" w:rsidRDefault="00DB2ED9">
            <w:pPr>
              <w:pStyle w:val="TableBodyHeading"/>
            </w:pPr>
            <w:r>
              <w:t>H3</w:t>
            </w:r>
          </w:p>
        </w:tc>
        <w:tc>
          <w:tcPr>
            <w:tcW w:w="1559" w:type="dxa"/>
            <w:tcBorders>
              <w:top w:val="nil"/>
              <w:bottom w:val="nil"/>
            </w:tcBorders>
            <w:shd w:val="clear" w:color="auto" w:fill="F2F2F2" w:themeFill="background1" w:themeFillShade="F2"/>
          </w:tcPr>
          <w:p w14:paraId="1A5F0326" w14:textId="77777777" w:rsidR="00DB2ED9" w:rsidRPr="00611CB4" w:rsidRDefault="00DB2ED9">
            <w:pPr>
              <w:pStyle w:val="TableBody"/>
            </w:pPr>
            <w:r>
              <w:t>Access arrangements</w:t>
            </w:r>
          </w:p>
        </w:tc>
        <w:tc>
          <w:tcPr>
            <w:tcW w:w="3685" w:type="dxa"/>
            <w:tcBorders>
              <w:top w:val="nil"/>
              <w:bottom w:val="nil"/>
            </w:tcBorders>
            <w:shd w:val="clear" w:color="auto" w:fill="F2F2F2" w:themeFill="background1" w:themeFillShade="F2"/>
          </w:tcPr>
          <w:p w14:paraId="4A088EB6" w14:textId="77777777" w:rsidR="00DB2ED9" w:rsidRPr="008531D2" w:rsidRDefault="00DB2ED9">
            <w:pPr>
              <w:pStyle w:val="TableBody"/>
              <w:rPr>
                <w:b/>
                <w:bCs/>
              </w:rPr>
            </w:pPr>
            <w:r w:rsidRPr="008531D2">
              <w:rPr>
                <w:b/>
                <w:bCs/>
              </w:rPr>
              <w:t xml:space="preserve">Estimated </w:t>
            </w:r>
            <w:proofErr w:type="spellStart"/>
            <w:r w:rsidRPr="008531D2">
              <w:rPr>
                <w:b/>
                <w:bCs/>
              </w:rPr>
              <w:t>effects</w:t>
            </w:r>
            <w:r w:rsidRPr="008531D2">
              <w:rPr>
                <w:b/>
                <w:bCs/>
                <w:vertAlign w:val="superscript"/>
              </w:rPr>
              <w:t>a</w:t>
            </w:r>
            <w:proofErr w:type="spellEnd"/>
            <w:r w:rsidRPr="008531D2">
              <w:rPr>
                <w:b/>
                <w:bCs/>
              </w:rPr>
              <w:t>:</w:t>
            </w:r>
          </w:p>
          <w:p w14:paraId="4557C804" w14:textId="77777777" w:rsidR="00DB2ED9" w:rsidRPr="008531D2" w:rsidRDefault="00DB2ED9">
            <w:pPr>
              <w:pStyle w:val="TableBody"/>
              <w:rPr>
                <w:i/>
                <w:iCs/>
              </w:rPr>
            </w:pPr>
            <w:r w:rsidRPr="008531D2">
              <w:rPr>
                <w:i/>
                <w:iCs/>
              </w:rPr>
              <w:t>For regional and remote areas (covering 29% of the population):</w:t>
            </w:r>
          </w:p>
          <w:p w14:paraId="53A10A82" w14:textId="77777777" w:rsidR="00DB2ED9" w:rsidRPr="008531D2" w:rsidRDefault="00DB2ED9">
            <w:pPr>
              <w:pStyle w:val="TableBody"/>
            </w:pPr>
            <w:r w:rsidRPr="008531D2">
              <w:t xml:space="preserve">Improved health outcomes (0.25–0.5% increase in labour productivity in those areas) </w:t>
            </w:r>
          </w:p>
          <w:p w14:paraId="641CFAE3" w14:textId="77777777" w:rsidR="00DB2ED9" w:rsidRPr="008531D2" w:rsidRDefault="00DB2ED9">
            <w:pPr>
              <w:pStyle w:val="TableBody"/>
            </w:pPr>
            <w:r w:rsidRPr="008531D2">
              <w:t>Lower healthcare expenditure (1% increase in total factor productivity in those areas)</w:t>
            </w:r>
          </w:p>
          <w:p w14:paraId="46D1B240" w14:textId="77777777" w:rsidR="00DB2ED9" w:rsidRPr="008531D2" w:rsidRDefault="00DB2ED9">
            <w:pPr>
              <w:pStyle w:val="TableBody"/>
              <w:rPr>
                <w:b/>
                <w:bCs/>
              </w:rPr>
            </w:pPr>
            <w:r w:rsidRPr="008531D2">
              <w:rPr>
                <w:b/>
                <w:bCs/>
              </w:rPr>
              <w:t>Other key effects:</w:t>
            </w:r>
          </w:p>
          <w:p w14:paraId="75B02EA4" w14:textId="77777777" w:rsidR="00DB2ED9" w:rsidRPr="008531D2" w:rsidRDefault="00DB2ED9">
            <w:pPr>
              <w:pStyle w:val="TableBody"/>
            </w:pPr>
            <w:r w:rsidRPr="008531D2">
              <w:t>Increased consumer choice and improved quality of service</w:t>
            </w:r>
          </w:p>
        </w:tc>
        <w:tc>
          <w:tcPr>
            <w:tcW w:w="3969" w:type="dxa"/>
            <w:tcBorders>
              <w:top w:val="nil"/>
              <w:bottom w:val="nil"/>
            </w:tcBorders>
            <w:shd w:val="clear" w:color="auto" w:fill="F2F2F2" w:themeFill="background1" w:themeFillShade="F2"/>
          </w:tcPr>
          <w:p w14:paraId="02FA5147" w14:textId="77777777" w:rsidR="00DB2ED9" w:rsidRPr="004F5A95" w:rsidRDefault="00DB2ED9">
            <w:pPr>
              <w:pStyle w:val="TableBody"/>
              <w:rPr>
                <w:i/>
                <w:iCs/>
              </w:rPr>
            </w:pPr>
            <w:r w:rsidRPr="004F5A95">
              <w:rPr>
                <w:i/>
                <w:iCs/>
              </w:rPr>
              <w:t>For health outcomes in regional</w:t>
            </w:r>
            <w:r>
              <w:rPr>
                <w:i/>
                <w:iCs/>
              </w:rPr>
              <w:t>/</w:t>
            </w:r>
            <w:r w:rsidRPr="004F5A95">
              <w:rPr>
                <w:i/>
                <w:iCs/>
              </w:rPr>
              <w:t>remote areas:</w:t>
            </w:r>
          </w:p>
          <w:p w14:paraId="580CC278" w14:textId="77777777" w:rsidR="00DB2ED9" w:rsidRPr="00757DFB" w:rsidRDefault="00DB2ED9">
            <w:pPr>
              <w:pStyle w:val="TableBody"/>
            </w:pPr>
            <w:r w:rsidRPr="00757DFB">
              <w:rPr>
                <w:b/>
              </w:rPr>
              <w:t>GDP:</w:t>
            </w:r>
            <w:r w:rsidRPr="00757DFB">
              <w:t xml:space="preserve"> +$</w:t>
            </w:r>
            <w:r w:rsidRPr="00757DFB">
              <w:rPr>
                <w:lang w:val="en-US"/>
              </w:rPr>
              <w:t>1,4</w:t>
            </w:r>
            <w:r>
              <w:rPr>
                <w:lang w:val="en-US"/>
              </w:rPr>
              <w:t>37</w:t>
            </w:r>
            <w:r w:rsidRPr="00A9119E">
              <w:t>–</w:t>
            </w:r>
            <w:r w:rsidRPr="00757DFB">
              <w:t>2,</w:t>
            </w:r>
            <w:r>
              <w:t>875</w:t>
            </w:r>
            <w:r w:rsidRPr="00757DFB">
              <w:t xml:space="preserve"> m (+0.0</w:t>
            </w:r>
            <w:r>
              <w:t>5</w:t>
            </w:r>
            <w:r w:rsidRPr="00A9119E">
              <w:t>–</w:t>
            </w:r>
            <w:r w:rsidRPr="00757DFB">
              <w:t>0.11%)</w:t>
            </w:r>
            <w:r w:rsidRPr="00757DFB">
              <w:br/>
            </w:r>
            <w:r w:rsidRPr="00757DFB">
              <w:rPr>
                <w:b/>
              </w:rPr>
              <w:t>CPI:</w:t>
            </w:r>
            <w:r w:rsidRPr="00757DFB">
              <w:t xml:space="preserve"> -0.0</w:t>
            </w:r>
            <w:r>
              <w:t>2</w:t>
            </w:r>
            <w:r w:rsidRPr="00A9119E">
              <w:t>–</w:t>
            </w:r>
            <w:r w:rsidRPr="00757DFB">
              <w:t>0.05%</w:t>
            </w:r>
            <w:r w:rsidRPr="00757DFB">
              <w:br/>
            </w:r>
            <w:r w:rsidRPr="00757DFB">
              <w:rPr>
                <w:b/>
              </w:rPr>
              <w:t>Net govt revenue (</w:t>
            </w:r>
            <w:proofErr w:type="spellStart"/>
            <w:r w:rsidRPr="00757DFB">
              <w:rPr>
                <w:b/>
              </w:rPr>
              <w:t>Cth</w:t>
            </w:r>
            <w:proofErr w:type="spellEnd"/>
            <w:r w:rsidRPr="00757DFB">
              <w:rPr>
                <w:b/>
              </w:rPr>
              <w:t>):</w:t>
            </w:r>
            <w:r w:rsidRPr="00757DFB">
              <w:t xml:space="preserve"> +$1</w:t>
            </w:r>
            <w:r>
              <w:t>84</w:t>
            </w:r>
            <w:r w:rsidRPr="00A9119E">
              <w:t>–</w:t>
            </w:r>
            <w:r w:rsidRPr="00757DFB">
              <w:t>3</w:t>
            </w:r>
            <w:r>
              <w:t>67</w:t>
            </w:r>
            <w:r w:rsidRPr="00757DFB">
              <w:t xml:space="preserve"> m</w:t>
            </w:r>
            <w:r w:rsidRPr="00757DFB">
              <w:br/>
            </w:r>
            <w:r w:rsidRPr="00757DFB">
              <w:rPr>
                <w:b/>
              </w:rPr>
              <w:t>Net govt revenue (S/T):</w:t>
            </w:r>
            <w:r w:rsidRPr="00757DFB">
              <w:t xml:space="preserve"> -$</w:t>
            </w:r>
            <w:r>
              <w:t>16</w:t>
            </w:r>
            <w:r w:rsidRPr="00A9119E">
              <w:t>–</w:t>
            </w:r>
            <w:r>
              <w:t>31</w:t>
            </w:r>
            <w:r w:rsidRPr="00757DFB">
              <w:t xml:space="preserve"> m</w:t>
            </w:r>
          </w:p>
          <w:p w14:paraId="7C8D5FD7" w14:textId="77777777" w:rsidR="00DB2ED9" w:rsidRPr="004F5A95" w:rsidRDefault="00DB2ED9">
            <w:pPr>
              <w:pStyle w:val="TableBody"/>
              <w:rPr>
                <w:i/>
                <w:iCs/>
              </w:rPr>
            </w:pPr>
            <w:r w:rsidRPr="004F5A95">
              <w:rPr>
                <w:i/>
                <w:iCs/>
              </w:rPr>
              <w:t>For healthcare exp</w:t>
            </w:r>
            <w:r>
              <w:rPr>
                <w:i/>
                <w:iCs/>
              </w:rPr>
              <w:t>.</w:t>
            </w:r>
            <w:r w:rsidRPr="004F5A95">
              <w:rPr>
                <w:i/>
                <w:iCs/>
              </w:rPr>
              <w:t xml:space="preserve"> in regional</w:t>
            </w:r>
            <w:r>
              <w:rPr>
                <w:i/>
                <w:iCs/>
              </w:rPr>
              <w:t>/</w:t>
            </w:r>
            <w:r w:rsidRPr="004F5A95">
              <w:rPr>
                <w:i/>
                <w:iCs/>
              </w:rPr>
              <w:t>remote areas:</w:t>
            </w:r>
          </w:p>
          <w:p w14:paraId="56A2C1AD" w14:textId="77777777" w:rsidR="00DB2ED9" w:rsidRPr="004F5A95" w:rsidRDefault="00DB2ED9">
            <w:pPr>
              <w:pStyle w:val="TableBody"/>
            </w:pPr>
            <w:r w:rsidRPr="004F5A95">
              <w:rPr>
                <w:b/>
              </w:rPr>
              <w:t>GDP:</w:t>
            </w:r>
            <w:r w:rsidRPr="004F5A95">
              <w:t xml:space="preserve"> +352 m (0.01%)</w:t>
            </w:r>
            <w:r w:rsidRPr="004F5A95">
              <w:br/>
            </w:r>
            <w:r w:rsidRPr="004F5A95">
              <w:rPr>
                <w:b/>
              </w:rPr>
              <w:t>CPI:</w:t>
            </w:r>
            <w:r w:rsidRPr="004F5A95">
              <w:t xml:space="preserve"> -0.01%</w:t>
            </w:r>
            <w:r w:rsidRPr="004F5A95">
              <w:br/>
            </w:r>
            <w:r w:rsidRPr="004F5A95">
              <w:rPr>
                <w:b/>
              </w:rPr>
              <w:t>Net govt revenue (</w:t>
            </w:r>
            <w:proofErr w:type="spellStart"/>
            <w:r w:rsidRPr="004F5A95">
              <w:rPr>
                <w:b/>
              </w:rPr>
              <w:t>Cth</w:t>
            </w:r>
            <w:proofErr w:type="spellEnd"/>
            <w:r w:rsidRPr="004F5A95">
              <w:rPr>
                <w:b/>
              </w:rPr>
              <w:t>):</w:t>
            </w:r>
            <w:r w:rsidRPr="004F5A95">
              <w:t xml:space="preserve"> +$34 m</w:t>
            </w:r>
            <w:r w:rsidRPr="004F5A95">
              <w:br/>
            </w:r>
            <w:r w:rsidRPr="004F5A95">
              <w:rPr>
                <w:b/>
              </w:rPr>
              <w:t>Net govt revenue (S/T):</w:t>
            </w:r>
            <w:r w:rsidRPr="004F5A95">
              <w:t xml:space="preserve"> +$9 m</w:t>
            </w:r>
          </w:p>
        </w:tc>
      </w:tr>
      <w:tr w:rsidR="00B13E18" w:rsidRPr="00B13E18" w14:paraId="00773216" w14:textId="77777777">
        <w:tc>
          <w:tcPr>
            <w:tcW w:w="426" w:type="dxa"/>
            <w:tcBorders>
              <w:top w:val="nil"/>
              <w:bottom w:val="nil"/>
            </w:tcBorders>
            <w:shd w:val="clear" w:color="auto" w:fill="auto"/>
          </w:tcPr>
          <w:p w14:paraId="6835199B" w14:textId="77777777" w:rsidR="00DB2ED9" w:rsidRPr="00A21E4E" w:rsidRDefault="00DB2ED9">
            <w:pPr>
              <w:pStyle w:val="TableBodyHeading"/>
            </w:pPr>
            <w:r>
              <w:t>H4</w:t>
            </w:r>
          </w:p>
        </w:tc>
        <w:tc>
          <w:tcPr>
            <w:tcW w:w="1559" w:type="dxa"/>
            <w:tcBorders>
              <w:top w:val="nil"/>
              <w:bottom w:val="nil"/>
            </w:tcBorders>
            <w:shd w:val="clear" w:color="auto" w:fill="auto"/>
          </w:tcPr>
          <w:p w14:paraId="58243D61" w14:textId="77777777" w:rsidR="00DB2ED9" w:rsidRPr="00611CB4" w:rsidRDefault="00DB2ED9">
            <w:pPr>
              <w:pStyle w:val="TableBody"/>
            </w:pPr>
            <w:r>
              <w:t>Medicine pricing</w:t>
            </w:r>
          </w:p>
        </w:tc>
        <w:tc>
          <w:tcPr>
            <w:tcW w:w="3685" w:type="dxa"/>
            <w:tcBorders>
              <w:top w:val="nil"/>
              <w:bottom w:val="nil"/>
            </w:tcBorders>
            <w:shd w:val="clear" w:color="auto" w:fill="auto"/>
          </w:tcPr>
          <w:p w14:paraId="01538590" w14:textId="77777777" w:rsidR="00DB2ED9" w:rsidRPr="008531D2" w:rsidRDefault="00DB2ED9">
            <w:pPr>
              <w:pStyle w:val="TableBody"/>
              <w:rPr>
                <w:b/>
                <w:bCs/>
              </w:rPr>
            </w:pPr>
            <w:r w:rsidRPr="008531D2">
              <w:rPr>
                <w:b/>
                <w:bCs/>
              </w:rPr>
              <w:t>Estimated effects:</w:t>
            </w:r>
          </w:p>
          <w:p w14:paraId="7C37982F" w14:textId="39ABA43D" w:rsidR="00DB2ED9" w:rsidRPr="008531D2" w:rsidRDefault="00DB2ED9">
            <w:pPr>
              <w:pStyle w:val="TableBody"/>
            </w:pPr>
            <w:r w:rsidRPr="008531D2">
              <w:t xml:space="preserve">Lower prices for generic medicines (by </w:t>
            </w:r>
            <w:r w:rsidR="00247BCB">
              <w:t>7</w:t>
            </w:r>
            <w:r w:rsidRPr="008531D2">
              <w:t>%)</w:t>
            </w:r>
          </w:p>
          <w:p w14:paraId="7BD65016" w14:textId="77777777" w:rsidR="00DB2ED9" w:rsidRPr="008531D2" w:rsidRDefault="00DB2ED9">
            <w:pPr>
              <w:pStyle w:val="TableBody"/>
            </w:pPr>
          </w:p>
        </w:tc>
        <w:tc>
          <w:tcPr>
            <w:tcW w:w="3969" w:type="dxa"/>
            <w:tcBorders>
              <w:top w:val="nil"/>
              <w:bottom w:val="nil"/>
            </w:tcBorders>
            <w:shd w:val="clear" w:color="auto" w:fill="auto"/>
          </w:tcPr>
          <w:p w14:paraId="67CB61E3" w14:textId="77777777" w:rsidR="00DB2ED9" w:rsidRPr="00B13E18" w:rsidRDefault="00DB2ED9">
            <w:pPr>
              <w:pStyle w:val="TableBody"/>
            </w:pPr>
            <w:r w:rsidRPr="00B13E18">
              <w:rPr>
                <w:b/>
              </w:rPr>
              <w:t>GDP:</w:t>
            </w:r>
            <w:r w:rsidRPr="00B13E18">
              <w:t xml:space="preserve"> +$2 m (+0.00%)</w:t>
            </w:r>
            <w:r w:rsidRPr="00B13E18">
              <w:br/>
            </w:r>
            <w:r w:rsidRPr="00B13E18">
              <w:rPr>
                <w:b/>
              </w:rPr>
              <w:t>CPI:</w:t>
            </w:r>
            <w:r w:rsidRPr="00B13E18">
              <w:t xml:space="preserve"> -0.00%</w:t>
            </w:r>
            <w:r w:rsidRPr="00B13E18">
              <w:br/>
            </w:r>
            <w:r w:rsidRPr="00B13E18">
              <w:rPr>
                <w:b/>
              </w:rPr>
              <w:t>Net govt revenue (</w:t>
            </w:r>
            <w:proofErr w:type="spellStart"/>
            <w:r w:rsidRPr="00B13E18">
              <w:rPr>
                <w:b/>
              </w:rPr>
              <w:t>Cth</w:t>
            </w:r>
            <w:proofErr w:type="spellEnd"/>
            <w:r w:rsidRPr="00B13E18">
              <w:rPr>
                <w:b/>
              </w:rPr>
              <w:t>):</w:t>
            </w:r>
            <w:r w:rsidRPr="00B13E18">
              <w:t xml:space="preserve"> +$22 m</w:t>
            </w:r>
            <w:r w:rsidRPr="00B13E18">
              <w:br/>
            </w:r>
            <w:r w:rsidRPr="00B13E18">
              <w:rPr>
                <w:b/>
              </w:rPr>
              <w:t>Net govt revenue (S/T):</w:t>
            </w:r>
            <w:r w:rsidRPr="00B13E18">
              <w:t xml:space="preserve"> +$13 m</w:t>
            </w:r>
          </w:p>
        </w:tc>
      </w:tr>
      <w:tr w:rsidR="00DB2ED9" w:rsidRPr="00030C67" w14:paraId="76434D29" w14:textId="77777777">
        <w:tc>
          <w:tcPr>
            <w:tcW w:w="426" w:type="dxa"/>
            <w:tcBorders>
              <w:bottom w:val="single" w:sz="4" w:space="0" w:color="B3B3B3"/>
            </w:tcBorders>
            <w:shd w:val="clear" w:color="auto" w:fill="F2F2F2" w:themeFill="background1" w:themeFillShade="F2"/>
          </w:tcPr>
          <w:p w14:paraId="77C929B1" w14:textId="77777777" w:rsidR="00DB2ED9" w:rsidRPr="00A21E4E" w:rsidRDefault="00DB2ED9">
            <w:pPr>
              <w:pStyle w:val="TableBodyHeading"/>
            </w:pPr>
            <w:r>
              <w:t>H5</w:t>
            </w:r>
          </w:p>
        </w:tc>
        <w:tc>
          <w:tcPr>
            <w:tcW w:w="1559" w:type="dxa"/>
            <w:tcBorders>
              <w:bottom w:val="single" w:sz="4" w:space="0" w:color="B3B3B3"/>
            </w:tcBorders>
            <w:shd w:val="clear" w:color="auto" w:fill="F2F2F2" w:themeFill="background1" w:themeFillShade="F2"/>
          </w:tcPr>
          <w:p w14:paraId="7B5151E0" w14:textId="77777777" w:rsidR="00DB2ED9" w:rsidRPr="00611CB4" w:rsidRDefault="00DB2ED9">
            <w:pPr>
              <w:pStyle w:val="TableBody"/>
            </w:pPr>
            <w:r>
              <w:t>Telehealth</w:t>
            </w:r>
          </w:p>
        </w:tc>
        <w:tc>
          <w:tcPr>
            <w:tcW w:w="3685" w:type="dxa"/>
            <w:tcBorders>
              <w:bottom w:val="single" w:sz="4" w:space="0" w:color="B3B3B3"/>
            </w:tcBorders>
            <w:shd w:val="clear" w:color="auto" w:fill="F2F2F2" w:themeFill="background1" w:themeFillShade="F2"/>
          </w:tcPr>
          <w:p w14:paraId="79BEFD60" w14:textId="77777777" w:rsidR="00DB2ED9" w:rsidRPr="008531D2" w:rsidRDefault="00DB2ED9">
            <w:pPr>
              <w:pStyle w:val="TableBody"/>
              <w:rPr>
                <w:b/>
                <w:bCs/>
              </w:rPr>
            </w:pPr>
            <w:r w:rsidRPr="008531D2">
              <w:rPr>
                <w:b/>
                <w:bCs/>
              </w:rPr>
              <w:t>Estimated effects:</w:t>
            </w:r>
          </w:p>
          <w:p w14:paraId="2F0B4795" w14:textId="77777777" w:rsidR="00DB2ED9" w:rsidRPr="008531D2" w:rsidRDefault="00DB2ED9">
            <w:pPr>
              <w:pStyle w:val="TableBody"/>
            </w:pPr>
            <w:r w:rsidRPr="008531D2">
              <w:t>Time savings (modelled as a 0.03% increase in labour supply)</w:t>
            </w:r>
            <w:r w:rsidRPr="008531D2">
              <w:br/>
              <w:t>Improved health outcomes in regional and remote areas (see H3)</w:t>
            </w:r>
          </w:p>
          <w:p w14:paraId="5EC5F4C5" w14:textId="77777777" w:rsidR="00DB2ED9" w:rsidRPr="008531D2" w:rsidRDefault="00DB2ED9">
            <w:pPr>
              <w:pStyle w:val="TableBody"/>
              <w:rPr>
                <w:b/>
                <w:bCs/>
              </w:rPr>
            </w:pPr>
            <w:r w:rsidRPr="008531D2">
              <w:rPr>
                <w:b/>
                <w:bCs/>
              </w:rPr>
              <w:t>Other key effects:</w:t>
            </w:r>
          </w:p>
          <w:p w14:paraId="6B4C1B01" w14:textId="77777777" w:rsidR="00DB2ED9" w:rsidRPr="008531D2" w:rsidRDefault="00DB2ED9">
            <w:pPr>
              <w:pStyle w:val="TableBody"/>
            </w:pPr>
            <w:r w:rsidRPr="008531D2">
              <w:t xml:space="preserve">Increased consumer choice </w:t>
            </w:r>
          </w:p>
        </w:tc>
        <w:tc>
          <w:tcPr>
            <w:tcW w:w="3969" w:type="dxa"/>
            <w:tcBorders>
              <w:bottom w:val="single" w:sz="4" w:space="0" w:color="B3B3B3"/>
            </w:tcBorders>
            <w:shd w:val="clear" w:color="auto" w:fill="F2F2F2" w:themeFill="background1" w:themeFillShade="F2"/>
          </w:tcPr>
          <w:p w14:paraId="61B4F5B7" w14:textId="77777777" w:rsidR="00DB2ED9" w:rsidRPr="00DF7A87" w:rsidRDefault="00DB2ED9">
            <w:pPr>
              <w:pStyle w:val="TableBody"/>
            </w:pPr>
            <w:r w:rsidRPr="00B23BAA">
              <w:rPr>
                <w:b/>
              </w:rPr>
              <w:t>GDP:</w:t>
            </w:r>
            <w:r w:rsidRPr="00B23BAA">
              <w:t xml:space="preserve"> +$793 m (+0.03%)</w:t>
            </w:r>
            <w:r w:rsidRPr="00B23BAA">
              <w:br/>
            </w:r>
            <w:r w:rsidRPr="00B23BAA">
              <w:rPr>
                <w:b/>
              </w:rPr>
              <w:t>CPI:</w:t>
            </w:r>
            <w:r w:rsidRPr="00B23BAA">
              <w:t xml:space="preserve"> -0.02%</w:t>
            </w:r>
            <w:r w:rsidRPr="00B23BAA">
              <w:br/>
            </w:r>
            <w:r w:rsidRPr="00B23BAA">
              <w:rPr>
                <w:b/>
              </w:rPr>
              <w:t>Net govt revenue (</w:t>
            </w:r>
            <w:proofErr w:type="spellStart"/>
            <w:r w:rsidRPr="00B23BAA">
              <w:rPr>
                <w:b/>
              </w:rPr>
              <w:t>Cth</w:t>
            </w:r>
            <w:proofErr w:type="spellEnd"/>
            <w:r w:rsidRPr="00B23BAA">
              <w:rPr>
                <w:b/>
              </w:rPr>
              <w:t>):</w:t>
            </w:r>
            <w:r w:rsidRPr="00B23BAA">
              <w:t xml:space="preserve"> +$104 m</w:t>
            </w:r>
            <w:r w:rsidRPr="00B23BAA">
              <w:br/>
            </w:r>
            <w:r w:rsidRPr="00B23BAA">
              <w:rPr>
                <w:b/>
              </w:rPr>
              <w:t>Net govt revenue (S/T):</w:t>
            </w:r>
            <w:r w:rsidRPr="00B23BAA">
              <w:t xml:space="preserve"> -$11 m</w:t>
            </w:r>
          </w:p>
        </w:tc>
      </w:tr>
    </w:tbl>
    <w:p w14:paraId="0EF41C60" w14:textId="77777777" w:rsidR="00DB2ED9" w:rsidRDefault="00DB2ED9">
      <w:pPr>
        <w:pStyle w:val="Note"/>
      </w:pPr>
      <w:r w:rsidRPr="00C36914">
        <w:rPr>
          <w:b/>
          <w:bCs/>
        </w:rPr>
        <w:t>a.</w:t>
      </w:r>
      <w:r w:rsidRPr="00C36914">
        <w:t xml:space="preserve"> </w:t>
      </w:r>
      <w:r>
        <w:t xml:space="preserve">The estimated effects for this reform include </w:t>
      </w:r>
      <w:r w:rsidRPr="000709D9">
        <w:t>aspects of H2 and H5</w:t>
      </w:r>
      <w:r>
        <w:t>.</w:t>
      </w:r>
    </w:p>
    <w:p w14:paraId="45F159BA" w14:textId="77777777" w:rsidR="00DB2ED9" w:rsidRDefault="00DB2ED9">
      <w:pPr>
        <w:pStyle w:val="Heading4"/>
      </w:pPr>
      <w:r>
        <w:lastRenderedPageBreak/>
        <w:t>Matching consumers and services</w:t>
      </w:r>
    </w:p>
    <w:p w14:paraId="570C2004" w14:textId="77777777" w:rsidR="00DB2ED9" w:rsidRPr="00B13E18" w:rsidRDefault="00DB2ED9">
      <w:pPr>
        <w:pStyle w:val="BodyText"/>
        <w:rPr>
          <w:spacing w:val="-2"/>
        </w:rPr>
      </w:pPr>
      <w:r w:rsidRPr="00B13E18">
        <w:rPr>
          <w:spacing w:val="-2"/>
        </w:rPr>
        <w:t>Another reform we assessed was about improving matching between consumers and services, by providing consumers with more information about services and service providers (H1). The scope and implementation of this reform will determine whether it results in net benefits. Around the world, past efforts to improve information provision have been met with very little change in consumer behaviour, though this may reflect the merits of specific policy designs. Policies to provide consumers with more information can also create perverse incentives for providers not to provide certain services or serve certain cohorts in order to maintain higher ratings. That said, if the reform can be implemented effectively, it has the potential to empower consumers to make decisions that best meet their needs and incentivise providers to improve the quality of services. This can improve health outcomes, leading to improved quality of life and wellbeing and reduced absences from work and hence higher labour productivity. This would be a broad</w:t>
      </w:r>
      <w:r w:rsidRPr="00B13E18">
        <w:rPr>
          <w:spacing w:val="-2"/>
        </w:rPr>
        <w:noBreakHyphen/>
        <w:t>based effect that impacts the whole economy.</w:t>
      </w:r>
    </w:p>
    <w:p w14:paraId="0735256E" w14:textId="77777777" w:rsidR="00DB2ED9" w:rsidRDefault="00DB2ED9">
      <w:pPr>
        <w:pStyle w:val="Heading4"/>
      </w:pPr>
      <w:r>
        <w:t>Pricing of generic medicines</w:t>
      </w:r>
    </w:p>
    <w:p w14:paraId="1CE996A0" w14:textId="77777777" w:rsidR="00DB2ED9" w:rsidRDefault="00DB2ED9">
      <w:pPr>
        <w:pStyle w:val="BodyText"/>
      </w:pPr>
      <w:r>
        <w:t xml:space="preserve">The final reform is </w:t>
      </w:r>
      <w:r w:rsidRPr="00043B17">
        <w:t xml:space="preserve">about </w:t>
      </w:r>
      <w:r>
        <w:t xml:space="preserve">the price </w:t>
      </w:r>
      <w:r w:rsidRPr="00043B17">
        <w:t xml:space="preserve">of generic </w:t>
      </w:r>
      <w:r>
        <w:t xml:space="preserve">medicines (H4). This reform could reduce prices in Australia to levels similar to those in comparable countries, such as New Zealand, Canada and the United Kingdom. Overall, this will have </w:t>
      </w:r>
      <w:r w:rsidRPr="00DF7A87">
        <w:t>negligible economy</w:t>
      </w:r>
      <w:r w:rsidRPr="00DF7A87">
        <w:noBreakHyphen/>
        <w:t>wide impacts</w:t>
      </w:r>
      <w:r>
        <w:t xml:space="preserve">. </w:t>
      </w:r>
    </w:p>
    <w:p w14:paraId="48442B4D" w14:textId="77777777" w:rsidR="00DB2ED9" w:rsidRDefault="00DB2ED9">
      <w:pPr>
        <w:pStyle w:val="Heading3"/>
      </w:pPr>
      <w:bookmarkStart w:id="81" w:name="_Toc181174227"/>
      <w:bookmarkStart w:id="82" w:name="_Toc181360257"/>
      <w:r>
        <w:t>Data and digital</w:t>
      </w:r>
      <w:bookmarkEnd w:id="81"/>
      <w:bookmarkEnd w:id="82"/>
      <w:r>
        <w:t xml:space="preserve"> </w:t>
      </w:r>
    </w:p>
    <w:p w14:paraId="7A3E0522" w14:textId="51830740" w:rsidR="00DB2ED9" w:rsidRPr="00467BA6" w:rsidRDefault="00DB2ED9">
      <w:pPr>
        <w:pStyle w:val="BodyText"/>
      </w:pPr>
      <w:r w:rsidRPr="001D4CA6">
        <w:t xml:space="preserve">Data and digital </w:t>
      </w:r>
      <w:r w:rsidRPr="00467BA6">
        <w:t xml:space="preserve">technology </w:t>
      </w:r>
      <w:r>
        <w:t xml:space="preserve">use </w:t>
      </w:r>
      <w:r w:rsidRPr="00467BA6">
        <w:t>can improve the productivity and growth of businesses</w:t>
      </w:r>
      <w:r>
        <w:t xml:space="preserve">. This can lead to </w:t>
      </w:r>
      <w:r w:rsidRPr="00467BA6">
        <w:t>improve</w:t>
      </w:r>
      <w:r>
        <w:t>d</w:t>
      </w:r>
      <w:r w:rsidRPr="00467BA6">
        <w:t xml:space="preserve"> product quality and consumer choice, particularly in the services sector </w:t>
      </w:r>
      <w:r w:rsidR="00442DC5" w:rsidRPr="00442DC5">
        <w:rPr>
          <w:rFonts w:ascii="Arial" w:hAnsi="Arial" w:cs="Arial"/>
        </w:rPr>
        <w:t>(PC 2023e, p. 1)</w:t>
      </w:r>
      <w:r w:rsidRPr="00467BA6">
        <w:t xml:space="preserve">. Productive use of technology can also enhance international trade and improve government service delivery. </w:t>
      </w:r>
    </w:p>
    <w:p w14:paraId="3857D33A" w14:textId="77777777" w:rsidR="00DB2ED9" w:rsidRPr="00467BA6" w:rsidRDefault="00DB2ED9">
      <w:pPr>
        <w:pStyle w:val="BodyText"/>
      </w:pPr>
      <w:r>
        <w:t>S</w:t>
      </w:r>
      <w:r w:rsidRPr="00467BA6">
        <w:t>ome evidence suggests Australia is falling behind in adopting data and digital technologies:</w:t>
      </w:r>
    </w:p>
    <w:p w14:paraId="1C4F24E0" w14:textId="5DB2625D" w:rsidR="00DB2ED9" w:rsidRDefault="00DB2ED9">
      <w:pPr>
        <w:pStyle w:val="Quote"/>
      </w:pPr>
      <w:r>
        <w:t xml:space="preserve">… </w:t>
      </w:r>
      <w:r w:rsidRPr="00467BA6">
        <w:t xml:space="preserve">compared with other developed countries, Australia does well on basic measures of technology and data </w:t>
      </w:r>
      <w:proofErr w:type="gramStart"/>
      <w:r w:rsidRPr="00467BA6">
        <w:t>uptake, but</w:t>
      </w:r>
      <w:proofErr w:type="gramEnd"/>
      <w:r w:rsidRPr="00467BA6">
        <w:t xml:space="preserve"> is falling behind on more advanced uses. This could limit future productivity growth. </w:t>
      </w:r>
      <w:r w:rsidR="00442DC5" w:rsidRPr="00442DC5">
        <w:rPr>
          <w:rFonts w:ascii="Arial" w:hAnsi="Arial" w:cs="Arial"/>
        </w:rPr>
        <w:t>(PC 2023e, p. 1)</w:t>
      </w:r>
    </w:p>
    <w:p w14:paraId="23465FD2" w14:textId="21767E0C" w:rsidR="00DB2ED9" w:rsidRDefault="00DB2ED9">
      <w:pPr>
        <w:pStyle w:val="BodyText"/>
        <w:keepNext/>
      </w:pPr>
      <w:r>
        <w:t>Therefore, governments play a key role in creating policy settings that maximise the benefits of data and digital technologies, while managing user risks (such as privacy, security or other ha</w:t>
      </w:r>
      <w:r w:rsidRPr="00FC7BE0">
        <w:t xml:space="preserve">rms). </w:t>
      </w:r>
      <w:r>
        <w:t xml:space="preserve">For example, artificial intelligence is expected to deliver </w:t>
      </w:r>
      <w:r w:rsidRPr="00D35C11">
        <w:t xml:space="preserve">large productivity benefits </w:t>
      </w:r>
      <w:r>
        <w:t>over time</w:t>
      </w:r>
      <w:r w:rsidRPr="00D35C11">
        <w:t xml:space="preserve"> but </w:t>
      </w:r>
      <w:r>
        <w:t xml:space="preserve">it also has the potential to </w:t>
      </w:r>
      <w:r w:rsidRPr="00D35C11">
        <w:t xml:space="preserve">create new harms to individuals, the economy and society </w:t>
      </w:r>
      <w:r w:rsidR="00442DC5" w:rsidRPr="00442DC5">
        <w:rPr>
          <w:rFonts w:ascii="Arial" w:hAnsi="Arial" w:cs="Arial"/>
        </w:rPr>
        <w:t>(PC 2024d, p. 2)</w:t>
      </w:r>
      <w:r w:rsidRPr="00D35C11">
        <w:t xml:space="preserve">. </w:t>
      </w:r>
      <w:r>
        <w:t>The challenge for government policy is striking the right balance between:</w:t>
      </w:r>
    </w:p>
    <w:p w14:paraId="5DD6C8D7" w14:textId="77777777" w:rsidR="00DB2ED9" w:rsidRPr="00D35C11" w:rsidRDefault="00DB2ED9">
      <w:pPr>
        <w:pStyle w:val="ListBullet"/>
      </w:pPr>
      <w:r w:rsidRPr="00D35C11">
        <w:t>remov</w:t>
      </w:r>
      <w:r>
        <w:t>ing</w:t>
      </w:r>
      <w:r w:rsidRPr="00D35C11">
        <w:t xml:space="preserve"> </w:t>
      </w:r>
      <w:r>
        <w:t xml:space="preserve">existing </w:t>
      </w:r>
      <w:r w:rsidRPr="00D35C11">
        <w:t>barriers to using data and digital technologies to enhance competition and productivity, and improve consumer choice</w:t>
      </w:r>
    </w:p>
    <w:p w14:paraId="13E3B9DF" w14:textId="77777777" w:rsidR="00DB2ED9" w:rsidRDefault="00DB2ED9">
      <w:pPr>
        <w:pStyle w:val="ListBullet"/>
      </w:pPr>
      <w:r w:rsidRPr="00D35C11">
        <w:t>not inhibit</w:t>
      </w:r>
      <w:r>
        <w:t>ing</w:t>
      </w:r>
      <w:r w:rsidRPr="00D35C11">
        <w:t xml:space="preserve"> the growth of emerging technologies</w:t>
      </w:r>
    </w:p>
    <w:p w14:paraId="225E6AB8" w14:textId="77777777" w:rsidR="00DB2ED9" w:rsidRPr="00D35C11" w:rsidRDefault="00DB2ED9">
      <w:pPr>
        <w:pStyle w:val="ListBullet"/>
      </w:pPr>
      <w:r>
        <w:t xml:space="preserve">managing the potential risks of emerging of </w:t>
      </w:r>
      <w:r w:rsidRPr="00D35C11">
        <w:t>data and digital technologies</w:t>
      </w:r>
      <w:r>
        <w:t xml:space="preserve">, including risks to </w:t>
      </w:r>
      <w:r w:rsidRPr="00D35C11">
        <w:t>competition</w:t>
      </w:r>
      <w:r>
        <w:t xml:space="preserve">. </w:t>
      </w:r>
    </w:p>
    <w:p w14:paraId="1B30CBFE" w14:textId="77777777" w:rsidR="00DB2ED9" w:rsidRDefault="00DB2ED9">
      <w:pPr>
        <w:pStyle w:val="BodyText"/>
      </w:pPr>
      <w:r>
        <w:t>We were asked to assess five reforms under the data and digital theme (tables 1 and 10). The full analysis of each reform is in appendix B5.</w:t>
      </w:r>
    </w:p>
    <w:p w14:paraId="3A0E9D20" w14:textId="77777777" w:rsidR="00DB2ED9" w:rsidRDefault="00DB2ED9">
      <w:pPr>
        <w:pStyle w:val="Heading4"/>
      </w:pPr>
      <w:r>
        <w:t>Financial services</w:t>
      </w:r>
    </w:p>
    <w:p w14:paraId="5DAEA3E6" w14:textId="54F61DBC" w:rsidR="00DB2ED9" w:rsidRPr="001937F9" w:rsidRDefault="00DB2ED9">
      <w:pPr>
        <w:pStyle w:val="BodyText"/>
        <w:rPr>
          <w:rFonts w:ascii="Roboto Slab" w:hAnsi="Roboto Slab" w:cs="Roboto Slab"/>
        </w:rPr>
      </w:pPr>
      <w:r>
        <w:t xml:space="preserve">Two reforms are about financial services markets </w:t>
      </w:r>
      <w:r w:rsidR="00677CD6">
        <w:t>–</w:t>
      </w:r>
      <w:r>
        <w:t xml:space="preserve"> banking (D4) and payment systems (D5). Given the ubiquity of these services, these reforms could have a significant economic impact, if effectively implemented. Overall, we estimate that these reforms together translate to a boost to GDP of up to </w:t>
      </w:r>
      <w:r w:rsidRPr="001937F9">
        <w:t>$6.6 billion</w:t>
      </w:r>
      <w:r>
        <w:t xml:space="preserve">, which translates to </w:t>
      </w:r>
      <w:r w:rsidRPr="001937F9">
        <w:t>over $750</w:t>
      </w:r>
      <w:r>
        <w:t xml:space="preserve"> per Australian household.</w:t>
      </w:r>
      <w:r w:rsidRPr="001937F9">
        <w:t xml:space="preserve"> </w:t>
      </w:r>
    </w:p>
    <w:p w14:paraId="0FD28F24" w14:textId="77777777" w:rsidR="00DB2ED9" w:rsidRPr="00E15719" w:rsidRDefault="00DB2ED9">
      <w:pPr>
        <w:pStyle w:val="BodyText"/>
      </w:pPr>
      <w:r>
        <w:lastRenderedPageBreak/>
        <w:t xml:space="preserve">For </w:t>
      </w:r>
      <w:r w:rsidRPr="00E15719">
        <w:t xml:space="preserve">the </w:t>
      </w:r>
      <w:r>
        <w:t>payment system</w:t>
      </w:r>
      <w:r w:rsidRPr="00E15719">
        <w:t xml:space="preserve"> reform (D5), </w:t>
      </w:r>
      <w:r>
        <w:t>we were asked to assess the effects of allowing more payment product providers to directly access the New Payments Platform, which enables low</w:t>
      </w:r>
      <w:r>
        <w:noBreakHyphen/>
        <w:t>cost and real</w:t>
      </w:r>
      <w:r>
        <w:noBreakHyphen/>
        <w:t xml:space="preserve">time </w:t>
      </w:r>
      <w:r w:rsidRPr="61AD68BF">
        <w:rPr>
          <w:color w:val="000000" w:themeColor="text1"/>
        </w:rPr>
        <w:t>account</w:t>
      </w:r>
      <w:r>
        <w:rPr>
          <w:color w:val="000000" w:themeColor="text1"/>
        </w:rPr>
        <w:noBreakHyphen/>
      </w:r>
      <w:r w:rsidRPr="61AD68BF">
        <w:rPr>
          <w:color w:val="000000" w:themeColor="text1"/>
        </w:rPr>
        <w:t>to</w:t>
      </w:r>
      <w:r>
        <w:rPr>
          <w:color w:val="000000" w:themeColor="text1"/>
        </w:rPr>
        <w:noBreakHyphen/>
      </w:r>
      <w:r w:rsidRPr="61AD68BF">
        <w:rPr>
          <w:color w:val="000000" w:themeColor="text1"/>
        </w:rPr>
        <w:t xml:space="preserve">account payments. </w:t>
      </w:r>
      <w:r w:rsidRPr="00E15719">
        <w:t>Currently, only authorised deposit</w:t>
      </w:r>
      <w:r>
        <w:noBreakHyphen/>
      </w:r>
      <w:r w:rsidRPr="00E15719">
        <w:t xml:space="preserve">taking institutions (ADIs) </w:t>
      </w:r>
      <w:r>
        <w:t xml:space="preserve">or institutions sponsored by those ADIs </w:t>
      </w:r>
      <w:r w:rsidRPr="00E15719">
        <w:t>can access the New Payments Platform</w:t>
      </w:r>
      <w:r>
        <w:t xml:space="preserve">. This has hindered the development of Australia’s payment product markets, negatively affecting business solution products and the ability to quickly and cheaply transfer money domestically and overseas, as well as contributing to debit and credit card providers dominating the retail transactions market with comparatively high fees for transactions. The proposal is to </w:t>
      </w:r>
      <w:r w:rsidRPr="00E15719">
        <w:t>enable direct access by non</w:t>
      </w:r>
      <w:r>
        <w:noBreakHyphen/>
      </w:r>
      <w:r w:rsidRPr="00E15719">
        <w:t>ADIs</w:t>
      </w:r>
      <w:r>
        <w:t>, thereby increasing competition in the payments market</w:t>
      </w:r>
      <w:r w:rsidRPr="00E15719">
        <w:t xml:space="preserve">. </w:t>
      </w:r>
      <w:r>
        <w:t>W</w:t>
      </w:r>
      <w:r w:rsidRPr="00E15719">
        <w:t xml:space="preserve">e anticipate that this </w:t>
      </w:r>
      <w:r>
        <w:t xml:space="preserve">reform </w:t>
      </w:r>
      <w:r w:rsidRPr="00E15719">
        <w:t xml:space="preserve">will </w:t>
      </w:r>
      <w:r>
        <w:t xml:space="preserve">give customers and vendors more choice over how they make and receive payments, enabling them to choose payment methods with lower merchant fees. </w:t>
      </w:r>
    </w:p>
    <w:p w14:paraId="1BCA10BA" w14:textId="77777777" w:rsidR="00DB2ED9" w:rsidRDefault="00DB2ED9">
      <w:pPr>
        <w:pStyle w:val="BodyText"/>
      </w:pPr>
      <w:r>
        <w:t xml:space="preserve">The banking system reform (D4) is framed more broadly: it is about removing regulatory barriers to competition in the sector. In the absence of specific reform actions, we have considered what stronger competition might look like, focusing on two banking products that are likely to have a material economic impact: home loans and small business loans. For </w:t>
      </w:r>
      <w:r w:rsidRPr="001A293D">
        <w:rPr>
          <w:bCs/>
        </w:rPr>
        <w:t>home loans</w:t>
      </w:r>
      <w:r>
        <w:t xml:space="preserve">, we estimate this could translate to applicable interest rates being </w:t>
      </w:r>
      <w:r w:rsidRPr="001937F9">
        <w:t xml:space="preserve">0.15–0.5 </w:t>
      </w:r>
      <w:r>
        <w:t xml:space="preserve">percentage points lower than they would otherwise be. And for business loans, we estimate this could translate to: (a) a </w:t>
      </w:r>
      <w:r w:rsidRPr="001937F9">
        <w:t xml:space="preserve">0.5 </w:t>
      </w:r>
      <w:r>
        <w:t xml:space="preserve">percentage point reduction in interest rates for the </w:t>
      </w:r>
      <w:r w:rsidRPr="001937F9">
        <w:t xml:space="preserve">45% </w:t>
      </w:r>
      <w:r>
        <w:t>of small to medium sized enterprises (SMEs) with non</w:t>
      </w:r>
      <w:r>
        <w:noBreakHyphen/>
        <w:t xml:space="preserve">residential property asset secured loans and (b) a </w:t>
      </w:r>
      <w:r w:rsidRPr="001937F9">
        <w:t xml:space="preserve">2.5 </w:t>
      </w:r>
      <w:r>
        <w:t xml:space="preserve">percentage point reduction to the </w:t>
      </w:r>
      <w:r w:rsidRPr="001937F9">
        <w:t>5%</w:t>
      </w:r>
      <w:r>
        <w:t xml:space="preserve"> of SMEs with unsecured loans. </w:t>
      </w:r>
    </w:p>
    <w:p w14:paraId="31F06F56" w14:textId="74D830B7" w:rsidR="00DB2ED9" w:rsidRDefault="00DB2ED9">
      <w:pPr>
        <w:pStyle w:val="BodyText"/>
      </w:pPr>
      <w:r>
        <w:t>There are other parts of the financial system that were not in scope for this study, but where the adequacy of competition settings could have significant implications for the wellbeing of individuals and households (such as credit and debit card payment reform). The Commission has previously undertaken a three</w:t>
      </w:r>
      <w:r>
        <w:noBreakHyphen/>
        <w:t xml:space="preserve">stage review of Australia’s superannuation system </w:t>
      </w:r>
      <w:r w:rsidR="00442DC5" w:rsidRPr="00442DC5">
        <w:rPr>
          <w:rFonts w:ascii="Arial" w:hAnsi="Arial" w:cs="Arial"/>
        </w:rPr>
        <w:t>(PC 2016a, 2017i, 2018b)</w:t>
      </w:r>
      <w:r>
        <w:t xml:space="preserve">, as well as an inquiry into competition in the Australian financial system </w:t>
      </w:r>
      <w:r w:rsidRPr="000F18DB">
        <w:rPr>
          <w:rFonts w:ascii="Arial" w:hAnsi="Arial" w:cs="Arial"/>
        </w:rPr>
        <w:t>(PC 2018a)</w:t>
      </w:r>
      <w:r>
        <w:t xml:space="preserve">. That latter inquiry covered many types of insurance, but not private health insurance (which merits further study). </w:t>
      </w:r>
    </w:p>
    <w:p w14:paraId="6FEBFFD2" w14:textId="77777777" w:rsidR="00DB2ED9" w:rsidRDefault="00DB2ED9">
      <w:pPr>
        <w:pStyle w:val="Heading4"/>
      </w:pPr>
      <w:r>
        <w:t>Adopting good practice principles</w:t>
      </w:r>
    </w:p>
    <w:p w14:paraId="4BC2035D" w14:textId="0842CB7C" w:rsidR="00DB2ED9" w:rsidRDefault="00DB2ED9">
      <w:pPr>
        <w:pStyle w:val="BodyText"/>
      </w:pPr>
      <w:r>
        <w:t>The three remaining reforms can be described as good practice principles rather than well</w:t>
      </w:r>
      <w:r>
        <w:noBreakHyphen/>
        <w:t xml:space="preserve">defined reform actions. These were reforms to </w:t>
      </w:r>
      <w:r w:rsidRPr="00651F26">
        <w:t>increase levels of consumer switching (D1)</w:t>
      </w:r>
      <w:r>
        <w:t xml:space="preserve">; </w:t>
      </w:r>
      <w:r w:rsidRPr="00651F26">
        <w:t>improve data sharing and access (D2)</w:t>
      </w:r>
      <w:r>
        <w:t xml:space="preserve">; and </w:t>
      </w:r>
      <w:r w:rsidRPr="00651F26">
        <w:t xml:space="preserve">enable the uptake of </w:t>
      </w:r>
      <w:r>
        <w:t>emerging</w:t>
      </w:r>
      <w:r w:rsidRPr="00651F26">
        <w:t xml:space="preserve"> technologies (D3)</w:t>
      </w:r>
      <w:r>
        <w:t xml:space="preserve">. The broad nature of these reforms means they could potentially cover a very wide range of sectors and policy initiatives </w:t>
      </w:r>
      <w:r w:rsidR="00677CD6">
        <w:t>–</w:t>
      </w:r>
      <w:r>
        <w:t xml:space="preserve"> and hence deliver a range of benefits. Because the scope of the reforms is still to be determined, it was not possible to account for or quantify all of those benefits. To illustrate the types of benefits that might be expected, we took a case study approach to modelling two of the reforms.</w:t>
      </w:r>
    </w:p>
    <w:p w14:paraId="6D07EC29" w14:textId="77777777" w:rsidR="00DB2ED9" w:rsidRDefault="00DB2ED9">
      <w:pPr>
        <w:pStyle w:val="ListBullet"/>
      </w:pPr>
      <w:r>
        <w:t>For the reform about emerging</w:t>
      </w:r>
      <w:r w:rsidRPr="00651F26">
        <w:t xml:space="preserve"> technologies</w:t>
      </w:r>
      <w:r>
        <w:t xml:space="preserve"> (D3), we considered a case study for drone technologies. We found that widespread use of drones could boost productivity in key sectors (mining and agriculture), which could in turn increase total output (GDP). We would expect that other enabling technologies (such as artificial intelligence) could boost GDP through a similar mechanism by increasing the productivity of existing industries. New technologies can also lead to the creation of new markets and industries, but attempting to model these effects would be a highly speculative exercise, and therefore unlikely to produce meaningful insights. </w:t>
      </w:r>
    </w:p>
    <w:p w14:paraId="63FBD7E1" w14:textId="77777777" w:rsidR="00DB2ED9" w:rsidRDefault="00DB2ED9">
      <w:pPr>
        <w:pStyle w:val="ListBullet"/>
      </w:pPr>
      <w:r>
        <w:t xml:space="preserve">We looked at a health data case study to illustrate the effects of improving data sharing and access (D2). We identified two sources of benefits: enabling health records to be shared could directly improve the way health services are provided; and allowing health data to be used for research could improve the quality of research outputs. For other types of data, however, we would expect that the main benefit would arise from better research outputs, as the case for sharing customer ‘records’ is more limited. </w:t>
      </w:r>
    </w:p>
    <w:p w14:paraId="4F95BDA9" w14:textId="77777777" w:rsidR="00DB2ED9" w:rsidRDefault="00DB2ED9">
      <w:pPr>
        <w:pStyle w:val="BodyText"/>
      </w:pPr>
      <w:r>
        <w:lastRenderedPageBreak/>
        <w:t>T</w:t>
      </w:r>
      <w:r w:rsidRPr="00081F2A">
        <w:t>here is mixed evidence about the efficacy of measures to improve consumer switching in various markets</w:t>
      </w:r>
      <w:r>
        <w:t xml:space="preserve"> (D1)</w:t>
      </w:r>
      <w:r w:rsidRPr="00081F2A">
        <w:t xml:space="preserve">. </w:t>
      </w:r>
      <w:r>
        <w:t>To assist decision</w:t>
      </w:r>
      <w:r>
        <w:noBreakHyphen/>
        <w:t>makers in progressing this reform, we have laid out a framework for identifying the circumstances when government</w:t>
      </w:r>
      <w:r>
        <w:noBreakHyphen/>
        <w:t xml:space="preserve">led initiatives to boost consumer switching are likely to be most fruitful (appendix B5). </w:t>
      </w:r>
    </w:p>
    <w:p w14:paraId="3E99DDF4" w14:textId="77777777" w:rsidR="00DB2ED9" w:rsidRDefault="00DB2ED9">
      <w:pPr>
        <w:pStyle w:val="FigureTableHeading"/>
      </w:pPr>
      <w:r>
        <w:t>Table 10</w:t>
      </w:r>
      <w:r>
        <w:rPr>
          <w:noProof/>
        </w:rPr>
        <w:t xml:space="preserve"> – </w:t>
      </w:r>
      <w:r>
        <w:t>Summary of data and digital reforms</w:t>
      </w:r>
    </w:p>
    <w:tbl>
      <w:tblPr>
        <w:tblW w:w="9639" w:type="dxa"/>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426"/>
        <w:gridCol w:w="1559"/>
        <w:gridCol w:w="3685"/>
        <w:gridCol w:w="3969"/>
      </w:tblGrid>
      <w:tr w:rsidR="00DB2ED9" w:rsidRPr="00030C67" w14:paraId="450B25DC" w14:textId="77777777">
        <w:trPr>
          <w:tblHeader/>
        </w:trPr>
        <w:tc>
          <w:tcPr>
            <w:tcW w:w="426" w:type="dxa"/>
            <w:tcBorders>
              <w:bottom w:val="single" w:sz="4" w:space="0" w:color="B3B3B3"/>
            </w:tcBorders>
            <w:shd w:val="clear" w:color="auto" w:fill="auto"/>
            <w:vAlign w:val="bottom"/>
          </w:tcPr>
          <w:p w14:paraId="2FE4A026" w14:textId="77777777" w:rsidR="00DB2ED9" w:rsidRPr="00F5280C" w:rsidRDefault="00DB2ED9">
            <w:pPr>
              <w:pStyle w:val="TableBodyHeading"/>
            </w:pPr>
            <w:r w:rsidRPr="00F5280C">
              <w:t>No.</w:t>
            </w:r>
          </w:p>
        </w:tc>
        <w:tc>
          <w:tcPr>
            <w:tcW w:w="1559" w:type="dxa"/>
            <w:tcBorders>
              <w:bottom w:val="single" w:sz="4" w:space="0" w:color="B3B3B3"/>
            </w:tcBorders>
            <w:shd w:val="clear" w:color="auto" w:fill="auto"/>
          </w:tcPr>
          <w:p w14:paraId="70E0A8B8" w14:textId="77777777" w:rsidR="00DB2ED9" w:rsidRPr="00F5280C" w:rsidRDefault="00DB2ED9">
            <w:pPr>
              <w:pStyle w:val="TableBodyHeading"/>
            </w:pPr>
            <w:r>
              <w:t>Short name</w:t>
            </w:r>
          </w:p>
        </w:tc>
        <w:tc>
          <w:tcPr>
            <w:tcW w:w="3685" w:type="dxa"/>
            <w:tcBorders>
              <w:bottom w:val="single" w:sz="4" w:space="0" w:color="B3B3B3"/>
            </w:tcBorders>
            <w:shd w:val="clear" w:color="auto" w:fill="auto"/>
            <w:vAlign w:val="bottom"/>
          </w:tcPr>
          <w:p w14:paraId="75B58FA7" w14:textId="77777777" w:rsidR="00DB2ED9" w:rsidRPr="00F5280C" w:rsidRDefault="00DB2ED9">
            <w:pPr>
              <w:pStyle w:val="TableBodyHeading"/>
            </w:pPr>
            <w:r>
              <w:t>Key direct effects</w:t>
            </w:r>
          </w:p>
        </w:tc>
        <w:tc>
          <w:tcPr>
            <w:tcW w:w="3969" w:type="dxa"/>
            <w:tcBorders>
              <w:bottom w:val="single" w:sz="4" w:space="0" w:color="B3B3B3"/>
            </w:tcBorders>
            <w:shd w:val="clear" w:color="auto" w:fill="auto"/>
            <w:vAlign w:val="bottom"/>
          </w:tcPr>
          <w:p w14:paraId="515500C3" w14:textId="77777777" w:rsidR="00DB2ED9" w:rsidRPr="00F5280C" w:rsidRDefault="00DB2ED9">
            <w:pPr>
              <w:pStyle w:val="TableBodyHeading"/>
            </w:pPr>
            <w:r>
              <w:t>Key flow</w:t>
            </w:r>
            <w:r>
              <w:noBreakHyphen/>
              <w:t>on effects</w:t>
            </w:r>
          </w:p>
        </w:tc>
      </w:tr>
      <w:tr w:rsidR="00DB2ED9" w:rsidRPr="00030C67" w14:paraId="334953FF" w14:textId="77777777">
        <w:tc>
          <w:tcPr>
            <w:tcW w:w="426" w:type="dxa"/>
            <w:tcBorders>
              <w:top w:val="nil"/>
              <w:bottom w:val="nil"/>
            </w:tcBorders>
            <w:shd w:val="clear" w:color="auto" w:fill="F2F2F2" w:themeFill="background1" w:themeFillShade="F2"/>
          </w:tcPr>
          <w:p w14:paraId="57B84DC6" w14:textId="77777777" w:rsidR="00DB2ED9" w:rsidRPr="00A21E4E" w:rsidRDefault="00DB2ED9">
            <w:pPr>
              <w:pStyle w:val="TableBodyHeading"/>
            </w:pPr>
            <w:r>
              <w:t>D1</w:t>
            </w:r>
          </w:p>
        </w:tc>
        <w:tc>
          <w:tcPr>
            <w:tcW w:w="1559" w:type="dxa"/>
            <w:tcBorders>
              <w:top w:val="nil"/>
              <w:bottom w:val="nil"/>
            </w:tcBorders>
            <w:shd w:val="clear" w:color="auto" w:fill="F2F2F2" w:themeFill="background1" w:themeFillShade="F2"/>
          </w:tcPr>
          <w:p w14:paraId="548C9180" w14:textId="77777777" w:rsidR="00DB2ED9" w:rsidRPr="00611CB4" w:rsidRDefault="00DB2ED9">
            <w:pPr>
              <w:pStyle w:val="TableBody"/>
            </w:pPr>
            <w:r>
              <w:t>Consumer switching</w:t>
            </w:r>
          </w:p>
        </w:tc>
        <w:tc>
          <w:tcPr>
            <w:tcW w:w="3685" w:type="dxa"/>
            <w:tcBorders>
              <w:top w:val="nil"/>
              <w:bottom w:val="nil"/>
            </w:tcBorders>
            <w:shd w:val="clear" w:color="auto" w:fill="F2F2F2" w:themeFill="background1" w:themeFillShade="F2"/>
          </w:tcPr>
          <w:p w14:paraId="2FB6BCE8" w14:textId="77777777" w:rsidR="00DB2ED9" w:rsidRPr="00813A83" w:rsidRDefault="00DB2ED9">
            <w:pPr>
              <w:pStyle w:val="TableBody"/>
              <w:rPr>
                <w:b/>
                <w:bCs/>
              </w:rPr>
            </w:pPr>
            <w:r>
              <w:rPr>
                <w:b/>
                <w:bCs/>
              </w:rPr>
              <w:t>Key</w:t>
            </w:r>
            <w:r w:rsidRPr="00813A83">
              <w:rPr>
                <w:b/>
                <w:bCs/>
              </w:rPr>
              <w:t xml:space="preserve"> effects</w:t>
            </w:r>
            <w:r>
              <w:rPr>
                <w:b/>
                <w:bCs/>
              </w:rPr>
              <w:t xml:space="preserve"> (not estimated)</w:t>
            </w:r>
            <w:r w:rsidRPr="00813A83">
              <w:rPr>
                <w:b/>
                <w:bCs/>
              </w:rPr>
              <w:t>:</w:t>
            </w:r>
          </w:p>
          <w:p w14:paraId="1079EF38" w14:textId="77777777" w:rsidR="00DB2ED9" w:rsidRPr="00611CB4" w:rsidRDefault="00DB2ED9">
            <w:pPr>
              <w:pStyle w:val="TableBody"/>
            </w:pPr>
            <w:r>
              <w:t>Lower product prices and/or increased product quality in affected markets</w:t>
            </w:r>
            <w:r>
              <w:br/>
              <w:t>Increased consumer choice</w:t>
            </w:r>
          </w:p>
        </w:tc>
        <w:tc>
          <w:tcPr>
            <w:tcW w:w="3969" w:type="dxa"/>
            <w:tcBorders>
              <w:top w:val="nil"/>
              <w:bottom w:val="nil"/>
            </w:tcBorders>
            <w:shd w:val="clear" w:color="auto" w:fill="F2F2F2" w:themeFill="background1" w:themeFillShade="F2"/>
          </w:tcPr>
          <w:p w14:paraId="30DAF024" w14:textId="77777777" w:rsidR="00DB2ED9" w:rsidRDefault="00DB2ED9">
            <w:pPr>
              <w:pStyle w:val="TableBody"/>
            </w:pPr>
            <w:r>
              <w:t>Flow on effects were not estimated</w:t>
            </w:r>
          </w:p>
          <w:p w14:paraId="5A3B62C7" w14:textId="77777777" w:rsidR="00DB2ED9" w:rsidRPr="00611CB4" w:rsidRDefault="00DB2ED9">
            <w:pPr>
              <w:pStyle w:val="TableBody"/>
            </w:pPr>
          </w:p>
        </w:tc>
      </w:tr>
      <w:tr w:rsidR="00DB2ED9" w:rsidRPr="00030C67" w14:paraId="1D40A068" w14:textId="77777777">
        <w:tc>
          <w:tcPr>
            <w:tcW w:w="426" w:type="dxa"/>
            <w:tcBorders>
              <w:top w:val="nil"/>
              <w:bottom w:val="nil"/>
            </w:tcBorders>
            <w:shd w:val="clear" w:color="auto" w:fill="auto"/>
          </w:tcPr>
          <w:p w14:paraId="1F28201A" w14:textId="77777777" w:rsidR="00DB2ED9" w:rsidRPr="00A21E4E" w:rsidRDefault="00DB2ED9">
            <w:pPr>
              <w:pStyle w:val="TableBodyHeading"/>
            </w:pPr>
            <w:r>
              <w:t>D2</w:t>
            </w:r>
          </w:p>
        </w:tc>
        <w:tc>
          <w:tcPr>
            <w:tcW w:w="1559" w:type="dxa"/>
            <w:tcBorders>
              <w:top w:val="nil"/>
              <w:bottom w:val="nil"/>
            </w:tcBorders>
            <w:shd w:val="clear" w:color="auto" w:fill="auto"/>
          </w:tcPr>
          <w:p w14:paraId="61643D57" w14:textId="77777777" w:rsidR="00DB2ED9" w:rsidRPr="00611CB4" w:rsidRDefault="00DB2ED9">
            <w:pPr>
              <w:pStyle w:val="TableBody"/>
            </w:pPr>
            <w:r>
              <w:t>Data sharing</w:t>
            </w:r>
          </w:p>
        </w:tc>
        <w:tc>
          <w:tcPr>
            <w:tcW w:w="3685" w:type="dxa"/>
            <w:tcBorders>
              <w:top w:val="nil"/>
              <w:bottom w:val="nil"/>
            </w:tcBorders>
            <w:shd w:val="clear" w:color="auto" w:fill="auto"/>
          </w:tcPr>
          <w:p w14:paraId="5D921FC6" w14:textId="77777777" w:rsidR="00DB2ED9" w:rsidRPr="00585098" w:rsidRDefault="00DB2ED9">
            <w:pPr>
              <w:pStyle w:val="TableBody"/>
              <w:rPr>
                <w:b/>
                <w:bCs/>
              </w:rPr>
            </w:pPr>
            <w:r w:rsidRPr="00585098">
              <w:rPr>
                <w:b/>
                <w:bCs/>
              </w:rPr>
              <w:t>Estimated effects:</w:t>
            </w:r>
          </w:p>
          <w:p w14:paraId="49D9E1B8" w14:textId="77777777" w:rsidR="00DB2ED9" w:rsidRPr="00585098" w:rsidRDefault="00DB2ED9">
            <w:pPr>
              <w:pStyle w:val="TableBody"/>
            </w:pPr>
            <w:r w:rsidRPr="00585098">
              <w:rPr>
                <w:i/>
                <w:iCs/>
              </w:rPr>
              <w:t xml:space="preserve">For health data: </w:t>
            </w:r>
            <w:r w:rsidRPr="00585098">
              <w:rPr>
                <w:i/>
                <w:iCs/>
              </w:rPr>
              <w:br/>
            </w:r>
            <w:r w:rsidRPr="00585098">
              <w:t>Increased capital and labour productivity in the health sector (by 1%)</w:t>
            </w:r>
          </w:p>
          <w:p w14:paraId="46B5342C" w14:textId="77777777" w:rsidR="00DB2ED9" w:rsidRPr="00585098" w:rsidRDefault="00DB2ED9">
            <w:pPr>
              <w:pStyle w:val="TableBody"/>
              <w:rPr>
                <w:b/>
                <w:bCs/>
              </w:rPr>
            </w:pPr>
            <w:r w:rsidRPr="00585098">
              <w:rPr>
                <w:b/>
                <w:bCs/>
              </w:rPr>
              <w:t>Other effects:</w:t>
            </w:r>
          </w:p>
          <w:p w14:paraId="309F5E24" w14:textId="77777777" w:rsidR="00DB2ED9" w:rsidRPr="00585098" w:rsidRDefault="00DB2ED9">
            <w:pPr>
              <w:pStyle w:val="TableBody"/>
            </w:pPr>
            <w:r w:rsidRPr="00585098">
              <w:rPr>
                <w:i/>
                <w:iCs/>
              </w:rPr>
              <w:t>For other data:</w:t>
            </w:r>
            <w:r w:rsidRPr="00585098">
              <w:t xml:space="preserve"> </w:t>
            </w:r>
            <w:r w:rsidRPr="00585098">
              <w:br/>
              <w:t xml:space="preserve">Increased research productivity </w:t>
            </w:r>
          </w:p>
        </w:tc>
        <w:tc>
          <w:tcPr>
            <w:tcW w:w="3969" w:type="dxa"/>
            <w:tcBorders>
              <w:top w:val="nil"/>
              <w:bottom w:val="nil"/>
            </w:tcBorders>
            <w:shd w:val="clear" w:color="auto" w:fill="auto"/>
          </w:tcPr>
          <w:p w14:paraId="6CEB62F7" w14:textId="77777777" w:rsidR="00DB2ED9" w:rsidRPr="00585098" w:rsidRDefault="00DB2ED9">
            <w:pPr>
              <w:pStyle w:val="TableBody"/>
            </w:pPr>
            <w:r w:rsidRPr="00585098">
              <w:rPr>
                <w:b/>
              </w:rPr>
              <w:t>GDP:</w:t>
            </w:r>
            <w:r w:rsidRPr="00585098">
              <w:t xml:space="preserve"> +$1,64</w:t>
            </w:r>
            <w:r>
              <w:t>2</w:t>
            </w:r>
            <w:r w:rsidRPr="00585098">
              <w:t xml:space="preserve"> m (0.06%)</w:t>
            </w:r>
            <w:r w:rsidRPr="00585098">
              <w:br/>
            </w:r>
            <w:r w:rsidRPr="00585098">
              <w:rPr>
                <w:b/>
              </w:rPr>
              <w:t>CPI:</w:t>
            </w:r>
            <w:r w:rsidRPr="00585098">
              <w:t xml:space="preserve"> -0.05% </w:t>
            </w:r>
            <w:r w:rsidRPr="00585098">
              <w:br/>
            </w:r>
            <w:r w:rsidRPr="00585098">
              <w:rPr>
                <w:b/>
              </w:rPr>
              <w:t>Net govt revenue (</w:t>
            </w:r>
            <w:proofErr w:type="spellStart"/>
            <w:r w:rsidRPr="00585098">
              <w:rPr>
                <w:b/>
              </w:rPr>
              <w:t>Cth</w:t>
            </w:r>
            <w:proofErr w:type="spellEnd"/>
            <w:r w:rsidRPr="00585098">
              <w:rPr>
                <w:b/>
              </w:rPr>
              <w:t>):</w:t>
            </w:r>
            <w:r w:rsidRPr="00585098">
              <w:t xml:space="preserve"> +$</w:t>
            </w:r>
            <w:r>
              <w:t>205</w:t>
            </w:r>
            <w:r w:rsidRPr="00585098">
              <w:t xml:space="preserve"> m</w:t>
            </w:r>
            <w:r w:rsidRPr="00585098">
              <w:br/>
            </w:r>
            <w:r w:rsidRPr="00585098">
              <w:rPr>
                <w:b/>
              </w:rPr>
              <w:t>Net govt revenue (S/T):</w:t>
            </w:r>
            <w:r w:rsidRPr="00585098">
              <w:t xml:space="preserve"> </w:t>
            </w:r>
            <w:r>
              <w:t>+</w:t>
            </w:r>
            <w:r w:rsidRPr="00585098">
              <w:t>$</w:t>
            </w:r>
            <w:r>
              <w:t>93</w:t>
            </w:r>
            <w:r w:rsidRPr="00585098">
              <w:t xml:space="preserve"> m</w:t>
            </w:r>
          </w:p>
        </w:tc>
      </w:tr>
      <w:tr w:rsidR="00DB2ED9" w:rsidRPr="00030C67" w14:paraId="6A980644" w14:textId="77777777">
        <w:tc>
          <w:tcPr>
            <w:tcW w:w="426" w:type="dxa"/>
            <w:tcBorders>
              <w:top w:val="nil"/>
              <w:bottom w:val="nil"/>
            </w:tcBorders>
            <w:shd w:val="clear" w:color="auto" w:fill="F2F2F2" w:themeFill="background1" w:themeFillShade="F2"/>
          </w:tcPr>
          <w:p w14:paraId="5356873A" w14:textId="77777777" w:rsidR="00DB2ED9" w:rsidRPr="00A21E4E" w:rsidRDefault="00DB2ED9">
            <w:pPr>
              <w:pStyle w:val="TableBodyHeading"/>
            </w:pPr>
            <w:r>
              <w:t>D3</w:t>
            </w:r>
          </w:p>
        </w:tc>
        <w:tc>
          <w:tcPr>
            <w:tcW w:w="1559" w:type="dxa"/>
            <w:tcBorders>
              <w:top w:val="nil"/>
              <w:bottom w:val="nil"/>
            </w:tcBorders>
            <w:shd w:val="clear" w:color="auto" w:fill="F2F2F2" w:themeFill="background1" w:themeFillShade="F2"/>
          </w:tcPr>
          <w:p w14:paraId="398EA6EB" w14:textId="77777777" w:rsidR="00DB2ED9" w:rsidRPr="00611CB4" w:rsidRDefault="00DB2ED9">
            <w:pPr>
              <w:pStyle w:val="TableBody"/>
            </w:pPr>
            <w:r>
              <w:t>Emerging technology</w:t>
            </w:r>
          </w:p>
        </w:tc>
        <w:tc>
          <w:tcPr>
            <w:tcW w:w="3685" w:type="dxa"/>
            <w:tcBorders>
              <w:top w:val="nil"/>
              <w:bottom w:val="nil"/>
            </w:tcBorders>
            <w:shd w:val="clear" w:color="auto" w:fill="F2F2F2" w:themeFill="background1" w:themeFillShade="F2"/>
          </w:tcPr>
          <w:p w14:paraId="30A65FF6" w14:textId="77777777" w:rsidR="00DB2ED9" w:rsidRPr="00585098" w:rsidRDefault="00DB2ED9">
            <w:pPr>
              <w:pStyle w:val="TableBody"/>
              <w:rPr>
                <w:b/>
                <w:bCs/>
              </w:rPr>
            </w:pPr>
            <w:r w:rsidRPr="00585098">
              <w:rPr>
                <w:b/>
                <w:bCs/>
              </w:rPr>
              <w:t>Estimated effects:</w:t>
            </w:r>
          </w:p>
          <w:p w14:paraId="79BC2AFE" w14:textId="77777777" w:rsidR="00DB2ED9" w:rsidRPr="00585098" w:rsidRDefault="00DB2ED9">
            <w:pPr>
              <w:pStyle w:val="TableBody"/>
            </w:pPr>
            <w:r w:rsidRPr="00585098">
              <w:rPr>
                <w:i/>
                <w:iCs/>
              </w:rPr>
              <w:t>For drones:</w:t>
            </w:r>
            <w:r w:rsidRPr="00585098">
              <w:t xml:space="preserve"> </w:t>
            </w:r>
            <w:r w:rsidRPr="00585098">
              <w:br/>
              <w:t>Increased capital and labour productivity in the agriculture and mining sectors (0.1% each)</w:t>
            </w:r>
          </w:p>
          <w:p w14:paraId="42CA4F2E" w14:textId="77777777" w:rsidR="00DB2ED9" w:rsidRPr="00585098" w:rsidRDefault="00DB2ED9">
            <w:pPr>
              <w:pStyle w:val="TableBody"/>
              <w:rPr>
                <w:b/>
                <w:bCs/>
              </w:rPr>
            </w:pPr>
            <w:r w:rsidRPr="00585098">
              <w:rPr>
                <w:b/>
                <w:bCs/>
              </w:rPr>
              <w:t>Other effects:</w:t>
            </w:r>
          </w:p>
          <w:p w14:paraId="664C69C1" w14:textId="77777777" w:rsidR="00DB2ED9" w:rsidRPr="00585098" w:rsidRDefault="00DB2ED9">
            <w:pPr>
              <w:pStyle w:val="TableBody"/>
            </w:pPr>
            <w:r w:rsidRPr="00585098">
              <w:rPr>
                <w:i/>
                <w:iCs/>
              </w:rPr>
              <w:t xml:space="preserve">For other technology: </w:t>
            </w:r>
            <w:r w:rsidRPr="00585098">
              <w:rPr>
                <w:i/>
                <w:iCs/>
              </w:rPr>
              <w:br/>
            </w:r>
            <w:r w:rsidRPr="00585098">
              <w:t xml:space="preserve">Lower barriers to adoption, leading to earlier and greater benefits </w:t>
            </w:r>
          </w:p>
        </w:tc>
        <w:tc>
          <w:tcPr>
            <w:tcW w:w="3969" w:type="dxa"/>
            <w:tcBorders>
              <w:top w:val="nil"/>
              <w:bottom w:val="nil"/>
            </w:tcBorders>
            <w:shd w:val="clear" w:color="auto" w:fill="F2F2F2" w:themeFill="background1" w:themeFillShade="F2"/>
          </w:tcPr>
          <w:p w14:paraId="1C820D59" w14:textId="77777777" w:rsidR="00DB2ED9" w:rsidRPr="00585098" w:rsidRDefault="00DB2ED9">
            <w:pPr>
              <w:pStyle w:val="TableBody"/>
              <w:rPr>
                <w:b/>
              </w:rPr>
            </w:pPr>
            <w:r w:rsidRPr="00585098">
              <w:rPr>
                <w:b/>
              </w:rPr>
              <w:t>GDP:</w:t>
            </w:r>
            <w:r w:rsidRPr="00585098">
              <w:t xml:space="preserve"> +$711 m (0.03%)</w:t>
            </w:r>
            <w:r w:rsidRPr="00585098">
              <w:br/>
            </w:r>
            <w:r w:rsidRPr="00585098">
              <w:rPr>
                <w:b/>
              </w:rPr>
              <w:t>CPI:</w:t>
            </w:r>
            <w:r w:rsidRPr="00585098">
              <w:t xml:space="preserve"> +0.02%</w:t>
            </w:r>
            <w:r w:rsidRPr="00585098">
              <w:br/>
            </w:r>
            <w:r w:rsidRPr="00585098">
              <w:rPr>
                <w:b/>
              </w:rPr>
              <w:t>Net govt revenue (</w:t>
            </w:r>
            <w:proofErr w:type="spellStart"/>
            <w:r w:rsidRPr="00585098">
              <w:rPr>
                <w:b/>
              </w:rPr>
              <w:t>Cth</w:t>
            </w:r>
            <w:proofErr w:type="spellEnd"/>
            <w:r w:rsidRPr="00585098">
              <w:rPr>
                <w:b/>
              </w:rPr>
              <w:t>):</w:t>
            </w:r>
            <w:r w:rsidRPr="00585098">
              <w:t xml:space="preserve"> +$80 m</w:t>
            </w:r>
            <w:r w:rsidRPr="00585098">
              <w:br/>
            </w:r>
            <w:r w:rsidRPr="00585098">
              <w:rPr>
                <w:b/>
              </w:rPr>
              <w:t>Net govt revenue (S/T):</w:t>
            </w:r>
            <w:r w:rsidRPr="00585098">
              <w:t xml:space="preserve"> -$27 m</w:t>
            </w:r>
          </w:p>
          <w:p w14:paraId="4446C8F4" w14:textId="77777777" w:rsidR="00DB2ED9" w:rsidRPr="00585098" w:rsidRDefault="00DB2ED9">
            <w:pPr>
              <w:pStyle w:val="TableBody"/>
            </w:pPr>
          </w:p>
        </w:tc>
      </w:tr>
      <w:tr w:rsidR="00DB2ED9" w:rsidRPr="00030C67" w14:paraId="77611826" w14:textId="77777777">
        <w:tc>
          <w:tcPr>
            <w:tcW w:w="426" w:type="dxa"/>
            <w:tcBorders>
              <w:top w:val="nil"/>
              <w:bottom w:val="nil"/>
            </w:tcBorders>
            <w:shd w:val="clear" w:color="auto" w:fill="auto"/>
          </w:tcPr>
          <w:p w14:paraId="65353F6F" w14:textId="77777777" w:rsidR="00DB2ED9" w:rsidRPr="009D1DB6" w:rsidRDefault="00DB2ED9">
            <w:pPr>
              <w:pStyle w:val="TableBodyHeading"/>
            </w:pPr>
            <w:r w:rsidRPr="009D1DB6">
              <w:t>D4</w:t>
            </w:r>
          </w:p>
        </w:tc>
        <w:tc>
          <w:tcPr>
            <w:tcW w:w="1559" w:type="dxa"/>
            <w:tcBorders>
              <w:top w:val="nil"/>
              <w:bottom w:val="nil"/>
            </w:tcBorders>
            <w:shd w:val="clear" w:color="auto" w:fill="auto"/>
          </w:tcPr>
          <w:p w14:paraId="46CF7245" w14:textId="77777777" w:rsidR="00DB2ED9" w:rsidRPr="009D1DB6" w:rsidRDefault="00DB2ED9">
            <w:pPr>
              <w:pStyle w:val="TableBody"/>
            </w:pPr>
            <w:r w:rsidRPr="009D1DB6">
              <w:t>Banking</w:t>
            </w:r>
          </w:p>
        </w:tc>
        <w:tc>
          <w:tcPr>
            <w:tcW w:w="3685" w:type="dxa"/>
            <w:tcBorders>
              <w:top w:val="nil"/>
              <w:bottom w:val="nil"/>
            </w:tcBorders>
            <w:shd w:val="clear" w:color="auto" w:fill="auto"/>
          </w:tcPr>
          <w:p w14:paraId="1F5F9EF4" w14:textId="77777777" w:rsidR="00DB2ED9" w:rsidRPr="009D1DB6" w:rsidRDefault="00DB2ED9">
            <w:pPr>
              <w:pStyle w:val="TableBody"/>
              <w:rPr>
                <w:b/>
                <w:bCs/>
              </w:rPr>
            </w:pPr>
            <w:r w:rsidRPr="009D1DB6">
              <w:rPr>
                <w:b/>
                <w:bCs/>
              </w:rPr>
              <w:t>Estimated effects:</w:t>
            </w:r>
          </w:p>
          <w:p w14:paraId="3261C0F8" w14:textId="77777777" w:rsidR="00DB2ED9" w:rsidRPr="005A5403" w:rsidRDefault="00DB2ED9">
            <w:pPr>
              <w:pStyle w:val="TableBody"/>
              <w:rPr>
                <w:rFonts w:ascii="Arial" w:hAnsi="Arial" w:cs="Arial"/>
              </w:rPr>
            </w:pPr>
            <w:r w:rsidRPr="009D1DB6">
              <w:rPr>
                <w:i/>
                <w:iCs/>
              </w:rPr>
              <w:t>For home loans:</w:t>
            </w:r>
            <w:r w:rsidRPr="009D1DB6">
              <w:rPr>
                <w:i/>
                <w:iCs/>
              </w:rPr>
              <w:br/>
            </w:r>
            <w:r w:rsidRPr="009D1DB6">
              <w:t xml:space="preserve">Lower interest </w:t>
            </w:r>
            <w:r w:rsidRPr="005A5403">
              <w:t>rates (0.15</w:t>
            </w:r>
            <w:r w:rsidRPr="005A5403">
              <w:rPr>
                <w:lang w:eastAsia="en-AU"/>
              </w:rPr>
              <w:t>–</w:t>
            </w:r>
            <w:r w:rsidRPr="005A5403">
              <w:rPr>
                <w:rFonts w:ascii="Arial" w:hAnsi="Arial" w:cs="Arial"/>
              </w:rPr>
              <w:t>0.5 percentage points)</w:t>
            </w:r>
          </w:p>
          <w:p w14:paraId="6B34CB20" w14:textId="77777777" w:rsidR="00DB2ED9" w:rsidRPr="009D1DB6" w:rsidRDefault="00DB2ED9">
            <w:pPr>
              <w:pStyle w:val="TableBody"/>
              <w:rPr>
                <w:rFonts w:ascii="Arial" w:hAnsi="Arial" w:cs="Arial"/>
              </w:rPr>
            </w:pPr>
            <w:r w:rsidRPr="005A5403">
              <w:rPr>
                <w:i/>
                <w:iCs/>
              </w:rPr>
              <w:t>For business loans:</w:t>
            </w:r>
            <w:r w:rsidRPr="005A5403">
              <w:rPr>
                <w:i/>
                <w:iCs/>
              </w:rPr>
              <w:br/>
            </w:r>
            <w:r w:rsidRPr="005A5403">
              <w:t>Lower interest rates (</w:t>
            </w:r>
            <w:r w:rsidRPr="005A5403">
              <w:rPr>
                <w:rFonts w:ascii="Arial" w:hAnsi="Arial" w:cs="Arial"/>
              </w:rPr>
              <w:t xml:space="preserve">0.5 percentage </w:t>
            </w:r>
            <w:r w:rsidRPr="009D1DB6">
              <w:rPr>
                <w:rFonts w:ascii="Arial" w:hAnsi="Arial" w:cs="Arial"/>
              </w:rPr>
              <w:t>points for 45% of SMEs and by 2.5 percentage points for a further 5% of SMEs)</w:t>
            </w:r>
          </w:p>
        </w:tc>
        <w:tc>
          <w:tcPr>
            <w:tcW w:w="3969" w:type="dxa"/>
            <w:tcBorders>
              <w:top w:val="nil"/>
              <w:bottom w:val="nil"/>
            </w:tcBorders>
            <w:shd w:val="clear" w:color="auto" w:fill="auto"/>
          </w:tcPr>
          <w:p w14:paraId="63616D14" w14:textId="77777777" w:rsidR="00DB2ED9" w:rsidRPr="00C53035" w:rsidRDefault="00DB2ED9">
            <w:pPr>
              <w:pStyle w:val="TableBody"/>
              <w:rPr>
                <w:i/>
              </w:rPr>
            </w:pPr>
            <w:r w:rsidRPr="00C53035">
              <w:rPr>
                <w:i/>
              </w:rPr>
              <w:t>For home loans:</w:t>
            </w:r>
          </w:p>
          <w:p w14:paraId="2BA28C2E" w14:textId="77777777" w:rsidR="00DB2ED9" w:rsidRPr="00C53035" w:rsidRDefault="00DB2ED9">
            <w:pPr>
              <w:pStyle w:val="TableBody"/>
            </w:pPr>
            <w:r w:rsidRPr="004024A7">
              <w:rPr>
                <w:b/>
              </w:rPr>
              <w:t>GDP:</w:t>
            </w:r>
            <w:r w:rsidRPr="004024A7">
              <w:t xml:space="preserve"> +$</w:t>
            </w:r>
            <w:r w:rsidRPr="004024A7">
              <w:rPr>
                <w:lang w:eastAsia="en-AU"/>
              </w:rPr>
              <w:t>1,</w:t>
            </w:r>
            <w:r>
              <w:rPr>
                <w:lang w:eastAsia="en-AU"/>
              </w:rPr>
              <w:t>293</w:t>
            </w:r>
            <w:r w:rsidRPr="004024A7">
              <w:rPr>
                <w:lang w:eastAsia="en-AU"/>
              </w:rPr>
              <w:t>–</w:t>
            </w:r>
            <w:r w:rsidRPr="004024A7">
              <w:t>$</w:t>
            </w:r>
            <w:r>
              <w:t>4</w:t>
            </w:r>
            <w:r w:rsidRPr="004024A7">
              <w:t>,</w:t>
            </w:r>
            <w:r>
              <w:t>335</w:t>
            </w:r>
            <w:r w:rsidRPr="004024A7">
              <w:t xml:space="preserve"> m (+0.0</w:t>
            </w:r>
            <w:r>
              <w:t>5</w:t>
            </w:r>
            <w:r w:rsidRPr="004024A7">
              <w:t>–0.1</w:t>
            </w:r>
            <w:r>
              <w:t>6</w:t>
            </w:r>
            <w:r w:rsidRPr="004024A7">
              <w:t xml:space="preserve">%) </w:t>
            </w:r>
            <w:r w:rsidRPr="004024A7">
              <w:br/>
            </w:r>
            <w:r w:rsidRPr="004024A7">
              <w:rPr>
                <w:b/>
              </w:rPr>
              <w:t>CPI:</w:t>
            </w:r>
            <w:r w:rsidRPr="004024A7">
              <w:t xml:space="preserve"> -0.1</w:t>
            </w:r>
            <w:r>
              <w:t>3</w:t>
            </w:r>
            <w:r w:rsidRPr="004024A7">
              <w:rPr>
                <w:lang w:eastAsia="en-AU"/>
              </w:rPr>
              <w:t>–</w:t>
            </w:r>
            <w:r w:rsidRPr="004024A7">
              <w:t>0.</w:t>
            </w:r>
            <w:r>
              <w:t>42</w:t>
            </w:r>
            <w:r w:rsidRPr="004024A7">
              <w:t>%</w:t>
            </w:r>
            <w:r w:rsidRPr="004024A7">
              <w:br/>
            </w:r>
            <w:r w:rsidRPr="004024A7">
              <w:rPr>
                <w:b/>
              </w:rPr>
              <w:t>Net govt revenue (</w:t>
            </w:r>
            <w:proofErr w:type="spellStart"/>
            <w:r w:rsidRPr="004024A7">
              <w:rPr>
                <w:b/>
              </w:rPr>
              <w:t>Cth</w:t>
            </w:r>
            <w:proofErr w:type="spellEnd"/>
            <w:r w:rsidRPr="004024A7">
              <w:rPr>
                <w:b/>
              </w:rPr>
              <w:t>):</w:t>
            </w:r>
            <w:r w:rsidRPr="004024A7">
              <w:t xml:space="preserve"> +$</w:t>
            </w:r>
            <w:r>
              <w:t>645</w:t>
            </w:r>
            <w:r w:rsidRPr="004024A7">
              <w:rPr>
                <w:lang w:eastAsia="en-AU"/>
              </w:rPr>
              <w:t>–</w:t>
            </w:r>
            <w:r>
              <w:t>2,164</w:t>
            </w:r>
            <w:r w:rsidRPr="004024A7">
              <w:t xml:space="preserve"> m</w:t>
            </w:r>
            <w:r w:rsidRPr="004024A7">
              <w:br/>
            </w:r>
            <w:r w:rsidRPr="004024A7">
              <w:rPr>
                <w:b/>
              </w:rPr>
              <w:t>Net govt revenue (S/T):</w:t>
            </w:r>
            <w:r w:rsidRPr="004024A7">
              <w:t xml:space="preserve"> -$</w:t>
            </w:r>
            <w:r>
              <w:t>38</w:t>
            </w:r>
            <w:r w:rsidRPr="004024A7">
              <w:rPr>
                <w:lang w:eastAsia="en-AU"/>
              </w:rPr>
              <w:t>–</w:t>
            </w:r>
            <w:r w:rsidRPr="004024A7">
              <w:t>1</w:t>
            </w:r>
            <w:r>
              <w:t>27</w:t>
            </w:r>
            <w:r w:rsidRPr="004024A7">
              <w:t xml:space="preserve"> m</w:t>
            </w:r>
          </w:p>
          <w:p w14:paraId="15E89A7A" w14:textId="77777777" w:rsidR="00DB2ED9" w:rsidRPr="00C53035" w:rsidRDefault="00DB2ED9">
            <w:pPr>
              <w:pStyle w:val="TableBody"/>
              <w:rPr>
                <w:i/>
              </w:rPr>
            </w:pPr>
            <w:r w:rsidRPr="00C53035">
              <w:rPr>
                <w:i/>
              </w:rPr>
              <w:t>For business loans:</w:t>
            </w:r>
          </w:p>
          <w:p w14:paraId="177B0507" w14:textId="77777777" w:rsidR="00DB2ED9" w:rsidRPr="00C53035" w:rsidRDefault="00DB2ED9">
            <w:pPr>
              <w:pStyle w:val="TableBody"/>
            </w:pPr>
            <w:r w:rsidRPr="00C53035">
              <w:rPr>
                <w:b/>
              </w:rPr>
              <w:t>GDP:</w:t>
            </w:r>
            <w:r w:rsidRPr="00C53035">
              <w:t xml:space="preserve"> +$2,2</w:t>
            </w:r>
            <w:r>
              <w:t>39</w:t>
            </w:r>
            <w:r w:rsidRPr="00C53035">
              <w:t xml:space="preserve"> m (+0.0</w:t>
            </w:r>
            <w:r>
              <w:t>8</w:t>
            </w:r>
            <w:r w:rsidRPr="00C53035">
              <w:t>%)</w:t>
            </w:r>
          </w:p>
          <w:p w14:paraId="657C94B0" w14:textId="77777777" w:rsidR="00DB2ED9" w:rsidRPr="001937F9" w:rsidRDefault="00DB2ED9">
            <w:pPr>
              <w:pStyle w:val="TableBody"/>
            </w:pPr>
            <w:r w:rsidRPr="00C53035">
              <w:rPr>
                <w:b/>
              </w:rPr>
              <w:t>CPI:</w:t>
            </w:r>
            <w:r w:rsidRPr="00C53035">
              <w:t xml:space="preserve"> -0.0</w:t>
            </w:r>
            <w:r>
              <w:t>5</w:t>
            </w:r>
            <w:r w:rsidRPr="00C53035">
              <w:t>%</w:t>
            </w:r>
            <w:r w:rsidRPr="00C53035">
              <w:br/>
            </w:r>
            <w:r w:rsidRPr="00C53035">
              <w:rPr>
                <w:b/>
              </w:rPr>
              <w:t>Net govt revenue (</w:t>
            </w:r>
            <w:proofErr w:type="spellStart"/>
            <w:r w:rsidRPr="00C53035">
              <w:rPr>
                <w:b/>
              </w:rPr>
              <w:t>Cth</w:t>
            </w:r>
            <w:proofErr w:type="spellEnd"/>
            <w:r w:rsidRPr="00C53035">
              <w:rPr>
                <w:b/>
              </w:rPr>
              <w:t>):</w:t>
            </w:r>
            <w:r w:rsidRPr="00C53035">
              <w:t xml:space="preserve"> +$</w:t>
            </w:r>
            <w:r>
              <w:t>714</w:t>
            </w:r>
            <w:r w:rsidRPr="00C53035">
              <w:t xml:space="preserve"> m</w:t>
            </w:r>
            <w:r w:rsidRPr="00C53035">
              <w:br/>
            </w:r>
            <w:r w:rsidRPr="00C53035">
              <w:rPr>
                <w:b/>
              </w:rPr>
              <w:t>Net govt revenue (S/T):</w:t>
            </w:r>
            <w:r w:rsidRPr="00C53035">
              <w:t xml:space="preserve"> -$31</w:t>
            </w:r>
            <w:r>
              <w:t>6</w:t>
            </w:r>
            <w:r w:rsidRPr="00C53035">
              <w:t xml:space="preserve"> m</w:t>
            </w:r>
          </w:p>
        </w:tc>
      </w:tr>
      <w:tr w:rsidR="00DB2ED9" w:rsidRPr="00030C67" w14:paraId="05EEBF68" w14:textId="77777777">
        <w:tc>
          <w:tcPr>
            <w:tcW w:w="426" w:type="dxa"/>
            <w:tcBorders>
              <w:bottom w:val="single" w:sz="4" w:space="0" w:color="B3B3B3"/>
            </w:tcBorders>
            <w:shd w:val="clear" w:color="auto" w:fill="F2F2F2" w:themeFill="background1" w:themeFillShade="F2"/>
          </w:tcPr>
          <w:p w14:paraId="62E85F71" w14:textId="77777777" w:rsidR="00DB2ED9" w:rsidRPr="009D1DB6" w:rsidRDefault="00DB2ED9">
            <w:pPr>
              <w:pStyle w:val="TableBodyHeading"/>
            </w:pPr>
            <w:r w:rsidRPr="009D1DB6">
              <w:t>D5</w:t>
            </w:r>
          </w:p>
        </w:tc>
        <w:tc>
          <w:tcPr>
            <w:tcW w:w="1559" w:type="dxa"/>
            <w:tcBorders>
              <w:bottom w:val="single" w:sz="4" w:space="0" w:color="B3B3B3"/>
            </w:tcBorders>
            <w:shd w:val="clear" w:color="auto" w:fill="F2F2F2" w:themeFill="background1" w:themeFillShade="F2"/>
          </w:tcPr>
          <w:p w14:paraId="07A252C9" w14:textId="77777777" w:rsidR="00DB2ED9" w:rsidRPr="009D1DB6" w:rsidRDefault="00DB2ED9">
            <w:pPr>
              <w:pStyle w:val="TableBody"/>
              <w:rPr>
                <w:rFonts w:ascii="Arial (Body)" w:hAnsi="Arial (Body)"/>
                <w:color w:val="000000"/>
              </w:rPr>
            </w:pPr>
            <w:r w:rsidRPr="009D1DB6">
              <w:rPr>
                <w:rFonts w:ascii="Arial (Body)" w:hAnsi="Arial (Body)"/>
                <w:color w:val="000000"/>
              </w:rPr>
              <w:t>Payment systems</w:t>
            </w:r>
          </w:p>
        </w:tc>
        <w:tc>
          <w:tcPr>
            <w:tcW w:w="3685" w:type="dxa"/>
            <w:tcBorders>
              <w:bottom w:val="single" w:sz="4" w:space="0" w:color="B3B3B3"/>
            </w:tcBorders>
            <w:shd w:val="clear" w:color="auto" w:fill="F2F2F2" w:themeFill="background1" w:themeFillShade="F2"/>
          </w:tcPr>
          <w:p w14:paraId="794EAF99" w14:textId="77777777" w:rsidR="00DB2ED9" w:rsidRPr="009D1DB6" w:rsidRDefault="00DB2ED9">
            <w:pPr>
              <w:pStyle w:val="TableBody"/>
              <w:rPr>
                <w:b/>
                <w:bCs/>
              </w:rPr>
            </w:pPr>
            <w:r w:rsidRPr="009D1DB6">
              <w:rPr>
                <w:b/>
                <w:bCs/>
              </w:rPr>
              <w:t>Estimated effects:</w:t>
            </w:r>
          </w:p>
          <w:p w14:paraId="5AB384D4" w14:textId="77777777" w:rsidR="00DB2ED9" w:rsidRPr="009D1DB6" w:rsidRDefault="00DB2ED9">
            <w:pPr>
              <w:pStyle w:val="TableBody"/>
            </w:pPr>
            <w:r w:rsidRPr="009D1DB6">
              <w:t xml:space="preserve">Lower merchant fees (0.3 percentage points for Mastercard/Visa transactions, 0.1 percentage points for </w:t>
            </w:r>
            <w:proofErr w:type="spellStart"/>
            <w:r w:rsidRPr="009D1DB6">
              <w:t>Eftpos</w:t>
            </w:r>
            <w:proofErr w:type="spellEnd"/>
            <w:r w:rsidRPr="009D1DB6">
              <w:t xml:space="preserve"> transactions, affecting </w:t>
            </w:r>
            <w:r w:rsidRPr="001937F9">
              <w:t xml:space="preserve">15-51% </w:t>
            </w:r>
            <w:r w:rsidRPr="009D1DB6">
              <w:t xml:space="preserve">of the retail transaction market) </w:t>
            </w:r>
          </w:p>
          <w:p w14:paraId="33FBA9C9" w14:textId="77777777" w:rsidR="00DB2ED9" w:rsidRPr="009D1DB6" w:rsidRDefault="00DB2ED9">
            <w:pPr>
              <w:pStyle w:val="TableBody"/>
              <w:rPr>
                <w:b/>
                <w:bCs/>
              </w:rPr>
            </w:pPr>
            <w:r w:rsidRPr="009D1DB6">
              <w:rPr>
                <w:b/>
                <w:bCs/>
              </w:rPr>
              <w:t>Other effects:</w:t>
            </w:r>
          </w:p>
          <w:p w14:paraId="58AD45A8" w14:textId="77777777" w:rsidR="00DB2ED9" w:rsidRPr="009D1DB6" w:rsidRDefault="00DB2ED9">
            <w:pPr>
              <w:pStyle w:val="TableBody"/>
            </w:pPr>
            <w:r w:rsidRPr="009D1DB6">
              <w:t>Increased innovation in payments</w:t>
            </w:r>
          </w:p>
        </w:tc>
        <w:tc>
          <w:tcPr>
            <w:tcW w:w="3969" w:type="dxa"/>
            <w:tcBorders>
              <w:bottom w:val="single" w:sz="4" w:space="0" w:color="B3B3B3"/>
            </w:tcBorders>
            <w:shd w:val="clear" w:color="auto" w:fill="F2F2F2" w:themeFill="background1" w:themeFillShade="F2"/>
          </w:tcPr>
          <w:p w14:paraId="0A561C5F" w14:textId="77777777" w:rsidR="00DB2ED9" w:rsidRPr="004E4DEF" w:rsidRDefault="00DB2ED9">
            <w:pPr>
              <w:pStyle w:val="TableBody"/>
              <w:rPr>
                <w:b/>
              </w:rPr>
            </w:pPr>
            <w:r w:rsidRPr="004E4DEF">
              <w:rPr>
                <w:b/>
              </w:rPr>
              <w:t>GDP:</w:t>
            </w:r>
            <w:r w:rsidRPr="004E4DEF">
              <w:t xml:space="preserve"> </w:t>
            </w:r>
            <w:r>
              <w:t>+$172–</w:t>
            </w:r>
            <w:r w:rsidRPr="004E4DEF">
              <w:t>44</w:t>
            </w:r>
            <w:r>
              <w:t>5</w:t>
            </w:r>
            <w:r w:rsidRPr="004E4DEF">
              <w:t xml:space="preserve"> m (+0.0</w:t>
            </w:r>
            <w:r>
              <w:t>1–</w:t>
            </w:r>
            <w:r w:rsidRPr="004E4DEF">
              <w:t>0.02%)</w:t>
            </w:r>
            <w:r w:rsidRPr="004E4DEF">
              <w:br/>
            </w:r>
            <w:r w:rsidRPr="004E4DEF">
              <w:rPr>
                <w:b/>
              </w:rPr>
              <w:t>CPI:</w:t>
            </w:r>
            <w:r w:rsidRPr="004E4DEF">
              <w:t xml:space="preserve"> -0.0</w:t>
            </w:r>
            <w:r>
              <w:t>2–</w:t>
            </w:r>
            <w:r w:rsidRPr="004E4DEF">
              <w:t>0.0</w:t>
            </w:r>
            <w:r>
              <w:t>6</w:t>
            </w:r>
            <w:r w:rsidRPr="004E4DEF">
              <w:t>%</w:t>
            </w:r>
            <w:r w:rsidRPr="004E4DEF">
              <w:br/>
            </w:r>
            <w:r w:rsidRPr="004E4DEF">
              <w:rPr>
                <w:b/>
              </w:rPr>
              <w:t>Net govt revenue (</w:t>
            </w:r>
            <w:proofErr w:type="spellStart"/>
            <w:r w:rsidRPr="004E4DEF">
              <w:rPr>
                <w:b/>
              </w:rPr>
              <w:t>Cth</w:t>
            </w:r>
            <w:proofErr w:type="spellEnd"/>
            <w:r w:rsidRPr="004E4DEF">
              <w:rPr>
                <w:b/>
              </w:rPr>
              <w:t>):</w:t>
            </w:r>
            <w:r w:rsidRPr="004E4DEF">
              <w:t xml:space="preserve"> +$</w:t>
            </w:r>
            <w:r>
              <w:t>172–</w:t>
            </w:r>
            <w:r w:rsidRPr="004E4DEF">
              <w:t>4</w:t>
            </w:r>
            <w:r>
              <w:t>48</w:t>
            </w:r>
            <w:r w:rsidRPr="004E4DEF">
              <w:t xml:space="preserve"> m</w:t>
            </w:r>
            <w:r w:rsidRPr="004E4DEF">
              <w:br/>
            </w:r>
            <w:r w:rsidRPr="004E4DEF">
              <w:rPr>
                <w:b/>
              </w:rPr>
              <w:t>Net govt revenue (S/T):</w:t>
            </w:r>
            <w:r w:rsidRPr="004E4DEF">
              <w:t xml:space="preserve"> </w:t>
            </w:r>
            <w:r>
              <w:t>-$55–</w:t>
            </w:r>
            <w:r w:rsidRPr="004E4DEF">
              <w:t>14</w:t>
            </w:r>
            <w:r>
              <w:t>4</w:t>
            </w:r>
            <w:r w:rsidRPr="004E4DEF">
              <w:t xml:space="preserve"> m</w:t>
            </w:r>
          </w:p>
          <w:p w14:paraId="248B0FED" w14:textId="77777777" w:rsidR="00DB2ED9" w:rsidRPr="004E4DEF" w:rsidRDefault="00DB2ED9">
            <w:pPr>
              <w:pStyle w:val="TableBody"/>
              <w:rPr>
                <w:rFonts w:ascii="Arial (Body)" w:hAnsi="Arial (Body)"/>
              </w:rPr>
            </w:pPr>
          </w:p>
        </w:tc>
      </w:tr>
    </w:tbl>
    <w:p w14:paraId="3331B71F" w14:textId="77777777" w:rsidR="00DB2ED9" w:rsidRDefault="00DB2ED9">
      <w:pPr>
        <w:pStyle w:val="Heading2-nonumber"/>
      </w:pPr>
      <w:bookmarkStart w:id="83" w:name="_Toc181107368"/>
      <w:bookmarkStart w:id="84" w:name="_Toc181339549"/>
      <w:bookmarkStart w:id="85" w:name="_Toc181360258"/>
      <w:r>
        <w:lastRenderedPageBreak/>
        <w:t>Where to begin?</w:t>
      </w:r>
      <w:bookmarkEnd w:id="83"/>
      <w:bookmarkEnd w:id="84"/>
      <w:bookmarkEnd w:id="85"/>
      <w:r>
        <w:t xml:space="preserve"> </w:t>
      </w:r>
    </w:p>
    <w:p w14:paraId="154AFEE6" w14:textId="77777777" w:rsidR="00DB2ED9" w:rsidRDefault="00DB2ED9">
      <w:pPr>
        <w:pStyle w:val="BodyText"/>
        <w:shd w:val="clear" w:color="auto" w:fill="FFFFFF" w:themeFill="background1"/>
      </w:pPr>
      <w:r>
        <w:t xml:space="preserve">The exact scope and implementation details have not yet been decided for many of the proposed reforms. To assist with the implementation process, the Commission has identified first steps for each of the proposed reforms (table 11, figures 5-7). </w:t>
      </w:r>
    </w:p>
    <w:p w14:paraId="792180D6" w14:textId="77777777" w:rsidR="00DB2ED9" w:rsidRDefault="00DB2ED9">
      <w:pPr>
        <w:pStyle w:val="FigureTableHeading"/>
      </w:pPr>
      <w:r>
        <w:t xml:space="preserve">Table 11 </w:t>
      </w:r>
      <w:r>
        <w:rPr>
          <w:noProof/>
        </w:rPr>
        <w:t xml:space="preserve">– </w:t>
      </w:r>
      <w:r>
        <w:t>Where to begin?</w:t>
      </w:r>
    </w:p>
    <w:tbl>
      <w:tblPr>
        <w:tblW w:w="9639" w:type="dxa"/>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426"/>
        <w:gridCol w:w="1701"/>
        <w:gridCol w:w="6945"/>
        <w:gridCol w:w="567"/>
      </w:tblGrid>
      <w:tr w:rsidR="00DB2ED9" w:rsidRPr="00030C67" w14:paraId="1B5905E1" w14:textId="77777777">
        <w:trPr>
          <w:tblHeader/>
        </w:trPr>
        <w:tc>
          <w:tcPr>
            <w:tcW w:w="426" w:type="dxa"/>
            <w:tcBorders>
              <w:bottom w:val="single" w:sz="4" w:space="0" w:color="B3B3B3"/>
            </w:tcBorders>
            <w:shd w:val="clear" w:color="auto" w:fill="auto"/>
            <w:vAlign w:val="bottom"/>
          </w:tcPr>
          <w:p w14:paraId="1558964B" w14:textId="77777777" w:rsidR="00DB2ED9" w:rsidRPr="00E5376E" w:rsidRDefault="00DB2ED9">
            <w:pPr>
              <w:pStyle w:val="TableBodyHeading"/>
            </w:pPr>
            <w:r w:rsidRPr="00E5376E">
              <w:t>No.</w:t>
            </w:r>
          </w:p>
        </w:tc>
        <w:tc>
          <w:tcPr>
            <w:tcW w:w="1701" w:type="dxa"/>
            <w:tcBorders>
              <w:bottom w:val="single" w:sz="4" w:space="0" w:color="B3B3B3"/>
            </w:tcBorders>
            <w:shd w:val="clear" w:color="auto" w:fill="auto"/>
            <w:vAlign w:val="bottom"/>
          </w:tcPr>
          <w:p w14:paraId="028A7B2A" w14:textId="77777777" w:rsidR="00DB2ED9" w:rsidRDefault="00DB2ED9">
            <w:pPr>
              <w:pStyle w:val="TableBodyHeading"/>
            </w:pPr>
            <w:r>
              <w:t>Short name</w:t>
            </w:r>
          </w:p>
        </w:tc>
        <w:tc>
          <w:tcPr>
            <w:tcW w:w="6945" w:type="dxa"/>
            <w:tcBorders>
              <w:bottom w:val="single" w:sz="4" w:space="0" w:color="B3B3B3"/>
            </w:tcBorders>
            <w:shd w:val="clear" w:color="auto" w:fill="auto"/>
            <w:vAlign w:val="bottom"/>
          </w:tcPr>
          <w:p w14:paraId="15A3AB6A" w14:textId="77777777" w:rsidR="00DB2ED9" w:rsidRPr="00E5376E" w:rsidRDefault="00DB2ED9">
            <w:pPr>
              <w:pStyle w:val="TableBodyHeading"/>
            </w:pPr>
            <w:r>
              <w:t>Recommended starting point</w:t>
            </w:r>
          </w:p>
        </w:tc>
        <w:tc>
          <w:tcPr>
            <w:tcW w:w="567" w:type="dxa"/>
            <w:tcBorders>
              <w:bottom w:val="single" w:sz="4" w:space="0" w:color="B3B3B3"/>
            </w:tcBorders>
            <w:vAlign w:val="bottom"/>
          </w:tcPr>
          <w:p w14:paraId="42F3BAFB" w14:textId="77777777" w:rsidR="00DB2ED9" w:rsidRDefault="00DB2ED9">
            <w:pPr>
              <w:pStyle w:val="TableBodyHeading"/>
            </w:pPr>
            <w:r>
              <w:t>Who</w:t>
            </w:r>
            <w:r w:rsidRPr="00505ACA">
              <w:rPr>
                <w:vertAlign w:val="superscript"/>
              </w:rPr>
              <w:t>a</w:t>
            </w:r>
          </w:p>
        </w:tc>
      </w:tr>
      <w:tr w:rsidR="00DB2ED9" w:rsidRPr="00030C67" w14:paraId="1B63F034" w14:textId="77777777">
        <w:tc>
          <w:tcPr>
            <w:tcW w:w="9072" w:type="dxa"/>
            <w:gridSpan w:val="3"/>
            <w:tcBorders>
              <w:top w:val="nil"/>
              <w:bottom w:val="nil"/>
            </w:tcBorders>
            <w:shd w:val="clear" w:color="auto" w:fill="CBDDF2" w:themeFill="background2" w:themeFillTint="33"/>
          </w:tcPr>
          <w:p w14:paraId="41434249" w14:textId="77777777" w:rsidR="00DB2ED9" w:rsidRPr="005838F7" w:rsidRDefault="00DB2ED9">
            <w:pPr>
              <w:pStyle w:val="TableBodyHeading"/>
            </w:pPr>
            <w:r>
              <w:t xml:space="preserve">Dynamic business environment </w:t>
            </w:r>
          </w:p>
        </w:tc>
        <w:tc>
          <w:tcPr>
            <w:tcW w:w="567" w:type="dxa"/>
            <w:tcBorders>
              <w:top w:val="nil"/>
              <w:bottom w:val="nil"/>
            </w:tcBorders>
            <w:shd w:val="clear" w:color="auto" w:fill="CBDDF2" w:themeFill="background2" w:themeFillTint="33"/>
          </w:tcPr>
          <w:p w14:paraId="4C52B12D" w14:textId="77777777" w:rsidR="00DB2ED9" w:rsidRDefault="00DB2ED9">
            <w:pPr>
              <w:pStyle w:val="TableBody"/>
            </w:pPr>
          </w:p>
        </w:tc>
      </w:tr>
      <w:tr w:rsidR="00DB2ED9" w:rsidRPr="00030C67" w14:paraId="6F81ECBD" w14:textId="77777777">
        <w:tc>
          <w:tcPr>
            <w:tcW w:w="426" w:type="dxa"/>
            <w:tcBorders>
              <w:top w:val="nil"/>
              <w:bottom w:val="nil"/>
            </w:tcBorders>
            <w:shd w:val="clear" w:color="auto" w:fill="auto"/>
          </w:tcPr>
          <w:p w14:paraId="6402C119" w14:textId="77777777" w:rsidR="00DB2ED9" w:rsidRDefault="00DB2ED9">
            <w:pPr>
              <w:pStyle w:val="TableBodyHeading"/>
            </w:pPr>
            <w:r>
              <w:t>B1</w:t>
            </w:r>
          </w:p>
        </w:tc>
        <w:tc>
          <w:tcPr>
            <w:tcW w:w="1701" w:type="dxa"/>
            <w:tcBorders>
              <w:top w:val="nil"/>
              <w:bottom w:val="nil"/>
            </w:tcBorders>
            <w:shd w:val="clear" w:color="auto" w:fill="auto"/>
          </w:tcPr>
          <w:p w14:paraId="58B6BD7D" w14:textId="77777777" w:rsidR="00DB2ED9" w:rsidRDefault="00DB2ED9">
            <w:pPr>
              <w:pStyle w:val="TableBody"/>
            </w:pPr>
            <w:r>
              <w:t xml:space="preserve">Overseas standards </w:t>
            </w:r>
          </w:p>
        </w:tc>
        <w:tc>
          <w:tcPr>
            <w:tcW w:w="6945" w:type="dxa"/>
            <w:tcBorders>
              <w:top w:val="nil"/>
              <w:bottom w:val="nil"/>
            </w:tcBorders>
            <w:shd w:val="clear" w:color="auto" w:fill="auto"/>
          </w:tcPr>
          <w:p w14:paraId="75904357" w14:textId="0513B2E4" w:rsidR="00DB2ED9" w:rsidRDefault="00DB2ED9">
            <w:pPr>
              <w:pStyle w:val="TableBody"/>
            </w:pPr>
            <w:r>
              <w:t xml:space="preserve">Consider what mandatory product standards can be replaced with overseas standards, based on the ACCC stocktake </w:t>
            </w:r>
            <w:r w:rsidR="00442DC5" w:rsidRPr="00442DC5">
              <w:rPr>
                <w:rFonts w:ascii="Arial" w:hAnsi="Arial" w:cs="Arial"/>
              </w:rPr>
              <w:t>(ACCC 2023a, p. 129)</w:t>
            </w:r>
            <w:r>
              <w:t>.</w:t>
            </w:r>
          </w:p>
          <w:p w14:paraId="3A746621" w14:textId="77777777" w:rsidR="00DB2ED9" w:rsidRDefault="00DB2ED9">
            <w:pPr>
              <w:pStyle w:val="TableBody"/>
            </w:pPr>
            <w:r>
              <w:t xml:space="preserve">Identify other mandatory standards that could be replaced with overseas standards. </w:t>
            </w:r>
          </w:p>
          <w:p w14:paraId="1E7ECDD7" w14:textId="77777777" w:rsidR="00DB2ED9" w:rsidRDefault="00DB2ED9">
            <w:pPr>
              <w:pStyle w:val="TableBody"/>
            </w:pPr>
            <w:r>
              <w:t>Comprehensive mapping and review of voluntary standards.</w:t>
            </w:r>
          </w:p>
        </w:tc>
        <w:tc>
          <w:tcPr>
            <w:tcW w:w="567" w:type="dxa"/>
            <w:tcBorders>
              <w:top w:val="nil"/>
              <w:bottom w:val="nil"/>
            </w:tcBorders>
          </w:tcPr>
          <w:p w14:paraId="01AB8062" w14:textId="77777777" w:rsidR="00DB2ED9" w:rsidRDefault="00DB2ED9">
            <w:pPr>
              <w:pStyle w:val="TableBody"/>
            </w:pPr>
            <w:proofErr w:type="spellStart"/>
            <w:r>
              <w:t>Cth</w:t>
            </w:r>
            <w:proofErr w:type="spellEnd"/>
            <w:r>
              <w:br/>
            </w:r>
          </w:p>
          <w:p w14:paraId="2B68E9D3" w14:textId="77777777" w:rsidR="00DB2ED9" w:rsidRDefault="00DB2ED9">
            <w:pPr>
              <w:pStyle w:val="TableBody"/>
            </w:pPr>
            <w:r>
              <w:t>All</w:t>
            </w:r>
          </w:p>
          <w:p w14:paraId="72DEFC4C" w14:textId="77777777" w:rsidR="00DB2ED9" w:rsidRDefault="00DB2ED9">
            <w:pPr>
              <w:pStyle w:val="TableBody"/>
            </w:pPr>
            <w:r>
              <w:t>All</w:t>
            </w:r>
          </w:p>
        </w:tc>
      </w:tr>
      <w:tr w:rsidR="00DB2ED9" w:rsidRPr="00030C67" w14:paraId="4C510058" w14:textId="77777777">
        <w:tc>
          <w:tcPr>
            <w:tcW w:w="426" w:type="dxa"/>
            <w:tcBorders>
              <w:top w:val="nil"/>
              <w:bottom w:val="nil"/>
            </w:tcBorders>
            <w:shd w:val="clear" w:color="auto" w:fill="F2F2F2" w:themeFill="background1" w:themeFillShade="F2"/>
          </w:tcPr>
          <w:p w14:paraId="6663F5AF" w14:textId="77777777" w:rsidR="00DB2ED9" w:rsidRPr="00611CB4" w:rsidRDefault="00DB2ED9">
            <w:pPr>
              <w:pStyle w:val="TableBodyHeading"/>
              <w:rPr>
                <w:color w:val="auto"/>
              </w:rPr>
            </w:pPr>
            <w:r>
              <w:t>B2</w:t>
            </w:r>
          </w:p>
        </w:tc>
        <w:tc>
          <w:tcPr>
            <w:tcW w:w="1701" w:type="dxa"/>
            <w:tcBorders>
              <w:top w:val="nil"/>
              <w:bottom w:val="nil"/>
            </w:tcBorders>
            <w:shd w:val="clear" w:color="auto" w:fill="F2F2F2" w:themeFill="background1" w:themeFillShade="F2"/>
          </w:tcPr>
          <w:p w14:paraId="23D5317D" w14:textId="77777777" w:rsidR="00DB2ED9" w:rsidRDefault="00DB2ED9">
            <w:pPr>
              <w:pStyle w:val="TableBody"/>
            </w:pPr>
            <w:r>
              <w:t>Commercial planning and zoning</w:t>
            </w:r>
          </w:p>
        </w:tc>
        <w:tc>
          <w:tcPr>
            <w:tcW w:w="6945" w:type="dxa"/>
            <w:tcBorders>
              <w:top w:val="nil"/>
              <w:bottom w:val="nil"/>
            </w:tcBorders>
            <w:shd w:val="clear" w:color="auto" w:fill="F2F2F2" w:themeFill="background1" w:themeFillShade="F2"/>
          </w:tcPr>
          <w:p w14:paraId="44D84600" w14:textId="7D14304D" w:rsidR="00DB2ED9" w:rsidRPr="003D2F30" w:rsidRDefault="00DB2ED9">
            <w:pPr>
              <w:pStyle w:val="TableBody"/>
            </w:pPr>
            <w:r>
              <w:t xml:space="preserve">Implement recommendations to standardise planning and zoning regulations as recommended by multiple Commission inquiries and studies </w:t>
            </w:r>
            <w:r w:rsidR="00442DC5" w:rsidRPr="00442DC5">
              <w:rPr>
                <w:rFonts w:ascii="Arial" w:hAnsi="Arial" w:cs="Arial"/>
              </w:rPr>
              <w:t>(PC 2011b, 2017h, 2023b)</w:t>
            </w:r>
            <w:r>
              <w:t>.</w:t>
            </w:r>
            <w:r w:rsidDel="00670B42">
              <w:t xml:space="preserve"> </w:t>
            </w:r>
          </w:p>
        </w:tc>
        <w:tc>
          <w:tcPr>
            <w:tcW w:w="567" w:type="dxa"/>
            <w:tcBorders>
              <w:top w:val="nil"/>
              <w:bottom w:val="nil"/>
            </w:tcBorders>
            <w:shd w:val="clear" w:color="auto" w:fill="F2F2F2" w:themeFill="background1" w:themeFillShade="F2"/>
          </w:tcPr>
          <w:p w14:paraId="380253AE" w14:textId="77777777" w:rsidR="00DB2ED9" w:rsidRDefault="00DB2ED9">
            <w:pPr>
              <w:pStyle w:val="TableBody"/>
            </w:pPr>
            <w:r>
              <w:t>S/T</w:t>
            </w:r>
          </w:p>
        </w:tc>
      </w:tr>
      <w:tr w:rsidR="00DB2ED9" w:rsidRPr="00030C67" w14:paraId="1BEC54A6" w14:textId="77777777">
        <w:tc>
          <w:tcPr>
            <w:tcW w:w="426" w:type="dxa"/>
            <w:tcBorders>
              <w:top w:val="nil"/>
              <w:bottom w:val="nil"/>
            </w:tcBorders>
            <w:shd w:val="clear" w:color="auto" w:fill="auto"/>
          </w:tcPr>
          <w:p w14:paraId="5A870A68" w14:textId="77777777" w:rsidR="00DB2ED9" w:rsidRPr="00611CB4" w:rsidRDefault="00DB2ED9">
            <w:pPr>
              <w:pStyle w:val="TableBodyHeading"/>
              <w:rPr>
                <w:color w:val="auto"/>
              </w:rPr>
            </w:pPr>
            <w:r>
              <w:t>B3</w:t>
            </w:r>
          </w:p>
        </w:tc>
        <w:tc>
          <w:tcPr>
            <w:tcW w:w="1701" w:type="dxa"/>
            <w:tcBorders>
              <w:top w:val="nil"/>
              <w:bottom w:val="nil"/>
            </w:tcBorders>
            <w:shd w:val="clear" w:color="auto" w:fill="auto"/>
          </w:tcPr>
          <w:p w14:paraId="09A71AD7" w14:textId="77777777" w:rsidR="00DB2ED9" w:rsidRDefault="00DB2ED9">
            <w:pPr>
              <w:pStyle w:val="TableBody"/>
            </w:pPr>
            <w:r>
              <w:t>Public procurement</w:t>
            </w:r>
          </w:p>
        </w:tc>
        <w:tc>
          <w:tcPr>
            <w:tcW w:w="6945" w:type="dxa"/>
            <w:tcBorders>
              <w:top w:val="nil"/>
              <w:bottom w:val="nil"/>
            </w:tcBorders>
            <w:shd w:val="clear" w:color="auto" w:fill="auto"/>
          </w:tcPr>
          <w:p w14:paraId="6ABD6286" w14:textId="77777777" w:rsidR="00DB2ED9" w:rsidRPr="005838F7" w:rsidRDefault="00DB2ED9">
            <w:pPr>
              <w:pStyle w:val="TableBody"/>
            </w:pPr>
            <w:r>
              <w:t>Reform public procurement arrangements as recommended by the Joint Committee on Public Accounts and Audit (2023) and by the Commission.</w:t>
            </w:r>
          </w:p>
        </w:tc>
        <w:tc>
          <w:tcPr>
            <w:tcW w:w="567" w:type="dxa"/>
            <w:tcBorders>
              <w:top w:val="nil"/>
              <w:bottom w:val="nil"/>
            </w:tcBorders>
          </w:tcPr>
          <w:p w14:paraId="7E79A643" w14:textId="77777777" w:rsidR="00DB2ED9" w:rsidRDefault="00DB2ED9">
            <w:pPr>
              <w:pStyle w:val="TableBody"/>
            </w:pPr>
            <w:r>
              <w:t>All</w:t>
            </w:r>
          </w:p>
        </w:tc>
      </w:tr>
      <w:tr w:rsidR="00DB2ED9" w:rsidRPr="00030C67" w14:paraId="138541ED" w14:textId="77777777">
        <w:tc>
          <w:tcPr>
            <w:tcW w:w="426" w:type="dxa"/>
            <w:tcBorders>
              <w:top w:val="nil"/>
              <w:bottom w:val="nil"/>
            </w:tcBorders>
            <w:shd w:val="clear" w:color="auto" w:fill="F2F2F2" w:themeFill="background1" w:themeFillShade="F2"/>
          </w:tcPr>
          <w:p w14:paraId="547824F8" w14:textId="77777777" w:rsidR="00DB2ED9" w:rsidRPr="00611CB4" w:rsidRDefault="00DB2ED9">
            <w:pPr>
              <w:pStyle w:val="TableBodyHeading"/>
              <w:rPr>
                <w:color w:val="auto"/>
              </w:rPr>
            </w:pPr>
            <w:r>
              <w:t>B4</w:t>
            </w:r>
          </w:p>
        </w:tc>
        <w:tc>
          <w:tcPr>
            <w:tcW w:w="1701" w:type="dxa"/>
            <w:tcBorders>
              <w:top w:val="nil"/>
              <w:bottom w:val="nil"/>
            </w:tcBorders>
            <w:shd w:val="clear" w:color="auto" w:fill="F2F2F2" w:themeFill="background1" w:themeFillShade="F2"/>
          </w:tcPr>
          <w:p w14:paraId="202F0E92" w14:textId="77777777" w:rsidR="00DB2ED9" w:rsidRDefault="00DB2ED9">
            <w:pPr>
              <w:pStyle w:val="TableBody"/>
            </w:pPr>
            <w:proofErr w:type="spellStart"/>
            <w:r>
              <w:t>Phoenixing</w:t>
            </w:r>
            <w:proofErr w:type="spellEnd"/>
          </w:p>
        </w:tc>
        <w:tc>
          <w:tcPr>
            <w:tcW w:w="6945" w:type="dxa"/>
            <w:tcBorders>
              <w:top w:val="nil"/>
              <w:bottom w:val="nil"/>
            </w:tcBorders>
            <w:shd w:val="clear" w:color="auto" w:fill="F2F2F2" w:themeFill="background1" w:themeFillShade="F2"/>
          </w:tcPr>
          <w:p w14:paraId="484EADA9" w14:textId="77777777" w:rsidR="00DB2ED9" w:rsidRPr="003D2F30" w:rsidRDefault="00DB2ED9">
            <w:pPr>
              <w:pStyle w:val="TableBody"/>
            </w:pPr>
            <w:r>
              <w:t xml:space="preserve">Monitor the effects of the </w:t>
            </w:r>
            <w:r w:rsidRPr="00574174">
              <w:rPr>
                <w:i/>
                <w:iCs/>
              </w:rPr>
              <w:t xml:space="preserve">Treasury Laws Amendment (Combating Illegal </w:t>
            </w:r>
            <w:proofErr w:type="spellStart"/>
            <w:r w:rsidRPr="00574174">
              <w:rPr>
                <w:i/>
                <w:iCs/>
              </w:rPr>
              <w:t>Phoenixing</w:t>
            </w:r>
            <w:proofErr w:type="spellEnd"/>
            <w:r w:rsidRPr="00574174">
              <w:rPr>
                <w:i/>
                <w:iCs/>
              </w:rPr>
              <w:t xml:space="preserve">) Act 2020 </w:t>
            </w:r>
            <w:r w:rsidRPr="00B83520">
              <w:t>(</w:t>
            </w:r>
            <w:proofErr w:type="spellStart"/>
            <w:r w:rsidRPr="00B83520">
              <w:t>Cth</w:t>
            </w:r>
            <w:proofErr w:type="spellEnd"/>
            <w:r w:rsidRPr="00B83520">
              <w:t>)</w:t>
            </w:r>
            <w:r>
              <w:t xml:space="preserve"> to identify what residual policy problems remain. </w:t>
            </w:r>
          </w:p>
        </w:tc>
        <w:tc>
          <w:tcPr>
            <w:tcW w:w="567" w:type="dxa"/>
            <w:tcBorders>
              <w:top w:val="nil"/>
              <w:bottom w:val="nil"/>
            </w:tcBorders>
            <w:shd w:val="clear" w:color="auto" w:fill="F2F2F2" w:themeFill="background1" w:themeFillShade="F2"/>
          </w:tcPr>
          <w:p w14:paraId="0D691632" w14:textId="77777777" w:rsidR="00DB2ED9" w:rsidRDefault="00DB2ED9">
            <w:pPr>
              <w:pStyle w:val="TableBody"/>
            </w:pPr>
            <w:proofErr w:type="spellStart"/>
            <w:r>
              <w:t>Cth</w:t>
            </w:r>
            <w:proofErr w:type="spellEnd"/>
          </w:p>
        </w:tc>
      </w:tr>
      <w:tr w:rsidR="00DB2ED9" w:rsidRPr="00030C67" w14:paraId="33DBAEE5" w14:textId="77777777">
        <w:tc>
          <w:tcPr>
            <w:tcW w:w="426" w:type="dxa"/>
            <w:tcBorders>
              <w:top w:val="nil"/>
              <w:bottom w:val="nil"/>
            </w:tcBorders>
            <w:shd w:val="clear" w:color="auto" w:fill="auto"/>
          </w:tcPr>
          <w:p w14:paraId="7A3ED8B1" w14:textId="77777777" w:rsidR="00DB2ED9" w:rsidRPr="00611CB4" w:rsidRDefault="00DB2ED9">
            <w:pPr>
              <w:pStyle w:val="TableBodyHeading"/>
              <w:rPr>
                <w:color w:val="auto"/>
              </w:rPr>
            </w:pPr>
            <w:r>
              <w:t>B5</w:t>
            </w:r>
          </w:p>
        </w:tc>
        <w:tc>
          <w:tcPr>
            <w:tcW w:w="1701" w:type="dxa"/>
            <w:tcBorders>
              <w:top w:val="nil"/>
              <w:bottom w:val="nil"/>
            </w:tcBorders>
            <w:shd w:val="clear" w:color="auto" w:fill="auto"/>
          </w:tcPr>
          <w:p w14:paraId="580BF5F6" w14:textId="77777777" w:rsidR="00DB2ED9" w:rsidRDefault="00DB2ED9">
            <w:pPr>
              <w:pStyle w:val="TableBody"/>
            </w:pPr>
            <w:r>
              <w:t>E</w:t>
            </w:r>
            <w:r>
              <w:noBreakHyphen/>
              <w:t>conveyancing</w:t>
            </w:r>
          </w:p>
        </w:tc>
        <w:tc>
          <w:tcPr>
            <w:tcW w:w="6945" w:type="dxa"/>
            <w:tcBorders>
              <w:top w:val="nil"/>
              <w:bottom w:val="nil"/>
            </w:tcBorders>
            <w:shd w:val="clear" w:color="auto" w:fill="auto"/>
          </w:tcPr>
          <w:p w14:paraId="5DE7BB5A" w14:textId="3CAFF49E" w:rsidR="00DB2ED9" w:rsidRPr="005838F7" w:rsidRDefault="00DB2ED9">
            <w:pPr>
              <w:pStyle w:val="TableBody"/>
            </w:pPr>
            <w:r>
              <w:t xml:space="preserve">Enact interoperability legislation and implement the recommendations of the NSW Productivity and Equality Commission </w:t>
            </w:r>
            <w:r w:rsidRPr="00136230">
              <w:rPr>
                <w:rFonts w:ascii="Arial" w:hAnsi="Arial" w:cs="Arial"/>
              </w:rPr>
              <w:t>(2024)</w:t>
            </w:r>
            <w:r>
              <w:t xml:space="preserve">. </w:t>
            </w:r>
          </w:p>
        </w:tc>
        <w:tc>
          <w:tcPr>
            <w:tcW w:w="567" w:type="dxa"/>
            <w:tcBorders>
              <w:top w:val="nil"/>
              <w:bottom w:val="nil"/>
            </w:tcBorders>
          </w:tcPr>
          <w:p w14:paraId="1E0B557F" w14:textId="77777777" w:rsidR="00DB2ED9" w:rsidRDefault="00DB2ED9">
            <w:pPr>
              <w:pStyle w:val="TableBody"/>
            </w:pPr>
            <w:r>
              <w:t>S/T</w:t>
            </w:r>
          </w:p>
        </w:tc>
      </w:tr>
      <w:tr w:rsidR="00DB2ED9" w:rsidRPr="00030C67" w14:paraId="622BC2D1" w14:textId="77777777">
        <w:tc>
          <w:tcPr>
            <w:tcW w:w="426" w:type="dxa"/>
            <w:tcBorders>
              <w:top w:val="nil"/>
              <w:bottom w:val="nil"/>
            </w:tcBorders>
            <w:shd w:val="clear" w:color="auto" w:fill="F2F2F2" w:themeFill="background1" w:themeFillShade="F2"/>
          </w:tcPr>
          <w:p w14:paraId="0DD16528" w14:textId="77777777" w:rsidR="00DB2ED9" w:rsidRPr="00611CB4" w:rsidRDefault="00DB2ED9">
            <w:pPr>
              <w:pStyle w:val="TableBodyHeading"/>
              <w:rPr>
                <w:color w:val="auto"/>
              </w:rPr>
            </w:pPr>
            <w:r>
              <w:t>B6</w:t>
            </w:r>
          </w:p>
        </w:tc>
        <w:tc>
          <w:tcPr>
            <w:tcW w:w="1701" w:type="dxa"/>
            <w:tcBorders>
              <w:top w:val="nil"/>
              <w:bottom w:val="nil"/>
            </w:tcBorders>
            <w:shd w:val="clear" w:color="auto" w:fill="F2F2F2" w:themeFill="background1" w:themeFillShade="F2"/>
          </w:tcPr>
          <w:p w14:paraId="35225A77" w14:textId="77777777" w:rsidR="00DB2ED9" w:rsidRDefault="00DB2ED9">
            <w:pPr>
              <w:pStyle w:val="TableBody"/>
            </w:pPr>
            <w:r>
              <w:t>Marine freight industry</w:t>
            </w:r>
          </w:p>
        </w:tc>
        <w:tc>
          <w:tcPr>
            <w:tcW w:w="6945" w:type="dxa"/>
            <w:tcBorders>
              <w:top w:val="nil"/>
              <w:bottom w:val="nil"/>
            </w:tcBorders>
            <w:shd w:val="clear" w:color="auto" w:fill="F2F2F2" w:themeFill="background1" w:themeFillShade="F2"/>
          </w:tcPr>
          <w:p w14:paraId="01F56425" w14:textId="77777777" w:rsidR="00DB2ED9" w:rsidRDefault="00DB2ED9">
            <w:pPr>
              <w:pStyle w:val="TableBody"/>
            </w:pPr>
            <w:r>
              <w:t>Repeal Part X.</w:t>
            </w:r>
          </w:p>
          <w:p w14:paraId="3E0F9BE9" w14:textId="36862E8F" w:rsidR="00DB2ED9" w:rsidRPr="003D2F30" w:rsidRDefault="00DB2ED9">
            <w:pPr>
              <w:pStyle w:val="TableBody"/>
            </w:pPr>
            <w:r w:rsidRPr="000F6D69">
              <w:t>Implement recommendations from</w:t>
            </w:r>
            <w:r>
              <w:t xml:space="preserve"> the</w:t>
            </w:r>
            <w:r w:rsidRPr="000F6D69">
              <w:t xml:space="preserve"> </w:t>
            </w:r>
            <w:r w:rsidRPr="000F6D69">
              <w:rPr>
                <w:i/>
              </w:rPr>
              <w:t xml:space="preserve">Lifting </w:t>
            </w:r>
            <w:r>
              <w:rPr>
                <w:i/>
              </w:rPr>
              <w:t>p</w:t>
            </w:r>
            <w:r w:rsidRPr="000F6D69">
              <w:rPr>
                <w:i/>
                <w:iCs/>
              </w:rPr>
              <w:t>roductivity</w:t>
            </w:r>
            <w:r w:rsidRPr="000F6D69">
              <w:rPr>
                <w:i/>
              </w:rPr>
              <w:t xml:space="preserve"> at Australia</w:t>
            </w:r>
            <w:r>
              <w:rPr>
                <w:i/>
              </w:rPr>
              <w:t>’</w:t>
            </w:r>
            <w:r w:rsidRPr="000F6D69">
              <w:rPr>
                <w:i/>
              </w:rPr>
              <w:t xml:space="preserve">s </w:t>
            </w:r>
            <w:r>
              <w:rPr>
                <w:i/>
              </w:rPr>
              <w:t>c</w:t>
            </w:r>
            <w:r w:rsidRPr="000F6D69">
              <w:rPr>
                <w:i/>
                <w:iCs/>
              </w:rPr>
              <w:t xml:space="preserve">ontainer </w:t>
            </w:r>
            <w:r>
              <w:rPr>
                <w:i/>
                <w:iCs/>
              </w:rPr>
              <w:t>p</w:t>
            </w:r>
            <w:r w:rsidRPr="000F6D69">
              <w:rPr>
                <w:i/>
                <w:iCs/>
              </w:rPr>
              <w:t>orts</w:t>
            </w:r>
            <w:r>
              <w:t xml:space="preserve"> inquiry </w:t>
            </w:r>
            <w:r w:rsidR="00442DC5" w:rsidRPr="00442DC5">
              <w:rPr>
                <w:rFonts w:ascii="Arial" w:hAnsi="Arial" w:cs="Arial"/>
              </w:rPr>
              <w:t>(PC 2022b)</w:t>
            </w:r>
            <w:r>
              <w:t>.</w:t>
            </w:r>
          </w:p>
        </w:tc>
        <w:tc>
          <w:tcPr>
            <w:tcW w:w="567" w:type="dxa"/>
            <w:tcBorders>
              <w:top w:val="nil"/>
              <w:bottom w:val="nil"/>
            </w:tcBorders>
            <w:shd w:val="clear" w:color="auto" w:fill="F2F2F2" w:themeFill="background1" w:themeFillShade="F2"/>
          </w:tcPr>
          <w:p w14:paraId="77DD0386" w14:textId="77777777" w:rsidR="00DB2ED9" w:rsidRDefault="00DB2ED9">
            <w:pPr>
              <w:pStyle w:val="TableBody"/>
            </w:pPr>
            <w:proofErr w:type="spellStart"/>
            <w:r>
              <w:t>Cth</w:t>
            </w:r>
            <w:proofErr w:type="spellEnd"/>
          </w:p>
          <w:p w14:paraId="74DD2044" w14:textId="77777777" w:rsidR="00DB2ED9" w:rsidRDefault="00DB2ED9">
            <w:pPr>
              <w:pStyle w:val="TableBody"/>
            </w:pPr>
            <w:r>
              <w:t>SR</w:t>
            </w:r>
          </w:p>
        </w:tc>
      </w:tr>
      <w:tr w:rsidR="00DB2ED9" w:rsidRPr="00030C67" w14:paraId="435BD143" w14:textId="77777777">
        <w:tc>
          <w:tcPr>
            <w:tcW w:w="426" w:type="dxa"/>
            <w:tcBorders>
              <w:top w:val="nil"/>
              <w:bottom w:val="nil"/>
            </w:tcBorders>
            <w:shd w:val="clear" w:color="auto" w:fill="auto"/>
          </w:tcPr>
          <w:p w14:paraId="43DDBE57" w14:textId="77777777" w:rsidR="00DB2ED9" w:rsidRPr="00611CB4" w:rsidRDefault="00DB2ED9">
            <w:pPr>
              <w:pStyle w:val="TableBodyHeading"/>
              <w:rPr>
                <w:color w:val="auto"/>
              </w:rPr>
            </w:pPr>
            <w:r>
              <w:t>B7</w:t>
            </w:r>
          </w:p>
        </w:tc>
        <w:tc>
          <w:tcPr>
            <w:tcW w:w="1701" w:type="dxa"/>
            <w:tcBorders>
              <w:top w:val="nil"/>
              <w:bottom w:val="nil"/>
            </w:tcBorders>
            <w:shd w:val="clear" w:color="auto" w:fill="auto"/>
          </w:tcPr>
          <w:p w14:paraId="2CDBF775" w14:textId="77777777" w:rsidR="00DB2ED9" w:rsidRDefault="00DB2ED9">
            <w:pPr>
              <w:pStyle w:val="TableBody"/>
            </w:pPr>
            <w:r>
              <w:t>Distribution networks</w:t>
            </w:r>
          </w:p>
        </w:tc>
        <w:tc>
          <w:tcPr>
            <w:tcW w:w="6945" w:type="dxa"/>
            <w:tcBorders>
              <w:top w:val="nil"/>
              <w:bottom w:val="nil"/>
            </w:tcBorders>
            <w:shd w:val="clear" w:color="auto" w:fill="auto"/>
          </w:tcPr>
          <w:p w14:paraId="0DB113E8" w14:textId="77777777" w:rsidR="00DB2ED9" w:rsidRDefault="00DB2ED9">
            <w:pPr>
              <w:pStyle w:val="TableBody"/>
            </w:pPr>
            <w:r>
              <w:t xml:space="preserve">Remove restrictions on parallel imports of vehicles </w:t>
            </w:r>
          </w:p>
          <w:p w14:paraId="5D555AEF" w14:textId="77777777" w:rsidR="00DB2ED9" w:rsidRDefault="00DB2ED9">
            <w:pPr>
              <w:pStyle w:val="TableBody"/>
            </w:pPr>
            <w:r>
              <w:t>Remove remaining tariffs</w:t>
            </w:r>
          </w:p>
          <w:p w14:paraId="2E8E70BF" w14:textId="5CEE9B47" w:rsidR="00DB2ED9" w:rsidRPr="005838F7" w:rsidRDefault="00DB2ED9">
            <w:pPr>
              <w:pStyle w:val="TableBody"/>
            </w:pPr>
            <w:r>
              <w:t xml:space="preserve">Reform the coastal shipping regulatory regime in line with </w:t>
            </w:r>
            <w:r w:rsidRPr="000F6D69">
              <w:t xml:space="preserve">recommendations from </w:t>
            </w:r>
            <w:r w:rsidRPr="000F6D69">
              <w:rPr>
                <w:i/>
                <w:iCs/>
              </w:rPr>
              <w:t xml:space="preserve">Lifting </w:t>
            </w:r>
            <w:r>
              <w:rPr>
                <w:i/>
                <w:iCs/>
              </w:rPr>
              <w:t>p</w:t>
            </w:r>
            <w:r w:rsidRPr="000F6D69">
              <w:rPr>
                <w:i/>
                <w:iCs/>
              </w:rPr>
              <w:t>roductivity at Australia</w:t>
            </w:r>
            <w:r>
              <w:rPr>
                <w:i/>
                <w:iCs/>
              </w:rPr>
              <w:t>’</w:t>
            </w:r>
            <w:r w:rsidRPr="000F6D69">
              <w:rPr>
                <w:i/>
                <w:iCs/>
              </w:rPr>
              <w:t xml:space="preserve">s </w:t>
            </w:r>
            <w:r>
              <w:rPr>
                <w:i/>
                <w:iCs/>
              </w:rPr>
              <w:t>c</w:t>
            </w:r>
            <w:r w:rsidRPr="000F6D69">
              <w:rPr>
                <w:i/>
                <w:iCs/>
              </w:rPr>
              <w:t xml:space="preserve">ontainer </w:t>
            </w:r>
            <w:r>
              <w:rPr>
                <w:i/>
                <w:iCs/>
              </w:rPr>
              <w:t>p</w:t>
            </w:r>
            <w:r w:rsidRPr="000F6D69">
              <w:rPr>
                <w:i/>
                <w:iCs/>
              </w:rPr>
              <w:t>orts</w:t>
            </w:r>
            <w:r w:rsidRPr="000F6D69">
              <w:t xml:space="preserve"> </w:t>
            </w:r>
            <w:r w:rsidR="00442DC5" w:rsidRPr="00442DC5">
              <w:rPr>
                <w:rFonts w:ascii="Arial" w:hAnsi="Arial" w:cs="Arial"/>
              </w:rPr>
              <w:t>(PC 2022b)</w:t>
            </w:r>
            <w:r w:rsidRPr="000F6D69">
              <w:t>.</w:t>
            </w:r>
          </w:p>
        </w:tc>
        <w:tc>
          <w:tcPr>
            <w:tcW w:w="567" w:type="dxa"/>
            <w:tcBorders>
              <w:top w:val="nil"/>
              <w:bottom w:val="nil"/>
            </w:tcBorders>
          </w:tcPr>
          <w:p w14:paraId="298814C6" w14:textId="77777777" w:rsidR="00DB2ED9" w:rsidRDefault="00DB2ED9">
            <w:pPr>
              <w:pStyle w:val="TableBody"/>
            </w:pPr>
            <w:proofErr w:type="spellStart"/>
            <w:r>
              <w:t>Cth</w:t>
            </w:r>
            <w:proofErr w:type="spellEnd"/>
          </w:p>
          <w:p w14:paraId="6491AB0C" w14:textId="77777777" w:rsidR="00DB2ED9" w:rsidRDefault="00DB2ED9">
            <w:pPr>
              <w:pStyle w:val="TableBody"/>
            </w:pPr>
          </w:p>
        </w:tc>
      </w:tr>
      <w:tr w:rsidR="00DB2ED9" w:rsidRPr="00030C67" w14:paraId="2EFA286A" w14:textId="77777777">
        <w:tc>
          <w:tcPr>
            <w:tcW w:w="426" w:type="dxa"/>
            <w:tcBorders>
              <w:top w:val="nil"/>
              <w:bottom w:val="nil"/>
            </w:tcBorders>
            <w:shd w:val="clear" w:color="auto" w:fill="F2F2F2" w:themeFill="background1" w:themeFillShade="F2"/>
          </w:tcPr>
          <w:p w14:paraId="3477D261" w14:textId="77777777" w:rsidR="00DB2ED9" w:rsidRPr="00611CB4" w:rsidRDefault="00DB2ED9">
            <w:pPr>
              <w:pStyle w:val="TableBodyHeading"/>
              <w:rPr>
                <w:color w:val="auto"/>
              </w:rPr>
            </w:pPr>
            <w:r>
              <w:t>B8</w:t>
            </w:r>
          </w:p>
        </w:tc>
        <w:tc>
          <w:tcPr>
            <w:tcW w:w="1701" w:type="dxa"/>
            <w:tcBorders>
              <w:top w:val="nil"/>
              <w:bottom w:val="nil"/>
            </w:tcBorders>
            <w:shd w:val="clear" w:color="auto" w:fill="F2F2F2" w:themeFill="background1" w:themeFillShade="F2"/>
          </w:tcPr>
          <w:p w14:paraId="73CEA150" w14:textId="77777777" w:rsidR="00DB2ED9" w:rsidRPr="00611CB4" w:rsidRDefault="00DB2ED9">
            <w:pPr>
              <w:pStyle w:val="TableBody"/>
            </w:pPr>
            <w:r>
              <w:t>Efficient user charging</w:t>
            </w:r>
          </w:p>
        </w:tc>
        <w:tc>
          <w:tcPr>
            <w:tcW w:w="6945" w:type="dxa"/>
            <w:tcBorders>
              <w:top w:val="nil"/>
              <w:bottom w:val="nil"/>
            </w:tcBorders>
            <w:shd w:val="clear" w:color="auto" w:fill="F2F2F2" w:themeFill="background1" w:themeFillShade="F2"/>
          </w:tcPr>
          <w:p w14:paraId="590F5E3E" w14:textId="77777777" w:rsidR="00DB2ED9" w:rsidRDefault="00DB2ED9">
            <w:pPr>
              <w:pStyle w:val="TableBody"/>
            </w:pPr>
            <w:r>
              <w:t>Adopt user charging principles for roads and levies.</w:t>
            </w:r>
          </w:p>
          <w:p w14:paraId="3D9F44D1" w14:textId="77777777" w:rsidR="00DB2ED9" w:rsidRPr="003D2F30" w:rsidRDefault="00DB2ED9">
            <w:pPr>
              <w:pStyle w:val="TableBody"/>
            </w:pPr>
            <w:r>
              <w:t>Identify other government services that are intended to be in scope.</w:t>
            </w:r>
          </w:p>
        </w:tc>
        <w:tc>
          <w:tcPr>
            <w:tcW w:w="567" w:type="dxa"/>
            <w:tcBorders>
              <w:top w:val="nil"/>
              <w:bottom w:val="nil"/>
            </w:tcBorders>
            <w:shd w:val="clear" w:color="auto" w:fill="F2F2F2" w:themeFill="background1" w:themeFillShade="F2"/>
          </w:tcPr>
          <w:p w14:paraId="221FED07" w14:textId="77777777" w:rsidR="00DB2ED9" w:rsidRDefault="00DB2ED9">
            <w:pPr>
              <w:pStyle w:val="TableBody"/>
            </w:pPr>
            <w:r>
              <w:t>All</w:t>
            </w:r>
          </w:p>
          <w:p w14:paraId="3DD4FCFC" w14:textId="77777777" w:rsidR="00DB2ED9" w:rsidRDefault="00DB2ED9">
            <w:pPr>
              <w:pStyle w:val="TableBody"/>
            </w:pPr>
          </w:p>
        </w:tc>
      </w:tr>
      <w:tr w:rsidR="00DB2ED9" w:rsidRPr="00030C67" w14:paraId="287193E0" w14:textId="77777777">
        <w:tc>
          <w:tcPr>
            <w:tcW w:w="426" w:type="dxa"/>
            <w:tcBorders>
              <w:top w:val="nil"/>
              <w:bottom w:val="nil"/>
            </w:tcBorders>
            <w:shd w:val="clear" w:color="auto" w:fill="auto"/>
          </w:tcPr>
          <w:p w14:paraId="4DED2E51" w14:textId="77777777" w:rsidR="00DB2ED9" w:rsidRPr="00611CB4" w:rsidRDefault="00DB2ED9">
            <w:pPr>
              <w:pStyle w:val="TableBodyHeading"/>
              <w:rPr>
                <w:color w:val="auto"/>
              </w:rPr>
            </w:pPr>
            <w:r>
              <w:t>B9</w:t>
            </w:r>
          </w:p>
        </w:tc>
        <w:tc>
          <w:tcPr>
            <w:tcW w:w="1701" w:type="dxa"/>
            <w:tcBorders>
              <w:top w:val="nil"/>
              <w:bottom w:val="nil"/>
            </w:tcBorders>
            <w:shd w:val="clear" w:color="auto" w:fill="auto"/>
          </w:tcPr>
          <w:p w14:paraId="1F16C207" w14:textId="77777777" w:rsidR="00DB2ED9" w:rsidRPr="00611CB4" w:rsidRDefault="00DB2ED9">
            <w:pPr>
              <w:pStyle w:val="TableBody"/>
            </w:pPr>
            <w:r>
              <w:t>M</w:t>
            </w:r>
            <w:r w:rsidRPr="00D05C95">
              <w:t>odern methods of construction</w:t>
            </w:r>
          </w:p>
        </w:tc>
        <w:tc>
          <w:tcPr>
            <w:tcW w:w="6945" w:type="dxa"/>
            <w:tcBorders>
              <w:top w:val="nil"/>
              <w:bottom w:val="nil"/>
            </w:tcBorders>
            <w:shd w:val="clear" w:color="auto" w:fill="auto"/>
          </w:tcPr>
          <w:p w14:paraId="471E4FE6" w14:textId="77777777" w:rsidR="00DB2ED9" w:rsidRPr="003D2F30" w:rsidRDefault="00DB2ED9">
            <w:pPr>
              <w:pStyle w:val="TableBody"/>
            </w:pPr>
            <w:r>
              <w:t>Review building regulations, codes and standards to determine implementation options and pathways.</w:t>
            </w:r>
          </w:p>
        </w:tc>
        <w:tc>
          <w:tcPr>
            <w:tcW w:w="567" w:type="dxa"/>
            <w:tcBorders>
              <w:top w:val="nil"/>
              <w:bottom w:val="nil"/>
            </w:tcBorders>
          </w:tcPr>
          <w:p w14:paraId="70EBFDB9" w14:textId="77777777" w:rsidR="00DB2ED9" w:rsidRDefault="00DB2ED9">
            <w:pPr>
              <w:pStyle w:val="TableBody"/>
            </w:pPr>
            <w:r>
              <w:t>S/T</w:t>
            </w:r>
          </w:p>
        </w:tc>
      </w:tr>
      <w:tr w:rsidR="00DB2ED9" w:rsidRPr="00030C67" w14:paraId="347B400A" w14:textId="77777777">
        <w:tc>
          <w:tcPr>
            <w:tcW w:w="2127" w:type="dxa"/>
            <w:gridSpan w:val="2"/>
            <w:tcBorders>
              <w:top w:val="nil"/>
              <w:bottom w:val="nil"/>
            </w:tcBorders>
            <w:shd w:val="clear" w:color="auto" w:fill="CBDDF2" w:themeFill="background2" w:themeFillTint="33"/>
          </w:tcPr>
          <w:p w14:paraId="2842C0FB" w14:textId="77777777" w:rsidR="00DB2ED9" w:rsidRDefault="00DB2ED9">
            <w:pPr>
              <w:pStyle w:val="TableBodyHeading"/>
            </w:pPr>
            <w:r>
              <w:t>Net zero</w:t>
            </w:r>
          </w:p>
        </w:tc>
        <w:tc>
          <w:tcPr>
            <w:tcW w:w="6945" w:type="dxa"/>
            <w:tcBorders>
              <w:top w:val="nil"/>
              <w:bottom w:val="nil"/>
            </w:tcBorders>
            <w:shd w:val="clear" w:color="auto" w:fill="CBDDF2" w:themeFill="background2" w:themeFillTint="33"/>
          </w:tcPr>
          <w:p w14:paraId="23F23766" w14:textId="77777777" w:rsidR="00DB2ED9" w:rsidRDefault="00DB2ED9">
            <w:pPr>
              <w:pStyle w:val="TableBody"/>
            </w:pPr>
          </w:p>
        </w:tc>
        <w:tc>
          <w:tcPr>
            <w:tcW w:w="567" w:type="dxa"/>
            <w:tcBorders>
              <w:top w:val="nil"/>
              <w:bottom w:val="nil"/>
            </w:tcBorders>
            <w:shd w:val="clear" w:color="auto" w:fill="CBDDF2" w:themeFill="background2" w:themeFillTint="33"/>
          </w:tcPr>
          <w:p w14:paraId="1E441235" w14:textId="77777777" w:rsidR="00DB2ED9" w:rsidRDefault="00DB2ED9">
            <w:pPr>
              <w:pStyle w:val="TableBody"/>
            </w:pPr>
          </w:p>
        </w:tc>
      </w:tr>
      <w:tr w:rsidR="00DB2ED9" w:rsidRPr="00030C67" w14:paraId="758CBD7D" w14:textId="77777777">
        <w:tc>
          <w:tcPr>
            <w:tcW w:w="426" w:type="dxa"/>
            <w:tcBorders>
              <w:top w:val="nil"/>
              <w:bottom w:val="nil"/>
            </w:tcBorders>
            <w:shd w:val="clear" w:color="auto" w:fill="auto"/>
          </w:tcPr>
          <w:p w14:paraId="77548FBA" w14:textId="77777777" w:rsidR="00DB2ED9" w:rsidRPr="00A21E4E" w:rsidRDefault="00DB2ED9">
            <w:pPr>
              <w:pStyle w:val="TableBodyHeading"/>
            </w:pPr>
            <w:r w:rsidRPr="00A21E4E">
              <w:t>NZ1</w:t>
            </w:r>
          </w:p>
        </w:tc>
        <w:tc>
          <w:tcPr>
            <w:tcW w:w="1701" w:type="dxa"/>
            <w:tcBorders>
              <w:top w:val="nil"/>
              <w:bottom w:val="nil"/>
            </w:tcBorders>
            <w:shd w:val="clear" w:color="auto" w:fill="auto"/>
          </w:tcPr>
          <w:p w14:paraId="021AD972" w14:textId="77777777" w:rsidR="00DB2ED9" w:rsidRPr="00611CB4" w:rsidRDefault="00DB2ED9">
            <w:pPr>
              <w:pStyle w:val="TableBody"/>
            </w:pPr>
            <w:r>
              <w:t>Right to repair</w:t>
            </w:r>
          </w:p>
        </w:tc>
        <w:tc>
          <w:tcPr>
            <w:tcW w:w="6945" w:type="dxa"/>
            <w:tcBorders>
              <w:top w:val="nil"/>
              <w:bottom w:val="nil"/>
            </w:tcBorders>
            <w:shd w:val="clear" w:color="auto" w:fill="auto"/>
          </w:tcPr>
          <w:p w14:paraId="5B149C17" w14:textId="77777777" w:rsidR="00DB2ED9" w:rsidRDefault="00DB2ED9">
            <w:pPr>
              <w:pStyle w:val="TableBody"/>
              <w:keepNext/>
            </w:pPr>
            <w:r>
              <w:t>Implement a repair supplies obligation for agricultural machinery.</w:t>
            </w:r>
          </w:p>
          <w:p w14:paraId="40B5089B" w14:textId="037030BB" w:rsidR="00DB2ED9" w:rsidRPr="00611CB4" w:rsidRDefault="00DB2ED9">
            <w:pPr>
              <w:pStyle w:val="TableBody"/>
              <w:keepNext/>
            </w:pPr>
            <w:r>
              <w:t xml:space="preserve">Implement recommendations relating to the Australian Consumer Law and intellectual property from </w:t>
            </w:r>
            <w:r w:rsidRPr="00AC3DF6">
              <w:rPr>
                <w:i/>
                <w:iCs/>
              </w:rPr>
              <w:t xml:space="preserve">Right to </w:t>
            </w:r>
            <w:r>
              <w:rPr>
                <w:i/>
                <w:iCs/>
              </w:rPr>
              <w:t>r</w:t>
            </w:r>
            <w:r w:rsidRPr="00AC3DF6">
              <w:rPr>
                <w:i/>
                <w:iCs/>
              </w:rPr>
              <w:t>epair</w:t>
            </w:r>
            <w:r>
              <w:t xml:space="preserve"> inquiry </w:t>
            </w:r>
            <w:r w:rsidR="00442DC5" w:rsidRPr="00442DC5">
              <w:rPr>
                <w:rFonts w:ascii="Arial" w:hAnsi="Arial" w:cs="Arial"/>
              </w:rPr>
              <w:t>(PC 2021d)</w:t>
            </w:r>
            <w:r>
              <w:t>.</w:t>
            </w:r>
          </w:p>
        </w:tc>
        <w:tc>
          <w:tcPr>
            <w:tcW w:w="567" w:type="dxa"/>
            <w:tcBorders>
              <w:top w:val="nil"/>
              <w:bottom w:val="nil"/>
            </w:tcBorders>
          </w:tcPr>
          <w:p w14:paraId="7C180283" w14:textId="77777777" w:rsidR="00DB2ED9" w:rsidRDefault="00DB2ED9">
            <w:pPr>
              <w:pStyle w:val="TableBody"/>
              <w:keepNext/>
            </w:pPr>
            <w:proofErr w:type="spellStart"/>
            <w:r>
              <w:t>Cth</w:t>
            </w:r>
            <w:proofErr w:type="spellEnd"/>
          </w:p>
          <w:p w14:paraId="4025647C" w14:textId="77777777" w:rsidR="00DB2ED9" w:rsidRDefault="00DB2ED9">
            <w:pPr>
              <w:pStyle w:val="TableBody"/>
              <w:keepNext/>
            </w:pPr>
            <w:r>
              <w:t>SR</w:t>
            </w:r>
          </w:p>
        </w:tc>
      </w:tr>
      <w:tr w:rsidR="00DB2ED9" w:rsidRPr="00030C67" w14:paraId="184803E7" w14:textId="77777777">
        <w:tc>
          <w:tcPr>
            <w:tcW w:w="426" w:type="dxa"/>
            <w:tcBorders>
              <w:top w:val="nil"/>
              <w:bottom w:val="nil"/>
            </w:tcBorders>
            <w:shd w:val="clear" w:color="auto" w:fill="F2F2F2" w:themeFill="background1" w:themeFillShade="F2"/>
          </w:tcPr>
          <w:p w14:paraId="334E5973" w14:textId="77777777" w:rsidR="00DB2ED9" w:rsidRPr="00A21E4E" w:rsidRDefault="00DB2ED9">
            <w:pPr>
              <w:pStyle w:val="TableBodyHeading"/>
            </w:pPr>
            <w:r w:rsidRPr="00A21E4E">
              <w:t>NZ</w:t>
            </w:r>
            <w:r>
              <w:t>2</w:t>
            </w:r>
          </w:p>
        </w:tc>
        <w:tc>
          <w:tcPr>
            <w:tcW w:w="1701" w:type="dxa"/>
            <w:tcBorders>
              <w:top w:val="nil"/>
              <w:bottom w:val="nil"/>
            </w:tcBorders>
            <w:shd w:val="clear" w:color="auto" w:fill="F2F2F2" w:themeFill="background1" w:themeFillShade="F2"/>
          </w:tcPr>
          <w:p w14:paraId="5FCA6020" w14:textId="77777777" w:rsidR="00DB2ED9" w:rsidRPr="00611CB4" w:rsidRDefault="00DB2ED9">
            <w:pPr>
              <w:pStyle w:val="TableBody"/>
            </w:pPr>
            <w:r>
              <w:t>Overseas standards</w:t>
            </w:r>
          </w:p>
        </w:tc>
        <w:tc>
          <w:tcPr>
            <w:tcW w:w="6945" w:type="dxa"/>
            <w:tcBorders>
              <w:top w:val="nil"/>
              <w:bottom w:val="nil"/>
            </w:tcBorders>
            <w:shd w:val="clear" w:color="auto" w:fill="F2F2F2" w:themeFill="background1" w:themeFillShade="F2"/>
          </w:tcPr>
          <w:p w14:paraId="71D6932C" w14:textId="77777777" w:rsidR="00DB2ED9" w:rsidRDefault="00DB2ED9">
            <w:pPr>
              <w:pStyle w:val="TableBody"/>
            </w:pPr>
            <w:r>
              <w:t>Identify and monitor for candidate standards for vehicle</w:t>
            </w:r>
            <w:r>
              <w:noBreakHyphen/>
              <w:t>to</w:t>
            </w:r>
            <w:r>
              <w:noBreakHyphen/>
              <w:t>grid charging.</w:t>
            </w:r>
          </w:p>
          <w:p w14:paraId="4FD9003C" w14:textId="77777777" w:rsidR="00DB2ED9" w:rsidRPr="00611CB4" w:rsidRDefault="00DB2ED9">
            <w:pPr>
              <w:pStyle w:val="TableBody"/>
            </w:pPr>
            <w:r>
              <w:t>Monitor for emergence of other relevant overseas standards.</w:t>
            </w:r>
          </w:p>
        </w:tc>
        <w:tc>
          <w:tcPr>
            <w:tcW w:w="567" w:type="dxa"/>
            <w:tcBorders>
              <w:top w:val="nil"/>
              <w:bottom w:val="nil"/>
            </w:tcBorders>
            <w:shd w:val="clear" w:color="auto" w:fill="F2F2F2" w:themeFill="background1" w:themeFillShade="F2"/>
          </w:tcPr>
          <w:p w14:paraId="52EAE45F" w14:textId="77777777" w:rsidR="00DB2ED9" w:rsidRDefault="00DB2ED9">
            <w:pPr>
              <w:pStyle w:val="TableBody"/>
            </w:pPr>
            <w:proofErr w:type="spellStart"/>
            <w:r>
              <w:t>Cth</w:t>
            </w:r>
            <w:proofErr w:type="spellEnd"/>
          </w:p>
        </w:tc>
      </w:tr>
      <w:tr w:rsidR="00DB2ED9" w:rsidRPr="00030C67" w14:paraId="3B70014B" w14:textId="77777777">
        <w:tc>
          <w:tcPr>
            <w:tcW w:w="426" w:type="dxa"/>
            <w:tcBorders>
              <w:top w:val="nil"/>
              <w:bottom w:val="nil"/>
            </w:tcBorders>
            <w:shd w:val="clear" w:color="auto" w:fill="auto"/>
          </w:tcPr>
          <w:p w14:paraId="1DCA8445" w14:textId="77777777" w:rsidR="00DB2ED9" w:rsidRPr="00A21E4E" w:rsidRDefault="00DB2ED9">
            <w:pPr>
              <w:pStyle w:val="TableBodyHeading"/>
            </w:pPr>
            <w:r w:rsidRPr="00A21E4E">
              <w:t>NZ</w:t>
            </w:r>
            <w:r>
              <w:t>3</w:t>
            </w:r>
          </w:p>
        </w:tc>
        <w:tc>
          <w:tcPr>
            <w:tcW w:w="1701" w:type="dxa"/>
            <w:tcBorders>
              <w:top w:val="nil"/>
              <w:bottom w:val="nil"/>
            </w:tcBorders>
            <w:shd w:val="clear" w:color="auto" w:fill="auto"/>
          </w:tcPr>
          <w:p w14:paraId="7D410C40" w14:textId="77777777" w:rsidR="00DB2ED9" w:rsidRPr="00611CB4" w:rsidRDefault="00DB2ED9">
            <w:pPr>
              <w:pStyle w:val="TableBody"/>
            </w:pPr>
            <w:r>
              <w:t>Heavy EVs</w:t>
            </w:r>
          </w:p>
        </w:tc>
        <w:tc>
          <w:tcPr>
            <w:tcW w:w="6945" w:type="dxa"/>
            <w:tcBorders>
              <w:top w:val="nil"/>
              <w:bottom w:val="nil"/>
            </w:tcBorders>
            <w:shd w:val="clear" w:color="auto" w:fill="auto"/>
          </w:tcPr>
          <w:p w14:paraId="437FF480" w14:textId="77777777" w:rsidR="00DB2ED9" w:rsidRPr="00611CB4" w:rsidRDefault="00DB2ED9">
            <w:pPr>
              <w:pStyle w:val="TableBody"/>
            </w:pPr>
            <w:r>
              <w:t>Address restrictions on parallel imports and restrictions imposed by Heavy Vehicle National Law and Australian Design Rules.</w:t>
            </w:r>
          </w:p>
        </w:tc>
        <w:tc>
          <w:tcPr>
            <w:tcW w:w="567" w:type="dxa"/>
            <w:tcBorders>
              <w:top w:val="nil"/>
              <w:bottom w:val="nil"/>
            </w:tcBorders>
          </w:tcPr>
          <w:p w14:paraId="1ED3B914" w14:textId="77777777" w:rsidR="00DB2ED9" w:rsidRDefault="00DB2ED9">
            <w:pPr>
              <w:pStyle w:val="TableBody"/>
            </w:pPr>
            <w:proofErr w:type="spellStart"/>
            <w:r>
              <w:t>Cth</w:t>
            </w:r>
            <w:proofErr w:type="spellEnd"/>
          </w:p>
        </w:tc>
      </w:tr>
      <w:tr w:rsidR="00DB2ED9" w:rsidRPr="00030C67" w14:paraId="43802700" w14:textId="77777777">
        <w:tc>
          <w:tcPr>
            <w:tcW w:w="426" w:type="dxa"/>
            <w:tcBorders>
              <w:top w:val="nil"/>
              <w:bottom w:val="nil"/>
            </w:tcBorders>
            <w:shd w:val="clear" w:color="auto" w:fill="F2F2F2" w:themeFill="background1" w:themeFillShade="F2"/>
          </w:tcPr>
          <w:p w14:paraId="52EE6998" w14:textId="77777777" w:rsidR="00DB2ED9" w:rsidRPr="00A21E4E" w:rsidRDefault="00DB2ED9">
            <w:pPr>
              <w:pStyle w:val="TableBodyHeading"/>
            </w:pPr>
            <w:r w:rsidRPr="00A21E4E">
              <w:t>NZ</w:t>
            </w:r>
            <w:r>
              <w:t>4</w:t>
            </w:r>
          </w:p>
        </w:tc>
        <w:tc>
          <w:tcPr>
            <w:tcW w:w="1701" w:type="dxa"/>
            <w:tcBorders>
              <w:top w:val="nil"/>
              <w:bottom w:val="nil"/>
            </w:tcBorders>
            <w:shd w:val="clear" w:color="auto" w:fill="F2F2F2" w:themeFill="background1" w:themeFillShade="F2"/>
          </w:tcPr>
          <w:p w14:paraId="1F55D3C6" w14:textId="77777777" w:rsidR="00DB2ED9" w:rsidRPr="00611CB4" w:rsidRDefault="00DB2ED9">
            <w:pPr>
              <w:pStyle w:val="TableBody"/>
            </w:pPr>
            <w:r>
              <w:t xml:space="preserve">EV charging </w:t>
            </w:r>
          </w:p>
        </w:tc>
        <w:tc>
          <w:tcPr>
            <w:tcW w:w="6945" w:type="dxa"/>
            <w:tcBorders>
              <w:top w:val="nil"/>
              <w:bottom w:val="nil"/>
            </w:tcBorders>
            <w:shd w:val="clear" w:color="auto" w:fill="F2F2F2" w:themeFill="background1" w:themeFillShade="F2"/>
          </w:tcPr>
          <w:p w14:paraId="3AAA0774" w14:textId="77777777" w:rsidR="00DB2ED9" w:rsidRPr="00611CB4" w:rsidRDefault="00DB2ED9">
            <w:pPr>
              <w:pStyle w:val="TableBody"/>
            </w:pPr>
            <w:r>
              <w:t>Select a standard or monitor for the emergence of a common international standard.</w:t>
            </w:r>
          </w:p>
        </w:tc>
        <w:tc>
          <w:tcPr>
            <w:tcW w:w="567" w:type="dxa"/>
            <w:tcBorders>
              <w:top w:val="nil"/>
              <w:bottom w:val="nil"/>
            </w:tcBorders>
            <w:shd w:val="clear" w:color="auto" w:fill="F2F2F2" w:themeFill="background1" w:themeFillShade="F2"/>
          </w:tcPr>
          <w:p w14:paraId="27ECD3A5" w14:textId="77777777" w:rsidR="00DB2ED9" w:rsidRDefault="00DB2ED9">
            <w:pPr>
              <w:pStyle w:val="TableBody"/>
            </w:pPr>
            <w:proofErr w:type="spellStart"/>
            <w:r>
              <w:t>Cth</w:t>
            </w:r>
            <w:proofErr w:type="spellEnd"/>
          </w:p>
        </w:tc>
      </w:tr>
      <w:tr w:rsidR="00DB2ED9" w:rsidRPr="00030C67" w14:paraId="6F9D1D26" w14:textId="77777777">
        <w:tc>
          <w:tcPr>
            <w:tcW w:w="426" w:type="dxa"/>
            <w:tcBorders>
              <w:top w:val="nil"/>
              <w:bottom w:val="nil"/>
            </w:tcBorders>
            <w:shd w:val="clear" w:color="auto" w:fill="auto"/>
          </w:tcPr>
          <w:p w14:paraId="2664FE79" w14:textId="77777777" w:rsidR="00DB2ED9" w:rsidRPr="00A21E4E" w:rsidRDefault="00DB2ED9">
            <w:pPr>
              <w:pStyle w:val="TableBodyHeading"/>
            </w:pPr>
            <w:r w:rsidRPr="00A21E4E">
              <w:t>NZ</w:t>
            </w:r>
            <w:r>
              <w:t>5</w:t>
            </w:r>
          </w:p>
        </w:tc>
        <w:tc>
          <w:tcPr>
            <w:tcW w:w="1701" w:type="dxa"/>
            <w:tcBorders>
              <w:top w:val="nil"/>
              <w:bottom w:val="nil"/>
            </w:tcBorders>
            <w:shd w:val="clear" w:color="auto" w:fill="auto"/>
          </w:tcPr>
          <w:p w14:paraId="0B8328C6" w14:textId="77777777" w:rsidR="00DB2ED9" w:rsidRPr="00611CB4" w:rsidRDefault="00DB2ED9">
            <w:pPr>
              <w:pStyle w:val="TableBody"/>
            </w:pPr>
            <w:r>
              <w:t>EV imports</w:t>
            </w:r>
          </w:p>
        </w:tc>
        <w:tc>
          <w:tcPr>
            <w:tcW w:w="6945" w:type="dxa"/>
            <w:tcBorders>
              <w:top w:val="nil"/>
              <w:bottom w:val="nil"/>
            </w:tcBorders>
            <w:shd w:val="clear" w:color="auto" w:fill="auto"/>
          </w:tcPr>
          <w:p w14:paraId="41BFEBFA" w14:textId="77777777" w:rsidR="00DB2ED9" w:rsidRDefault="00DB2ED9">
            <w:pPr>
              <w:pStyle w:val="TableBody"/>
            </w:pPr>
            <w:r>
              <w:t>Remove restrictions on parallel imports and those imposed by Australian Design Rules.</w:t>
            </w:r>
          </w:p>
          <w:p w14:paraId="7ACCAA90" w14:textId="77777777" w:rsidR="00DB2ED9" w:rsidRPr="00611CB4" w:rsidRDefault="00DB2ED9">
            <w:pPr>
              <w:pStyle w:val="TableBody"/>
            </w:pPr>
          </w:p>
        </w:tc>
        <w:tc>
          <w:tcPr>
            <w:tcW w:w="567" w:type="dxa"/>
            <w:tcBorders>
              <w:top w:val="nil"/>
              <w:bottom w:val="nil"/>
            </w:tcBorders>
          </w:tcPr>
          <w:p w14:paraId="18B840DD" w14:textId="77777777" w:rsidR="00DB2ED9" w:rsidRDefault="00DB2ED9">
            <w:pPr>
              <w:pStyle w:val="TableBody"/>
            </w:pPr>
            <w:proofErr w:type="spellStart"/>
            <w:r>
              <w:t>Cth</w:t>
            </w:r>
            <w:proofErr w:type="spellEnd"/>
          </w:p>
        </w:tc>
      </w:tr>
      <w:tr w:rsidR="00DB2ED9" w:rsidRPr="00030C67" w14:paraId="1FA4D7B7" w14:textId="77777777">
        <w:tc>
          <w:tcPr>
            <w:tcW w:w="2127" w:type="dxa"/>
            <w:gridSpan w:val="2"/>
            <w:tcBorders>
              <w:top w:val="nil"/>
              <w:bottom w:val="nil"/>
            </w:tcBorders>
            <w:shd w:val="clear" w:color="auto" w:fill="CBDDF2" w:themeFill="background2" w:themeFillTint="33"/>
          </w:tcPr>
          <w:p w14:paraId="797423DA" w14:textId="77777777" w:rsidR="00DB2ED9" w:rsidRDefault="00DB2ED9">
            <w:pPr>
              <w:pStyle w:val="TableBodyHeading"/>
            </w:pPr>
            <w:r>
              <w:lastRenderedPageBreak/>
              <w:t>Labour mobility</w:t>
            </w:r>
          </w:p>
        </w:tc>
        <w:tc>
          <w:tcPr>
            <w:tcW w:w="6945" w:type="dxa"/>
            <w:tcBorders>
              <w:top w:val="nil"/>
              <w:bottom w:val="nil"/>
            </w:tcBorders>
            <w:shd w:val="clear" w:color="auto" w:fill="CBDDF2" w:themeFill="background2" w:themeFillTint="33"/>
          </w:tcPr>
          <w:p w14:paraId="77905582" w14:textId="77777777" w:rsidR="00DB2ED9" w:rsidRDefault="00DB2ED9">
            <w:pPr>
              <w:pStyle w:val="TableBodyHeading"/>
            </w:pPr>
          </w:p>
        </w:tc>
        <w:tc>
          <w:tcPr>
            <w:tcW w:w="567" w:type="dxa"/>
            <w:tcBorders>
              <w:top w:val="nil"/>
              <w:bottom w:val="nil"/>
            </w:tcBorders>
            <w:shd w:val="clear" w:color="auto" w:fill="CBDDF2" w:themeFill="background2" w:themeFillTint="33"/>
          </w:tcPr>
          <w:p w14:paraId="772D4B0B" w14:textId="77777777" w:rsidR="00DB2ED9" w:rsidRDefault="00DB2ED9">
            <w:pPr>
              <w:pStyle w:val="TableBodyHeading"/>
            </w:pPr>
          </w:p>
        </w:tc>
      </w:tr>
      <w:tr w:rsidR="00DB2ED9" w:rsidRPr="00030C67" w14:paraId="1BB9656F" w14:textId="77777777">
        <w:tc>
          <w:tcPr>
            <w:tcW w:w="426" w:type="dxa"/>
            <w:tcBorders>
              <w:top w:val="nil"/>
              <w:bottom w:val="nil"/>
            </w:tcBorders>
            <w:shd w:val="clear" w:color="auto" w:fill="auto"/>
          </w:tcPr>
          <w:p w14:paraId="11F43E8E" w14:textId="77777777" w:rsidR="00DB2ED9" w:rsidRPr="00A21E4E" w:rsidRDefault="00DB2ED9">
            <w:pPr>
              <w:pStyle w:val="TableBodyHeading"/>
            </w:pPr>
            <w:r>
              <w:t>L1</w:t>
            </w:r>
          </w:p>
        </w:tc>
        <w:tc>
          <w:tcPr>
            <w:tcW w:w="1701" w:type="dxa"/>
            <w:tcBorders>
              <w:top w:val="nil"/>
              <w:bottom w:val="nil"/>
            </w:tcBorders>
            <w:shd w:val="clear" w:color="auto" w:fill="auto"/>
          </w:tcPr>
          <w:p w14:paraId="62109477" w14:textId="77777777" w:rsidR="00DB2ED9" w:rsidRPr="00611CB4" w:rsidRDefault="00DB2ED9">
            <w:pPr>
              <w:pStyle w:val="TableBody"/>
            </w:pPr>
            <w:r>
              <w:t>Restraint of trade clauses</w:t>
            </w:r>
          </w:p>
        </w:tc>
        <w:tc>
          <w:tcPr>
            <w:tcW w:w="6945" w:type="dxa"/>
            <w:tcBorders>
              <w:top w:val="nil"/>
              <w:bottom w:val="nil"/>
            </w:tcBorders>
            <w:shd w:val="clear" w:color="auto" w:fill="auto"/>
          </w:tcPr>
          <w:p w14:paraId="311C92FD" w14:textId="77777777" w:rsidR="00DB2ED9" w:rsidRPr="00611CB4" w:rsidRDefault="00DB2ED9">
            <w:pPr>
              <w:pStyle w:val="TableBody"/>
            </w:pPr>
            <w:r>
              <w:t>Consider implementation options, with a focus on identifying policy options that are capable of targeting unnecessary (as opposed to all) non</w:t>
            </w:r>
            <w:r>
              <w:noBreakHyphen/>
              <w:t>compete clauses.</w:t>
            </w:r>
          </w:p>
        </w:tc>
        <w:tc>
          <w:tcPr>
            <w:tcW w:w="567" w:type="dxa"/>
            <w:tcBorders>
              <w:top w:val="nil"/>
              <w:bottom w:val="nil"/>
            </w:tcBorders>
          </w:tcPr>
          <w:p w14:paraId="303FD41F" w14:textId="77777777" w:rsidR="00DB2ED9" w:rsidRDefault="00DB2ED9">
            <w:pPr>
              <w:pStyle w:val="TableBody"/>
            </w:pPr>
            <w:proofErr w:type="spellStart"/>
            <w:r>
              <w:t>Cth</w:t>
            </w:r>
            <w:proofErr w:type="spellEnd"/>
          </w:p>
        </w:tc>
      </w:tr>
      <w:tr w:rsidR="00DB2ED9" w:rsidRPr="00030C67" w14:paraId="68A3E107" w14:textId="77777777">
        <w:tc>
          <w:tcPr>
            <w:tcW w:w="426" w:type="dxa"/>
            <w:tcBorders>
              <w:top w:val="nil"/>
              <w:bottom w:val="nil"/>
            </w:tcBorders>
            <w:shd w:val="clear" w:color="auto" w:fill="F2F2F2" w:themeFill="background1" w:themeFillShade="F2"/>
          </w:tcPr>
          <w:p w14:paraId="32750155" w14:textId="77777777" w:rsidR="00DB2ED9" w:rsidRPr="00CB22FE" w:rsidRDefault="00DB2ED9">
            <w:pPr>
              <w:pStyle w:val="TableBodyHeading"/>
            </w:pPr>
            <w:r>
              <w:t>L2</w:t>
            </w:r>
          </w:p>
        </w:tc>
        <w:tc>
          <w:tcPr>
            <w:tcW w:w="1701" w:type="dxa"/>
            <w:tcBorders>
              <w:top w:val="nil"/>
              <w:bottom w:val="nil"/>
            </w:tcBorders>
            <w:shd w:val="clear" w:color="auto" w:fill="F2F2F2" w:themeFill="background1" w:themeFillShade="F2"/>
          </w:tcPr>
          <w:p w14:paraId="4DC0E196" w14:textId="77777777" w:rsidR="00DB2ED9" w:rsidRPr="00611CB4" w:rsidRDefault="00DB2ED9">
            <w:pPr>
              <w:pStyle w:val="TableBody"/>
            </w:pPr>
            <w:r>
              <w:t>O</w:t>
            </w:r>
            <w:r w:rsidRPr="0088052A">
              <w:t>ccupational licensing</w:t>
            </w:r>
          </w:p>
        </w:tc>
        <w:tc>
          <w:tcPr>
            <w:tcW w:w="6945" w:type="dxa"/>
            <w:tcBorders>
              <w:top w:val="nil"/>
              <w:bottom w:val="nil"/>
            </w:tcBorders>
            <w:shd w:val="clear" w:color="auto" w:fill="F2F2F2" w:themeFill="background1" w:themeFillShade="F2"/>
          </w:tcPr>
          <w:p w14:paraId="7B9B0ACF" w14:textId="77777777" w:rsidR="00DB2ED9" w:rsidRDefault="00DB2ED9">
            <w:pPr>
              <w:pStyle w:val="TableBody"/>
            </w:pPr>
            <w:r>
              <w:t>Identify areas where licensing requirements can be removed or streamlined.</w:t>
            </w:r>
          </w:p>
          <w:p w14:paraId="05FAA6CE" w14:textId="77777777" w:rsidR="00DB2ED9" w:rsidRDefault="00DB2ED9">
            <w:pPr>
              <w:pStyle w:val="TableBody"/>
            </w:pPr>
            <w:r>
              <w:t>Review progress in implementing automatic mutual recognition.</w:t>
            </w:r>
          </w:p>
          <w:p w14:paraId="7BDDED32" w14:textId="77777777" w:rsidR="00DB2ED9" w:rsidRPr="00611CB4" w:rsidRDefault="00DB2ED9">
            <w:pPr>
              <w:pStyle w:val="TableBody"/>
            </w:pPr>
            <w:r>
              <w:t>Identify occupations where conflicts of interests are affecting licensing decisions.</w:t>
            </w:r>
          </w:p>
        </w:tc>
        <w:tc>
          <w:tcPr>
            <w:tcW w:w="567" w:type="dxa"/>
            <w:tcBorders>
              <w:top w:val="nil"/>
              <w:bottom w:val="nil"/>
            </w:tcBorders>
            <w:shd w:val="clear" w:color="auto" w:fill="F2F2F2" w:themeFill="background1" w:themeFillShade="F2"/>
          </w:tcPr>
          <w:p w14:paraId="0BE1987E" w14:textId="77777777" w:rsidR="00DB2ED9" w:rsidRDefault="00DB2ED9">
            <w:pPr>
              <w:pStyle w:val="TableBody"/>
            </w:pPr>
            <w:r>
              <w:t>All</w:t>
            </w:r>
          </w:p>
        </w:tc>
      </w:tr>
      <w:tr w:rsidR="00DB2ED9" w:rsidRPr="00030C67" w14:paraId="1384993D" w14:textId="77777777">
        <w:tc>
          <w:tcPr>
            <w:tcW w:w="2127" w:type="dxa"/>
            <w:gridSpan w:val="2"/>
            <w:tcBorders>
              <w:top w:val="nil"/>
              <w:bottom w:val="nil"/>
            </w:tcBorders>
            <w:shd w:val="clear" w:color="auto" w:fill="CBDDF2" w:themeFill="background2" w:themeFillTint="33"/>
          </w:tcPr>
          <w:p w14:paraId="71FCBFC7" w14:textId="77777777" w:rsidR="00DB2ED9" w:rsidRDefault="00DB2ED9">
            <w:pPr>
              <w:pStyle w:val="TableBodyHeading"/>
            </w:pPr>
            <w:r>
              <w:t xml:space="preserve">Human services </w:t>
            </w:r>
          </w:p>
        </w:tc>
        <w:tc>
          <w:tcPr>
            <w:tcW w:w="6945" w:type="dxa"/>
            <w:tcBorders>
              <w:top w:val="nil"/>
              <w:bottom w:val="nil"/>
            </w:tcBorders>
            <w:shd w:val="clear" w:color="auto" w:fill="CBDDF2" w:themeFill="background2" w:themeFillTint="33"/>
          </w:tcPr>
          <w:p w14:paraId="08562743" w14:textId="77777777" w:rsidR="00DB2ED9" w:rsidRDefault="00DB2ED9">
            <w:pPr>
              <w:pStyle w:val="TableBody"/>
            </w:pPr>
          </w:p>
        </w:tc>
        <w:tc>
          <w:tcPr>
            <w:tcW w:w="567" w:type="dxa"/>
            <w:tcBorders>
              <w:top w:val="nil"/>
              <w:bottom w:val="nil"/>
            </w:tcBorders>
            <w:shd w:val="clear" w:color="auto" w:fill="CBDDF2" w:themeFill="background2" w:themeFillTint="33"/>
          </w:tcPr>
          <w:p w14:paraId="6C2CF374" w14:textId="77777777" w:rsidR="00DB2ED9" w:rsidRDefault="00DB2ED9">
            <w:pPr>
              <w:pStyle w:val="TableBody"/>
            </w:pPr>
          </w:p>
        </w:tc>
      </w:tr>
      <w:tr w:rsidR="00DB2ED9" w:rsidRPr="00030C67" w14:paraId="7F772A96" w14:textId="77777777">
        <w:tc>
          <w:tcPr>
            <w:tcW w:w="426" w:type="dxa"/>
            <w:tcBorders>
              <w:top w:val="nil"/>
              <w:bottom w:val="nil"/>
            </w:tcBorders>
            <w:shd w:val="clear" w:color="auto" w:fill="F2F2F2" w:themeFill="background1" w:themeFillShade="F2"/>
          </w:tcPr>
          <w:p w14:paraId="60F76272" w14:textId="77777777" w:rsidR="00DB2ED9" w:rsidRPr="00A21E4E" w:rsidRDefault="00DB2ED9">
            <w:pPr>
              <w:pStyle w:val="TableBodyHeading"/>
            </w:pPr>
            <w:r>
              <w:t>H1</w:t>
            </w:r>
          </w:p>
        </w:tc>
        <w:tc>
          <w:tcPr>
            <w:tcW w:w="1701" w:type="dxa"/>
            <w:tcBorders>
              <w:top w:val="nil"/>
              <w:bottom w:val="nil"/>
            </w:tcBorders>
            <w:shd w:val="clear" w:color="auto" w:fill="F2F2F2" w:themeFill="background1" w:themeFillShade="F2"/>
          </w:tcPr>
          <w:p w14:paraId="0D888C7A" w14:textId="77777777" w:rsidR="00DB2ED9" w:rsidRPr="00611CB4" w:rsidRDefault="00DB2ED9">
            <w:pPr>
              <w:pStyle w:val="TableBody"/>
            </w:pPr>
            <w:r>
              <w:t xml:space="preserve">Matching </w:t>
            </w:r>
          </w:p>
        </w:tc>
        <w:tc>
          <w:tcPr>
            <w:tcW w:w="6945" w:type="dxa"/>
            <w:tcBorders>
              <w:top w:val="nil"/>
              <w:bottom w:val="nil"/>
            </w:tcBorders>
            <w:shd w:val="clear" w:color="auto" w:fill="F2F2F2" w:themeFill="background1" w:themeFillShade="F2"/>
          </w:tcPr>
          <w:p w14:paraId="4A81EEB9" w14:textId="77777777" w:rsidR="00DB2ED9" w:rsidRPr="00611CB4" w:rsidRDefault="00DB2ED9">
            <w:pPr>
              <w:pStyle w:val="TableBody"/>
            </w:pPr>
            <w:r>
              <w:t>Scope policy options, with a focus on identifying options that are effective and do not create perverse incentives.</w:t>
            </w:r>
          </w:p>
        </w:tc>
        <w:tc>
          <w:tcPr>
            <w:tcW w:w="567" w:type="dxa"/>
            <w:tcBorders>
              <w:top w:val="nil"/>
              <w:bottom w:val="nil"/>
            </w:tcBorders>
            <w:shd w:val="clear" w:color="auto" w:fill="F2F2F2" w:themeFill="background1" w:themeFillShade="F2"/>
          </w:tcPr>
          <w:p w14:paraId="75B01734" w14:textId="77777777" w:rsidR="00DB2ED9" w:rsidRDefault="00DB2ED9">
            <w:pPr>
              <w:pStyle w:val="TableBody"/>
            </w:pPr>
            <w:r>
              <w:t>All</w:t>
            </w:r>
          </w:p>
        </w:tc>
      </w:tr>
      <w:tr w:rsidR="00DB2ED9" w:rsidRPr="00030C67" w14:paraId="5CD8AF2E" w14:textId="77777777">
        <w:tc>
          <w:tcPr>
            <w:tcW w:w="426" w:type="dxa"/>
            <w:tcBorders>
              <w:top w:val="nil"/>
              <w:bottom w:val="nil"/>
            </w:tcBorders>
            <w:shd w:val="clear" w:color="auto" w:fill="auto"/>
          </w:tcPr>
          <w:p w14:paraId="19A9B0B5" w14:textId="77777777" w:rsidR="00DB2ED9" w:rsidRPr="00A21E4E" w:rsidRDefault="00DB2ED9">
            <w:pPr>
              <w:pStyle w:val="TableBodyHeading"/>
            </w:pPr>
            <w:r>
              <w:t>H2</w:t>
            </w:r>
          </w:p>
        </w:tc>
        <w:tc>
          <w:tcPr>
            <w:tcW w:w="1701" w:type="dxa"/>
            <w:tcBorders>
              <w:top w:val="nil"/>
              <w:bottom w:val="nil"/>
            </w:tcBorders>
            <w:shd w:val="clear" w:color="auto" w:fill="auto"/>
          </w:tcPr>
          <w:p w14:paraId="1DECDF1B" w14:textId="77777777" w:rsidR="00DB2ED9" w:rsidRPr="00611CB4" w:rsidRDefault="00DB2ED9">
            <w:pPr>
              <w:pStyle w:val="TableBody"/>
            </w:pPr>
            <w:r>
              <w:t>Labour mobility</w:t>
            </w:r>
          </w:p>
        </w:tc>
        <w:tc>
          <w:tcPr>
            <w:tcW w:w="6945" w:type="dxa"/>
            <w:tcBorders>
              <w:top w:val="nil"/>
              <w:bottom w:val="nil"/>
            </w:tcBorders>
            <w:shd w:val="clear" w:color="auto" w:fill="auto"/>
          </w:tcPr>
          <w:p w14:paraId="2337D000" w14:textId="3ECEA2B0" w:rsidR="00DB2ED9" w:rsidRPr="00611CB4" w:rsidRDefault="00DB2ED9">
            <w:pPr>
              <w:pStyle w:val="TableBody"/>
            </w:pPr>
            <w:r>
              <w:t xml:space="preserve">Scope policy options and consider findings from the Scope of Practice review </w:t>
            </w:r>
            <w:r w:rsidR="00442DC5" w:rsidRPr="00442DC5">
              <w:rPr>
                <w:rFonts w:ascii="Arial" w:hAnsi="Arial" w:cs="Arial"/>
              </w:rPr>
              <w:t>(Cormack 2024c)</w:t>
            </w:r>
            <w:r>
              <w:t xml:space="preserve">, starting with options to expand scope of practice. </w:t>
            </w:r>
          </w:p>
        </w:tc>
        <w:tc>
          <w:tcPr>
            <w:tcW w:w="567" w:type="dxa"/>
            <w:tcBorders>
              <w:top w:val="nil"/>
              <w:bottom w:val="nil"/>
            </w:tcBorders>
          </w:tcPr>
          <w:p w14:paraId="2F334487" w14:textId="77777777" w:rsidR="00DB2ED9" w:rsidRDefault="00DB2ED9">
            <w:pPr>
              <w:pStyle w:val="TableBody"/>
            </w:pPr>
            <w:r>
              <w:t>All</w:t>
            </w:r>
          </w:p>
        </w:tc>
      </w:tr>
      <w:tr w:rsidR="00DB2ED9" w:rsidRPr="00030C67" w14:paraId="4CB9151A" w14:textId="77777777">
        <w:tc>
          <w:tcPr>
            <w:tcW w:w="426" w:type="dxa"/>
            <w:tcBorders>
              <w:top w:val="nil"/>
              <w:bottom w:val="nil"/>
            </w:tcBorders>
            <w:shd w:val="clear" w:color="auto" w:fill="F2F2F2" w:themeFill="background1" w:themeFillShade="F2"/>
          </w:tcPr>
          <w:p w14:paraId="7FC56421" w14:textId="77777777" w:rsidR="00DB2ED9" w:rsidRPr="00A21E4E" w:rsidRDefault="00DB2ED9">
            <w:pPr>
              <w:pStyle w:val="TableBodyHeading"/>
            </w:pPr>
            <w:r>
              <w:t>H3</w:t>
            </w:r>
          </w:p>
        </w:tc>
        <w:tc>
          <w:tcPr>
            <w:tcW w:w="1701" w:type="dxa"/>
            <w:tcBorders>
              <w:top w:val="nil"/>
              <w:bottom w:val="nil"/>
            </w:tcBorders>
            <w:shd w:val="clear" w:color="auto" w:fill="F2F2F2" w:themeFill="background1" w:themeFillShade="F2"/>
          </w:tcPr>
          <w:p w14:paraId="529F3FD2" w14:textId="77777777" w:rsidR="00DB2ED9" w:rsidRPr="00611CB4" w:rsidRDefault="00DB2ED9">
            <w:pPr>
              <w:pStyle w:val="TableBody"/>
            </w:pPr>
            <w:r>
              <w:t>Access arrangements</w:t>
            </w:r>
          </w:p>
        </w:tc>
        <w:tc>
          <w:tcPr>
            <w:tcW w:w="6945" w:type="dxa"/>
            <w:tcBorders>
              <w:top w:val="nil"/>
              <w:bottom w:val="nil"/>
            </w:tcBorders>
            <w:shd w:val="clear" w:color="auto" w:fill="F2F2F2" w:themeFill="background1" w:themeFillShade="F2"/>
          </w:tcPr>
          <w:p w14:paraId="4260429E" w14:textId="77777777" w:rsidR="00DB2ED9" w:rsidRPr="00611CB4" w:rsidRDefault="00DB2ED9">
            <w:pPr>
              <w:pStyle w:val="TableBody"/>
            </w:pPr>
            <w:r>
              <w:t xml:space="preserve">Scope policy options, </w:t>
            </w:r>
            <w:proofErr w:type="gramStart"/>
            <w:r>
              <w:t>taking into account</w:t>
            </w:r>
            <w:proofErr w:type="gramEnd"/>
            <w:r>
              <w:t xml:space="preserve"> cost of implementation and consider evidence from existing and further trials. </w:t>
            </w:r>
          </w:p>
        </w:tc>
        <w:tc>
          <w:tcPr>
            <w:tcW w:w="567" w:type="dxa"/>
            <w:tcBorders>
              <w:top w:val="nil"/>
              <w:bottom w:val="nil"/>
            </w:tcBorders>
            <w:shd w:val="clear" w:color="auto" w:fill="F2F2F2" w:themeFill="background1" w:themeFillShade="F2"/>
          </w:tcPr>
          <w:p w14:paraId="01E86D63" w14:textId="77777777" w:rsidR="00DB2ED9" w:rsidRDefault="00DB2ED9">
            <w:pPr>
              <w:pStyle w:val="TableBody"/>
            </w:pPr>
            <w:r>
              <w:t>All</w:t>
            </w:r>
          </w:p>
        </w:tc>
      </w:tr>
      <w:tr w:rsidR="00DB2ED9" w:rsidRPr="00030C67" w14:paraId="6DD3302C" w14:textId="77777777">
        <w:tc>
          <w:tcPr>
            <w:tcW w:w="426" w:type="dxa"/>
            <w:tcBorders>
              <w:top w:val="nil"/>
              <w:bottom w:val="nil"/>
            </w:tcBorders>
            <w:shd w:val="clear" w:color="auto" w:fill="auto"/>
          </w:tcPr>
          <w:p w14:paraId="736B71BE" w14:textId="77777777" w:rsidR="00DB2ED9" w:rsidRPr="00A21E4E" w:rsidRDefault="00DB2ED9">
            <w:pPr>
              <w:pStyle w:val="TableBodyHeading"/>
            </w:pPr>
            <w:r>
              <w:t>H4</w:t>
            </w:r>
          </w:p>
        </w:tc>
        <w:tc>
          <w:tcPr>
            <w:tcW w:w="1701" w:type="dxa"/>
            <w:tcBorders>
              <w:top w:val="nil"/>
              <w:bottom w:val="nil"/>
            </w:tcBorders>
            <w:shd w:val="clear" w:color="auto" w:fill="auto"/>
          </w:tcPr>
          <w:p w14:paraId="7BF77B0F" w14:textId="77777777" w:rsidR="00DB2ED9" w:rsidRPr="00611CB4" w:rsidRDefault="00DB2ED9">
            <w:pPr>
              <w:pStyle w:val="TableBody"/>
            </w:pPr>
            <w:r>
              <w:t>Medicine pricing</w:t>
            </w:r>
          </w:p>
        </w:tc>
        <w:tc>
          <w:tcPr>
            <w:tcW w:w="6945" w:type="dxa"/>
            <w:tcBorders>
              <w:top w:val="nil"/>
              <w:bottom w:val="nil"/>
            </w:tcBorders>
            <w:shd w:val="clear" w:color="auto" w:fill="auto"/>
          </w:tcPr>
          <w:p w14:paraId="6038E429" w14:textId="77777777" w:rsidR="00DB2ED9" w:rsidRPr="00611CB4" w:rsidRDefault="00DB2ED9">
            <w:pPr>
              <w:pStyle w:val="TableBody"/>
            </w:pPr>
            <w:r>
              <w:t>Consider implementation options using evidence from overseas.</w:t>
            </w:r>
          </w:p>
        </w:tc>
        <w:tc>
          <w:tcPr>
            <w:tcW w:w="567" w:type="dxa"/>
            <w:tcBorders>
              <w:top w:val="nil"/>
              <w:bottom w:val="nil"/>
            </w:tcBorders>
          </w:tcPr>
          <w:p w14:paraId="0195E086" w14:textId="77777777" w:rsidR="00DB2ED9" w:rsidRDefault="00DB2ED9">
            <w:pPr>
              <w:pStyle w:val="TableBody"/>
            </w:pPr>
            <w:proofErr w:type="spellStart"/>
            <w:r>
              <w:t>Cth</w:t>
            </w:r>
            <w:proofErr w:type="spellEnd"/>
          </w:p>
        </w:tc>
      </w:tr>
      <w:tr w:rsidR="00DB2ED9" w:rsidRPr="00030C67" w14:paraId="50780874" w14:textId="77777777">
        <w:tc>
          <w:tcPr>
            <w:tcW w:w="426" w:type="dxa"/>
            <w:tcBorders>
              <w:top w:val="nil"/>
              <w:bottom w:val="nil"/>
            </w:tcBorders>
            <w:shd w:val="clear" w:color="auto" w:fill="F2F2F2" w:themeFill="background1" w:themeFillShade="F2"/>
          </w:tcPr>
          <w:p w14:paraId="59EBEA5D" w14:textId="77777777" w:rsidR="00DB2ED9" w:rsidRPr="00A21E4E" w:rsidRDefault="00DB2ED9">
            <w:pPr>
              <w:pStyle w:val="TableBodyHeading"/>
            </w:pPr>
            <w:r>
              <w:t>H5</w:t>
            </w:r>
          </w:p>
        </w:tc>
        <w:tc>
          <w:tcPr>
            <w:tcW w:w="1701" w:type="dxa"/>
            <w:tcBorders>
              <w:top w:val="nil"/>
              <w:bottom w:val="nil"/>
            </w:tcBorders>
            <w:shd w:val="clear" w:color="auto" w:fill="F2F2F2" w:themeFill="background1" w:themeFillShade="F2"/>
          </w:tcPr>
          <w:p w14:paraId="4A8AEA32" w14:textId="77777777" w:rsidR="00DB2ED9" w:rsidRPr="00611CB4" w:rsidRDefault="00DB2ED9">
            <w:pPr>
              <w:pStyle w:val="TableBody"/>
            </w:pPr>
            <w:r>
              <w:t>Telehealth</w:t>
            </w:r>
          </w:p>
        </w:tc>
        <w:tc>
          <w:tcPr>
            <w:tcW w:w="6945" w:type="dxa"/>
            <w:tcBorders>
              <w:top w:val="nil"/>
              <w:bottom w:val="nil"/>
            </w:tcBorders>
            <w:shd w:val="clear" w:color="auto" w:fill="F2F2F2" w:themeFill="background1" w:themeFillShade="F2"/>
          </w:tcPr>
          <w:p w14:paraId="4E475608" w14:textId="77777777" w:rsidR="00DB2ED9" w:rsidRPr="00611CB4" w:rsidRDefault="00DB2ED9">
            <w:pPr>
              <w:pStyle w:val="TableBody"/>
            </w:pPr>
            <w:r>
              <w:t>Consider expediting the development of standards for virtual care and an associated accreditation scheme.</w:t>
            </w:r>
          </w:p>
        </w:tc>
        <w:tc>
          <w:tcPr>
            <w:tcW w:w="567" w:type="dxa"/>
            <w:tcBorders>
              <w:top w:val="nil"/>
              <w:bottom w:val="nil"/>
            </w:tcBorders>
            <w:shd w:val="clear" w:color="auto" w:fill="F2F2F2" w:themeFill="background1" w:themeFillShade="F2"/>
          </w:tcPr>
          <w:p w14:paraId="21BC50E4" w14:textId="77777777" w:rsidR="00DB2ED9" w:rsidRDefault="00DB2ED9">
            <w:pPr>
              <w:pStyle w:val="TableBody"/>
            </w:pPr>
            <w:proofErr w:type="spellStart"/>
            <w:r>
              <w:t>Cth</w:t>
            </w:r>
            <w:proofErr w:type="spellEnd"/>
          </w:p>
        </w:tc>
      </w:tr>
      <w:tr w:rsidR="00DB2ED9" w:rsidRPr="00030C67" w14:paraId="5D24DA28" w14:textId="77777777">
        <w:tc>
          <w:tcPr>
            <w:tcW w:w="2127" w:type="dxa"/>
            <w:gridSpan w:val="2"/>
            <w:tcBorders>
              <w:top w:val="nil"/>
              <w:bottom w:val="nil"/>
            </w:tcBorders>
            <w:shd w:val="clear" w:color="auto" w:fill="CBDDF2" w:themeFill="background2" w:themeFillTint="33"/>
          </w:tcPr>
          <w:p w14:paraId="27E92AE0" w14:textId="77777777" w:rsidR="00DB2ED9" w:rsidRDefault="00DB2ED9">
            <w:pPr>
              <w:pStyle w:val="TableBodyHeading"/>
            </w:pPr>
            <w:r>
              <w:t>Data and Digital</w:t>
            </w:r>
          </w:p>
        </w:tc>
        <w:tc>
          <w:tcPr>
            <w:tcW w:w="6945" w:type="dxa"/>
            <w:tcBorders>
              <w:top w:val="nil"/>
              <w:bottom w:val="nil"/>
            </w:tcBorders>
            <w:shd w:val="clear" w:color="auto" w:fill="CBDDF2" w:themeFill="background2" w:themeFillTint="33"/>
          </w:tcPr>
          <w:p w14:paraId="371E99F5" w14:textId="77777777" w:rsidR="00DB2ED9" w:rsidRDefault="00DB2ED9">
            <w:pPr>
              <w:pStyle w:val="TableBody"/>
            </w:pPr>
          </w:p>
        </w:tc>
        <w:tc>
          <w:tcPr>
            <w:tcW w:w="567" w:type="dxa"/>
            <w:tcBorders>
              <w:top w:val="nil"/>
              <w:bottom w:val="nil"/>
            </w:tcBorders>
            <w:shd w:val="clear" w:color="auto" w:fill="CBDDF2" w:themeFill="background2" w:themeFillTint="33"/>
          </w:tcPr>
          <w:p w14:paraId="2C0529E4" w14:textId="77777777" w:rsidR="00DB2ED9" w:rsidRDefault="00DB2ED9">
            <w:pPr>
              <w:pStyle w:val="TableBody"/>
            </w:pPr>
          </w:p>
        </w:tc>
      </w:tr>
      <w:tr w:rsidR="00DB2ED9" w:rsidRPr="00030C67" w14:paraId="66ABC2AE" w14:textId="77777777">
        <w:tc>
          <w:tcPr>
            <w:tcW w:w="426" w:type="dxa"/>
            <w:tcBorders>
              <w:top w:val="nil"/>
              <w:bottom w:val="nil"/>
            </w:tcBorders>
            <w:shd w:val="clear" w:color="auto" w:fill="F2F2F2" w:themeFill="background1" w:themeFillShade="F2"/>
          </w:tcPr>
          <w:p w14:paraId="69D21190" w14:textId="77777777" w:rsidR="00DB2ED9" w:rsidRPr="00A21E4E" w:rsidRDefault="00DB2ED9">
            <w:pPr>
              <w:pStyle w:val="TableBodyHeading"/>
            </w:pPr>
            <w:r>
              <w:t>D1</w:t>
            </w:r>
          </w:p>
        </w:tc>
        <w:tc>
          <w:tcPr>
            <w:tcW w:w="1701" w:type="dxa"/>
            <w:tcBorders>
              <w:top w:val="nil"/>
              <w:bottom w:val="nil"/>
            </w:tcBorders>
            <w:shd w:val="clear" w:color="auto" w:fill="F2F2F2" w:themeFill="background1" w:themeFillShade="F2"/>
          </w:tcPr>
          <w:p w14:paraId="3AF8A3C5" w14:textId="77777777" w:rsidR="00DB2ED9" w:rsidRPr="00611CB4" w:rsidRDefault="00DB2ED9">
            <w:pPr>
              <w:pStyle w:val="TableBody"/>
            </w:pPr>
            <w:r>
              <w:t>Consumer switching</w:t>
            </w:r>
          </w:p>
        </w:tc>
        <w:tc>
          <w:tcPr>
            <w:tcW w:w="6945" w:type="dxa"/>
            <w:tcBorders>
              <w:top w:val="nil"/>
              <w:bottom w:val="nil"/>
            </w:tcBorders>
            <w:shd w:val="clear" w:color="auto" w:fill="F2F2F2" w:themeFill="background1" w:themeFillShade="F2"/>
          </w:tcPr>
          <w:p w14:paraId="6FAF89F7" w14:textId="77777777" w:rsidR="00DB2ED9" w:rsidRPr="00611CB4" w:rsidRDefault="00DB2ED9">
            <w:pPr>
              <w:pStyle w:val="TableBody"/>
            </w:pPr>
            <w:r>
              <w:t>Identify markets that are intended to be in scope, focusing on markets that could benefit from higher levels of consumer switching.</w:t>
            </w:r>
          </w:p>
        </w:tc>
        <w:tc>
          <w:tcPr>
            <w:tcW w:w="567" w:type="dxa"/>
            <w:tcBorders>
              <w:top w:val="nil"/>
              <w:bottom w:val="nil"/>
            </w:tcBorders>
            <w:shd w:val="clear" w:color="auto" w:fill="F2F2F2" w:themeFill="background1" w:themeFillShade="F2"/>
          </w:tcPr>
          <w:p w14:paraId="3C4CBAEC" w14:textId="77777777" w:rsidR="00DB2ED9" w:rsidRDefault="00DB2ED9">
            <w:pPr>
              <w:pStyle w:val="TableBody"/>
            </w:pPr>
            <w:r>
              <w:t>All</w:t>
            </w:r>
          </w:p>
        </w:tc>
      </w:tr>
      <w:tr w:rsidR="00DB2ED9" w:rsidRPr="00030C67" w14:paraId="684B198A" w14:textId="77777777">
        <w:tc>
          <w:tcPr>
            <w:tcW w:w="426" w:type="dxa"/>
            <w:tcBorders>
              <w:top w:val="nil"/>
              <w:bottom w:val="nil"/>
            </w:tcBorders>
            <w:shd w:val="clear" w:color="auto" w:fill="auto"/>
          </w:tcPr>
          <w:p w14:paraId="665869F8" w14:textId="77777777" w:rsidR="00DB2ED9" w:rsidRPr="00A21E4E" w:rsidRDefault="00DB2ED9">
            <w:pPr>
              <w:pStyle w:val="TableBodyHeading"/>
            </w:pPr>
            <w:r>
              <w:t>D2</w:t>
            </w:r>
          </w:p>
        </w:tc>
        <w:tc>
          <w:tcPr>
            <w:tcW w:w="1701" w:type="dxa"/>
            <w:tcBorders>
              <w:top w:val="nil"/>
              <w:bottom w:val="nil"/>
            </w:tcBorders>
            <w:shd w:val="clear" w:color="auto" w:fill="auto"/>
          </w:tcPr>
          <w:p w14:paraId="68E64A59" w14:textId="77777777" w:rsidR="00DB2ED9" w:rsidRPr="00611CB4" w:rsidRDefault="00DB2ED9">
            <w:pPr>
              <w:pStyle w:val="TableBody"/>
            </w:pPr>
            <w:r>
              <w:t>Data sharing</w:t>
            </w:r>
          </w:p>
        </w:tc>
        <w:tc>
          <w:tcPr>
            <w:tcW w:w="6945" w:type="dxa"/>
            <w:tcBorders>
              <w:top w:val="nil"/>
              <w:bottom w:val="nil"/>
            </w:tcBorders>
            <w:shd w:val="clear" w:color="auto" w:fill="auto"/>
          </w:tcPr>
          <w:p w14:paraId="65BF30D1" w14:textId="77777777" w:rsidR="00DB2ED9" w:rsidRDefault="00DB2ED9">
            <w:pPr>
              <w:pStyle w:val="TableBody"/>
            </w:pPr>
            <w:r>
              <w:t>Implement data sharing arrangements for health sector data.</w:t>
            </w:r>
          </w:p>
          <w:p w14:paraId="72C09EC2" w14:textId="77777777" w:rsidR="00DB2ED9" w:rsidRPr="00611CB4" w:rsidRDefault="00DB2ED9">
            <w:pPr>
              <w:pStyle w:val="TableBody"/>
            </w:pPr>
            <w:r>
              <w:t xml:space="preserve">Identify other data sharing opportunities for </w:t>
            </w:r>
            <w:r w:rsidRPr="00DC3762">
              <w:t>government funded service providers</w:t>
            </w:r>
            <w:r>
              <w:t>.</w:t>
            </w:r>
          </w:p>
        </w:tc>
        <w:tc>
          <w:tcPr>
            <w:tcW w:w="567" w:type="dxa"/>
            <w:tcBorders>
              <w:top w:val="nil"/>
              <w:bottom w:val="nil"/>
            </w:tcBorders>
          </w:tcPr>
          <w:p w14:paraId="62977AB3" w14:textId="77777777" w:rsidR="00DB2ED9" w:rsidRDefault="00DB2ED9">
            <w:pPr>
              <w:pStyle w:val="TableBody"/>
            </w:pPr>
            <w:r>
              <w:t>All</w:t>
            </w:r>
          </w:p>
        </w:tc>
      </w:tr>
      <w:tr w:rsidR="00DB2ED9" w:rsidRPr="00030C67" w14:paraId="6B8A103D" w14:textId="77777777">
        <w:tc>
          <w:tcPr>
            <w:tcW w:w="426" w:type="dxa"/>
            <w:tcBorders>
              <w:top w:val="nil"/>
              <w:bottom w:val="nil"/>
            </w:tcBorders>
            <w:shd w:val="clear" w:color="auto" w:fill="F2F2F2" w:themeFill="background1" w:themeFillShade="F2"/>
          </w:tcPr>
          <w:p w14:paraId="241FAE48" w14:textId="77777777" w:rsidR="00DB2ED9" w:rsidRPr="00A21E4E" w:rsidRDefault="00DB2ED9">
            <w:pPr>
              <w:pStyle w:val="TableBodyHeading"/>
            </w:pPr>
            <w:r>
              <w:t>D3</w:t>
            </w:r>
          </w:p>
        </w:tc>
        <w:tc>
          <w:tcPr>
            <w:tcW w:w="1701" w:type="dxa"/>
            <w:tcBorders>
              <w:top w:val="nil"/>
              <w:bottom w:val="nil"/>
            </w:tcBorders>
            <w:shd w:val="clear" w:color="auto" w:fill="F2F2F2" w:themeFill="background1" w:themeFillShade="F2"/>
          </w:tcPr>
          <w:p w14:paraId="6E6DD041" w14:textId="77777777" w:rsidR="00DB2ED9" w:rsidRPr="00611CB4" w:rsidRDefault="00DB2ED9">
            <w:pPr>
              <w:pStyle w:val="TableBody"/>
            </w:pPr>
            <w:r>
              <w:t>Emerging technology</w:t>
            </w:r>
          </w:p>
        </w:tc>
        <w:tc>
          <w:tcPr>
            <w:tcW w:w="6945" w:type="dxa"/>
            <w:tcBorders>
              <w:top w:val="nil"/>
              <w:bottom w:val="nil"/>
            </w:tcBorders>
            <w:shd w:val="clear" w:color="auto" w:fill="F2F2F2" w:themeFill="background1" w:themeFillShade="F2"/>
          </w:tcPr>
          <w:p w14:paraId="05DB2E20" w14:textId="77777777" w:rsidR="00DB2ED9" w:rsidRPr="00574A24" w:rsidRDefault="00DB2ED9">
            <w:pPr>
              <w:pStyle w:val="TableBody"/>
            </w:pPr>
            <w:r>
              <w:t>For drones, i</w:t>
            </w:r>
            <w:r w:rsidRPr="00574A24">
              <w:t>dentify uptake levels, current uses and potential regulatory barriers.</w:t>
            </w:r>
          </w:p>
          <w:p w14:paraId="4485334D" w14:textId="77777777" w:rsidR="00DB2ED9" w:rsidRPr="00611CB4" w:rsidRDefault="00DB2ED9">
            <w:pPr>
              <w:pStyle w:val="TableBody"/>
            </w:pPr>
            <w:r w:rsidRPr="00574A24">
              <w:t>Embed an outcomes</w:t>
            </w:r>
            <w:r>
              <w:noBreakHyphen/>
            </w:r>
            <w:r w:rsidRPr="00574A24">
              <w:t>based approach to the regulation of emerging technologies</w:t>
            </w:r>
            <w:r>
              <w:t>.</w:t>
            </w:r>
            <w:r w:rsidRPr="00574A24">
              <w:t xml:space="preserve"> </w:t>
            </w:r>
          </w:p>
        </w:tc>
        <w:tc>
          <w:tcPr>
            <w:tcW w:w="567" w:type="dxa"/>
            <w:tcBorders>
              <w:top w:val="nil"/>
              <w:bottom w:val="nil"/>
            </w:tcBorders>
            <w:shd w:val="clear" w:color="auto" w:fill="F2F2F2" w:themeFill="background1" w:themeFillShade="F2"/>
          </w:tcPr>
          <w:p w14:paraId="450DFB39" w14:textId="77777777" w:rsidR="00DB2ED9" w:rsidRDefault="00DB2ED9">
            <w:pPr>
              <w:pStyle w:val="TableBody"/>
            </w:pPr>
            <w:proofErr w:type="spellStart"/>
            <w:r>
              <w:t>Cth</w:t>
            </w:r>
            <w:proofErr w:type="spellEnd"/>
          </w:p>
          <w:p w14:paraId="446B82E9" w14:textId="77777777" w:rsidR="00DB2ED9" w:rsidRDefault="00DB2ED9">
            <w:pPr>
              <w:pStyle w:val="TableBody"/>
            </w:pPr>
            <w:r>
              <w:t>All</w:t>
            </w:r>
          </w:p>
        </w:tc>
      </w:tr>
      <w:tr w:rsidR="00DB2ED9" w:rsidRPr="00030C67" w14:paraId="413FDED5" w14:textId="77777777">
        <w:tc>
          <w:tcPr>
            <w:tcW w:w="426" w:type="dxa"/>
            <w:tcBorders>
              <w:top w:val="nil"/>
              <w:bottom w:val="nil"/>
            </w:tcBorders>
            <w:shd w:val="clear" w:color="auto" w:fill="auto"/>
          </w:tcPr>
          <w:p w14:paraId="2A9DEE12" w14:textId="77777777" w:rsidR="00DB2ED9" w:rsidRPr="00A21E4E" w:rsidRDefault="00DB2ED9">
            <w:pPr>
              <w:pStyle w:val="TableBodyHeading"/>
            </w:pPr>
            <w:r>
              <w:t>D4</w:t>
            </w:r>
          </w:p>
        </w:tc>
        <w:tc>
          <w:tcPr>
            <w:tcW w:w="1701" w:type="dxa"/>
            <w:tcBorders>
              <w:top w:val="nil"/>
              <w:bottom w:val="nil"/>
            </w:tcBorders>
            <w:shd w:val="clear" w:color="auto" w:fill="auto"/>
          </w:tcPr>
          <w:p w14:paraId="07C2F066" w14:textId="77777777" w:rsidR="00DB2ED9" w:rsidRPr="00611CB4" w:rsidRDefault="00DB2ED9">
            <w:pPr>
              <w:pStyle w:val="TableBody"/>
            </w:pPr>
            <w:r>
              <w:t>Banking</w:t>
            </w:r>
          </w:p>
        </w:tc>
        <w:tc>
          <w:tcPr>
            <w:tcW w:w="6945" w:type="dxa"/>
            <w:tcBorders>
              <w:top w:val="nil"/>
              <w:bottom w:val="nil"/>
            </w:tcBorders>
            <w:shd w:val="clear" w:color="auto" w:fill="auto"/>
          </w:tcPr>
          <w:p w14:paraId="5C8D33F2" w14:textId="5362401D" w:rsidR="00DB2ED9" w:rsidRPr="00611CB4" w:rsidRDefault="00DB2ED9">
            <w:pPr>
              <w:pStyle w:val="TableBody"/>
            </w:pPr>
            <w:r>
              <w:t xml:space="preserve">Implement recommendations from the </w:t>
            </w:r>
            <w:r w:rsidRPr="00D85D99">
              <w:rPr>
                <w:i/>
              </w:rPr>
              <w:t xml:space="preserve">Competition in the Australian </w:t>
            </w:r>
            <w:r>
              <w:rPr>
                <w:i/>
              </w:rPr>
              <w:t>f</w:t>
            </w:r>
            <w:r w:rsidRPr="00D85D99">
              <w:rPr>
                <w:i/>
              </w:rPr>
              <w:t xml:space="preserve">inancial </w:t>
            </w:r>
            <w:r>
              <w:rPr>
                <w:i/>
              </w:rPr>
              <w:t>s</w:t>
            </w:r>
            <w:r w:rsidRPr="00D85D99">
              <w:rPr>
                <w:i/>
              </w:rPr>
              <w:t>ystem</w:t>
            </w:r>
            <w:r>
              <w:t xml:space="preserve"> inquiry </w:t>
            </w:r>
            <w:r w:rsidRPr="008774B4">
              <w:rPr>
                <w:rFonts w:ascii="Arial" w:hAnsi="Arial" w:cs="Arial"/>
              </w:rPr>
              <w:t>(PC 2018a)</w:t>
            </w:r>
            <w:r>
              <w:t>.</w:t>
            </w:r>
          </w:p>
        </w:tc>
        <w:tc>
          <w:tcPr>
            <w:tcW w:w="567" w:type="dxa"/>
            <w:tcBorders>
              <w:top w:val="nil"/>
              <w:bottom w:val="nil"/>
            </w:tcBorders>
          </w:tcPr>
          <w:p w14:paraId="300EC247" w14:textId="77777777" w:rsidR="00DB2ED9" w:rsidRDefault="00DB2ED9">
            <w:pPr>
              <w:pStyle w:val="TableBody"/>
            </w:pPr>
            <w:r>
              <w:t>SR</w:t>
            </w:r>
          </w:p>
        </w:tc>
      </w:tr>
      <w:tr w:rsidR="00DB2ED9" w:rsidRPr="00030C67" w14:paraId="1552ABF4" w14:textId="77777777">
        <w:tc>
          <w:tcPr>
            <w:tcW w:w="426" w:type="dxa"/>
            <w:tcBorders>
              <w:bottom w:val="single" w:sz="4" w:space="0" w:color="B3B3B3"/>
            </w:tcBorders>
            <w:shd w:val="clear" w:color="auto" w:fill="F2F2F2" w:themeFill="background1" w:themeFillShade="F2"/>
          </w:tcPr>
          <w:p w14:paraId="4A545E54" w14:textId="77777777" w:rsidR="00DB2ED9" w:rsidRPr="00030C67" w:rsidRDefault="00DB2ED9">
            <w:pPr>
              <w:pStyle w:val="TableBodyHeading"/>
            </w:pPr>
            <w:r>
              <w:t>D5</w:t>
            </w:r>
          </w:p>
        </w:tc>
        <w:tc>
          <w:tcPr>
            <w:tcW w:w="1701" w:type="dxa"/>
            <w:tcBorders>
              <w:bottom w:val="single" w:sz="4" w:space="0" w:color="B3B3B3"/>
            </w:tcBorders>
            <w:shd w:val="clear" w:color="auto" w:fill="F2F2F2" w:themeFill="background1" w:themeFillShade="F2"/>
          </w:tcPr>
          <w:p w14:paraId="21B3AB43" w14:textId="77777777" w:rsidR="00DB2ED9" w:rsidRDefault="00DB2ED9">
            <w:pPr>
              <w:pStyle w:val="TableBody"/>
              <w:rPr>
                <w:rFonts w:ascii="Arial (Body)" w:hAnsi="Arial (Body)"/>
                <w:color w:val="000000"/>
              </w:rPr>
            </w:pPr>
            <w:r>
              <w:rPr>
                <w:rFonts w:ascii="Arial (Body)" w:hAnsi="Arial (Body)"/>
                <w:color w:val="000000"/>
              </w:rPr>
              <w:t>Payment systems</w:t>
            </w:r>
          </w:p>
        </w:tc>
        <w:tc>
          <w:tcPr>
            <w:tcW w:w="6945" w:type="dxa"/>
            <w:tcBorders>
              <w:bottom w:val="single" w:sz="4" w:space="0" w:color="B3B3B3"/>
            </w:tcBorders>
            <w:shd w:val="clear" w:color="auto" w:fill="F2F2F2" w:themeFill="background1" w:themeFillShade="F2"/>
          </w:tcPr>
          <w:p w14:paraId="04BDEEA7" w14:textId="503CEBA4" w:rsidR="00DB2ED9" w:rsidRPr="00030C67" w:rsidRDefault="00DB2ED9">
            <w:pPr>
              <w:pStyle w:val="TableBody"/>
              <w:rPr>
                <w:rFonts w:ascii="Arial (Body)" w:hAnsi="Arial (Body)"/>
                <w:color w:val="000000"/>
              </w:rPr>
            </w:pPr>
            <w:r>
              <w:t xml:space="preserve">Implement recommendations from the </w:t>
            </w:r>
            <w:r w:rsidRPr="00D85D99">
              <w:rPr>
                <w:i/>
                <w:iCs/>
              </w:rPr>
              <w:t xml:space="preserve">Competition in the Australian </w:t>
            </w:r>
            <w:r>
              <w:rPr>
                <w:i/>
                <w:iCs/>
              </w:rPr>
              <w:t>f</w:t>
            </w:r>
            <w:r w:rsidRPr="00D85D99">
              <w:rPr>
                <w:i/>
                <w:iCs/>
              </w:rPr>
              <w:t xml:space="preserve">inancial </w:t>
            </w:r>
            <w:r>
              <w:rPr>
                <w:i/>
                <w:iCs/>
              </w:rPr>
              <w:t>s</w:t>
            </w:r>
            <w:r w:rsidRPr="00D85D99">
              <w:rPr>
                <w:i/>
                <w:iCs/>
              </w:rPr>
              <w:t>ystem</w:t>
            </w:r>
            <w:r>
              <w:t xml:space="preserve"> inquiry </w:t>
            </w:r>
            <w:r w:rsidRPr="008774B4">
              <w:rPr>
                <w:rFonts w:ascii="Arial" w:hAnsi="Arial" w:cs="Arial"/>
              </w:rPr>
              <w:t>(PC 2018a)</w:t>
            </w:r>
            <w:r>
              <w:t>.</w:t>
            </w:r>
          </w:p>
        </w:tc>
        <w:tc>
          <w:tcPr>
            <w:tcW w:w="567" w:type="dxa"/>
            <w:tcBorders>
              <w:bottom w:val="single" w:sz="4" w:space="0" w:color="B3B3B3"/>
            </w:tcBorders>
            <w:shd w:val="clear" w:color="auto" w:fill="F2F2F2" w:themeFill="background1" w:themeFillShade="F2"/>
          </w:tcPr>
          <w:p w14:paraId="057930D2" w14:textId="77777777" w:rsidR="00DB2ED9" w:rsidRDefault="00DB2ED9">
            <w:pPr>
              <w:pStyle w:val="TableBody"/>
            </w:pPr>
            <w:r>
              <w:t>SR</w:t>
            </w:r>
          </w:p>
        </w:tc>
      </w:tr>
    </w:tbl>
    <w:p w14:paraId="1F9B63F1" w14:textId="77777777" w:rsidR="00DB2ED9" w:rsidRDefault="00DB2ED9">
      <w:pPr>
        <w:pStyle w:val="Note"/>
      </w:pPr>
      <w:r w:rsidRPr="00C36914">
        <w:rPr>
          <w:b/>
          <w:bCs/>
        </w:rPr>
        <w:t>a.</w:t>
      </w:r>
      <w:r w:rsidRPr="00C36914">
        <w:t xml:space="preserve"> </w:t>
      </w:r>
      <w:r>
        <w:t xml:space="preserve">This column identifies which level(s) of government should be responsible for the action. </w:t>
      </w:r>
      <w:proofErr w:type="spellStart"/>
      <w:r>
        <w:t>Cth</w:t>
      </w:r>
      <w:proofErr w:type="spellEnd"/>
      <w:r>
        <w:t xml:space="preserve"> = the Australian Government. S/T = state and territory governments. All = the Australian, state and territory governments. SR = See the relevant report for details. </w:t>
      </w:r>
    </w:p>
    <w:p w14:paraId="2755E626" w14:textId="77777777" w:rsidR="00DB2ED9" w:rsidRDefault="00DB2ED9">
      <w:pPr>
        <w:spacing w:before="0" w:after="160" w:line="259" w:lineRule="auto"/>
        <w:rPr>
          <w:sz w:val="18"/>
        </w:rPr>
      </w:pPr>
      <w:r>
        <w:br w:type="page"/>
      </w:r>
    </w:p>
    <w:p w14:paraId="256B123A" w14:textId="625A6BD3" w:rsidR="00DB2ED9" w:rsidRDefault="00DB2ED9">
      <w:pPr>
        <w:pStyle w:val="FigureTableHeading"/>
      </w:pPr>
      <w:r>
        <w:lastRenderedPageBreak/>
        <w:t>Figure 5</w:t>
      </w:r>
      <w:r>
        <w:rPr>
          <w:noProof/>
        </w:rPr>
        <w:t xml:space="preserve"> </w:t>
      </w:r>
      <w:r>
        <w:t>– Australian Government: starting points</w:t>
      </w:r>
    </w:p>
    <w:p w14:paraId="17A70D6B" w14:textId="6095CD48" w:rsidR="00DB2ED9" w:rsidRDefault="00DB316C">
      <w:pPr>
        <w:spacing w:before="0" w:after="160" w:line="259" w:lineRule="auto"/>
      </w:pPr>
      <w:r w:rsidRPr="00DB316C">
        <w:rPr>
          <w:noProof/>
        </w:rPr>
        <w:drawing>
          <wp:inline distT="0" distB="0" distL="0" distR="0" wp14:anchorId="0D495DE7" wp14:editId="03036F20">
            <wp:extent cx="6115685" cy="4696460"/>
            <wp:effectExtent l="0" t="0" r="0" b="0"/>
            <wp:docPr id="1166461301" name="Picture 3" descr="This figure sets out the starting points for the Australian Government. It replicates information shown in tabl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461301" name="Picture 3" descr="This figure sets out the starting points for the Australian Government. It replicates information shown in tabl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15685" cy="4696460"/>
                    </a:xfrm>
                    <a:prstGeom prst="rect">
                      <a:avLst/>
                    </a:prstGeom>
                    <a:noFill/>
                    <a:ln>
                      <a:noFill/>
                    </a:ln>
                  </pic:spPr>
                </pic:pic>
              </a:graphicData>
            </a:graphic>
          </wp:inline>
        </w:drawing>
      </w:r>
    </w:p>
    <w:p w14:paraId="7EBA8D3F" w14:textId="77777777" w:rsidR="00DB2ED9" w:rsidRDefault="00DB2ED9">
      <w:pPr>
        <w:pStyle w:val="FigureTableHeading"/>
      </w:pPr>
      <w:r>
        <w:t>Figure 6</w:t>
      </w:r>
      <w:r>
        <w:rPr>
          <w:noProof/>
        </w:rPr>
        <w:t xml:space="preserve"> </w:t>
      </w:r>
      <w:r>
        <w:t xml:space="preserve">– State and territory governments: starting points </w:t>
      </w:r>
    </w:p>
    <w:p w14:paraId="55C99FBF" w14:textId="3F3FDE6E" w:rsidR="00DB2ED9" w:rsidRDefault="00F05176">
      <w:pPr>
        <w:spacing w:before="0" w:after="160" w:line="259" w:lineRule="auto"/>
      </w:pPr>
      <w:r w:rsidRPr="00F05176">
        <w:rPr>
          <w:noProof/>
        </w:rPr>
        <w:drawing>
          <wp:inline distT="0" distB="0" distL="0" distR="0" wp14:anchorId="0D4EB310" wp14:editId="69B426C2">
            <wp:extent cx="6108065" cy="1733550"/>
            <wp:effectExtent l="0" t="0" r="6985" b="0"/>
            <wp:docPr id="611162485" name="Picture 1" descr="This figure sets out the starting points for state and territory governments. It replicates information shown in tabl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162485" name="Picture 1" descr="This figure sets out the starting points for state and territory governments. It replicates information shown in tabl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08065" cy="1733550"/>
                    </a:xfrm>
                    <a:prstGeom prst="rect">
                      <a:avLst/>
                    </a:prstGeom>
                    <a:noFill/>
                    <a:ln>
                      <a:noFill/>
                    </a:ln>
                  </pic:spPr>
                </pic:pic>
              </a:graphicData>
            </a:graphic>
          </wp:inline>
        </w:drawing>
      </w:r>
    </w:p>
    <w:p w14:paraId="330257F3" w14:textId="77777777" w:rsidR="00DB2ED9" w:rsidRDefault="00DB2ED9">
      <w:pPr>
        <w:pStyle w:val="FigureTableHeading"/>
      </w:pPr>
      <w:r>
        <w:lastRenderedPageBreak/>
        <w:t>Figure 7</w:t>
      </w:r>
      <w:r>
        <w:rPr>
          <w:noProof/>
        </w:rPr>
        <w:t xml:space="preserve"> </w:t>
      </w:r>
      <w:r>
        <w:t xml:space="preserve">– Intergovernmental coordination: starting points </w:t>
      </w:r>
    </w:p>
    <w:p w14:paraId="5DAF194B" w14:textId="7C22FB7A" w:rsidR="00DC26D0" w:rsidRDefault="000E1432" w:rsidP="001E1B57">
      <w:pPr>
        <w:spacing w:before="0" w:after="160" w:line="259" w:lineRule="auto"/>
      </w:pPr>
      <w:r w:rsidRPr="000E1432">
        <w:rPr>
          <w:noProof/>
        </w:rPr>
        <w:drawing>
          <wp:inline distT="0" distB="0" distL="0" distR="0" wp14:anchorId="1759B340" wp14:editId="2356EFBB">
            <wp:extent cx="6115685" cy="4820920"/>
            <wp:effectExtent l="0" t="0" r="0" b="0"/>
            <wp:docPr id="561928227" name="Picture 2" descr="This figure sets out the starting points for intergovernmental coordination. It replicates information shown in tabl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28227" name="Picture 2" descr="This figure sets out the starting points for intergovernmental coordination. It replicates information shown in tabl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15685" cy="4820920"/>
                    </a:xfrm>
                    <a:prstGeom prst="rect">
                      <a:avLst/>
                    </a:prstGeom>
                    <a:noFill/>
                    <a:ln>
                      <a:noFill/>
                    </a:ln>
                  </pic:spPr>
                </pic:pic>
              </a:graphicData>
            </a:graphic>
          </wp:inline>
        </w:drawing>
      </w:r>
    </w:p>
    <w:sectPr w:rsidR="00DC26D0" w:rsidSect="00A72CCD">
      <w:headerReference w:type="even" r:id="rId39"/>
      <w:headerReference w:type="default" r:id="rId40"/>
      <w:headerReference w:type="first" r:id="rId41"/>
      <w:type w:val="oddPage"/>
      <w:pgSz w:w="11906" w:h="16838" w:code="9"/>
      <w:pgMar w:top="1134" w:right="1134" w:bottom="1134" w:left="1134" w:header="794"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8E8F1" w14:textId="77777777" w:rsidR="007A3B6C" w:rsidRDefault="007A3B6C" w:rsidP="008017BC">
      <w:r>
        <w:separator/>
      </w:r>
    </w:p>
    <w:p w14:paraId="05BD4098" w14:textId="77777777" w:rsidR="007A3B6C" w:rsidRDefault="007A3B6C"/>
  </w:endnote>
  <w:endnote w:type="continuationSeparator" w:id="0">
    <w:p w14:paraId="333AC4A4" w14:textId="77777777" w:rsidR="007A3B6C" w:rsidRDefault="007A3B6C" w:rsidP="008017BC">
      <w:r>
        <w:continuationSeparator/>
      </w:r>
    </w:p>
    <w:p w14:paraId="70969BCB" w14:textId="77777777" w:rsidR="007A3B6C" w:rsidRDefault="007A3B6C"/>
  </w:endnote>
  <w:endnote w:type="continuationNotice" w:id="1">
    <w:p w14:paraId="2879432A" w14:textId="77777777" w:rsidR="007A3B6C" w:rsidRDefault="007A3B6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dy)">
    <w:altName w:val="Arial"/>
    <w:panose1 w:val="00000000000000000000"/>
    <w:charset w:val="00"/>
    <w:family w:val="roman"/>
    <w:notTrueType/>
    <w:pitch w:val="default"/>
  </w:font>
  <w:font w:name="Roboto Slab">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1AEEF" w14:textId="77777777" w:rsidR="00F04EA7" w:rsidRPr="00187F05" w:rsidRDefault="00F04EA7" w:rsidP="00A471AE">
    <w:pPr>
      <w:pStyle w:val="Footer"/>
      <w:jc w:val="right"/>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1A539" w14:textId="77777777" w:rsidR="00C31E23" w:rsidRDefault="00C31E23">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DAEDF" w14:textId="77777777" w:rsidR="00F04EA7" w:rsidRDefault="00C31E23">
    <w:pPr>
      <w:pStyle w:val="Footer"/>
    </w:pP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CBDAA" w14:textId="77777777" w:rsidR="00F04EA7" w:rsidRPr="00187F05" w:rsidRDefault="00F04EA7" w:rsidP="004544D6">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4105459"/>
      <w:docPartObj>
        <w:docPartGallery w:val="Page Numbers (Bottom of Page)"/>
        <w:docPartUnique/>
      </w:docPartObj>
    </w:sdtPr>
    <w:sdtContent>
      <w:sdt>
        <w:sdtPr>
          <w:id w:val="372884374"/>
          <w:docPartObj>
            <w:docPartGallery w:val="Page Numbers (Top of Page)"/>
            <w:docPartUnique/>
          </w:docPartObj>
        </w:sdtPr>
        <w:sdtContent>
          <w:p w14:paraId="3015B0F3" w14:textId="77777777" w:rsidR="00F04EA7" w:rsidRPr="0042508F" w:rsidRDefault="00F04EA7" w:rsidP="004544D6">
            <w:pPr>
              <w:pStyle w:val="Footer-right"/>
            </w:pPr>
            <w:r w:rsidRPr="0042508F">
              <w:fldChar w:fldCharType="begin"/>
            </w:r>
            <w:r w:rsidRPr="0042508F">
              <w:instrText xml:space="preserve"> PAGE </w:instrText>
            </w:r>
            <w:r w:rsidRPr="0042508F">
              <w:fldChar w:fldCharType="separate"/>
            </w:r>
            <w:r>
              <w:rPr>
                <w:noProof/>
              </w:rPr>
              <w:t>1</w:t>
            </w:r>
            <w:r w:rsidRPr="0042508F">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FEA52" w14:textId="77777777" w:rsidR="007A3B6C" w:rsidRPr="00C238D1" w:rsidRDefault="007A3B6C" w:rsidP="00273E86">
      <w:pPr>
        <w:spacing w:after="0" w:line="240" w:lineRule="auto"/>
        <w:rPr>
          <w:rStyle w:val="ColourDarkBlue"/>
        </w:rPr>
      </w:pPr>
      <w:r w:rsidRPr="00C238D1">
        <w:rPr>
          <w:rStyle w:val="ColourDarkBlue"/>
        </w:rPr>
        <w:continuationSeparator/>
      </w:r>
    </w:p>
  </w:footnote>
  <w:footnote w:type="continuationSeparator" w:id="0">
    <w:p w14:paraId="605EF13D" w14:textId="77777777" w:rsidR="007A3B6C" w:rsidRPr="001D7D9B" w:rsidRDefault="007A3B6C" w:rsidP="001D7D9B">
      <w:pPr>
        <w:spacing w:after="0" w:line="240" w:lineRule="auto"/>
        <w:rPr>
          <w:color w:val="265A9A" w:themeColor="background2"/>
        </w:rPr>
      </w:pPr>
      <w:r w:rsidRPr="00C238D1">
        <w:rPr>
          <w:rStyle w:val="ColourDarkBlue"/>
        </w:rPr>
        <w:continuationSeparator/>
      </w:r>
    </w:p>
  </w:footnote>
  <w:footnote w:type="continuationNotice" w:id="1">
    <w:p w14:paraId="4A38AE03" w14:textId="77777777" w:rsidR="007A3B6C" w:rsidRDefault="007A3B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93864" w14:textId="30F900AE" w:rsidR="00F04EA7" w:rsidRPr="007215EF" w:rsidRDefault="00F04EA7" w:rsidP="007215EF">
    <w:r w:rsidRPr="007215EF">
      <w:rPr>
        <w:noProof/>
      </w:rPr>
      <w:drawing>
        <wp:anchor distT="0" distB="0" distL="114300" distR="114300" simplePos="0" relativeHeight="251658240" behindDoc="0" locked="1" layoutInCell="1" allowOverlap="1" wp14:anchorId="5E15A32B" wp14:editId="4F5C2FF9">
          <wp:simplePos x="0" y="0"/>
          <wp:positionH relativeFrom="margin">
            <wp:align>left</wp:align>
          </wp:positionH>
          <wp:positionV relativeFrom="page">
            <wp:align>top</wp:align>
          </wp:positionV>
          <wp:extent cx="2235600" cy="1058400"/>
          <wp:effectExtent l="0" t="0" r="0" b="8890"/>
          <wp:wrapNone/>
          <wp:docPr id="33704747" name="Logo" descr="Australian Government | Productivity Commission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descr="Australian Government | Productivity Commission logo">
                    <a:extLst>
                      <a:ext uri="{FF2B5EF4-FFF2-40B4-BE49-F238E27FC236}">
                        <a16:creationId xmlns:a16="http://schemas.microsoft.com/office/drawing/2014/main" id="{540D5EEA-84FD-4794-A974-3D74A07F2D82}"/>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95925"/>
                  <a:stretch/>
                </pic:blipFill>
                <pic:spPr bwMode="auto">
                  <a:xfrm>
                    <a:off x="0" y="0"/>
                    <a:ext cx="2235600" cy="1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B554FB" w14:textId="77777777" w:rsidR="00F04EA7" w:rsidRPr="005965BC" w:rsidRDefault="00F04EA7" w:rsidP="005965B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575A4" w14:textId="39574B25" w:rsidR="009775D1" w:rsidRDefault="009775D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14B0B" w14:textId="0A69C544" w:rsidR="00991D3C" w:rsidRDefault="00991D3C" w:rsidP="00991D3C">
    <w:pPr>
      <w:pStyle w:val="Header-Keyline"/>
    </w:pPr>
    <w:r>
      <w:rPr>
        <w:rStyle w:val="Strong"/>
      </w:rPr>
      <w:t>National Competition Policy: modelling proposed reforms</w:t>
    </w:r>
    <w:r>
      <w:t xml:space="preserve"> Study report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046A5" w14:textId="493BB22B" w:rsidR="00991D3C" w:rsidRPr="00991D3C" w:rsidRDefault="00A72CCD" w:rsidP="00A72CCD">
    <w:pPr>
      <w:pStyle w:val="Header-KeylineRight"/>
    </w:pPr>
    <w:r>
      <w:rPr>
        <w:rStyle w:val="Strong"/>
      </w:rPr>
      <w:t>National Competition Policy: modelling proposed reforms</w:t>
    </w:r>
    <w:r>
      <w:t xml:space="preserve"> </w:t>
    </w:r>
    <w:r w:rsidR="00991D3C">
      <w:fldChar w:fldCharType="begin"/>
    </w:r>
    <w:r w:rsidR="00991D3C">
      <w:instrText xml:space="preserve"> STYLEREF  "Heading 1"  \* MERGEFORMAT </w:instrText>
    </w:r>
    <w:r w:rsidR="00991D3C">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A1509" w14:textId="2FABB47C" w:rsidR="00A711D2" w:rsidRDefault="00A711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26626" w14:textId="75D206A0" w:rsidR="001D7D9B" w:rsidRDefault="00AD651B" w:rsidP="001D7D9B">
    <w:pPr>
      <w:pStyle w:val="Header-Keyline"/>
    </w:pPr>
    <w:r>
      <w:rPr>
        <w:rStyle w:val="Strong"/>
      </w:rPr>
      <w:t>National Competition Policy: modelling proposed reforms</w:t>
    </w:r>
    <w:r w:rsidR="001D7D9B">
      <w:t xml:space="preserve"> </w:t>
    </w:r>
    <w:r w:rsidR="00670F22">
      <w:t>Study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18D5C" w14:textId="223EF883" w:rsidR="001D7D9B" w:rsidRPr="00201320" w:rsidRDefault="00E83C1B" w:rsidP="00160FEC">
    <w:pPr>
      <w:pStyle w:val="Header-KeylineRight"/>
      <w:rPr>
        <w:rStyle w:val="Strong"/>
        <w:b w:val="0"/>
        <w:bCs w:val="0"/>
      </w:rPr>
    </w:pPr>
    <w:r>
      <w:rPr>
        <w:rStyle w:val="Strong"/>
        <w:b w:val="0"/>
        <w:bCs w:val="0"/>
      </w:rPr>
      <w:t>Transmittal letter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CF68C" w14:textId="6F5BF5A3" w:rsidR="009775D1" w:rsidRDefault="009775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5823E" w14:textId="0705A38A" w:rsidR="009775D1" w:rsidRDefault="00966037" w:rsidP="00350756">
    <w:pPr>
      <w:pStyle w:val="Header-Keyline"/>
    </w:pPr>
    <w:r>
      <w:rPr>
        <w:rStyle w:val="Strong"/>
      </w:rPr>
      <w:t>National Competition Policy: modelling proposed reforms</w:t>
    </w:r>
    <w:r>
      <w:t xml:space="preserve"> Study report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F05D8" w14:textId="4DE554AD" w:rsidR="00E41066" w:rsidRPr="00201320" w:rsidRDefault="00E41066" w:rsidP="00E41066">
    <w:pPr>
      <w:pStyle w:val="Header-KeylineRight"/>
      <w:rPr>
        <w:rStyle w:val="Strong"/>
        <w:b w:val="0"/>
        <w:bCs w:val="0"/>
      </w:rPr>
    </w:pPr>
    <w:r>
      <w:rPr>
        <w:rStyle w:val="Strong"/>
        <w:b w:val="0"/>
        <w:bCs w:val="0"/>
      </w:rPr>
      <w:fldChar w:fldCharType="begin"/>
    </w:r>
    <w:r>
      <w:rPr>
        <w:rStyle w:val="Strong"/>
        <w:b w:val="0"/>
        <w:bCs w:val="0"/>
      </w:rPr>
      <w:instrText xml:space="preserve"> STYLEREF  "Heading 1-no background"  \* MERGEFORMAT </w:instrText>
    </w:r>
    <w:r>
      <w:rPr>
        <w:rStyle w:val="Strong"/>
        <w:b w:val="0"/>
        <w:bCs w:val="0"/>
      </w:rPr>
      <w:fldChar w:fldCharType="separate"/>
    </w:r>
    <w:r w:rsidR="00D456A7">
      <w:rPr>
        <w:rStyle w:val="Strong"/>
        <w:b w:val="0"/>
        <w:bCs w:val="0"/>
        <w:noProof/>
      </w:rPr>
      <w:t>Terms of reference</w:t>
    </w:r>
    <w:r>
      <w:rPr>
        <w:rStyle w:val="Strong"/>
        <w:b w:val="0"/>
        <w:bCs w:val="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58E39" w14:textId="41699172" w:rsidR="009775D1" w:rsidRDefault="009775D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31314" w14:textId="2F514107" w:rsidR="009775D1" w:rsidRDefault="00293B85" w:rsidP="00293B85">
    <w:pPr>
      <w:pStyle w:val="Header-Keyline"/>
    </w:pPr>
    <w:r>
      <w:rPr>
        <w:rStyle w:val="Strong"/>
      </w:rPr>
      <w:t>National Competition Policy: modelling proposed reforms</w:t>
    </w:r>
    <w:r>
      <w:t xml:space="preserve"> Study report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652EE" w14:textId="05DC625A" w:rsidR="00E83C1B" w:rsidRPr="00201320" w:rsidRDefault="00E41066" w:rsidP="00160FEC">
    <w:pPr>
      <w:pStyle w:val="Header-KeylineRight"/>
      <w:rPr>
        <w:rStyle w:val="Strong"/>
        <w:b w:val="0"/>
        <w:bCs w:val="0"/>
      </w:rPr>
    </w:pPr>
    <w:r>
      <w:rPr>
        <w:rStyle w:val="Strong"/>
        <w:b w:val="0"/>
        <w:bCs w:val="0"/>
      </w:rPr>
      <w:fldChar w:fldCharType="begin"/>
    </w:r>
    <w:r>
      <w:rPr>
        <w:rStyle w:val="Strong"/>
        <w:b w:val="0"/>
        <w:bCs w:val="0"/>
      </w:rPr>
      <w:instrText xml:space="preserve"> STYLEREF  "Heading 1-no background"  \* MERGEFORMAT </w:instrText>
    </w:r>
    <w:r>
      <w:rPr>
        <w:rStyle w:val="Strong"/>
        <w:b w:val="0"/>
        <w:bCs w:val="0"/>
      </w:rPr>
      <w:fldChar w:fldCharType="separate"/>
    </w:r>
    <w:r w:rsidR="00D456A7">
      <w:rPr>
        <w:rStyle w:val="Strong"/>
        <w:b w:val="0"/>
        <w:bCs w:val="0"/>
        <w:noProof/>
      </w:rPr>
      <w:t>Terms of reference</w:t>
    </w:r>
    <w:r>
      <w:rPr>
        <w:rStyle w:val="Strong"/>
        <w:b w:val="0"/>
        <w:bCs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lvlText w:val="%1."/>
      <w:lvlJc w:val="left"/>
      <w:pPr>
        <w:ind w:left="1418" w:hanging="851"/>
      </w:pPr>
      <w:rPr>
        <w:rFonts w:hint="default"/>
      </w:rPr>
    </w:lvl>
    <w:lvl w:ilvl="1">
      <w:start w:val="1"/>
      <w:numFmt w:val="decimal"/>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5B334E4"/>
    <w:multiLevelType w:val="multilevel"/>
    <w:tmpl w:val="00EA5268"/>
    <w:name w:val="StandardNumberedList"/>
    <w:lvl w:ilvl="0">
      <w:start w:val="1"/>
      <w:numFmt w:val="decimal"/>
      <w:pStyle w:val="OutlineNumbered1"/>
      <w:lvlText w:val="%1."/>
      <w:lvlJc w:val="left"/>
      <w:pPr>
        <w:tabs>
          <w:tab w:val="num" w:pos="1287"/>
        </w:tabs>
        <w:ind w:left="1287" w:hanging="567"/>
      </w:pPr>
    </w:lvl>
    <w:lvl w:ilvl="1">
      <w:start w:val="1"/>
      <w:numFmt w:val="decimal"/>
      <w:pStyle w:val="OutlineNumbered2"/>
      <w:lvlText w:val="%1.%2."/>
      <w:lvlJc w:val="left"/>
      <w:pPr>
        <w:tabs>
          <w:tab w:val="num" w:pos="1854"/>
        </w:tabs>
        <w:ind w:left="1854" w:hanging="567"/>
      </w:pPr>
    </w:lvl>
    <w:lvl w:ilvl="2">
      <w:start w:val="1"/>
      <w:numFmt w:val="decimal"/>
      <w:pStyle w:val="OutlineNumbered3"/>
      <w:lvlText w:val="%1.%2.%3."/>
      <w:lvlJc w:val="left"/>
      <w:pPr>
        <w:tabs>
          <w:tab w:val="num" w:pos="2421"/>
        </w:tabs>
        <w:ind w:left="2421" w:hanging="567"/>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9"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D665246"/>
    <w:multiLevelType w:val="multilevel"/>
    <w:tmpl w:val="55366B42"/>
    <w:numStyleLink w:val="LetteredList"/>
  </w:abstractNum>
  <w:abstractNum w:abstractNumId="12" w15:restartNumberingAfterBreak="0">
    <w:nsid w:val="2DFE29AF"/>
    <w:multiLevelType w:val="multilevel"/>
    <w:tmpl w:val="51AA5E94"/>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FE45D02"/>
    <w:multiLevelType w:val="multilevel"/>
    <w:tmpl w:val="E5AEF5A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5"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6F853CB"/>
    <w:multiLevelType w:val="hybridMultilevel"/>
    <w:tmpl w:val="106AFC1E"/>
    <w:lvl w:ilvl="0" w:tplc="746A82A2">
      <w:start w:val="2"/>
      <w:numFmt w:val="upperLetter"/>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58B56AC2"/>
    <w:multiLevelType w:val="multilevel"/>
    <w:tmpl w:val="1FA8DC2A"/>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8"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ED0144F"/>
    <w:multiLevelType w:val="multilevel"/>
    <w:tmpl w:val="E126FDDC"/>
    <w:lvl w:ilvl="0">
      <w:start w:val="1"/>
      <w:numFmt w:val="decimal"/>
      <w:lvlText w:val="%1."/>
      <w:lvlJc w:val="left"/>
      <w:pPr>
        <w:ind w:left="227" w:hanging="227"/>
      </w:pPr>
      <w:rPr>
        <w:rFonts w:hint="default"/>
        <w:color w:val="auto"/>
      </w:rPr>
    </w:lvl>
    <w:lvl w:ilvl="1">
      <w:start w:val="1"/>
      <w:numFmt w:val="lowerLetter"/>
      <w:lvlText w:val="%2)"/>
      <w:lvlJc w:val="left"/>
      <w:pPr>
        <w:ind w:left="587" w:hanging="360"/>
      </w:pPr>
    </w:lvl>
    <w:lvl w:ilvl="2">
      <w:start w:val="1"/>
      <w:numFmt w:val="bullet"/>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0"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1" w15:restartNumberingAfterBreak="0">
    <w:nsid w:val="6BFA2659"/>
    <w:multiLevelType w:val="hybridMultilevel"/>
    <w:tmpl w:val="B816BF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DF51F03"/>
    <w:multiLevelType w:val="multilevel"/>
    <w:tmpl w:val="A11C394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61B4A1B"/>
    <w:multiLevelType w:val="multilevel"/>
    <w:tmpl w:val="4F48000A"/>
    <w:numStyleLink w:val="Alphalist"/>
  </w:abstractNum>
  <w:num w:numId="1" w16cid:durableId="1960144678">
    <w:abstractNumId w:val="6"/>
  </w:num>
  <w:num w:numId="2" w16cid:durableId="1469396518">
    <w:abstractNumId w:val="2"/>
  </w:num>
  <w:num w:numId="3" w16cid:durableId="183128717">
    <w:abstractNumId w:val="10"/>
  </w:num>
  <w:num w:numId="4" w16cid:durableId="1097671426">
    <w:abstractNumId w:val="18"/>
  </w:num>
  <w:num w:numId="5" w16cid:durableId="1179007491">
    <w:abstractNumId w:val="20"/>
  </w:num>
  <w:num w:numId="6" w16cid:durableId="945118652">
    <w:abstractNumId w:val="15"/>
  </w:num>
  <w:num w:numId="7" w16cid:durableId="590041939">
    <w:abstractNumId w:val="12"/>
  </w:num>
  <w:num w:numId="8" w16cid:durableId="663437448">
    <w:abstractNumId w:val="8"/>
  </w:num>
  <w:num w:numId="9" w16cid:durableId="1834755668">
    <w:abstractNumId w:val="11"/>
  </w:num>
  <w:num w:numId="10" w16cid:durableId="1379160524">
    <w:abstractNumId w:val="23"/>
  </w:num>
  <w:num w:numId="11" w16cid:durableId="1596598098">
    <w:abstractNumId w:val="0"/>
  </w:num>
  <w:num w:numId="12" w16cid:durableId="1098722102">
    <w:abstractNumId w:val="3"/>
  </w:num>
  <w:num w:numId="13" w16cid:durableId="239557782">
    <w:abstractNumId w:val="9"/>
  </w:num>
  <w:num w:numId="14" w16cid:durableId="846403689">
    <w:abstractNumId w:val="5"/>
  </w:num>
  <w:num w:numId="15" w16cid:durableId="74983605">
    <w:abstractNumId w:val="4"/>
  </w:num>
  <w:num w:numId="16" w16cid:durableId="1390030141">
    <w:abstractNumId w:val="1"/>
  </w:num>
  <w:num w:numId="17" w16cid:durableId="1158885473">
    <w:abstractNumId w:val="13"/>
  </w:num>
  <w:num w:numId="18" w16cid:durableId="1618489781">
    <w:abstractNumId w:val="22"/>
  </w:num>
  <w:num w:numId="19" w16cid:durableId="1278559019">
    <w:abstractNumId w:val="7"/>
  </w:num>
  <w:num w:numId="20" w16cid:durableId="1048263695">
    <w:abstractNumId w:val="19"/>
  </w:num>
  <w:num w:numId="21" w16cid:durableId="338041920">
    <w:abstractNumId w:val="21"/>
  </w:num>
  <w:num w:numId="22" w16cid:durableId="1565985376">
    <w:abstractNumId w:val="16"/>
  </w:num>
  <w:num w:numId="23" w16cid:durableId="7481913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11755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95211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90082278">
    <w:abstractNumId w:val="5"/>
    <w:lvlOverride w:ilvl="0">
      <w:startOverride w:val="1"/>
      <w:lvl w:ilvl="0">
        <w:start w:val="1"/>
        <w:numFmt w:val="decimal"/>
        <w:pStyle w:val="ListNumber"/>
        <w:lvlText w:val="%1."/>
        <w:lvlJc w:val="left"/>
        <w:pPr>
          <w:ind w:left="454" w:hanging="454"/>
        </w:pPr>
        <w:rPr>
          <w:rFonts w:hint="default"/>
        </w:rPr>
      </w:lvl>
    </w:lvlOverride>
    <w:lvlOverride w:ilvl="1">
      <w:startOverride w:val="1"/>
      <w:lvl w:ilvl="1">
        <w:start w:val="1"/>
        <w:numFmt w:val="decimal"/>
        <w:pStyle w:val="ListNumber2"/>
        <w:lvlText w:val="%1.%2."/>
        <w:lvlJc w:val="left"/>
        <w:pPr>
          <w:ind w:left="680" w:hanging="680"/>
        </w:pPr>
        <w:rPr>
          <w:rFonts w:hint="default"/>
        </w:rPr>
      </w:lvl>
    </w:lvlOverride>
    <w:lvlOverride w:ilvl="2">
      <w:startOverride w:val="1"/>
      <w:lvl w:ilvl="2">
        <w:start w:val="1"/>
        <w:numFmt w:val="decimal"/>
        <w:pStyle w:val="ListNumber3"/>
        <w:lvlText w:val="%1.%2.%3."/>
        <w:lvlJc w:val="left"/>
        <w:pPr>
          <w:ind w:left="907" w:hanging="907"/>
        </w:pPr>
        <w:rPr>
          <w:rFonts w:hint="default"/>
        </w:rPr>
      </w:lvl>
    </w:lvlOverride>
    <w:lvlOverride w:ilvl="3">
      <w:startOverride w:val="1"/>
      <w:lvl w:ilvl="3">
        <w:start w:val="1"/>
        <w:numFmt w:val="decimal"/>
        <w:pStyle w:val="ListNumber4"/>
        <w:lvlText w:val="%1.%2.%3.%4."/>
        <w:lvlJc w:val="left"/>
        <w:pPr>
          <w:ind w:left="1134" w:hanging="1134"/>
        </w:pPr>
        <w:rPr>
          <w:rFonts w:hint="default"/>
        </w:rPr>
      </w:lvl>
    </w:lvlOverride>
    <w:lvlOverride w:ilvl="4">
      <w:startOverride w:val="1"/>
      <w:lvl w:ilvl="4">
        <w:start w:val="1"/>
        <w:numFmt w:val="decimal"/>
        <w:pStyle w:val="ListNumber5"/>
        <w:lvlText w:val="%1.%2.%3.%4.%5"/>
        <w:lvlJc w:val="left"/>
        <w:pPr>
          <w:ind w:left="1361" w:hanging="1361"/>
        </w:pPr>
        <w:rPr>
          <w:rFonts w:hint="default"/>
        </w:rPr>
      </w:lvl>
    </w:lvlOverride>
    <w:lvlOverride w:ilvl="5">
      <w:startOverride w:val="1"/>
      <w:lvl w:ilvl="5">
        <w:start w:val="1"/>
        <w:numFmt w:val="decimal"/>
        <w:lvlText w:val="%6"/>
        <w:lvlJc w:val="lef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decimal"/>
        <w:lvlText w:val="%8."/>
        <w:lvlJc w:val="left"/>
        <w:pPr>
          <w:ind w:left="567" w:hanging="567"/>
        </w:pPr>
        <w:rPr>
          <w:rFonts w:hint="default"/>
        </w:rPr>
      </w:lvl>
    </w:lvlOverride>
    <w:lvlOverride w:ilvl="8">
      <w:startOverride w:val="1"/>
      <w:lvl w:ilvl="8">
        <w:start w:val="1"/>
        <w:numFmt w:val="none"/>
        <w:lvlText w:val=""/>
        <w:lvlJc w:val="right"/>
        <w:pPr>
          <w:ind w:left="567" w:hanging="567"/>
        </w:pPr>
        <w:rPr>
          <w:rFonts w:hint="default"/>
        </w:rPr>
      </w:lvl>
    </w:lvlOverride>
  </w:num>
  <w:num w:numId="27" w16cid:durableId="1803500550">
    <w:abstractNumId w:val="17"/>
  </w:num>
  <w:num w:numId="28" w16cid:durableId="244413201">
    <w:abstractNumId w:val="14"/>
  </w:num>
  <w:num w:numId="29" w16cid:durableId="1810247836">
    <w:abstractNumId w:val="12"/>
  </w:num>
  <w:num w:numId="30" w16cid:durableId="122160067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558191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7249181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634449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69958609">
    <w:abstractNumId w:val="4"/>
  </w:num>
  <w:num w:numId="35" w16cid:durableId="762842419">
    <w:abstractNumId w:val="5"/>
  </w:num>
  <w:num w:numId="36" w16cid:durableId="1559051936">
    <w:abstractNumId w:val="5"/>
  </w:num>
  <w:num w:numId="37" w16cid:durableId="594484244">
    <w:abstractNumId w:val="5"/>
  </w:num>
  <w:num w:numId="38" w16cid:durableId="849220089">
    <w:abstractNumId w:val="4"/>
  </w:num>
  <w:num w:numId="39" w16cid:durableId="8632544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187790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476429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771908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06155459">
    <w:abstractNumId w:val="5"/>
  </w:num>
  <w:num w:numId="44" w16cid:durableId="17950605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5D1"/>
    <w:rsid w:val="00000075"/>
    <w:rsid w:val="00000F3C"/>
    <w:rsid w:val="000027E4"/>
    <w:rsid w:val="000043FE"/>
    <w:rsid w:val="00004489"/>
    <w:rsid w:val="00005C79"/>
    <w:rsid w:val="000068C0"/>
    <w:rsid w:val="000074AB"/>
    <w:rsid w:val="00007C48"/>
    <w:rsid w:val="00010813"/>
    <w:rsid w:val="00010B38"/>
    <w:rsid w:val="00010C8E"/>
    <w:rsid w:val="00012189"/>
    <w:rsid w:val="000178BF"/>
    <w:rsid w:val="00017DF1"/>
    <w:rsid w:val="000215B7"/>
    <w:rsid w:val="00023CD1"/>
    <w:rsid w:val="00026C04"/>
    <w:rsid w:val="00026FF5"/>
    <w:rsid w:val="000300AF"/>
    <w:rsid w:val="00030107"/>
    <w:rsid w:val="00030172"/>
    <w:rsid w:val="00031AE3"/>
    <w:rsid w:val="000331E4"/>
    <w:rsid w:val="0003338D"/>
    <w:rsid w:val="00033619"/>
    <w:rsid w:val="00034765"/>
    <w:rsid w:val="00036517"/>
    <w:rsid w:val="000376DB"/>
    <w:rsid w:val="00037A63"/>
    <w:rsid w:val="0004013F"/>
    <w:rsid w:val="0004066F"/>
    <w:rsid w:val="00040746"/>
    <w:rsid w:val="00047894"/>
    <w:rsid w:val="00047C37"/>
    <w:rsid w:val="00047F2E"/>
    <w:rsid w:val="000509B2"/>
    <w:rsid w:val="0005151B"/>
    <w:rsid w:val="000532B0"/>
    <w:rsid w:val="00054C95"/>
    <w:rsid w:val="000561CF"/>
    <w:rsid w:val="00056A92"/>
    <w:rsid w:val="0005774F"/>
    <w:rsid w:val="000600A9"/>
    <w:rsid w:val="00060693"/>
    <w:rsid w:val="000624DF"/>
    <w:rsid w:val="00062A44"/>
    <w:rsid w:val="0006305A"/>
    <w:rsid w:val="00063507"/>
    <w:rsid w:val="00064EC9"/>
    <w:rsid w:val="000666EB"/>
    <w:rsid w:val="00067073"/>
    <w:rsid w:val="000701BD"/>
    <w:rsid w:val="00071DE0"/>
    <w:rsid w:val="00072247"/>
    <w:rsid w:val="000724AE"/>
    <w:rsid w:val="00072513"/>
    <w:rsid w:val="00073D07"/>
    <w:rsid w:val="000766FE"/>
    <w:rsid w:val="0007776A"/>
    <w:rsid w:val="00077A76"/>
    <w:rsid w:val="00077D8D"/>
    <w:rsid w:val="0008037D"/>
    <w:rsid w:val="0008097D"/>
    <w:rsid w:val="00084660"/>
    <w:rsid w:val="00084CAF"/>
    <w:rsid w:val="00085FB9"/>
    <w:rsid w:val="00087388"/>
    <w:rsid w:val="000873F2"/>
    <w:rsid w:val="0009085E"/>
    <w:rsid w:val="00090CD3"/>
    <w:rsid w:val="00091286"/>
    <w:rsid w:val="00095149"/>
    <w:rsid w:val="00096E10"/>
    <w:rsid w:val="000A085E"/>
    <w:rsid w:val="000A0F08"/>
    <w:rsid w:val="000A2C13"/>
    <w:rsid w:val="000A38AA"/>
    <w:rsid w:val="000A4012"/>
    <w:rsid w:val="000A47A8"/>
    <w:rsid w:val="000A5140"/>
    <w:rsid w:val="000A56B5"/>
    <w:rsid w:val="000A5A14"/>
    <w:rsid w:val="000A5AB9"/>
    <w:rsid w:val="000A62FD"/>
    <w:rsid w:val="000B0298"/>
    <w:rsid w:val="000B4735"/>
    <w:rsid w:val="000B497F"/>
    <w:rsid w:val="000B4A72"/>
    <w:rsid w:val="000B5105"/>
    <w:rsid w:val="000B5C8D"/>
    <w:rsid w:val="000B6AC0"/>
    <w:rsid w:val="000C0BBE"/>
    <w:rsid w:val="000C1EC4"/>
    <w:rsid w:val="000C31C2"/>
    <w:rsid w:val="000C5F8E"/>
    <w:rsid w:val="000C6B77"/>
    <w:rsid w:val="000D024C"/>
    <w:rsid w:val="000D0559"/>
    <w:rsid w:val="000D058E"/>
    <w:rsid w:val="000D163F"/>
    <w:rsid w:val="000D3B70"/>
    <w:rsid w:val="000D45C3"/>
    <w:rsid w:val="000D5314"/>
    <w:rsid w:val="000E1432"/>
    <w:rsid w:val="000E229C"/>
    <w:rsid w:val="000E2B20"/>
    <w:rsid w:val="000E37FE"/>
    <w:rsid w:val="000E3D24"/>
    <w:rsid w:val="000E43B0"/>
    <w:rsid w:val="000E6F16"/>
    <w:rsid w:val="000F30C9"/>
    <w:rsid w:val="000F3274"/>
    <w:rsid w:val="000F3BB5"/>
    <w:rsid w:val="000F4488"/>
    <w:rsid w:val="001002DE"/>
    <w:rsid w:val="00100FAB"/>
    <w:rsid w:val="0010118F"/>
    <w:rsid w:val="00101477"/>
    <w:rsid w:val="00102698"/>
    <w:rsid w:val="00107304"/>
    <w:rsid w:val="0010756A"/>
    <w:rsid w:val="00107FA4"/>
    <w:rsid w:val="0011217E"/>
    <w:rsid w:val="00112E8F"/>
    <w:rsid w:val="00114E58"/>
    <w:rsid w:val="00115062"/>
    <w:rsid w:val="00116784"/>
    <w:rsid w:val="00117736"/>
    <w:rsid w:val="00120792"/>
    <w:rsid w:val="00120E0D"/>
    <w:rsid w:val="001232CB"/>
    <w:rsid w:val="001243AA"/>
    <w:rsid w:val="0012509E"/>
    <w:rsid w:val="0012526C"/>
    <w:rsid w:val="0012557F"/>
    <w:rsid w:val="001268BC"/>
    <w:rsid w:val="00131108"/>
    <w:rsid w:val="0013224E"/>
    <w:rsid w:val="00132B8A"/>
    <w:rsid w:val="00136E78"/>
    <w:rsid w:val="00137220"/>
    <w:rsid w:val="0013722E"/>
    <w:rsid w:val="00137FAB"/>
    <w:rsid w:val="00141481"/>
    <w:rsid w:val="00142EEA"/>
    <w:rsid w:val="00143156"/>
    <w:rsid w:val="001448CC"/>
    <w:rsid w:val="00144B07"/>
    <w:rsid w:val="0014590B"/>
    <w:rsid w:val="00151ED2"/>
    <w:rsid w:val="00154E0D"/>
    <w:rsid w:val="00155F32"/>
    <w:rsid w:val="00156E32"/>
    <w:rsid w:val="001600E9"/>
    <w:rsid w:val="00160FEC"/>
    <w:rsid w:val="001610E5"/>
    <w:rsid w:val="00161B84"/>
    <w:rsid w:val="00161BC8"/>
    <w:rsid w:val="00164FBF"/>
    <w:rsid w:val="00165E55"/>
    <w:rsid w:val="001660A8"/>
    <w:rsid w:val="0016768C"/>
    <w:rsid w:val="001703CC"/>
    <w:rsid w:val="00170997"/>
    <w:rsid w:val="001714F3"/>
    <w:rsid w:val="00173398"/>
    <w:rsid w:val="00175DBB"/>
    <w:rsid w:val="0017697C"/>
    <w:rsid w:val="001769BA"/>
    <w:rsid w:val="00177691"/>
    <w:rsid w:val="0018089D"/>
    <w:rsid w:val="00180A6E"/>
    <w:rsid w:val="00181B5D"/>
    <w:rsid w:val="00182E18"/>
    <w:rsid w:val="00182FCF"/>
    <w:rsid w:val="00184930"/>
    <w:rsid w:val="001853D2"/>
    <w:rsid w:val="00187F05"/>
    <w:rsid w:val="00191043"/>
    <w:rsid w:val="0019201F"/>
    <w:rsid w:val="00192C9E"/>
    <w:rsid w:val="001938F6"/>
    <w:rsid w:val="00193A05"/>
    <w:rsid w:val="001957BF"/>
    <w:rsid w:val="0019632F"/>
    <w:rsid w:val="001A0D77"/>
    <w:rsid w:val="001A196A"/>
    <w:rsid w:val="001A1D95"/>
    <w:rsid w:val="001A2565"/>
    <w:rsid w:val="001A54EF"/>
    <w:rsid w:val="001A734C"/>
    <w:rsid w:val="001A7CE7"/>
    <w:rsid w:val="001A7DCA"/>
    <w:rsid w:val="001B0920"/>
    <w:rsid w:val="001B1762"/>
    <w:rsid w:val="001B17AC"/>
    <w:rsid w:val="001B26F5"/>
    <w:rsid w:val="001B2F0E"/>
    <w:rsid w:val="001B41E5"/>
    <w:rsid w:val="001B588D"/>
    <w:rsid w:val="001B79A6"/>
    <w:rsid w:val="001C0D51"/>
    <w:rsid w:val="001C1986"/>
    <w:rsid w:val="001C3154"/>
    <w:rsid w:val="001C3700"/>
    <w:rsid w:val="001C3DAF"/>
    <w:rsid w:val="001C5697"/>
    <w:rsid w:val="001C6314"/>
    <w:rsid w:val="001C7835"/>
    <w:rsid w:val="001D4050"/>
    <w:rsid w:val="001D6443"/>
    <w:rsid w:val="001D7D9B"/>
    <w:rsid w:val="001E1322"/>
    <w:rsid w:val="001E1B57"/>
    <w:rsid w:val="001E441B"/>
    <w:rsid w:val="001E4978"/>
    <w:rsid w:val="001E5387"/>
    <w:rsid w:val="001E6576"/>
    <w:rsid w:val="001E699C"/>
    <w:rsid w:val="001F13C1"/>
    <w:rsid w:val="001F1E9A"/>
    <w:rsid w:val="001F350A"/>
    <w:rsid w:val="001F446D"/>
    <w:rsid w:val="001F5A97"/>
    <w:rsid w:val="001F6B0A"/>
    <w:rsid w:val="001F7B7A"/>
    <w:rsid w:val="00200059"/>
    <w:rsid w:val="00201095"/>
    <w:rsid w:val="00201320"/>
    <w:rsid w:val="0020204A"/>
    <w:rsid w:val="0020535F"/>
    <w:rsid w:val="00207477"/>
    <w:rsid w:val="00210692"/>
    <w:rsid w:val="002112EC"/>
    <w:rsid w:val="00211A21"/>
    <w:rsid w:val="00211A70"/>
    <w:rsid w:val="00216917"/>
    <w:rsid w:val="00216A82"/>
    <w:rsid w:val="00221800"/>
    <w:rsid w:val="00221AB7"/>
    <w:rsid w:val="002221A3"/>
    <w:rsid w:val="00224FE7"/>
    <w:rsid w:val="00225E20"/>
    <w:rsid w:val="00227338"/>
    <w:rsid w:val="0022738A"/>
    <w:rsid w:val="00227712"/>
    <w:rsid w:val="00231132"/>
    <w:rsid w:val="00231873"/>
    <w:rsid w:val="00232543"/>
    <w:rsid w:val="00232AB1"/>
    <w:rsid w:val="0023478D"/>
    <w:rsid w:val="00234C3F"/>
    <w:rsid w:val="00236314"/>
    <w:rsid w:val="002403BA"/>
    <w:rsid w:val="0024055E"/>
    <w:rsid w:val="00240B54"/>
    <w:rsid w:val="00240E3D"/>
    <w:rsid w:val="0024189B"/>
    <w:rsid w:val="00242175"/>
    <w:rsid w:val="00242F78"/>
    <w:rsid w:val="002457DE"/>
    <w:rsid w:val="00245D14"/>
    <w:rsid w:val="00246435"/>
    <w:rsid w:val="00246BCF"/>
    <w:rsid w:val="00247A6E"/>
    <w:rsid w:val="00247AAD"/>
    <w:rsid w:val="00247BCB"/>
    <w:rsid w:val="00247DB3"/>
    <w:rsid w:val="00251245"/>
    <w:rsid w:val="00251498"/>
    <w:rsid w:val="00251CA2"/>
    <w:rsid w:val="00252F0C"/>
    <w:rsid w:val="00254B04"/>
    <w:rsid w:val="002569B2"/>
    <w:rsid w:val="002601BB"/>
    <w:rsid w:val="002607B3"/>
    <w:rsid w:val="002632FB"/>
    <w:rsid w:val="00263FE3"/>
    <w:rsid w:val="00265918"/>
    <w:rsid w:val="0026707D"/>
    <w:rsid w:val="00270834"/>
    <w:rsid w:val="002716E9"/>
    <w:rsid w:val="00271F50"/>
    <w:rsid w:val="002726E8"/>
    <w:rsid w:val="00272FD8"/>
    <w:rsid w:val="00273E86"/>
    <w:rsid w:val="00274F5F"/>
    <w:rsid w:val="002814E6"/>
    <w:rsid w:val="00281A54"/>
    <w:rsid w:val="00282AE5"/>
    <w:rsid w:val="00282C87"/>
    <w:rsid w:val="0028363A"/>
    <w:rsid w:val="00285B45"/>
    <w:rsid w:val="002865D9"/>
    <w:rsid w:val="00287035"/>
    <w:rsid w:val="00287114"/>
    <w:rsid w:val="0028719E"/>
    <w:rsid w:val="00292C03"/>
    <w:rsid w:val="002934FF"/>
    <w:rsid w:val="002936B4"/>
    <w:rsid w:val="002938AD"/>
    <w:rsid w:val="00293B85"/>
    <w:rsid w:val="002951E6"/>
    <w:rsid w:val="00295330"/>
    <w:rsid w:val="00295982"/>
    <w:rsid w:val="00297D08"/>
    <w:rsid w:val="002A0761"/>
    <w:rsid w:val="002A25EB"/>
    <w:rsid w:val="002A3D98"/>
    <w:rsid w:val="002A46E7"/>
    <w:rsid w:val="002A5D59"/>
    <w:rsid w:val="002A7810"/>
    <w:rsid w:val="002A7F74"/>
    <w:rsid w:val="002B0577"/>
    <w:rsid w:val="002B255A"/>
    <w:rsid w:val="002B331B"/>
    <w:rsid w:val="002B419D"/>
    <w:rsid w:val="002B447E"/>
    <w:rsid w:val="002B4E39"/>
    <w:rsid w:val="002B6993"/>
    <w:rsid w:val="002B6FB2"/>
    <w:rsid w:val="002B7FA8"/>
    <w:rsid w:val="002C2150"/>
    <w:rsid w:val="002C66C6"/>
    <w:rsid w:val="002C6BD5"/>
    <w:rsid w:val="002C6DD5"/>
    <w:rsid w:val="002C797E"/>
    <w:rsid w:val="002D04A7"/>
    <w:rsid w:val="002D0CE9"/>
    <w:rsid w:val="002D1515"/>
    <w:rsid w:val="002D2867"/>
    <w:rsid w:val="002D46C2"/>
    <w:rsid w:val="002D50CB"/>
    <w:rsid w:val="002D54DD"/>
    <w:rsid w:val="002D73EC"/>
    <w:rsid w:val="002E331A"/>
    <w:rsid w:val="002E3F19"/>
    <w:rsid w:val="002E51D2"/>
    <w:rsid w:val="002E60B4"/>
    <w:rsid w:val="002E6226"/>
    <w:rsid w:val="002E7A0E"/>
    <w:rsid w:val="002E7EFA"/>
    <w:rsid w:val="002F4145"/>
    <w:rsid w:val="002F6386"/>
    <w:rsid w:val="002F7770"/>
    <w:rsid w:val="00301F05"/>
    <w:rsid w:val="00302C03"/>
    <w:rsid w:val="003034F5"/>
    <w:rsid w:val="00303704"/>
    <w:rsid w:val="00304FA6"/>
    <w:rsid w:val="00305171"/>
    <w:rsid w:val="003066CB"/>
    <w:rsid w:val="00306EAD"/>
    <w:rsid w:val="00307F58"/>
    <w:rsid w:val="0031038D"/>
    <w:rsid w:val="00310A05"/>
    <w:rsid w:val="003115B4"/>
    <w:rsid w:val="00312632"/>
    <w:rsid w:val="00312F88"/>
    <w:rsid w:val="00316B5A"/>
    <w:rsid w:val="003178BD"/>
    <w:rsid w:val="0032127F"/>
    <w:rsid w:val="0032138E"/>
    <w:rsid w:val="00323092"/>
    <w:rsid w:val="0032328C"/>
    <w:rsid w:val="00323400"/>
    <w:rsid w:val="00325360"/>
    <w:rsid w:val="00326A36"/>
    <w:rsid w:val="00326E0C"/>
    <w:rsid w:val="00330A5E"/>
    <w:rsid w:val="0033174B"/>
    <w:rsid w:val="00332057"/>
    <w:rsid w:val="00332E6E"/>
    <w:rsid w:val="00333822"/>
    <w:rsid w:val="00336920"/>
    <w:rsid w:val="00336990"/>
    <w:rsid w:val="00336ECB"/>
    <w:rsid w:val="003370D5"/>
    <w:rsid w:val="003376A8"/>
    <w:rsid w:val="00342FE5"/>
    <w:rsid w:val="003452DD"/>
    <w:rsid w:val="0034596E"/>
    <w:rsid w:val="00345D6A"/>
    <w:rsid w:val="0034605B"/>
    <w:rsid w:val="0034680A"/>
    <w:rsid w:val="00350297"/>
    <w:rsid w:val="00350756"/>
    <w:rsid w:val="003517DF"/>
    <w:rsid w:val="0035293A"/>
    <w:rsid w:val="003530AB"/>
    <w:rsid w:val="00354696"/>
    <w:rsid w:val="0035519A"/>
    <w:rsid w:val="0035625E"/>
    <w:rsid w:val="00356B61"/>
    <w:rsid w:val="0036059A"/>
    <w:rsid w:val="0036171C"/>
    <w:rsid w:val="003626C8"/>
    <w:rsid w:val="003638C4"/>
    <w:rsid w:val="00363FF8"/>
    <w:rsid w:val="003640E1"/>
    <w:rsid w:val="00366CC5"/>
    <w:rsid w:val="00367BFC"/>
    <w:rsid w:val="0037182A"/>
    <w:rsid w:val="0037250C"/>
    <w:rsid w:val="003746F5"/>
    <w:rsid w:val="00376491"/>
    <w:rsid w:val="0037721D"/>
    <w:rsid w:val="00380E0C"/>
    <w:rsid w:val="0038102A"/>
    <w:rsid w:val="003833B4"/>
    <w:rsid w:val="00383AC8"/>
    <w:rsid w:val="00384570"/>
    <w:rsid w:val="003848E4"/>
    <w:rsid w:val="00386286"/>
    <w:rsid w:val="0038798B"/>
    <w:rsid w:val="00390C0B"/>
    <w:rsid w:val="00392173"/>
    <w:rsid w:val="0039316B"/>
    <w:rsid w:val="00393BAE"/>
    <w:rsid w:val="00395171"/>
    <w:rsid w:val="003967D2"/>
    <w:rsid w:val="003972D5"/>
    <w:rsid w:val="003A0A8F"/>
    <w:rsid w:val="003A186B"/>
    <w:rsid w:val="003A45DB"/>
    <w:rsid w:val="003A5363"/>
    <w:rsid w:val="003A54DE"/>
    <w:rsid w:val="003A6C77"/>
    <w:rsid w:val="003A6EA6"/>
    <w:rsid w:val="003A743E"/>
    <w:rsid w:val="003A7ADE"/>
    <w:rsid w:val="003B098E"/>
    <w:rsid w:val="003B0AA7"/>
    <w:rsid w:val="003B0DF8"/>
    <w:rsid w:val="003B24B6"/>
    <w:rsid w:val="003B2A34"/>
    <w:rsid w:val="003B4A52"/>
    <w:rsid w:val="003B4F43"/>
    <w:rsid w:val="003B5810"/>
    <w:rsid w:val="003B5913"/>
    <w:rsid w:val="003B6CB8"/>
    <w:rsid w:val="003B6E2C"/>
    <w:rsid w:val="003B794E"/>
    <w:rsid w:val="003B7DB1"/>
    <w:rsid w:val="003C01D4"/>
    <w:rsid w:val="003C2CC3"/>
    <w:rsid w:val="003C2FC7"/>
    <w:rsid w:val="003C57DC"/>
    <w:rsid w:val="003C59CE"/>
    <w:rsid w:val="003C69BF"/>
    <w:rsid w:val="003C6DCB"/>
    <w:rsid w:val="003C7B46"/>
    <w:rsid w:val="003D001A"/>
    <w:rsid w:val="003D09EE"/>
    <w:rsid w:val="003D0EF3"/>
    <w:rsid w:val="003D23A3"/>
    <w:rsid w:val="003D2472"/>
    <w:rsid w:val="003D352F"/>
    <w:rsid w:val="003D4A09"/>
    <w:rsid w:val="003D5856"/>
    <w:rsid w:val="003D6408"/>
    <w:rsid w:val="003D788D"/>
    <w:rsid w:val="003E51C9"/>
    <w:rsid w:val="003E58AA"/>
    <w:rsid w:val="003E6055"/>
    <w:rsid w:val="003F0161"/>
    <w:rsid w:val="003F32E2"/>
    <w:rsid w:val="003F3BA2"/>
    <w:rsid w:val="003F4828"/>
    <w:rsid w:val="003F547E"/>
    <w:rsid w:val="003F5806"/>
    <w:rsid w:val="003F657E"/>
    <w:rsid w:val="003F6F1A"/>
    <w:rsid w:val="0040060F"/>
    <w:rsid w:val="0040176C"/>
    <w:rsid w:val="0040195E"/>
    <w:rsid w:val="0040434A"/>
    <w:rsid w:val="00404E4F"/>
    <w:rsid w:val="00405C30"/>
    <w:rsid w:val="004064F7"/>
    <w:rsid w:val="00407410"/>
    <w:rsid w:val="004123B8"/>
    <w:rsid w:val="004125BC"/>
    <w:rsid w:val="00416798"/>
    <w:rsid w:val="00420F0E"/>
    <w:rsid w:val="0042286F"/>
    <w:rsid w:val="0042339A"/>
    <w:rsid w:val="00423B15"/>
    <w:rsid w:val="00424CB8"/>
    <w:rsid w:val="0042508F"/>
    <w:rsid w:val="00426C4C"/>
    <w:rsid w:val="00427F0C"/>
    <w:rsid w:val="00427FF6"/>
    <w:rsid w:val="0043326D"/>
    <w:rsid w:val="004357D6"/>
    <w:rsid w:val="00436791"/>
    <w:rsid w:val="004379C2"/>
    <w:rsid w:val="004400E8"/>
    <w:rsid w:val="00441641"/>
    <w:rsid w:val="00442477"/>
    <w:rsid w:val="00442DC5"/>
    <w:rsid w:val="00442FD4"/>
    <w:rsid w:val="0044335B"/>
    <w:rsid w:val="00444906"/>
    <w:rsid w:val="004458C7"/>
    <w:rsid w:val="00445A34"/>
    <w:rsid w:val="00445BC3"/>
    <w:rsid w:val="00445D3F"/>
    <w:rsid w:val="00445DAD"/>
    <w:rsid w:val="00450AE6"/>
    <w:rsid w:val="00450C80"/>
    <w:rsid w:val="00451098"/>
    <w:rsid w:val="00451629"/>
    <w:rsid w:val="0045399B"/>
    <w:rsid w:val="004543B7"/>
    <w:rsid w:val="004544D6"/>
    <w:rsid w:val="00461CE9"/>
    <w:rsid w:val="00462407"/>
    <w:rsid w:val="004631DD"/>
    <w:rsid w:val="004635FD"/>
    <w:rsid w:val="00465585"/>
    <w:rsid w:val="00467B1F"/>
    <w:rsid w:val="00467FD6"/>
    <w:rsid w:val="00470129"/>
    <w:rsid w:val="004728A0"/>
    <w:rsid w:val="00473700"/>
    <w:rsid w:val="004741F0"/>
    <w:rsid w:val="004742DD"/>
    <w:rsid w:val="00475231"/>
    <w:rsid w:val="0048042F"/>
    <w:rsid w:val="00480C1A"/>
    <w:rsid w:val="00481853"/>
    <w:rsid w:val="004819B3"/>
    <w:rsid w:val="00482295"/>
    <w:rsid w:val="00484E96"/>
    <w:rsid w:val="004852DB"/>
    <w:rsid w:val="00493444"/>
    <w:rsid w:val="004947DB"/>
    <w:rsid w:val="004961A3"/>
    <w:rsid w:val="00496700"/>
    <w:rsid w:val="0049695F"/>
    <w:rsid w:val="00496D3D"/>
    <w:rsid w:val="00497450"/>
    <w:rsid w:val="00497BE9"/>
    <w:rsid w:val="004A1535"/>
    <w:rsid w:val="004A2B0A"/>
    <w:rsid w:val="004A2FB8"/>
    <w:rsid w:val="004A3738"/>
    <w:rsid w:val="004A3E58"/>
    <w:rsid w:val="004A40A7"/>
    <w:rsid w:val="004A5586"/>
    <w:rsid w:val="004A7221"/>
    <w:rsid w:val="004B1531"/>
    <w:rsid w:val="004B2A9E"/>
    <w:rsid w:val="004B4D5B"/>
    <w:rsid w:val="004B5339"/>
    <w:rsid w:val="004B609E"/>
    <w:rsid w:val="004C09EA"/>
    <w:rsid w:val="004C34D2"/>
    <w:rsid w:val="004C4823"/>
    <w:rsid w:val="004C786D"/>
    <w:rsid w:val="004D109F"/>
    <w:rsid w:val="004D1103"/>
    <w:rsid w:val="004D3C91"/>
    <w:rsid w:val="004D5402"/>
    <w:rsid w:val="004D582F"/>
    <w:rsid w:val="004D6B8B"/>
    <w:rsid w:val="004E0042"/>
    <w:rsid w:val="004E1233"/>
    <w:rsid w:val="004E28C6"/>
    <w:rsid w:val="004E4256"/>
    <w:rsid w:val="004E45D4"/>
    <w:rsid w:val="004E4986"/>
    <w:rsid w:val="004E6DE1"/>
    <w:rsid w:val="004F010C"/>
    <w:rsid w:val="004F0FDD"/>
    <w:rsid w:val="004F10E0"/>
    <w:rsid w:val="004F138F"/>
    <w:rsid w:val="004F2D0A"/>
    <w:rsid w:val="004F30F7"/>
    <w:rsid w:val="004F346E"/>
    <w:rsid w:val="004F3618"/>
    <w:rsid w:val="004F37FA"/>
    <w:rsid w:val="004F420C"/>
    <w:rsid w:val="004F4877"/>
    <w:rsid w:val="004F4932"/>
    <w:rsid w:val="004F7CD4"/>
    <w:rsid w:val="00500123"/>
    <w:rsid w:val="0050434E"/>
    <w:rsid w:val="0050670B"/>
    <w:rsid w:val="00506878"/>
    <w:rsid w:val="00506995"/>
    <w:rsid w:val="005112D7"/>
    <w:rsid w:val="00511B29"/>
    <w:rsid w:val="005124ED"/>
    <w:rsid w:val="005136E5"/>
    <w:rsid w:val="005141E8"/>
    <w:rsid w:val="00516A89"/>
    <w:rsid w:val="00516C8E"/>
    <w:rsid w:val="00517257"/>
    <w:rsid w:val="00517F1F"/>
    <w:rsid w:val="00522E1D"/>
    <w:rsid w:val="00525A69"/>
    <w:rsid w:val="00525E9E"/>
    <w:rsid w:val="00526325"/>
    <w:rsid w:val="00526E8F"/>
    <w:rsid w:val="00527A18"/>
    <w:rsid w:val="0053034E"/>
    <w:rsid w:val="00531FFB"/>
    <w:rsid w:val="005331B4"/>
    <w:rsid w:val="00534181"/>
    <w:rsid w:val="00534DB9"/>
    <w:rsid w:val="00536FE2"/>
    <w:rsid w:val="0054043E"/>
    <w:rsid w:val="0054056E"/>
    <w:rsid w:val="0054076A"/>
    <w:rsid w:val="00540AD4"/>
    <w:rsid w:val="00540B70"/>
    <w:rsid w:val="00540F6B"/>
    <w:rsid w:val="005415A6"/>
    <w:rsid w:val="00542CCC"/>
    <w:rsid w:val="00545B97"/>
    <w:rsid w:val="00545FB2"/>
    <w:rsid w:val="00550C99"/>
    <w:rsid w:val="00552194"/>
    <w:rsid w:val="00553413"/>
    <w:rsid w:val="00554C9A"/>
    <w:rsid w:val="00555582"/>
    <w:rsid w:val="00555AB2"/>
    <w:rsid w:val="00556DDC"/>
    <w:rsid w:val="00557EE4"/>
    <w:rsid w:val="00561129"/>
    <w:rsid w:val="00562410"/>
    <w:rsid w:val="005649CB"/>
    <w:rsid w:val="0056523A"/>
    <w:rsid w:val="005663BD"/>
    <w:rsid w:val="00571371"/>
    <w:rsid w:val="00571C54"/>
    <w:rsid w:val="00571F16"/>
    <w:rsid w:val="00572A66"/>
    <w:rsid w:val="00573ADA"/>
    <w:rsid w:val="0057523A"/>
    <w:rsid w:val="005754AB"/>
    <w:rsid w:val="005754DB"/>
    <w:rsid w:val="005773E5"/>
    <w:rsid w:val="00581578"/>
    <w:rsid w:val="005819B9"/>
    <w:rsid w:val="005826F4"/>
    <w:rsid w:val="00582F06"/>
    <w:rsid w:val="005835A9"/>
    <w:rsid w:val="0058369E"/>
    <w:rsid w:val="00584E06"/>
    <w:rsid w:val="00585395"/>
    <w:rsid w:val="00585F9B"/>
    <w:rsid w:val="00586114"/>
    <w:rsid w:val="00590D09"/>
    <w:rsid w:val="0059156A"/>
    <w:rsid w:val="00593023"/>
    <w:rsid w:val="00593314"/>
    <w:rsid w:val="0059368E"/>
    <w:rsid w:val="00593BF5"/>
    <w:rsid w:val="00593DE5"/>
    <w:rsid w:val="00594496"/>
    <w:rsid w:val="005956D3"/>
    <w:rsid w:val="00596365"/>
    <w:rsid w:val="005964CD"/>
    <w:rsid w:val="005965BC"/>
    <w:rsid w:val="005967B1"/>
    <w:rsid w:val="005969A4"/>
    <w:rsid w:val="00596E51"/>
    <w:rsid w:val="005A1754"/>
    <w:rsid w:val="005A19E2"/>
    <w:rsid w:val="005A451A"/>
    <w:rsid w:val="005A5403"/>
    <w:rsid w:val="005A7E41"/>
    <w:rsid w:val="005A7E78"/>
    <w:rsid w:val="005B03ED"/>
    <w:rsid w:val="005B1776"/>
    <w:rsid w:val="005B1A9A"/>
    <w:rsid w:val="005B1BA3"/>
    <w:rsid w:val="005B32FB"/>
    <w:rsid w:val="005B4989"/>
    <w:rsid w:val="005B52E7"/>
    <w:rsid w:val="005B7421"/>
    <w:rsid w:val="005B794F"/>
    <w:rsid w:val="005B7FE4"/>
    <w:rsid w:val="005C05E0"/>
    <w:rsid w:val="005C1566"/>
    <w:rsid w:val="005C2887"/>
    <w:rsid w:val="005C37E0"/>
    <w:rsid w:val="005C54B9"/>
    <w:rsid w:val="005C5A1C"/>
    <w:rsid w:val="005C6618"/>
    <w:rsid w:val="005C70D5"/>
    <w:rsid w:val="005D0189"/>
    <w:rsid w:val="005D0C4B"/>
    <w:rsid w:val="005D34CC"/>
    <w:rsid w:val="005D523B"/>
    <w:rsid w:val="005D6467"/>
    <w:rsid w:val="005E0330"/>
    <w:rsid w:val="005E074D"/>
    <w:rsid w:val="005E0B71"/>
    <w:rsid w:val="005E2CD0"/>
    <w:rsid w:val="005E4092"/>
    <w:rsid w:val="005E4470"/>
    <w:rsid w:val="005E45EE"/>
    <w:rsid w:val="005E5794"/>
    <w:rsid w:val="005E65AF"/>
    <w:rsid w:val="005E6782"/>
    <w:rsid w:val="005E71B0"/>
    <w:rsid w:val="005E71DE"/>
    <w:rsid w:val="005E7671"/>
    <w:rsid w:val="005F0B0A"/>
    <w:rsid w:val="005F2748"/>
    <w:rsid w:val="005F31CF"/>
    <w:rsid w:val="005F3242"/>
    <w:rsid w:val="005F7900"/>
    <w:rsid w:val="00601617"/>
    <w:rsid w:val="00603FD5"/>
    <w:rsid w:val="006040BC"/>
    <w:rsid w:val="0060558C"/>
    <w:rsid w:val="00606C13"/>
    <w:rsid w:val="00607F03"/>
    <w:rsid w:val="00610627"/>
    <w:rsid w:val="00610CAA"/>
    <w:rsid w:val="00610F6C"/>
    <w:rsid w:val="00611761"/>
    <w:rsid w:val="0061237D"/>
    <w:rsid w:val="00615E70"/>
    <w:rsid w:val="00616DC8"/>
    <w:rsid w:val="00617D38"/>
    <w:rsid w:val="00620548"/>
    <w:rsid w:val="0062108E"/>
    <w:rsid w:val="00623142"/>
    <w:rsid w:val="006234E6"/>
    <w:rsid w:val="006248BB"/>
    <w:rsid w:val="00624B90"/>
    <w:rsid w:val="00625E13"/>
    <w:rsid w:val="006266BE"/>
    <w:rsid w:val="00626E85"/>
    <w:rsid w:val="0062756F"/>
    <w:rsid w:val="00630F02"/>
    <w:rsid w:val="00631216"/>
    <w:rsid w:val="0063370F"/>
    <w:rsid w:val="00635EBA"/>
    <w:rsid w:val="006378C9"/>
    <w:rsid w:val="00637F06"/>
    <w:rsid w:val="0064054F"/>
    <w:rsid w:val="0064180F"/>
    <w:rsid w:val="00644935"/>
    <w:rsid w:val="006450FC"/>
    <w:rsid w:val="0064534B"/>
    <w:rsid w:val="00645D46"/>
    <w:rsid w:val="006475BD"/>
    <w:rsid w:val="006475E4"/>
    <w:rsid w:val="00651AD3"/>
    <w:rsid w:val="0065263A"/>
    <w:rsid w:val="006527FF"/>
    <w:rsid w:val="00653C74"/>
    <w:rsid w:val="00653DB6"/>
    <w:rsid w:val="00656A8A"/>
    <w:rsid w:val="00657BBB"/>
    <w:rsid w:val="0066136A"/>
    <w:rsid w:val="00661934"/>
    <w:rsid w:val="00662209"/>
    <w:rsid w:val="0066507A"/>
    <w:rsid w:val="00665B2F"/>
    <w:rsid w:val="00667F77"/>
    <w:rsid w:val="006702FC"/>
    <w:rsid w:val="00670D9F"/>
    <w:rsid w:val="00670F22"/>
    <w:rsid w:val="00670FEA"/>
    <w:rsid w:val="00671C04"/>
    <w:rsid w:val="006734B3"/>
    <w:rsid w:val="006736BF"/>
    <w:rsid w:val="00673734"/>
    <w:rsid w:val="006752DD"/>
    <w:rsid w:val="00676026"/>
    <w:rsid w:val="00676DC5"/>
    <w:rsid w:val="00677CD6"/>
    <w:rsid w:val="006804DD"/>
    <w:rsid w:val="00681434"/>
    <w:rsid w:val="00682878"/>
    <w:rsid w:val="00684481"/>
    <w:rsid w:val="006849E9"/>
    <w:rsid w:val="0068724F"/>
    <w:rsid w:val="006904EB"/>
    <w:rsid w:val="006908F8"/>
    <w:rsid w:val="00692498"/>
    <w:rsid w:val="00692B4B"/>
    <w:rsid w:val="00692C21"/>
    <w:rsid w:val="0069658C"/>
    <w:rsid w:val="006A1816"/>
    <w:rsid w:val="006A1DEF"/>
    <w:rsid w:val="006A394D"/>
    <w:rsid w:val="006A3C19"/>
    <w:rsid w:val="006A647D"/>
    <w:rsid w:val="006A660C"/>
    <w:rsid w:val="006A674F"/>
    <w:rsid w:val="006A7069"/>
    <w:rsid w:val="006B2EB8"/>
    <w:rsid w:val="006B47AE"/>
    <w:rsid w:val="006B5B97"/>
    <w:rsid w:val="006B7A2F"/>
    <w:rsid w:val="006C0A31"/>
    <w:rsid w:val="006C1035"/>
    <w:rsid w:val="006C36D5"/>
    <w:rsid w:val="006C4AF4"/>
    <w:rsid w:val="006C4C82"/>
    <w:rsid w:val="006C6B02"/>
    <w:rsid w:val="006D095B"/>
    <w:rsid w:val="006D3F2F"/>
    <w:rsid w:val="006D42F1"/>
    <w:rsid w:val="006D4B26"/>
    <w:rsid w:val="006D4F09"/>
    <w:rsid w:val="006D5F4F"/>
    <w:rsid w:val="006D60A3"/>
    <w:rsid w:val="006D6646"/>
    <w:rsid w:val="006E0494"/>
    <w:rsid w:val="006E2092"/>
    <w:rsid w:val="006E3536"/>
    <w:rsid w:val="006E35A9"/>
    <w:rsid w:val="006E38DB"/>
    <w:rsid w:val="006E5AC8"/>
    <w:rsid w:val="006E6DB0"/>
    <w:rsid w:val="006F164C"/>
    <w:rsid w:val="006F2268"/>
    <w:rsid w:val="006F406A"/>
    <w:rsid w:val="006F5207"/>
    <w:rsid w:val="006F63FC"/>
    <w:rsid w:val="006F6BE8"/>
    <w:rsid w:val="006F79B2"/>
    <w:rsid w:val="00700E69"/>
    <w:rsid w:val="00701100"/>
    <w:rsid w:val="00701DE7"/>
    <w:rsid w:val="00704434"/>
    <w:rsid w:val="0070536C"/>
    <w:rsid w:val="0070671D"/>
    <w:rsid w:val="00706E01"/>
    <w:rsid w:val="00710083"/>
    <w:rsid w:val="00710175"/>
    <w:rsid w:val="00710EE6"/>
    <w:rsid w:val="00711747"/>
    <w:rsid w:val="00711E34"/>
    <w:rsid w:val="0071239A"/>
    <w:rsid w:val="007134FE"/>
    <w:rsid w:val="0071422B"/>
    <w:rsid w:val="00714488"/>
    <w:rsid w:val="007158C6"/>
    <w:rsid w:val="00720259"/>
    <w:rsid w:val="00720507"/>
    <w:rsid w:val="007215EF"/>
    <w:rsid w:val="00722AC1"/>
    <w:rsid w:val="00722D6D"/>
    <w:rsid w:val="0072567E"/>
    <w:rsid w:val="00725DF3"/>
    <w:rsid w:val="00726378"/>
    <w:rsid w:val="007275C8"/>
    <w:rsid w:val="0072799E"/>
    <w:rsid w:val="007301C9"/>
    <w:rsid w:val="00730B9C"/>
    <w:rsid w:val="00732E65"/>
    <w:rsid w:val="00736428"/>
    <w:rsid w:val="007373F6"/>
    <w:rsid w:val="00737EA4"/>
    <w:rsid w:val="00740A9A"/>
    <w:rsid w:val="0074139C"/>
    <w:rsid w:val="00742F0D"/>
    <w:rsid w:val="00743548"/>
    <w:rsid w:val="00744120"/>
    <w:rsid w:val="007441C4"/>
    <w:rsid w:val="00744A5E"/>
    <w:rsid w:val="00744B62"/>
    <w:rsid w:val="007451C3"/>
    <w:rsid w:val="0074621C"/>
    <w:rsid w:val="00751B8B"/>
    <w:rsid w:val="0075386F"/>
    <w:rsid w:val="00753C75"/>
    <w:rsid w:val="00755190"/>
    <w:rsid w:val="00755688"/>
    <w:rsid w:val="00760304"/>
    <w:rsid w:val="00760E1B"/>
    <w:rsid w:val="007616CE"/>
    <w:rsid w:val="00762F69"/>
    <w:rsid w:val="00763D26"/>
    <w:rsid w:val="007641C8"/>
    <w:rsid w:val="00764D84"/>
    <w:rsid w:val="00764FE1"/>
    <w:rsid w:val="00765069"/>
    <w:rsid w:val="00765AFB"/>
    <w:rsid w:val="007669DE"/>
    <w:rsid w:val="00767EAE"/>
    <w:rsid w:val="00770DB0"/>
    <w:rsid w:val="00772271"/>
    <w:rsid w:val="00774E6C"/>
    <w:rsid w:val="00775165"/>
    <w:rsid w:val="00775D4D"/>
    <w:rsid w:val="0077609F"/>
    <w:rsid w:val="007776C8"/>
    <w:rsid w:val="00777AA8"/>
    <w:rsid w:val="007816AD"/>
    <w:rsid w:val="00781B2B"/>
    <w:rsid w:val="00781D7C"/>
    <w:rsid w:val="0078533C"/>
    <w:rsid w:val="0078612E"/>
    <w:rsid w:val="00786957"/>
    <w:rsid w:val="007872EB"/>
    <w:rsid w:val="00791733"/>
    <w:rsid w:val="00792552"/>
    <w:rsid w:val="00794224"/>
    <w:rsid w:val="00794A86"/>
    <w:rsid w:val="00796956"/>
    <w:rsid w:val="007A0363"/>
    <w:rsid w:val="007A0881"/>
    <w:rsid w:val="007A0B5B"/>
    <w:rsid w:val="007A2EC7"/>
    <w:rsid w:val="007A3276"/>
    <w:rsid w:val="007A39A5"/>
    <w:rsid w:val="007A3B6C"/>
    <w:rsid w:val="007A3D90"/>
    <w:rsid w:val="007A4040"/>
    <w:rsid w:val="007A742B"/>
    <w:rsid w:val="007A7CA2"/>
    <w:rsid w:val="007A7D6D"/>
    <w:rsid w:val="007B1608"/>
    <w:rsid w:val="007B1665"/>
    <w:rsid w:val="007B2757"/>
    <w:rsid w:val="007B3407"/>
    <w:rsid w:val="007B3CF9"/>
    <w:rsid w:val="007B5D59"/>
    <w:rsid w:val="007C162D"/>
    <w:rsid w:val="007C2ECF"/>
    <w:rsid w:val="007C3475"/>
    <w:rsid w:val="007C4367"/>
    <w:rsid w:val="007C43A3"/>
    <w:rsid w:val="007C4F15"/>
    <w:rsid w:val="007C6603"/>
    <w:rsid w:val="007C7265"/>
    <w:rsid w:val="007D0314"/>
    <w:rsid w:val="007D1569"/>
    <w:rsid w:val="007D15C7"/>
    <w:rsid w:val="007D25CB"/>
    <w:rsid w:val="007D25EB"/>
    <w:rsid w:val="007D33DA"/>
    <w:rsid w:val="007D3740"/>
    <w:rsid w:val="007D4560"/>
    <w:rsid w:val="007D6B3F"/>
    <w:rsid w:val="007E011D"/>
    <w:rsid w:val="007E0411"/>
    <w:rsid w:val="007E0749"/>
    <w:rsid w:val="007E1366"/>
    <w:rsid w:val="007E1A38"/>
    <w:rsid w:val="007E1DD0"/>
    <w:rsid w:val="007E229B"/>
    <w:rsid w:val="007E3E01"/>
    <w:rsid w:val="007E6F3F"/>
    <w:rsid w:val="007F4A80"/>
    <w:rsid w:val="007F4ADD"/>
    <w:rsid w:val="007F79F0"/>
    <w:rsid w:val="008017BC"/>
    <w:rsid w:val="00801CFA"/>
    <w:rsid w:val="008028DB"/>
    <w:rsid w:val="0080322B"/>
    <w:rsid w:val="008035C3"/>
    <w:rsid w:val="00803F26"/>
    <w:rsid w:val="00804B8B"/>
    <w:rsid w:val="00806085"/>
    <w:rsid w:val="008060E0"/>
    <w:rsid w:val="00806F63"/>
    <w:rsid w:val="00807BA8"/>
    <w:rsid w:val="00807F06"/>
    <w:rsid w:val="008109C2"/>
    <w:rsid w:val="00811196"/>
    <w:rsid w:val="00813092"/>
    <w:rsid w:val="0081533C"/>
    <w:rsid w:val="008161D7"/>
    <w:rsid w:val="00816ED7"/>
    <w:rsid w:val="00820661"/>
    <w:rsid w:val="008206B2"/>
    <w:rsid w:val="00822F96"/>
    <w:rsid w:val="00823A97"/>
    <w:rsid w:val="00823B3B"/>
    <w:rsid w:val="0082437F"/>
    <w:rsid w:val="0083024C"/>
    <w:rsid w:val="0083160A"/>
    <w:rsid w:val="008333FB"/>
    <w:rsid w:val="00833F4A"/>
    <w:rsid w:val="00835029"/>
    <w:rsid w:val="00836262"/>
    <w:rsid w:val="00836E3A"/>
    <w:rsid w:val="00836F76"/>
    <w:rsid w:val="00837210"/>
    <w:rsid w:val="00840CAD"/>
    <w:rsid w:val="00841212"/>
    <w:rsid w:val="0084238D"/>
    <w:rsid w:val="00842D8C"/>
    <w:rsid w:val="00844BDB"/>
    <w:rsid w:val="008472B8"/>
    <w:rsid w:val="00847532"/>
    <w:rsid w:val="0085267F"/>
    <w:rsid w:val="008529A2"/>
    <w:rsid w:val="00852DC3"/>
    <w:rsid w:val="0085439B"/>
    <w:rsid w:val="008565C5"/>
    <w:rsid w:val="00856865"/>
    <w:rsid w:val="008579B4"/>
    <w:rsid w:val="00860A61"/>
    <w:rsid w:val="00862961"/>
    <w:rsid w:val="00862BBF"/>
    <w:rsid w:val="00871A6C"/>
    <w:rsid w:val="00872A6F"/>
    <w:rsid w:val="00873482"/>
    <w:rsid w:val="00875CCB"/>
    <w:rsid w:val="00876A4F"/>
    <w:rsid w:val="008779E1"/>
    <w:rsid w:val="00880C5E"/>
    <w:rsid w:val="00882609"/>
    <w:rsid w:val="008829C9"/>
    <w:rsid w:val="00882D53"/>
    <w:rsid w:val="008833F3"/>
    <w:rsid w:val="00885BAD"/>
    <w:rsid w:val="0089205E"/>
    <w:rsid w:val="00893E44"/>
    <w:rsid w:val="0089594C"/>
    <w:rsid w:val="0089608D"/>
    <w:rsid w:val="00897793"/>
    <w:rsid w:val="008A1632"/>
    <w:rsid w:val="008A3165"/>
    <w:rsid w:val="008A396E"/>
    <w:rsid w:val="008A6078"/>
    <w:rsid w:val="008A6F83"/>
    <w:rsid w:val="008A7632"/>
    <w:rsid w:val="008A788C"/>
    <w:rsid w:val="008B05C3"/>
    <w:rsid w:val="008B1592"/>
    <w:rsid w:val="008B338F"/>
    <w:rsid w:val="008B4965"/>
    <w:rsid w:val="008B4D32"/>
    <w:rsid w:val="008B5D44"/>
    <w:rsid w:val="008B78B1"/>
    <w:rsid w:val="008C1CCF"/>
    <w:rsid w:val="008C2460"/>
    <w:rsid w:val="008C4174"/>
    <w:rsid w:val="008C4210"/>
    <w:rsid w:val="008C773C"/>
    <w:rsid w:val="008D003E"/>
    <w:rsid w:val="008D1120"/>
    <w:rsid w:val="008D1708"/>
    <w:rsid w:val="008D19FD"/>
    <w:rsid w:val="008D1ABD"/>
    <w:rsid w:val="008D231E"/>
    <w:rsid w:val="008D3549"/>
    <w:rsid w:val="008D3A0D"/>
    <w:rsid w:val="008D6312"/>
    <w:rsid w:val="008D7F46"/>
    <w:rsid w:val="008E21ED"/>
    <w:rsid w:val="008E25D6"/>
    <w:rsid w:val="008E2934"/>
    <w:rsid w:val="008E2FDA"/>
    <w:rsid w:val="008E571C"/>
    <w:rsid w:val="008E63BC"/>
    <w:rsid w:val="008E7BD4"/>
    <w:rsid w:val="008E7D9C"/>
    <w:rsid w:val="008E7E9D"/>
    <w:rsid w:val="008E7EDC"/>
    <w:rsid w:val="008F0A95"/>
    <w:rsid w:val="008F0BCA"/>
    <w:rsid w:val="008F567D"/>
    <w:rsid w:val="008F6F1A"/>
    <w:rsid w:val="008F7897"/>
    <w:rsid w:val="0090131E"/>
    <w:rsid w:val="0090137A"/>
    <w:rsid w:val="009016E4"/>
    <w:rsid w:val="00903370"/>
    <w:rsid w:val="009049CC"/>
    <w:rsid w:val="00906F28"/>
    <w:rsid w:val="009073C8"/>
    <w:rsid w:val="00907C3A"/>
    <w:rsid w:val="00910734"/>
    <w:rsid w:val="009109EC"/>
    <w:rsid w:val="00910E71"/>
    <w:rsid w:val="009116A7"/>
    <w:rsid w:val="0091171B"/>
    <w:rsid w:val="00911FA6"/>
    <w:rsid w:val="00912BA7"/>
    <w:rsid w:val="00912BFD"/>
    <w:rsid w:val="0091349A"/>
    <w:rsid w:val="00914399"/>
    <w:rsid w:val="009150DE"/>
    <w:rsid w:val="0091530C"/>
    <w:rsid w:val="009158BF"/>
    <w:rsid w:val="00921BF4"/>
    <w:rsid w:val="009244F7"/>
    <w:rsid w:val="00925479"/>
    <w:rsid w:val="00925F75"/>
    <w:rsid w:val="009265D4"/>
    <w:rsid w:val="009277A5"/>
    <w:rsid w:val="009279D2"/>
    <w:rsid w:val="00930340"/>
    <w:rsid w:val="009306C3"/>
    <w:rsid w:val="00930912"/>
    <w:rsid w:val="00931A69"/>
    <w:rsid w:val="009324BA"/>
    <w:rsid w:val="00933E08"/>
    <w:rsid w:val="009342FC"/>
    <w:rsid w:val="00935032"/>
    <w:rsid w:val="00936068"/>
    <w:rsid w:val="00940736"/>
    <w:rsid w:val="00943806"/>
    <w:rsid w:val="0094507C"/>
    <w:rsid w:val="0094539F"/>
    <w:rsid w:val="009458CD"/>
    <w:rsid w:val="00946351"/>
    <w:rsid w:val="009476B8"/>
    <w:rsid w:val="00950441"/>
    <w:rsid w:val="009508F9"/>
    <w:rsid w:val="009517CC"/>
    <w:rsid w:val="0095315D"/>
    <w:rsid w:val="00956F9D"/>
    <w:rsid w:val="009577A8"/>
    <w:rsid w:val="009615D4"/>
    <w:rsid w:val="00961DB7"/>
    <w:rsid w:val="00962905"/>
    <w:rsid w:val="00964D01"/>
    <w:rsid w:val="00966037"/>
    <w:rsid w:val="0096661B"/>
    <w:rsid w:val="00967247"/>
    <w:rsid w:val="009708E9"/>
    <w:rsid w:val="00970A20"/>
    <w:rsid w:val="0097163D"/>
    <w:rsid w:val="009721F8"/>
    <w:rsid w:val="0097269C"/>
    <w:rsid w:val="00974677"/>
    <w:rsid w:val="00976023"/>
    <w:rsid w:val="0097621D"/>
    <w:rsid w:val="009775D1"/>
    <w:rsid w:val="00980461"/>
    <w:rsid w:val="00980ABA"/>
    <w:rsid w:val="009813A2"/>
    <w:rsid w:val="00982E95"/>
    <w:rsid w:val="00983243"/>
    <w:rsid w:val="00983EBB"/>
    <w:rsid w:val="00984FF0"/>
    <w:rsid w:val="009850B5"/>
    <w:rsid w:val="0098598F"/>
    <w:rsid w:val="009864AF"/>
    <w:rsid w:val="00987DD3"/>
    <w:rsid w:val="009901F4"/>
    <w:rsid w:val="0099031F"/>
    <w:rsid w:val="009916E8"/>
    <w:rsid w:val="00991D3C"/>
    <w:rsid w:val="00993409"/>
    <w:rsid w:val="00993AEE"/>
    <w:rsid w:val="0099566F"/>
    <w:rsid w:val="009969C3"/>
    <w:rsid w:val="009A2F17"/>
    <w:rsid w:val="009A33C8"/>
    <w:rsid w:val="009A3756"/>
    <w:rsid w:val="009A3C2B"/>
    <w:rsid w:val="009A45AA"/>
    <w:rsid w:val="009A73DB"/>
    <w:rsid w:val="009B130F"/>
    <w:rsid w:val="009B5A0D"/>
    <w:rsid w:val="009B6BD4"/>
    <w:rsid w:val="009C05C6"/>
    <w:rsid w:val="009C4127"/>
    <w:rsid w:val="009C6075"/>
    <w:rsid w:val="009D0A99"/>
    <w:rsid w:val="009D1C07"/>
    <w:rsid w:val="009D24F5"/>
    <w:rsid w:val="009D3029"/>
    <w:rsid w:val="009D4F79"/>
    <w:rsid w:val="009D5607"/>
    <w:rsid w:val="009D5F51"/>
    <w:rsid w:val="009D766F"/>
    <w:rsid w:val="009E19A3"/>
    <w:rsid w:val="009E28AA"/>
    <w:rsid w:val="009E2BF5"/>
    <w:rsid w:val="009E4DC0"/>
    <w:rsid w:val="009E7859"/>
    <w:rsid w:val="009F19C1"/>
    <w:rsid w:val="009F2C6B"/>
    <w:rsid w:val="009F4265"/>
    <w:rsid w:val="009F6A92"/>
    <w:rsid w:val="009F6E98"/>
    <w:rsid w:val="009F70E9"/>
    <w:rsid w:val="00A05CF9"/>
    <w:rsid w:val="00A05F34"/>
    <w:rsid w:val="00A072C3"/>
    <w:rsid w:val="00A0757A"/>
    <w:rsid w:val="00A128B7"/>
    <w:rsid w:val="00A13664"/>
    <w:rsid w:val="00A151F6"/>
    <w:rsid w:val="00A171CF"/>
    <w:rsid w:val="00A20945"/>
    <w:rsid w:val="00A2114E"/>
    <w:rsid w:val="00A263FD"/>
    <w:rsid w:val="00A27832"/>
    <w:rsid w:val="00A30E68"/>
    <w:rsid w:val="00A30FBC"/>
    <w:rsid w:val="00A33B23"/>
    <w:rsid w:val="00A34A54"/>
    <w:rsid w:val="00A358B9"/>
    <w:rsid w:val="00A36430"/>
    <w:rsid w:val="00A364B7"/>
    <w:rsid w:val="00A416AD"/>
    <w:rsid w:val="00A45BA2"/>
    <w:rsid w:val="00A45DEF"/>
    <w:rsid w:val="00A46547"/>
    <w:rsid w:val="00A466FA"/>
    <w:rsid w:val="00A471AE"/>
    <w:rsid w:val="00A50CD9"/>
    <w:rsid w:val="00A51374"/>
    <w:rsid w:val="00A5385A"/>
    <w:rsid w:val="00A53A7C"/>
    <w:rsid w:val="00A5529A"/>
    <w:rsid w:val="00A55971"/>
    <w:rsid w:val="00A56C5D"/>
    <w:rsid w:val="00A5703F"/>
    <w:rsid w:val="00A57CC5"/>
    <w:rsid w:val="00A62508"/>
    <w:rsid w:val="00A62F6A"/>
    <w:rsid w:val="00A64A5E"/>
    <w:rsid w:val="00A65DCB"/>
    <w:rsid w:val="00A668F3"/>
    <w:rsid w:val="00A7079C"/>
    <w:rsid w:val="00A711D2"/>
    <w:rsid w:val="00A71756"/>
    <w:rsid w:val="00A72CCD"/>
    <w:rsid w:val="00A7490B"/>
    <w:rsid w:val="00A75DCB"/>
    <w:rsid w:val="00A76B57"/>
    <w:rsid w:val="00A807D8"/>
    <w:rsid w:val="00A810BF"/>
    <w:rsid w:val="00A8183A"/>
    <w:rsid w:val="00A8239B"/>
    <w:rsid w:val="00A82626"/>
    <w:rsid w:val="00A86051"/>
    <w:rsid w:val="00A861C3"/>
    <w:rsid w:val="00A8625F"/>
    <w:rsid w:val="00A86EDE"/>
    <w:rsid w:val="00A87149"/>
    <w:rsid w:val="00A87AB4"/>
    <w:rsid w:val="00A87B2E"/>
    <w:rsid w:val="00A90151"/>
    <w:rsid w:val="00A90256"/>
    <w:rsid w:val="00A9359B"/>
    <w:rsid w:val="00A93810"/>
    <w:rsid w:val="00A9545C"/>
    <w:rsid w:val="00A954DA"/>
    <w:rsid w:val="00A95670"/>
    <w:rsid w:val="00A964B2"/>
    <w:rsid w:val="00A97082"/>
    <w:rsid w:val="00A970A6"/>
    <w:rsid w:val="00AA1142"/>
    <w:rsid w:val="00AA14F3"/>
    <w:rsid w:val="00AA163B"/>
    <w:rsid w:val="00AA3434"/>
    <w:rsid w:val="00AA3569"/>
    <w:rsid w:val="00AA7CF1"/>
    <w:rsid w:val="00AB10F4"/>
    <w:rsid w:val="00AB2D17"/>
    <w:rsid w:val="00AB34AD"/>
    <w:rsid w:val="00AB3BF9"/>
    <w:rsid w:val="00AB46E2"/>
    <w:rsid w:val="00AB4E8C"/>
    <w:rsid w:val="00AC08F6"/>
    <w:rsid w:val="00AC42B1"/>
    <w:rsid w:val="00AC4F7C"/>
    <w:rsid w:val="00AC551A"/>
    <w:rsid w:val="00AC587D"/>
    <w:rsid w:val="00AC68A2"/>
    <w:rsid w:val="00AC6A03"/>
    <w:rsid w:val="00AD1AA2"/>
    <w:rsid w:val="00AD1B86"/>
    <w:rsid w:val="00AD2093"/>
    <w:rsid w:val="00AD46F5"/>
    <w:rsid w:val="00AD4C98"/>
    <w:rsid w:val="00AD51D2"/>
    <w:rsid w:val="00AD5461"/>
    <w:rsid w:val="00AD5887"/>
    <w:rsid w:val="00AD5B6F"/>
    <w:rsid w:val="00AD651B"/>
    <w:rsid w:val="00AD7A30"/>
    <w:rsid w:val="00AD7B96"/>
    <w:rsid w:val="00AE0B9F"/>
    <w:rsid w:val="00AE0DC1"/>
    <w:rsid w:val="00AE1A42"/>
    <w:rsid w:val="00AE2A8D"/>
    <w:rsid w:val="00AE3BE5"/>
    <w:rsid w:val="00AE4665"/>
    <w:rsid w:val="00AE4F1B"/>
    <w:rsid w:val="00AF1588"/>
    <w:rsid w:val="00AF1CCF"/>
    <w:rsid w:val="00AF2745"/>
    <w:rsid w:val="00AF28A2"/>
    <w:rsid w:val="00AF3479"/>
    <w:rsid w:val="00AF3BD9"/>
    <w:rsid w:val="00AF479F"/>
    <w:rsid w:val="00AF5716"/>
    <w:rsid w:val="00AF7A62"/>
    <w:rsid w:val="00B00769"/>
    <w:rsid w:val="00B02300"/>
    <w:rsid w:val="00B02845"/>
    <w:rsid w:val="00B044BC"/>
    <w:rsid w:val="00B0623E"/>
    <w:rsid w:val="00B11F80"/>
    <w:rsid w:val="00B131DC"/>
    <w:rsid w:val="00B13E18"/>
    <w:rsid w:val="00B14EBE"/>
    <w:rsid w:val="00B16B12"/>
    <w:rsid w:val="00B16D9C"/>
    <w:rsid w:val="00B200A6"/>
    <w:rsid w:val="00B20D06"/>
    <w:rsid w:val="00B23258"/>
    <w:rsid w:val="00B23603"/>
    <w:rsid w:val="00B23D0A"/>
    <w:rsid w:val="00B241B4"/>
    <w:rsid w:val="00B26827"/>
    <w:rsid w:val="00B302FA"/>
    <w:rsid w:val="00B315EE"/>
    <w:rsid w:val="00B32D6C"/>
    <w:rsid w:val="00B33C1D"/>
    <w:rsid w:val="00B34048"/>
    <w:rsid w:val="00B341DE"/>
    <w:rsid w:val="00B342E3"/>
    <w:rsid w:val="00B34CE0"/>
    <w:rsid w:val="00B36997"/>
    <w:rsid w:val="00B372D1"/>
    <w:rsid w:val="00B3749D"/>
    <w:rsid w:val="00B37651"/>
    <w:rsid w:val="00B40161"/>
    <w:rsid w:val="00B4116F"/>
    <w:rsid w:val="00B42030"/>
    <w:rsid w:val="00B443CC"/>
    <w:rsid w:val="00B44AFC"/>
    <w:rsid w:val="00B45672"/>
    <w:rsid w:val="00B50FE0"/>
    <w:rsid w:val="00B513D1"/>
    <w:rsid w:val="00B52A99"/>
    <w:rsid w:val="00B5599A"/>
    <w:rsid w:val="00B57087"/>
    <w:rsid w:val="00B578BD"/>
    <w:rsid w:val="00B60611"/>
    <w:rsid w:val="00B62D8B"/>
    <w:rsid w:val="00B63908"/>
    <w:rsid w:val="00B65DAA"/>
    <w:rsid w:val="00B66049"/>
    <w:rsid w:val="00B66B2F"/>
    <w:rsid w:val="00B71118"/>
    <w:rsid w:val="00B712E4"/>
    <w:rsid w:val="00B720EC"/>
    <w:rsid w:val="00B722DA"/>
    <w:rsid w:val="00B74F7F"/>
    <w:rsid w:val="00B75B08"/>
    <w:rsid w:val="00B75CCE"/>
    <w:rsid w:val="00B7663C"/>
    <w:rsid w:val="00B773AD"/>
    <w:rsid w:val="00B8018D"/>
    <w:rsid w:val="00B825BC"/>
    <w:rsid w:val="00B84869"/>
    <w:rsid w:val="00B86607"/>
    <w:rsid w:val="00B87859"/>
    <w:rsid w:val="00B87AEC"/>
    <w:rsid w:val="00B91AD5"/>
    <w:rsid w:val="00B91D47"/>
    <w:rsid w:val="00B93E2E"/>
    <w:rsid w:val="00B94278"/>
    <w:rsid w:val="00B9454C"/>
    <w:rsid w:val="00B951B5"/>
    <w:rsid w:val="00B953E2"/>
    <w:rsid w:val="00B96FDA"/>
    <w:rsid w:val="00BA1B7E"/>
    <w:rsid w:val="00BA2438"/>
    <w:rsid w:val="00BA3914"/>
    <w:rsid w:val="00BA3CB8"/>
    <w:rsid w:val="00BA6F15"/>
    <w:rsid w:val="00BA6F33"/>
    <w:rsid w:val="00BA7623"/>
    <w:rsid w:val="00BB0D8E"/>
    <w:rsid w:val="00BB2B50"/>
    <w:rsid w:val="00BB4A50"/>
    <w:rsid w:val="00BB602C"/>
    <w:rsid w:val="00BB6ACA"/>
    <w:rsid w:val="00BC00F0"/>
    <w:rsid w:val="00BC0DCE"/>
    <w:rsid w:val="00BC127C"/>
    <w:rsid w:val="00BC3F99"/>
    <w:rsid w:val="00BC3FD3"/>
    <w:rsid w:val="00BC6606"/>
    <w:rsid w:val="00BC7C1B"/>
    <w:rsid w:val="00BC7D4B"/>
    <w:rsid w:val="00BD0748"/>
    <w:rsid w:val="00BD190D"/>
    <w:rsid w:val="00BD1CAA"/>
    <w:rsid w:val="00BD1F3E"/>
    <w:rsid w:val="00BD291E"/>
    <w:rsid w:val="00BD6428"/>
    <w:rsid w:val="00BD6F1C"/>
    <w:rsid w:val="00BE0300"/>
    <w:rsid w:val="00BE21E4"/>
    <w:rsid w:val="00BE28CF"/>
    <w:rsid w:val="00BE31FD"/>
    <w:rsid w:val="00BE3C7D"/>
    <w:rsid w:val="00BE3EC9"/>
    <w:rsid w:val="00BE6773"/>
    <w:rsid w:val="00BF05E2"/>
    <w:rsid w:val="00BF0EF2"/>
    <w:rsid w:val="00BF11A0"/>
    <w:rsid w:val="00BF2399"/>
    <w:rsid w:val="00BF2B6C"/>
    <w:rsid w:val="00BF4F98"/>
    <w:rsid w:val="00BF68C8"/>
    <w:rsid w:val="00BF6DB6"/>
    <w:rsid w:val="00BF764B"/>
    <w:rsid w:val="00BF7DD6"/>
    <w:rsid w:val="00C011E2"/>
    <w:rsid w:val="00C016A3"/>
    <w:rsid w:val="00C01E68"/>
    <w:rsid w:val="00C02747"/>
    <w:rsid w:val="00C03F14"/>
    <w:rsid w:val="00C06196"/>
    <w:rsid w:val="00C06E5F"/>
    <w:rsid w:val="00C0719E"/>
    <w:rsid w:val="00C11924"/>
    <w:rsid w:val="00C1257F"/>
    <w:rsid w:val="00C13F9F"/>
    <w:rsid w:val="00C14016"/>
    <w:rsid w:val="00C1562B"/>
    <w:rsid w:val="00C1717D"/>
    <w:rsid w:val="00C17B40"/>
    <w:rsid w:val="00C221A0"/>
    <w:rsid w:val="00C238D1"/>
    <w:rsid w:val="00C23BB9"/>
    <w:rsid w:val="00C23D22"/>
    <w:rsid w:val="00C23E90"/>
    <w:rsid w:val="00C25C46"/>
    <w:rsid w:val="00C260D6"/>
    <w:rsid w:val="00C26AF6"/>
    <w:rsid w:val="00C31E23"/>
    <w:rsid w:val="00C31FEB"/>
    <w:rsid w:val="00C326F9"/>
    <w:rsid w:val="00C3466B"/>
    <w:rsid w:val="00C3469A"/>
    <w:rsid w:val="00C36B61"/>
    <w:rsid w:val="00C36FFC"/>
    <w:rsid w:val="00C3738D"/>
    <w:rsid w:val="00C37929"/>
    <w:rsid w:val="00C37A29"/>
    <w:rsid w:val="00C37FED"/>
    <w:rsid w:val="00C412BE"/>
    <w:rsid w:val="00C438A5"/>
    <w:rsid w:val="00C43A00"/>
    <w:rsid w:val="00C44712"/>
    <w:rsid w:val="00C46D06"/>
    <w:rsid w:val="00C47292"/>
    <w:rsid w:val="00C479E7"/>
    <w:rsid w:val="00C501BE"/>
    <w:rsid w:val="00C51356"/>
    <w:rsid w:val="00C51902"/>
    <w:rsid w:val="00C5312B"/>
    <w:rsid w:val="00C57E2D"/>
    <w:rsid w:val="00C57FD6"/>
    <w:rsid w:val="00C62BBE"/>
    <w:rsid w:val="00C656B8"/>
    <w:rsid w:val="00C70D80"/>
    <w:rsid w:val="00C70EFC"/>
    <w:rsid w:val="00C71688"/>
    <w:rsid w:val="00C72F74"/>
    <w:rsid w:val="00C74A31"/>
    <w:rsid w:val="00C754D2"/>
    <w:rsid w:val="00C75C56"/>
    <w:rsid w:val="00C76BFF"/>
    <w:rsid w:val="00C76C36"/>
    <w:rsid w:val="00C8002B"/>
    <w:rsid w:val="00C80B07"/>
    <w:rsid w:val="00C81C41"/>
    <w:rsid w:val="00C835E6"/>
    <w:rsid w:val="00C844AB"/>
    <w:rsid w:val="00C92C56"/>
    <w:rsid w:val="00C92F23"/>
    <w:rsid w:val="00C932F3"/>
    <w:rsid w:val="00C948BB"/>
    <w:rsid w:val="00C95869"/>
    <w:rsid w:val="00CA0B3F"/>
    <w:rsid w:val="00CA3E0B"/>
    <w:rsid w:val="00CA45BD"/>
    <w:rsid w:val="00CA763A"/>
    <w:rsid w:val="00CB018C"/>
    <w:rsid w:val="00CB0C2A"/>
    <w:rsid w:val="00CB316B"/>
    <w:rsid w:val="00CB3863"/>
    <w:rsid w:val="00CB409B"/>
    <w:rsid w:val="00CB4FD5"/>
    <w:rsid w:val="00CB53EF"/>
    <w:rsid w:val="00CB56F5"/>
    <w:rsid w:val="00CB77D1"/>
    <w:rsid w:val="00CC12E7"/>
    <w:rsid w:val="00CC20DE"/>
    <w:rsid w:val="00CC3670"/>
    <w:rsid w:val="00CC3DE4"/>
    <w:rsid w:val="00CC4572"/>
    <w:rsid w:val="00CC459B"/>
    <w:rsid w:val="00CC4F0A"/>
    <w:rsid w:val="00CC50A9"/>
    <w:rsid w:val="00CC5F5B"/>
    <w:rsid w:val="00CC662D"/>
    <w:rsid w:val="00CD0ECA"/>
    <w:rsid w:val="00CD1AB4"/>
    <w:rsid w:val="00CD37F2"/>
    <w:rsid w:val="00CD38F6"/>
    <w:rsid w:val="00CD61EB"/>
    <w:rsid w:val="00CD73AA"/>
    <w:rsid w:val="00CD7F44"/>
    <w:rsid w:val="00CE1BD8"/>
    <w:rsid w:val="00CE43AF"/>
    <w:rsid w:val="00CE4444"/>
    <w:rsid w:val="00CE4D3A"/>
    <w:rsid w:val="00CE63E9"/>
    <w:rsid w:val="00CE64FD"/>
    <w:rsid w:val="00CE7236"/>
    <w:rsid w:val="00CE7CEF"/>
    <w:rsid w:val="00CF02F0"/>
    <w:rsid w:val="00CF0DF5"/>
    <w:rsid w:val="00CF1236"/>
    <w:rsid w:val="00CF2A0D"/>
    <w:rsid w:val="00CF3C9B"/>
    <w:rsid w:val="00CF4BC6"/>
    <w:rsid w:val="00CF5F14"/>
    <w:rsid w:val="00CF6E0B"/>
    <w:rsid w:val="00CF7F06"/>
    <w:rsid w:val="00D0132C"/>
    <w:rsid w:val="00D01615"/>
    <w:rsid w:val="00D02433"/>
    <w:rsid w:val="00D0352E"/>
    <w:rsid w:val="00D04C61"/>
    <w:rsid w:val="00D057E3"/>
    <w:rsid w:val="00D06777"/>
    <w:rsid w:val="00D10F14"/>
    <w:rsid w:val="00D13A1A"/>
    <w:rsid w:val="00D14A20"/>
    <w:rsid w:val="00D15113"/>
    <w:rsid w:val="00D15B12"/>
    <w:rsid w:val="00D15B7C"/>
    <w:rsid w:val="00D15B7D"/>
    <w:rsid w:val="00D1668F"/>
    <w:rsid w:val="00D16D90"/>
    <w:rsid w:val="00D16F74"/>
    <w:rsid w:val="00D172BE"/>
    <w:rsid w:val="00D17C74"/>
    <w:rsid w:val="00D221BB"/>
    <w:rsid w:val="00D24A96"/>
    <w:rsid w:val="00D24BC3"/>
    <w:rsid w:val="00D26BE6"/>
    <w:rsid w:val="00D27CD0"/>
    <w:rsid w:val="00D30791"/>
    <w:rsid w:val="00D31E3E"/>
    <w:rsid w:val="00D330CA"/>
    <w:rsid w:val="00D3316D"/>
    <w:rsid w:val="00D354D6"/>
    <w:rsid w:val="00D36C4D"/>
    <w:rsid w:val="00D37882"/>
    <w:rsid w:val="00D4015C"/>
    <w:rsid w:val="00D43F9B"/>
    <w:rsid w:val="00D45647"/>
    <w:rsid w:val="00D456A7"/>
    <w:rsid w:val="00D46FD9"/>
    <w:rsid w:val="00D50E5F"/>
    <w:rsid w:val="00D5277E"/>
    <w:rsid w:val="00D54AE0"/>
    <w:rsid w:val="00D60649"/>
    <w:rsid w:val="00D61E88"/>
    <w:rsid w:val="00D637A2"/>
    <w:rsid w:val="00D6387D"/>
    <w:rsid w:val="00D63C0E"/>
    <w:rsid w:val="00D64E12"/>
    <w:rsid w:val="00D72818"/>
    <w:rsid w:val="00D7320C"/>
    <w:rsid w:val="00D7385D"/>
    <w:rsid w:val="00D7406F"/>
    <w:rsid w:val="00D742E8"/>
    <w:rsid w:val="00D76276"/>
    <w:rsid w:val="00D8048E"/>
    <w:rsid w:val="00D80F22"/>
    <w:rsid w:val="00D812BB"/>
    <w:rsid w:val="00D82AC9"/>
    <w:rsid w:val="00D83923"/>
    <w:rsid w:val="00D83AE5"/>
    <w:rsid w:val="00D84E98"/>
    <w:rsid w:val="00D87CE4"/>
    <w:rsid w:val="00D87E3E"/>
    <w:rsid w:val="00D87F14"/>
    <w:rsid w:val="00D9020F"/>
    <w:rsid w:val="00D93671"/>
    <w:rsid w:val="00D93A21"/>
    <w:rsid w:val="00D9419D"/>
    <w:rsid w:val="00D9627B"/>
    <w:rsid w:val="00D96F65"/>
    <w:rsid w:val="00D97D9D"/>
    <w:rsid w:val="00DA136C"/>
    <w:rsid w:val="00DA1BEF"/>
    <w:rsid w:val="00DA1D2F"/>
    <w:rsid w:val="00DA2D72"/>
    <w:rsid w:val="00DA3017"/>
    <w:rsid w:val="00DA4EA5"/>
    <w:rsid w:val="00DA5484"/>
    <w:rsid w:val="00DA5862"/>
    <w:rsid w:val="00DB048C"/>
    <w:rsid w:val="00DB0EA7"/>
    <w:rsid w:val="00DB18F1"/>
    <w:rsid w:val="00DB1DA5"/>
    <w:rsid w:val="00DB2005"/>
    <w:rsid w:val="00DB2ED9"/>
    <w:rsid w:val="00DB316C"/>
    <w:rsid w:val="00DB7CA9"/>
    <w:rsid w:val="00DB7E8D"/>
    <w:rsid w:val="00DC0D3D"/>
    <w:rsid w:val="00DC1012"/>
    <w:rsid w:val="00DC18D8"/>
    <w:rsid w:val="00DC1B37"/>
    <w:rsid w:val="00DC26D0"/>
    <w:rsid w:val="00DC2FFB"/>
    <w:rsid w:val="00DC3655"/>
    <w:rsid w:val="00DC3892"/>
    <w:rsid w:val="00DC5DFF"/>
    <w:rsid w:val="00DC72AF"/>
    <w:rsid w:val="00DC74CB"/>
    <w:rsid w:val="00DD0A99"/>
    <w:rsid w:val="00DD134A"/>
    <w:rsid w:val="00DD6473"/>
    <w:rsid w:val="00DE19B0"/>
    <w:rsid w:val="00DE257C"/>
    <w:rsid w:val="00DE2AB0"/>
    <w:rsid w:val="00DE3A09"/>
    <w:rsid w:val="00DE3B9C"/>
    <w:rsid w:val="00DE443D"/>
    <w:rsid w:val="00DE5423"/>
    <w:rsid w:val="00DE54EC"/>
    <w:rsid w:val="00DE662D"/>
    <w:rsid w:val="00DE676E"/>
    <w:rsid w:val="00DE6796"/>
    <w:rsid w:val="00DE6C45"/>
    <w:rsid w:val="00DE6DBD"/>
    <w:rsid w:val="00DE7349"/>
    <w:rsid w:val="00DF1DF2"/>
    <w:rsid w:val="00DF40E3"/>
    <w:rsid w:val="00DF4556"/>
    <w:rsid w:val="00DF4E3E"/>
    <w:rsid w:val="00DF55C7"/>
    <w:rsid w:val="00DF5733"/>
    <w:rsid w:val="00DF57D9"/>
    <w:rsid w:val="00DF60B9"/>
    <w:rsid w:val="00DF63B7"/>
    <w:rsid w:val="00DF69FB"/>
    <w:rsid w:val="00DF6AE5"/>
    <w:rsid w:val="00E003BA"/>
    <w:rsid w:val="00E010CD"/>
    <w:rsid w:val="00E0278E"/>
    <w:rsid w:val="00E02A7F"/>
    <w:rsid w:val="00E030FE"/>
    <w:rsid w:val="00E0453D"/>
    <w:rsid w:val="00E04D9C"/>
    <w:rsid w:val="00E05FA6"/>
    <w:rsid w:val="00E12F02"/>
    <w:rsid w:val="00E15792"/>
    <w:rsid w:val="00E15A2F"/>
    <w:rsid w:val="00E16707"/>
    <w:rsid w:val="00E16F35"/>
    <w:rsid w:val="00E16FE9"/>
    <w:rsid w:val="00E1772A"/>
    <w:rsid w:val="00E204B2"/>
    <w:rsid w:val="00E21B07"/>
    <w:rsid w:val="00E22683"/>
    <w:rsid w:val="00E23339"/>
    <w:rsid w:val="00E23504"/>
    <w:rsid w:val="00E24CDC"/>
    <w:rsid w:val="00E25474"/>
    <w:rsid w:val="00E32EE5"/>
    <w:rsid w:val="00E32F93"/>
    <w:rsid w:val="00E36621"/>
    <w:rsid w:val="00E376DC"/>
    <w:rsid w:val="00E379F7"/>
    <w:rsid w:val="00E41066"/>
    <w:rsid w:val="00E414E0"/>
    <w:rsid w:val="00E47107"/>
    <w:rsid w:val="00E5087A"/>
    <w:rsid w:val="00E50C71"/>
    <w:rsid w:val="00E5141E"/>
    <w:rsid w:val="00E545CD"/>
    <w:rsid w:val="00E54ACD"/>
    <w:rsid w:val="00E54B2B"/>
    <w:rsid w:val="00E56096"/>
    <w:rsid w:val="00E5646B"/>
    <w:rsid w:val="00E56F89"/>
    <w:rsid w:val="00E579B8"/>
    <w:rsid w:val="00E61632"/>
    <w:rsid w:val="00E6327F"/>
    <w:rsid w:val="00E654AE"/>
    <w:rsid w:val="00E70DD7"/>
    <w:rsid w:val="00E70E4F"/>
    <w:rsid w:val="00E71A91"/>
    <w:rsid w:val="00E72EE0"/>
    <w:rsid w:val="00E72FF6"/>
    <w:rsid w:val="00E73E64"/>
    <w:rsid w:val="00E741FB"/>
    <w:rsid w:val="00E75CE1"/>
    <w:rsid w:val="00E766B5"/>
    <w:rsid w:val="00E76BB3"/>
    <w:rsid w:val="00E805A7"/>
    <w:rsid w:val="00E83C1B"/>
    <w:rsid w:val="00E843CF"/>
    <w:rsid w:val="00E86173"/>
    <w:rsid w:val="00E901DE"/>
    <w:rsid w:val="00E90988"/>
    <w:rsid w:val="00E91A7E"/>
    <w:rsid w:val="00E91FED"/>
    <w:rsid w:val="00E92C19"/>
    <w:rsid w:val="00E969C7"/>
    <w:rsid w:val="00E97EBA"/>
    <w:rsid w:val="00EA1943"/>
    <w:rsid w:val="00EA2F29"/>
    <w:rsid w:val="00EA31D6"/>
    <w:rsid w:val="00EA3619"/>
    <w:rsid w:val="00EA6BA6"/>
    <w:rsid w:val="00EA74C7"/>
    <w:rsid w:val="00EB0617"/>
    <w:rsid w:val="00EB16CA"/>
    <w:rsid w:val="00EB3BF2"/>
    <w:rsid w:val="00EB3F9D"/>
    <w:rsid w:val="00EB43DC"/>
    <w:rsid w:val="00EB4999"/>
    <w:rsid w:val="00EB4A24"/>
    <w:rsid w:val="00EB5DC6"/>
    <w:rsid w:val="00EC045B"/>
    <w:rsid w:val="00EC0DAF"/>
    <w:rsid w:val="00EC0E97"/>
    <w:rsid w:val="00EC19AF"/>
    <w:rsid w:val="00EC3599"/>
    <w:rsid w:val="00EC3B86"/>
    <w:rsid w:val="00EC41FD"/>
    <w:rsid w:val="00EC6215"/>
    <w:rsid w:val="00EC62C6"/>
    <w:rsid w:val="00EC7382"/>
    <w:rsid w:val="00EC75A3"/>
    <w:rsid w:val="00EC7941"/>
    <w:rsid w:val="00ED03A3"/>
    <w:rsid w:val="00ED1016"/>
    <w:rsid w:val="00ED1FB8"/>
    <w:rsid w:val="00ED4983"/>
    <w:rsid w:val="00ED4AF7"/>
    <w:rsid w:val="00ED51AE"/>
    <w:rsid w:val="00ED5E92"/>
    <w:rsid w:val="00ED6245"/>
    <w:rsid w:val="00ED680C"/>
    <w:rsid w:val="00ED75DE"/>
    <w:rsid w:val="00ED77C1"/>
    <w:rsid w:val="00EE0049"/>
    <w:rsid w:val="00EE2487"/>
    <w:rsid w:val="00EE3A79"/>
    <w:rsid w:val="00EE6F14"/>
    <w:rsid w:val="00EE7A0D"/>
    <w:rsid w:val="00EF3F23"/>
    <w:rsid w:val="00EF3FEF"/>
    <w:rsid w:val="00EF543C"/>
    <w:rsid w:val="00EF6175"/>
    <w:rsid w:val="00EF7976"/>
    <w:rsid w:val="00F007B9"/>
    <w:rsid w:val="00F01E2B"/>
    <w:rsid w:val="00F03776"/>
    <w:rsid w:val="00F04EA7"/>
    <w:rsid w:val="00F05176"/>
    <w:rsid w:val="00F071A6"/>
    <w:rsid w:val="00F11271"/>
    <w:rsid w:val="00F11E67"/>
    <w:rsid w:val="00F12B90"/>
    <w:rsid w:val="00F1319F"/>
    <w:rsid w:val="00F136F8"/>
    <w:rsid w:val="00F1565C"/>
    <w:rsid w:val="00F162D4"/>
    <w:rsid w:val="00F2058B"/>
    <w:rsid w:val="00F20A5F"/>
    <w:rsid w:val="00F20E4C"/>
    <w:rsid w:val="00F22DBD"/>
    <w:rsid w:val="00F2356E"/>
    <w:rsid w:val="00F23B68"/>
    <w:rsid w:val="00F241F9"/>
    <w:rsid w:val="00F24CB2"/>
    <w:rsid w:val="00F25AE6"/>
    <w:rsid w:val="00F265D4"/>
    <w:rsid w:val="00F30D6D"/>
    <w:rsid w:val="00F31544"/>
    <w:rsid w:val="00F3209B"/>
    <w:rsid w:val="00F3214C"/>
    <w:rsid w:val="00F322B1"/>
    <w:rsid w:val="00F33F8D"/>
    <w:rsid w:val="00F340E2"/>
    <w:rsid w:val="00F348B7"/>
    <w:rsid w:val="00F364C1"/>
    <w:rsid w:val="00F36A70"/>
    <w:rsid w:val="00F36B55"/>
    <w:rsid w:val="00F37CB6"/>
    <w:rsid w:val="00F37F65"/>
    <w:rsid w:val="00F4010B"/>
    <w:rsid w:val="00F40BD3"/>
    <w:rsid w:val="00F4119A"/>
    <w:rsid w:val="00F41832"/>
    <w:rsid w:val="00F41A93"/>
    <w:rsid w:val="00F41F88"/>
    <w:rsid w:val="00F438CE"/>
    <w:rsid w:val="00F459FB"/>
    <w:rsid w:val="00F46436"/>
    <w:rsid w:val="00F46E42"/>
    <w:rsid w:val="00F4702C"/>
    <w:rsid w:val="00F505B8"/>
    <w:rsid w:val="00F51F7A"/>
    <w:rsid w:val="00F53330"/>
    <w:rsid w:val="00F53EFE"/>
    <w:rsid w:val="00F54723"/>
    <w:rsid w:val="00F55D8B"/>
    <w:rsid w:val="00F572DD"/>
    <w:rsid w:val="00F57F1D"/>
    <w:rsid w:val="00F606B8"/>
    <w:rsid w:val="00F60BA2"/>
    <w:rsid w:val="00F615DB"/>
    <w:rsid w:val="00F631C2"/>
    <w:rsid w:val="00F634F6"/>
    <w:rsid w:val="00F634FC"/>
    <w:rsid w:val="00F63F78"/>
    <w:rsid w:val="00F653EE"/>
    <w:rsid w:val="00F65596"/>
    <w:rsid w:val="00F7101E"/>
    <w:rsid w:val="00F74143"/>
    <w:rsid w:val="00F770B8"/>
    <w:rsid w:val="00F77B4D"/>
    <w:rsid w:val="00F82EB7"/>
    <w:rsid w:val="00F849E9"/>
    <w:rsid w:val="00F853D3"/>
    <w:rsid w:val="00F85482"/>
    <w:rsid w:val="00F858FA"/>
    <w:rsid w:val="00F8605E"/>
    <w:rsid w:val="00F87B07"/>
    <w:rsid w:val="00F916E5"/>
    <w:rsid w:val="00F92EF2"/>
    <w:rsid w:val="00F94065"/>
    <w:rsid w:val="00F94880"/>
    <w:rsid w:val="00F9614B"/>
    <w:rsid w:val="00FA33D2"/>
    <w:rsid w:val="00FA45C1"/>
    <w:rsid w:val="00FA5929"/>
    <w:rsid w:val="00FA5EAC"/>
    <w:rsid w:val="00FA66CA"/>
    <w:rsid w:val="00FB0041"/>
    <w:rsid w:val="00FB016C"/>
    <w:rsid w:val="00FB093D"/>
    <w:rsid w:val="00FB0FE6"/>
    <w:rsid w:val="00FB197A"/>
    <w:rsid w:val="00FB2DFF"/>
    <w:rsid w:val="00FB3E1F"/>
    <w:rsid w:val="00FB4E93"/>
    <w:rsid w:val="00FB5391"/>
    <w:rsid w:val="00FB53CA"/>
    <w:rsid w:val="00FB5AA3"/>
    <w:rsid w:val="00FC0585"/>
    <w:rsid w:val="00FC1E8A"/>
    <w:rsid w:val="00FC2D8B"/>
    <w:rsid w:val="00FC3086"/>
    <w:rsid w:val="00FC5656"/>
    <w:rsid w:val="00FC5705"/>
    <w:rsid w:val="00FC5EAE"/>
    <w:rsid w:val="00FD3306"/>
    <w:rsid w:val="00FD36B1"/>
    <w:rsid w:val="00FD497D"/>
    <w:rsid w:val="00FE2792"/>
    <w:rsid w:val="00FE3195"/>
    <w:rsid w:val="00FE42FE"/>
    <w:rsid w:val="00FE50B0"/>
    <w:rsid w:val="00FE55BC"/>
    <w:rsid w:val="00FE59FD"/>
    <w:rsid w:val="00FE6150"/>
    <w:rsid w:val="00FE6282"/>
    <w:rsid w:val="00FE6BCD"/>
    <w:rsid w:val="00FE7F98"/>
    <w:rsid w:val="00FF0565"/>
    <w:rsid w:val="00FF2E7F"/>
    <w:rsid w:val="00FF306D"/>
    <w:rsid w:val="00FF48BB"/>
    <w:rsid w:val="00FF4E10"/>
    <w:rsid w:val="00FF5E87"/>
    <w:rsid w:val="00FF7C20"/>
    <w:rsid w:val="00FF7F3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14059"/>
  <w15:chartTrackingRefBased/>
  <w15:docId w15:val="{93E3D6ED-0EBB-48E0-ACAE-50BE507E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EC62C6"/>
    <w:pPr>
      <w:spacing w:before="120" w:after="120" w:line="280" w:lineRule="atLeast"/>
    </w:pPr>
    <w:rPr>
      <w:sz w:val="20"/>
      <w:szCs w:val="20"/>
    </w:rPr>
  </w:style>
  <w:style w:type="paragraph" w:styleId="Heading1">
    <w:name w:val="heading 1"/>
    <w:basedOn w:val="Normal"/>
    <w:next w:val="BodyText"/>
    <w:link w:val="Heading1Char"/>
    <w:uiPriority w:val="9"/>
    <w:qFormat/>
    <w:rsid w:val="00EC62C6"/>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EC62C6"/>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EC62C6"/>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EC62C6"/>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EC62C6"/>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qFormat/>
    <w:rsid w:val="00EC62C6"/>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EC62C6"/>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EC62C6"/>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qFormat/>
    <w:rsid w:val="00EC62C6"/>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62C6"/>
    <w:rPr>
      <w:color w:val="808080"/>
    </w:rPr>
  </w:style>
  <w:style w:type="paragraph" w:styleId="Date">
    <w:name w:val="Date"/>
    <w:basedOn w:val="Normal"/>
    <w:next w:val="Normal"/>
    <w:link w:val="DateChar"/>
    <w:uiPriority w:val="99"/>
    <w:unhideWhenUsed/>
    <w:rsid w:val="00EC62C6"/>
    <w:pPr>
      <w:spacing w:after="360" w:line="293" w:lineRule="auto"/>
    </w:pPr>
  </w:style>
  <w:style w:type="character" w:customStyle="1" w:styleId="DateChar">
    <w:name w:val="Date Char"/>
    <w:basedOn w:val="DefaultParagraphFont"/>
    <w:link w:val="Date"/>
    <w:uiPriority w:val="99"/>
    <w:rsid w:val="00EC62C6"/>
    <w:rPr>
      <w:sz w:val="20"/>
      <w:szCs w:val="20"/>
    </w:rPr>
  </w:style>
  <w:style w:type="paragraph" w:styleId="NoSpacing">
    <w:name w:val="No Spacing"/>
    <w:basedOn w:val="Normal"/>
    <w:link w:val="NoSpacingChar"/>
    <w:uiPriority w:val="10"/>
    <w:qFormat/>
    <w:rsid w:val="00EC62C6"/>
    <w:pPr>
      <w:spacing w:before="0" w:after="0"/>
    </w:pPr>
  </w:style>
  <w:style w:type="paragraph" w:styleId="ListBullet">
    <w:name w:val="List Bullet"/>
    <w:basedOn w:val="Normal"/>
    <w:link w:val="ListBulletChar"/>
    <w:uiPriority w:val="1"/>
    <w:qFormat/>
    <w:rsid w:val="00EC62C6"/>
    <w:pPr>
      <w:numPr>
        <w:numId w:val="15"/>
      </w:numPr>
      <w:contextualSpacing/>
    </w:pPr>
  </w:style>
  <w:style w:type="paragraph" w:styleId="ListBullet2">
    <w:name w:val="List Bullet 2"/>
    <w:basedOn w:val="Normal"/>
    <w:uiPriority w:val="1"/>
    <w:qFormat/>
    <w:rsid w:val="00EC62C6"/>
    <w:pPr>
      <w:numPr>
        <w:ilvl w:val="1"/>
        <w:numId w:val="15"/>
      </w:numPr>
      <w:contextualSpacing/>
    </w:pPr>
  </w:style>
  <w:style w:type="paragraph" w:styleId="ListNumber">
    <w:name w:val="List Number"/>
    <w:basedOn w:val="Normal"/>
    <w:uiPriority w:val="2"/>
    <w:qFormat/>
    <w:rsid w:val="00EC62C6"/>
    <w:pPr>
      <w:numPr>
        <w:numId w:val="14"/>
      </w:numPr>
      <w:spacing w:before="60"/>
      <w:contextualSpacing/>
    </w:pPr>
  </w:style>
  <w:style w:type="numbering" w:customStyle="1" w:styleId="Bullets">
    <w:name w:val="Bullets"/>
    <w:uiPriority w:val="99"/>
    <w:rsid w:val="00EC62C6"/>
    <w:pPr>
      <w:numPr>
        <w:numId w:val="5"/>
      </w:numPr>
    </w:pPr>
  </w:style>
  <w:style w:type="character" w:customStyle="1" w:styleId="Heading1Char">
    <w:name w:val="Heading 1 Char"/>
    <w:basedOn w:val="DefaultParagraphFont"/>
    <w:link w:val="Heading1"/>
    <w:uiPriority w:val="9"/>
    <w:rsid w:val="00EC62C6"/>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EC62C6"/>
    <w:pPr>
      <w:numPr>
        <w:ilvl w:val="1"/>
        <w:numId w:val="14"/>
      </w:numPr>
      <w:spacing w:before="60"/>
      <w:contextualSpacing/>
    </w:pPr>
  </w:style>
  <w:style w:type="character" w:customStyle="1" w:styleId="Heading2Char">
    <w:name w:val="Heading 2 Char"/>
    <w:basedOn w:val="DefaultParagraphFont"/>
    <w:link w:val="Heading2"/>
    <w:uiPriority w:val="9"/>
    <w:rsid w:val="00EC62C6"/>
    <w:rPr>
      <w:rFonts w:asciiTheme="majorHAnsi" w:eastAsiaTheme="majorEastAsia" w:hAnsiTheme="majorHAnsi" w:cstheme="majorBidi"/>
      <w:sz w:val="30"/>
      <w:szCs w:val="60"/>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uiPriority w:val="34"/>
    <w:qFormat/>
    <w:rsid w:val="00EC62C6"/>
    <w:pPr>
      <w:spacing w:line="293" w:lineRule="auto"/>
      <w:ind w:left="284"/>
      <w:contextualSpacing/>
    </w:pPr>
  </w:style>
  <w:style w:type="paragraph" w:styleId="Header">
    <w:name w:val="header"/>
    <w:basedOn w:val="Normal"/>
    <w:link w:val="HeaderChar"/>
    <w:uiPriority w:val="99"/>
    <w:unhideWhenUsed/>
    <w:rsid w:val="00EC62C6"/>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EC62C6"/>
    <w:rPr>
      <w:sz w:val="16"/>
      <w:szCs w:val="20"/>
    </w:rPr>
  </w:style>
  <w:style w:type="paragraph" w:styleId="Footer">
    <w:name w:val="footer"/>
    <w:basedOn w:val="Normal"/>
    <w:link w:val="FooterChar"/>
    <w:uiPriority w:val="11"/>
    <w:rsid w:val="00EC62C6"/>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EC62C6"/>
    <w:rPr>
      <w:rFonts w:asciiTheme="majorHAnsi" w:hAnsiTheme="majorHAnsi"/>
      <w:sz w:val="17"/>
    </w:rPr>
  </w:style>
  <w:style w:type="numbering" w:customStyle="1" w:styleId="Numbering">
    <w:name w:val="Numbering"/>
    <w:uiPriority w:val="99"/>
    <w:rsid w:val="00EC62C6"/>
    <w:pPr>
      <w:numPr>
        <w:numId w:val="14"/>
      </w:numPr>
    </w:pPr>
  </w:style>
  <w:style w:type="paragraph" w:styleId="ListBullet3">
    <w:name w:val="List Bullet 3"/>
    <w:basedOn w:val="Normal"/>
    <w:uiPriority w:val="1"/>
    <w:qFormat/>
    <w:rsid w:val="00EC62C6"/>
    <w:pPr>
      <w:numPr>
        <w:ilvl w:val="2"/>
        <w:numId w:val="15"/>
      </w:numPr>
      <w:contextualSpacing/>
    </w:pPr>
  </w:style>
  <w:style w:type="paragraph" w:styleId="ListContinue2">
    <w:name w:val="List Continue 2"/>
    <w:basedOn w:val="Normal"/>
    <w:uiPriority w:val="3"/>
    <w:unhideWhenUsed/>
    <w:qFormat/>
    <w:rsid w:val="00EC62C6"/>
    <w:pPr>
      <w:spacing w:before="60"/>
      <w:ind w:left="454"/>
    </w:pPr>
  </w:style>
  <w:style w:type="paragraph" w:styleId="ListNumber3">
    <w:name w:val="List Number 3"/>
    <w:basedOn w:val="Normal"/>
    <w:uiPriority w:val="13"/>
    <w:semiHidden/>
    <w:qFormat/>
    <w:rsid w:val="00EC62C6"/>
    <w:pPr>
      <w:numPr>
        <w:ilvl w:val="2"/>
        <w:numId w:val="14"/>
      </w:numPr>
      <w:spacing w:before="60"/>
      <w:contextualSpacing/>
    </w:pPr>
  </w:style>
  <w:style w:type="paragraph" w:styleId="ListNumber4">
    <w:name w:val="List Number 4"/>
    <w:basedOn w:val="Normal"/>
    <w:uiPriority w:val="13"/>
    <w:semiHidden/>
    <w:qFormat/>
    <w:rsid w:val="00EC62C6"/>
    <w:pPr>
      <w:numPr>
        <w:ilvl w:val="3"/>
        <w:numId w:val="14"/>
      </w:numPr>
      <w:spacing w:after="200" w:line="293" w:lineRule="auto"/>
      <w:contextualSpacing/>
    </w:pPr>
  </w:style>
  <w:style w:type="paragraph" w:styleId="ListNumber5">
    <w:name w:val="List Number 5"/>
    <w:basedOn w:val="Normal"/>
    <w:uiPriority w:val="13"/>
    <w:semiHidden/>
    <w:rsid w:val="00EC62C6"/>
    <w:pPr>
      <w:numPr>
        <w:ilvl w:val="4"/>
        <w:numId w:val="14"/>
      </w:numPr>
      <w:spacing w:after="200" w:line="293" w:lineRule="auto"/>
      <w:contextualSpacing/>
    </w:pPr>
  </w:style>
  <w:style w:type="paragraph" w:styleId="ListContinue">
    <w:name w:val="List Continue"/>
    <w:basedOn w:val="Normal"/>
    <w:uiPriority w:val="3"/>
    <w:unhideWhenUsed/>
    <w:qFormat/>
    <w:rsid w:val="00EC62C6"/>
    <w:pPr>
      <w:spacing w:before="60"/>
      <w:ind w:left="227"/>
    </w:pPr>
  </w:style>
  <w:style w:type="paragraph" w:styleId="ListContinue3">
    <w:name w:val="List Continue 3"/>
    <w:basedOn w:val="Normal"/>
    <w:uiPriority w:val="3"/>
    <w:unhideWhenUsed/>
    <w:qFormat/>
    <w:rsid w:val="00EC62C6"/>
    <w:pPr>
      <w:spacing w:before="60"/>
      <w:ind w:left="907"/>
    </w:pPr>
  </w:style>
  <w:style w:type="paragraph" w:styleId="ListContinue4">
    <w:name w:val="List Continue 4"/>
    <w:basedOn w:val="Normal"/>
    <w:uiPriority w:val="3"/>
    <w:unhideWhenUsed/>
    <w:qFormat/>
    <w:rsid w:val="00EC62C6"/>
    <w:pPr>
      <w:spacing w:line="293" w:lineRule="auto"/>
      <w:ind w:left="907"/>
      <w:contextualSpacing/>
    </w:pPr>
  </w:style>
  <w:style w:type="character" w:customStyle="1" w:styleId="Heading3Char">
    <w:name w:val="Heading 3 Char"/>
    <w:basedOn w:val="DefaultParagraphFont"/>
    <w:link w:val="Heading3"/>
    <w:uiPriority w:val="9"/>
    <w:rsid w:val="00EC62C6"/>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EC62C6"/>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EC62C6"/>
    <w:rPr>
      <w:rFonts w:eastAsiaTheme="majorEastAsia" w:cstheme="majorBidi"/>
      <w:b/>
      <w:color w:val="265A9A" w:themeColor="background2"/>
      <w:szCs w:val="29"/>
    </w:rPr>
  </w:style>
  <w:style w:type="numbering" w:customStyle="1" w:styleId="ListHeadings">
    <w:name w:val="List Headings"/>
    <w:uiPriority w:val="99"/>
    <w:rsid w:val="00EC62C6"/>
    <w:pPr>
      <w:numPr>
        <w:numId w:val="12"/>
      </w:numPr>
    </w:pPr>
  </w:style>
  <w:style w:type="paragraph" w:styleId="Title">
    <w:name w:val="Title"/>
    <w:basedOn w:val="Heading1"/>
    <w:next w:val="Normal"/>
    <w:link w:val="TitleChar"/>
    <w:uiPriority w:val="10"/>
    <w:qFormat/>
    <w:rsid w:val="00EC62C6"/>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10"/>
    <w:rsid w:val="00EC62C6"/>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EC62C6"/>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EC62C6"/>
    <w:rPr>
      <w:b/>
    </w:rPr>
  </w:style>
  <w:style w:type="character" w:customStyle="1" w:styleId="Pull-outQuoteChar">
    <w:name w:val="Pull-out Quote Char"/>
    <w:basedOn w:val="DefaultParagraphFont"/>
    <w:link w:val="Pull-outQuote"/>
    <w:uiPriority w:val="99"/>
    <w:semiHidden/>
    <w:rsid w:val="00EC62C6"/>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EC62C6"/>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EC62C6"/>
  </w:style>
  <w:style w:type="paragraph" w:customStyle="1" w:styleId="NumberedHeading2">
    <w:name w:val="Numbered Heading 2"/>
    <w:basedOn w:val="Heading2"/>
    <w:next w:val="Normal"/>
    <w:link w:val="NumberedHeading2Char"/>
    <w:uiPriority w:val="9"/>
    <w:semiHidden/>
    <w:rsid w:val="00EC62C6"/>
  </w:style>
  <w:style w:type="character" w:customStyle="1" w:styleId="NumberedHeading1Char">
    <w:name w:val="Numbered Heading 1 Char"/>
    <w:basedOn w:val="Heading1Char"/>
    <w:link w:val="NumberedHeading1"/>
    <w:uiPriority w:val="9"/>
    <w:semiHidden/>
    <w:rsid w:val="00EC62C6"/>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EC62C6"/>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EC62C6"/>
    <w:pPr>
      <w:ind w:left="1134"/>
      <w:contextualSpacing/>
    </w:pPr>
  </w:style>
  <w:style w:type="table" w:styleId="TableGrid">
    <w:name w:val="Table Grid"/>
    <w:basedOn w:val="TableNormal"/>
    <w:uiPriority w:val="39"/>
    <w:rsid w:val="00EC6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EC62C6"/>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EC62C6"/>
    <w:pPr>
      <w:numPr>
        <w:numId w:val="9"/>
      </w:numPr>
      <w:spacing w:before="60"/>
    </w:pPr>
  </w:style>
  <w:style w:type="paragraph" w:styleId="List2">
    <w:name w:val="List 2"/>
    <w:basedOn w:val="Normal"/>
    <w:uiPriority w:val="99"/>
    <w:semiHidden/>
    <w:qFormat/>
    <w:rsid w:val="00EC62C6"/>
    <w:pPr>
      <w:numPr>
        <w:ilvl w:val="1"/>
        <w:numId w:val="9"/>
      </w:numPr>
      <w:spacing w:before="60"/>
    </w:pPr>
  </w:style>
  <w:style w:type="numbering" w:customStyle="1" w:styleId="LetteredList">
    <w:name w:val="Lettered List"/>
    <w:uiPriority w:val="99"/>
    <w:rsid w:val="00EC62C6"/>
    <w:pPr>
      <w:numPr>
        <w:numId w:val="8"/>
      </w:numPr>
    </w:pPr>
  </w:style>
  <w:style w:type="paragraph" w:styleId="Subtitle">
    <w:name w:val="Subtitle"/>
    <w:basedOn w:val="Normal"/>
    <w:next w:val="Normal"/>
    <w:link w:val="SubtitleChar"/>
    <w:uiPriority w:val="11"/>
    <w:qFormat/>
    <w:rsid w:val="00EC62C6"/>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11"/>
    <w:rsid w:val="00EC62C6"/>
    <w:rPr>
      <w:rFonts w:eastAsiaTheme="minorEastAsia"/>
      <w:color w:val="FFFFFF" w:themeColor="background1"/>
      <w:sz w:val="52"/>
      <w:szCs w:val="20"/>
    </w:rPr>
  </w:style>
  <w:style w:type="character" w:styleId="Strong">
    <w:name w:val="Strong"/>
    <w:basedOn w:val="DefaultParagraphFont"/>
    <w:uiPriority w:val="22"/>
    <w:qFormat/>
    <w:rsid w:val="00EC62C6"/>
    <w:rPr>
      <w:rFonts w:asciiTheme="minorHAnsi" w:hAnsiTheme="minorHAnsi"/>
      <w:b/>
      <w:bCs/>
    </w:rPr>
  </w:style>
  <w:style w:type="paragraph" w:customStyle="1" w:styleId="Header-Keyline">
    <w:name w:val="Header - Keyline"/>
    <w:basedOn w:val="Header"/>
    <w:link w:val="Header-KeylineChar"/>
    <w:uiPriority w:val="99"/>
    <w:rsid w:val="00EC62C6"/>
    <w:pPr>
      <w:pBdr>
        <w:bottom w:val="single" w:sz="4" w:space="31" w:color="66BCDB" w:themeColor="text2"/>
      </w:pBdr>
      <w:spacing w:after="600"/>
    </w:pPr>
  </w:style>
  <w:style w:type="character" w:customStyle="1" w:styleId="Heading6Char">
    <w:name w:val="Heading 6 Char"/>
    <w:basedOn w:val="DefaultParagraphFont"/>
    <w:link w:val="Heading6"/>
    <w:uiPriority w:val="9"/>
    <w:rsid w:val="00EC62C6"/>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EC62C6"/>
    <w:rPr>
      <w:sz w:val="16"/>
      <w:szCs w:val="20"/>
    </w:rPr>
  </w:style>
  <w:style w:type="character" w:customStyle="1" w:styleId="Heading7Char">
    <w:name w:val="Heading 7 Char"/>
    <w:basedOn w:val="DefaultParagraphFont"/>
    <w:link w:val="Heading7"/>
    <w:uiPriority w:val="9"/>
    <w:semiHidden/>
    <w:rsid w:val="00EC62C6"/>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EC62C6"/>
    <w:rPr>
      <w:rFonts w:eastAsiaTheme="majorEastAsia" w:cstheme="majorBidi"/>
      <w:b/>
      <w:sz w:val="18"/>
      <w:szCs w:val="21"/>
    </w:rPr>
  </w:style>
  <w:style w:type="table" w:customStyle="1" w:styleId="ProductivityCommissionTable1">
    <w:name w:val="Productivity Commission Table 1"/>
    <w:basedOn w:val="TableNormal"/>
    <w:uiPriority w:val="99"/>
    <w:rsid w:val="00EC62C6"/>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EC62C6"/>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EC62C6"/>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qFormat/>
    <w:rsid w:val="00EC62C6"/>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EC62C6"/>
    <w:pPr>
      <w:spacing w:before="60" w:after="60" w:line="293" w:lineRule="auto"/>
      <w:contextualSpacing/>
    </w:pPr>
    <w:rPr>
      <w:sz w:val="18"/>
    </w:rPr>
  </w:style>
  <w:style w:type="paragraph" w:styleId="TOC1">
    <w:name w:val="toc 1"/>
    <w:basedOn w:val="Normal"/>
    <w:next w:val="BodyText"/>
    <w:autoRedefine/>
    <w:uiPriority w:val="39"/>
    <w:unhideWhenUsed/>
    <w:rsid w:val="00EC62C6"/>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EC62C6"/>
    <w:rPr>
      <w:sz w:val="18"/>
      <w:szCs w:val="20"/>
    </w:rPr>
  </w:style>
  <w:style w:type="character" w:styleId="FootnoteReference">
    <w:name w:val="footnote reference"/>
    <w:basedOn w:val="DefaultParagraphFont"/>
    <w:uiPriority w:val="99"/>
    <w:unhideWhenUsed/>
    <w:rsid w:val="00EC62C6"/>
    <w:rPr>
      <w:vertAlign w:val="superscript"/>
    </w:rPr>
  </w:style>
  <w:style w:type="character" w:styleId="Hyperlink">
    <w:name w:val="Hyperlink"/>
    <w:basedOn w:val="DefaultParagraphFont"/>
    <w:uiPriority w:val="99"/>
    <w:unhideWhenUsed/>
    <w:rsid w:val="00EC62C6"/>
    <w:rPr>
      <w:color w:val="000000" w:themeColor="hyperlink"/>
      <w:u w:val="single"/>
    </w:rPr>
  </w:style>
  <w:style w:type="character" w:styleId="HTMLVariable">
    <w:name w:val="HTML Variable"/>
    <w:basedOn w:val="DefaultParagraphFont"/>
    <w:uiPriority w:val="99"/>
    <w:unhideWhenUsed/>
    <w:rsid w:val="00EC62C6"/>
    <w:rPr>
      <w:i/>
      <w:iCs/>
    </w:rPr>
  </w:style>
  <w:style w:type="paragraph" w:styleId="TOC2">
    <w:name w:val="toc 2"/>
    <w:basedOn w:val="Normal"/>
    <w:next w:val="Normal"/>
    <w:autoRedefine/>
    <w:uiPriority w:val="39"/>
    <w:unhideWhenUsed/>
    <w:rsid w:val="00EC62C6"/>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EC62C6"/>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EC62C6"/>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EC62C6"/>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EC62C6"/>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EC62C6"/>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EC62C6"/>
    <w:rPr>
      <w:sz w:val="20"/>
      <w:szCs w:val="20"/>
    </w:rPr>
  </w:style>
  <w:style w:type="character" w:customStyle="1" w:styleId="Copyrightpage-Heading2Char">
    <w:name w:val="Copyright page-Heading 2 Char"/>
    <w:basedOn w:val="NoSpacingChar"/>
    <w:link w:val="Copyrightpage-Heading2"/>
    <w:uiPriority w:val="19"/>
    <w:rsid w:val="00EC62C6"/>
    <w:rPr>
      <w:b/>
      <w:color w:val="FFFFFF" w:themeColor="background1"/>
      <w:sz w:val="16"/>
      <w:szCs w:val="16"/>
    </w:rPr>
  </w:style>
  <w:style w:type="paragraph" w:customStyle="1" w:styleId="Copyrightpage-Heading">
    <w:name w:val="Copyright page-Heading"/>
    <w:basedOn w:val="Subtitle2"/>
    <w:link w:val="Copyrightpage-HeadingChar"/>
    <w:uiPriority w:val="19"/>
    <w:rsid w:val="00EC62C6"/>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EC62C6"/>
    <w:rPr>
      <w:color w:val="FFFFFF" w:themeColor="background1"/>
      <w:sz w:val="16"/>
      <w:szCs w:val="20"/>
    </w:rPr>
  </w:style>
  <w:style w:type="paragraph" w:customStyle="1" w:styleId="Subtitle4">
    <w:name w:val="Subtitle 4"/>
    <w:basedOn w:val="Copyrightpage-Heading"/>
    <w:link w:val="Subtitle4Char"/>
    <w:uiPriority w:val="39"/>
    <w:rsid w:val="00EC62C6"/>
    <w:pPr>
      <w:spacing w:after="40"/>
    </w:pPr>
    <w:rPr>
      <w:b/>
      <w:sz w:val="16"/>
    </w:rPr>
  </w:style>
  <w:style w:type="character" w:customStyle="1" w:styleId="Copyrightpage-HeadingChar">
    <w:name w:val="Copyright page-Heading Char"/>
    <w:basedOn w:val="Subtitle2Char"/>
    <w:link w:val="Copyrightpage-Heading"/>
    <w:uiPriority w:val="19"/>
    <w:rsid w:val="00EC62C6"/>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EC62C6"/>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EC62C6"/>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EC62C6"/>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EC62C6"/>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EC62C6"/>
    <w:pPr>
      <w:spacing w:line="360" w:lineRule="auto"/>
      <w:jc w:val="right"/>
    </w:pPr>
    <w:rPr>
      <w:sz w:val="16"/>
    </w:rPr>
  </w:style>
  <w:style w:type="paragraph" w:customStyle="1" w:styleId="Letterlogo">
    <w:name w:val="Letter logo"/>
    <w:basedOn w:val="LetterRight"/>
    <w:uiPriority w:val="99"/>
    <w:rsid w:val="00EC62C6"/>
    <w:pPr>
      <w:spacing w:after="320"/>
    </w:pPr>
  </w:style>
  <w:style w:type="character" w:customStyle="1" w:styleId="LetterRightChar">
    <w:name w:val="Letter Right Char"/>
    <w:basedOn w:val="DefaultParagraphFont"/>
    <w:link w:val="LetterRight"/>
    <w:uiPriority w:val="99"/>
    <w:rsid w:val="00EC62C6"/>
    <w:rPr>
      <w:sz w:val="16"/>
      <w:szCs w:val="20"/>
    </w:rPr>
  </w:style>
  <w:style w:type="character" w:styleId="UnresolvedMention">
    <w:name w:val="Unresolved Mention"/>
    <w:basedOn w:val="DefaultParagraphFont"/>
    <w:uiPriority w:val="99"/>
    <w:unhideWhenUsed/>
    <w:rsid w:val="00EC62C6"/>
    <w:rPr>
      <w:color w:val="605E5C"/>
      <w:shd w:val="clear" w:color="auto" w:fill="E1DFDD"/>
    </w:rPr>
  </w:style>
  <w:style w:type="paragraph" w:customStyle="1" w:styleId="LetterRight-NoSpace">
    <w:name w:val="Letter Right-No Space"/>
    <w:basedOn w:val="LetterRight"/>
    <w:uiPriority w:val="99"/>
    <w:rsid w:val="00EC62C6"/>
    <w:pPr>
      <w:spacing w:after="0"/>
    </w:pPr>
  </w:style>
  <w:style w:type="table" w:customStyle="1" w:styleId="Blank">
    <w:name w:val="Blank"/>
    <w:basedOn w:val="TableNormal"/>
    <w:uiPriority w:val="99"/>
    <w:rsid w:val="00EC62C6"/>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EC62C6"/>
    <w:pPr>
      <w:numPr>
        <w:numId w:val="11"/>
      </w:numPr>
      <w:contextualSpacing/>
    </w:pPr>
  </w:style>
  <w:style w:type="paragraph" w:customStyle="1" w:styleId="Coverdate">
    <w:name w:val="Cover date"/>
    <w:basedOn w:val="Normal"/>
    <w:uiPriority w:val="29"/>
    <w:rsid w:val="00EC62C6"/>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EC62C6"/>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EC62C6"/>
    <w:rPr>
      <w:color w:val="FFFFFF" w:themeColor="background1"/>
    </w:rPr>
  </w:style>
  <w:style w:type="paragraph" w:customStyle="1" w:styleId="Copyrightpage-Keylinenotext">
    <w:name w:val="Copyright page-Keyline (no text)"/>
    <w:basedOn w:val="Copyrightpage-Heading2"/>
    <w:uiPriority w:val="19"/>
    <w:rsid w:val="00EC62C6"/>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EC62C6"/>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EC62C6"/>
    <w:rPr>
      <w:b/>
    </w:rPr>
  </w:style>
  <w:style w:type="paragraph" w:customStyle="1" w:styleId="CoverImage">
    <w:name w:val="Cover Image"/>
    <w:basedOn w:val="Normal"/>
    <w:uiPriority w:val="29"/>
    <w:rsid w:val="00EC62C6"/>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EC62C6"/>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EC62C6"/>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29"/>
    <w:qFormat/>
    <w:rsid w:val="00EC62C6"/>
    <w:pPr>
      <w:spacing w:before="60"/>
      <w:ind w:left="113" w:right="851"/>
    </w:pPr>
    <w:rPr>
      <w:color w:val="58585B"/>
    </w:rPr>
  </w:style>
  <w:style w:type="numbering" w:customStyle="1" w:styleId="TOCList">
    <w:name w:val="TOC List"/>
    <w:uiPriority w:val="99"/>
    <w:rsid w:val="00EC62C6"/>
    <w:pPr>
      <w:numPr>
        <w:numId w:val="17"/>
      </w:numPr>
    </w:pPr>
  </w:style>
  <w:style w:type="paragraph" w:customStyle="1" w:styleId="Heading1-Section-fullpage">
    <w:name w:val="Heading 1-Section-full page"/>
    <w:basedOn w:val="Heading1-nobackground"/>
    <w:uiPriority w:val="9"/>
    <w:qFormat/>
    <w:rsid w:val="00EC62C6"/>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EC62C6"/>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EC62C6"/>
    <w:pPr>
      <w:keepNext/>
      <w:spacing w:before="240"/>
    </w:pPr>
  </w:style>
  <w:style w:type="paragraph" w:customStyle="1" w:styleId="Source">
    <w:name w:val="Source"/>
    <w:basedOn w:val="Normal"/>
    <w:uiPriority w:val="9"/>
    <w:qFormat/>
    <w:rsid w:val="00EC62C6"/>
    <w:pPr>
      <w:spacing w:before="80" w:after="240" w:line="216" w:lineRule="atLeast"/>
    </w:pPr>
    <w:rPr>
      <w:sz w:val="18"/>
    </w:rPr>
  </w:style>
  <w:style w:type="paragraph" w:customStyle="1" w:styleId="Note">
    <w:name w:val="Note"/>
    <w:basedOn w:val="Source"/>
    <w:uiPriority w:val="9"/>
    <w:qFormat/>
    <w:rsid w:val="00EC62C6"/>
    <w:pPr>
      <w:spacing w:after="20"/>
    </w:pPr>
  </w:style>
  <w:style w:type="numbering" w:customStyle="1" w:styleId="Figure">
    <w:name w:val="Figure"/>
    <w:uiPriority w:val="99"/>
    <w:rsid w:val="00EC62C6"/>
    <w:pPr>
      <w:numPr>
        <w:numId w:val="6"/>
      </w:numPr>
    </w:pPr>
  </w:style>
  <w:style w:type="table" w:customStyle="1" w:styleId="Boxtable">
    <w:name w:val="Box table"/>
    <w:basedOn w:val="Texttable-Paleblue"/>
    <w:uiPriority w:val="99"/>
    <w:rsid w:val="00EC62C6"/>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EC62C6"/>
    <w:pPr>
      <w:numPr>
        <w:numId w:val="4"/>
      </w:numPr>
    </w:pPr>
  </w:style>
  <w:style w:type="paragraph" w:customStyle="1" w:styleId="BoxHeading2">
    <w:name w:val="Box Heading 2"/>
    <w:basedOn w:val="Normal"/>
    <w:next w:val="BodyText"/>
    <w:uiPriority w:val="4"/>
    <w:qFormat/>
    <w:rsid w:val="00EC62C6"/>
    <w:rPr>
      <w:b/>
    </w:rPr>
  </w:style>
  <w:style w:type="table" w:customStyle="1" w:styleId="ProductivityCommissionTable2-Dark">
    <w:name w:val="Productivity Commission Table 2 - Dark"/>
    <w:basedOn w:val="ProductivityCommissionTable2"/>
    <w:uiPriority w:val="99"/>
    <w:rsid w:val="00EC62C6"/>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EC62C6"/>
    <w:rPr>
      <w:i/>
    </w:rPr>
  </w:style>
  <w:style w:type="paragraph" w:customStyle="1" w:styleId="TableHeading">
    <w:name w:val="Table Heading"/>
    <w:basedOn w:val="NoSpacing"/>
    <w:uiPriority w:val="4"/>
    <w:qFormat/>
    <w:rsid w:val="00EC62C6"/>
    <w:pPr>
      <w:spacing w:after="20"/>
      <w:ind w:left="57"/>
    </w:pPr>
    <w:rPr>
      <w:b/>
      <w:color w:val="265A9A" w:themeColor="background2"/>
      <w:sz w:val="18"/>
    </w:rPr>
  </w:style>
  <w:style w:type="paragraph" w:customStyle="1" w:styleId="BodyText-Blue">
    <w:name w:val="Body Text-Blue"/>
    <w:basedOn w:val="BodyText"/>
    <w:link w:val="BodyText-BlueChar"/>
    <w:semiHidden/>
    <w:qFormat/>
    <w:rsid w:val="00EC62C6"/>
    <w:rPr>
      <w:color w:val="265A9A" w:themeColor="background2"/>
    </w:rPr>
  </w:style>
  <w:style w:type="table" w:customStyle="1" w:styleId="Texttable-Keyline">
    <w:name w:val="Text table-Keyline"/>
    <w:basedOn w:val="Texttable-Paleblue"/>
    <w:uiPriority w:val="99"/>
    <w:rsid w:val="00EC62C6"/>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EC62C6"/>
    <w:pPr>
      <w:jc w:val="right"/>
    </w:pPr>
  </w:style>
  <w:style w:type="table" w:customStyle="1" w:styleId="CopyrightPage">
    <w:name w:val="Copyright Page"/>
    <w:basedOn w:val="OverviewPageBannerTableStyle"/>
    <w:uiPriority w:val="99"/>
    <w:rsid w:val="00EC62C6"/>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EC62C6"/>
    <w:pPr>
      <w:spacing w:line="312" w:lineRule="atLeast"/>
    </w:pPr>
    <w:rPr>
      <w:color w:val="2C9BC2"/>
    </w:rPr>
  </w:style>
  <w:style w:type="paragraph" w:styleId="BodyText">
    <w:name w:val="Body Text"/>
    <w:basedOn w:val="Normal"/>
    <w:link w:val="BodyTextChar"/>
    <w:uiPriority w:val="99"/>
    <w:qFormat/>
    <w:rsid w:val="00EC62C6"/>
  </w:style>
  <w:style w:type="character" w:customStyle="1" w:styleId="BodyTextChar">
    <w:name w:val="Body Text Char"/>
    <w:basedOn w:val="DefaultParagraphFont"/>
    <w:link w:val="BodyText"/>
    <w:uiPriority w:val="99"/>
    <w:rsid w:val="00EC62C6"/>
    <w:rPr>
      <w:sz w:val="20"/>
      <w:szCs w:val="20"/>
    </w:rPr>
  </w:style>
  <w:style w:type="paragraph" w:styleId="List4">
    <w:name w:val="List 4"/>
    <w:basedOn w:val="Normal"/>
    <w:uiPriority w:val="99"/>
    <w:semiHidden/>
    <w:rsid w:val="00EC62C6"/>
    <w:pPr>
      <w:numPr>
        <w:ilvl w:val="3"/>
        <w:numId w:val="9"/>
      </w:numPr>
      <w:contextualSpacing/>
    </w:pPr>
  </w:style>
  <w:style w:type="paragraph" w:styleId="List3">
    <w:name w:val="List 3"/>
    <w:basedOn w:val="Normal"/>
    <w:uiPriority w:val="99"/>
    <w:semiHidden/>
    <w:rsid w:val="00EC62C6"/>
    <w:pPr>
      <w:numPr>
        <w:ilvl w:val="2"/>
        <w:numId w:val="9"/>
      </w:numPr>
      <w:contextualSpacing/>
    </w:pPr>
  </w:style>
  <w:style w:type="paragraph" w:customStyle="1" w:styleId="Heading1-nonumber">
    <w:name w:val="Heading 1-no number"/>
    <w:basedOn w:val="Heading1"/>
    <w:next w:val="BodyText"/>
    <w:uiPriority w:val="9"/>
    <w:qFormat/>
    <w:rsid w:val="00EC62C6"/>
    <w:pPr>
      <w:numPr>
        <w:numId w:val="0"/>
      </w:numPr>
      <w:ind w:left="567"/>
    </w:pPr>
  </w:style>
  <w:style w:type="paragraph" w:customStyle="1" w:styleId="ListAlpha1">
    <w:name w:val="List Alpha 1"/>
    <w:basedOn w:val="Normal"/>
    <w:uiPriority w:val="3"/>
    <w:qFormat/>
    <w:rsid w:val="00EC62C6"/>
    <w:pPr>
      <w:numPr>
        <w:numId w:val="10"/>
      </w:numPr>
      <w:spacing w:before="60"/>
      <w:contextualSpacing/>
    </w:pPr>
  </w:style>
  <w:style w:type="paragraph" w:customStyle="1" w:styleId="ListAlpha2">
    <w:name w:val="List Alpha 2"/>
    <w:basedOn w:val="ListAlpha1"/>
    <w:uiPriority w:val="3"/>
    <w:qFormat/>
    <w:rsid w:val="00EC62C6"/>
    <w:pPr>
      <w:numPr>
        <w:ilvl w:val="1"/>
      </w:numPr>
    </w:pPr>
  </w:style>
  <w:style w:type="paragraph" w:customStyle="1" w:styleId="ListAlpha3">
    <w:name w:val="List Alpha 3"/>
    <w:basedOn w:val="ListAlpha2"/>
    <w:uiPriority w:val="3"/>
    <w:qFormat/>
    <w:rsid w:val="00EC62C6"/>
    <w:pPr>
      <w:numPr>
        <w:ilvl w:val="2"/>
      </w:numPr>
    </w:pPr>
  </w:style>
  <w:style w:type="paragraph" w:customStyle="1" w:styleId="ListAlpha4">
    <w:name w:val="List Alpha 4"/>
    <w:basedOn w:val="ListAlpha3"/>
    <w:uiPriority w:val="3"/>
    <w:semiHidden/>
    <w:qFormat/>
    <w:rsid w:val="00EC62C6"/>
    <w:pPr>
      <w:numPr>
        <w:ilvl w:val="3"/>
      </w:numPr>
    </w:pPr>
  </w:style>
  <w:style w:type="numbering" w:customStyle="1" w:styleId="Alphalist">
    <w:name w:val="Alpha list"/>
    <w:uiPriority w:val="99"/>
    <w:rsid w:val="00EC62C6"/>
    <w:pPr>
      <w:numPr>
        <w:numId w:val="1"/>
      </w:numPr>
    </w:pPr>
  </w:style>
  <w:style w:type="paragraph" w:customStyle="1" w:styleId="KeyPoints-Bold">
    <w:name w:val="Key Points-Bold"/>
    <w:basedOn w:val="Normal"/>
    <w:uiPriority w:val="10"/>
    <w:qFormat/>
    <w:rsid w:val="00EC62C6"/>
    <w:pPr>
      <w:spacing w:before="40" w:after="60" w:line="274" w:lineRule="atLeast"/>
    </w:pPr>
    <w:rPr>
      <w:b/>
      <w:sz w:val="18"/>
    </w:rPr>
  </w:style>
  <w:style w:type="paragraph" w:customStyle="1" w:styleId="Copyrightpage-BodyBold">
    <w:name w:val="Copyright page-Body Bold"/>
    <w:basedOn w:val="Copyrightpage-BodyText"/>
    <w:uiPriority w:val="19"/>
    <w:rsid w:val="00EC62C6"/>
    <w:rPr>
      <w:b/>
    </w:rPr>
  </w:style>
  <w:style w:type="paragraph" w:customStyle="1" w:styleId="KeyPoints-Bullet">
    <w:name w:val="Key Points-Bullet"/>
    <w:basedOn w:val="ListBullet"/>
    <w:uiPriority w:val="10"/>
    <w:qFormat/>
    <w:rsid w:val="00EC62C6"/>
    <w:pPr>
      <w:spacing w:after="60" w:line="274" w:lineRule="atLeast"/>
    </w:pPr>
    <w:rPr>
      <w:sz w:val="18"/>
    </w:rPr>
  </w:style>
  <w:style w:type="paragraph" w:customStyle="1" w:styleId="BodyText-Grey">
    <w:name w:val="Body Text-Grey"/>
    <w:basedOn w:val="BodyText"/>
    <w:link w:val="BodyText-GreyChar"/>
    <w:semiHidden/>
    <w:qFormat/>
    <w:rsid w:val="00EC62C6"/>
    <w:rPr>
      <w:color w:val="58585B"/>
    </w:rPr>
  </w:style>
  <w:style w:type="character" w:customStyle="1" w:styleId="BodyText-GreyChar">
    <w:name w:val="Body Text-Grey Char"/>
    <w:basedOn w:val="BodyTextChar"/>
    <w:link w:val="BodyText-Grey"/>
    <w:semiHidden/>
    <w:rsid w:val="00EC62C6"/>
    <w:rPr>
      <w:color w:val="58585B"/>
      <w:sz w:val="20"/>
      <w:szCs w:val="20"/>
    </w:rPr>
  </w:style>
  <w:style w:type="paragraph" w:styleId="BalloonText">
    <w:name w:val="Balloon Text"/>
    <w:basedOn w:val="Normal"/>
    <w:link w:val="BalloonTextChar"/>
    <w:uiPriority w:val="99"/>
    <w:semiHidden/>
    <w:unhideWhenUsed/>
    <w:rsid w:val="00EC62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2C6"/>
    <w:rPr>
      <w:rFonts w:ascii="Segoe UI" w:hAnsi="Segoe UI" w:cs="Segoe UI"/>
      <w:sz w:val="18"/>
      <w:szCs w:val="18"/>
    </w:rPr>
  </w:style>
  <w:style w:type="character" w:styleId="CommentReference">
    <w:name w:val="annotation reference"/>
    <w:basedOn w:val="DefaultParagraphFont"/>
    <w:uiPriority w:val="99"/>
    <w:semiHidden/>
    <w:unhideWhenUsed/>
    <w:rsid w:val="00EC62C6"/>
    <w:rPr>
      <w:sz w:val="16"/>
      <w:szCs w:val="16"/>
    </w:rPr>
  </w:style>
  <w:style w:type="paragraph" w:styleId="CommentText">
    <w:name w:val="annotation text"/>
    <w:basedOn w:val="Normal"/>
    <w:link w:val="CommentTextChar"/>
    <w:uiPriority w:val="99"/>
    <w:unhideWhenUsed/>
    <w:rsid w:val="00EC62C6"/>
    <w:pPr>
      <w:spacing w:line="240" w:lineRule="auto"/>
    </w:pPr>
  </w:style>
  <w:style w:type="character" w:customStyle="1" w:styleId="CommentTextChar">
    <w:name w:val="Comment Text Char"/>
    <w:basedOn w:val="DefaultParagraphFont"/>
    <w:link w:val="CommentText"/>
    <w:uiPriority w:val="99"/>
    <w:rsid w:val="00EC62C6"/>
    <w:rPr>
      <w:sz w:val="20"/>
      <w:szCs w:val="20"/>
    </w:rPr>
  </w:style>
  <w:style w:type="paragraph" w:styleId="CommentSubject">
    <w:name w:val="annotation subject"/>
    <w:basedOn w:val="CommentText"/>
    <w:next w:val="CommentText"/>
    <w:link w:val="CommentSubjectChar"/>
    <w:uiPriority w:val="99"/>
    <w:semiHidden/>
    <w:unhideWhenUsed/>
    <w:rsid w:val="00EC62C6"/>
    <w:rPr>
      <w:b/>
      <w:bCs/>
    </w:rPr>
  </w:style>
  <w:style w:type="character" w:customStyle="1" w:styleId="CommentSubjectChar">
    <w:name w:val="Comment Subject Char"/>
    <w:basedOn w:val="CommentTextChar"/>
    <w:link w:val="CommentSubject"/>
    <w:uiPriority w:val="99"/>
    <w:semiHidden/>
    <w:rsid w:val="00EC62C6"/>
    <w:rPr>
      <w:b/>
      <w:bCs/>
      <w:sz w:val="20"/>
      <w:szCs w:val="20"/>
    </w:rPr>
  </w:style>
  <w:style w:type="character" w:customStyle="1" w:styleId="ColourBlue">
    <w:name w:val="Colour Blue"/>
    <w:basedOn w:val="DefaultParagraphFont"/>
    <w:uiPriority w:val="22"/>
    <w:qFormat/>
    <w:rsid w:val="00EC62C6"/>
    <w:rPr>
      <w:color w:val="66BCDB" w:themeColor="text2"/>
    </w:rPr>
  </w:style>
  <w:style w:type="character" w:customStyle="1" w:styleId="ColourDarkBlue">
    <w:name w:val="Colour Dark Blue"/>
    <w:basedOn w:val="ColourBlue"/>
    <w:uiPriority w:val="22"/>
    <w:qFormat/>
    <w:rsid w:val="00EC62C6"/>
    <w:rPr>
      <w:color w:val="265A9A" w:themeColor="background2"/>
    </w:rPr>
  </w:style>
  <w:style w:type="paragraph" w:customStyle="1" w:styleId="BodyText-Beforebullet">
    <w:name w:val="Body Text-Before bullet"/>
    <w:basedOn w:val="BodyText"/>
    <w:link w:val="BodyText-BeforebulletChar"/>
    <w:semiHidden/>
    <w:unhideWhenUsed/>
    <w:rsid w:val="00EC62C6"/>
    <w:pPr>
      <w:spacing w:after="20"/>
    </w:pPr>
  </w:style>
  <w:style w:type="paragraph" w:customStyle="1" w:styleId="PullQuote">
    <w:name w:val="Pull Quote"/>
    <w:basedOn w:val="BodyText"/>
    <w:next w:val="BodyText"/>
    <w:uiPriority w:val="10"/>
    <w:qFormat/>
    <w:rsid w:val="00EC62C6"/>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EC62C6"/>
    <w:rPr>
      <w:sz w:val="20"/>
      <w:szCs w:val="20"/>
    </w:rPr>
  </w:style>
  <w:style w:type="paragraph" w:customStyle="1" w:styleId="TableBodyHeading">
    <w:name w:val="Table Body Heading"/>
    <w:basedOn w:val="NoSpacing"/>
    <w:uiPriority w:val="4"/>
    <w:qFormat/>
    <w:rsid w:val="005A7E78"/>
    <w:pPr>
      <w:spacing w:after="20"/>
      <w:ind w:left="57"/>
    </w:pPr>
    <w:rPr>
      <w:b/>
      <w:color w:val="265A9A" w:themeColor="background2"/>
      <w:sz w:val="18"/>
    </w:rPr>
  </w:style>
  <w:style w:type="paragraph" w:customStyle="1" w:styleId="TableBody">
    <w:name w:val="Table Body"/>
    <w:basedOn w:val="NoSpacing"/>
    <w:uiPriority w:val="4"/>
    <w:qFormat/>
    <w:rsid w:val="00EC62C6"/>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EC62C6"/>
    <w:pPr>
      <w:spacing w:before="60"/>
      <w:jc w:val="right"/>
    </w:pPr>
  </w:style>
  <w:style w:type="paragraph" w:customStyle="1" w:styleId="FigureTableSubheading">
    <w:name w:val="Figure/Table Subheading"/>
    <w:basedOn w:val="FigureTableHeading"/>
    <w:uiPriority w:val="4"/>
    <w:qFormat/>
    <w:rsid w:val="00EC62C6"/>
    <w:pPr>
      <w:spacing w:before="40"/>
    </w:pPr>
    <w:rPr>
      <w:color w:val="58585B"/>
    </w:rPr>
  </w:style>
  <w:style w:type="table" w:customStyle="1" w:styleId="TextTable-Grey">
    <w:name w:val="Text Table-Grey"/>
    <w:basedOn w:val="Texttable-Paleblue"/>
    <w:uiPriority w:val="99"/>
    <w:rsid w:val="00EC62C6"/>
    <w:rPr>
      <w:color w:val="265A9A" w:themeColor="background2"/>
    </w:rPr>
    <w:tblPr/>
    <w:tcPr>
      <w:shd w:val="clear" w:color="auto" w:fill="F2F2F2"/>
    </w:tcPr>
  </w:style>
  <w:style w:type="character" w:customStyle="1" w:styleId="BodyText-BlueChar">
    <w:name w:val="Body Text-Blue Char"/>
    <w:basedOn w:val="BodyTextChar"/>
    <w:link w:val="BodyText-Blue"/>
    <w:semiHidden/>
    <w:rsid w:val="00EC62C6"/>
    <w:rPr>
      <w:color w:val="265A9A" w:themeColor="background2"/>
      <w:sz w:val="20"/>
      <w:szCs w:val="20"/>
    </w:rPr>
  </w:style>
  <w:style w:type="paragraph" w:customStyle="1" w:styleId="Heading3-nonumber">
    <w:name w:val="Heading 3-no number"/>
    <w:basedOn w:val="Heading3"/>
    <w:uiPriority w:val="9"/>
    <w:semiHidden/>
    <w:qFormat/>
    <w:rsid w:val="00EC62C6"/>
  </w:style>
  <w:style w:type="paragraph" w:customStyle="1" w:styleId="Heading1-nobackground">
    <w:name w:val="Heading 1-no background"/>
    <w:basedOn w:val="Heading1"/>
    <w:next w:val="BodyText"/>
    <w:uiPriority w:val="9"/>
    <w:qFormat/>
    <w:rsid w:val="00EC62C6"/>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29"/>
    <w:rsid w:val="00EC62C6"/>
    <w:rPr>
      <w:color w:val="58585B"/>
      <w:sz w:val="20"/>
      <w:szCs w:val="20"/>
    </w:rPr>
  </w:style>
  <w:style w:type="paragraph" w:customStyle="1" w:styleId="TableHeading-numbered">
    <w:name w:val="Table Heading-numbered"/>
    <w:basedOn w:val="Normal"/>
    <w:semiHidden/>
    <w:qFormat/>
    <w:rsid w:val="00EC62C6"/>
    <w:pPr>
      <w:numPr>
        <w:numId w:val="16"/>
      </w:numPr>
      <w:spacing w:before="60"/>
      <w:contextualSpacing/>
    </w:pPr>
    <w:rPr>
      <w:b/>
      <w:color w:val="265A9A" w:themeColor="background2"/>
    </w:rPr>
  </w:style>
  <w:style w:type="numbering" w:customStyle="1" w:styleId="TableList">
    <w:name w:val="TableList"/>
    <w:uiPriority w:val="99"/>
    <w:rsid w:val="00EC62C6"/>
    <w:pPr>
      <w:numPr>
        <w:numId w:val="16"/>
      </w:numPr>
    </w:pPr>
  </w:style>
  <w:style w:type="paragraph" w:customStyle="1" w:styleId="Footer-right">
    <w:name w:val="Footer-right"/>
    <w:basedOn w:val="Footer"/>
    <w:uiPriority w:val="11"/>
    <w:rsid w:val="00EC62C6"/>
    <w:pPr>
      <w:jc w:val="right"/>
    </w:pPr>
    <w:rPr>
      <w:szCs w:val="24"/>
    </w:rPr>
  </w:style>
  <w:style w:type="paragraph" w:customStyle="1" w:styleId="Heading2-nonumber">
    <w:name w:val="Heading 2-no number"/>
    <w:basedOn w:val="Heading2"/>
    <w:uiPriority w:val="9"/>
    <w:qFormat/>
    <w:rsid w:val="00EC62C6"/>
    <w:pPr>
      <w:numPr>
        <w:ilvl w:val="0"/>
        <w:numId w:val="0"/>
      </w:numPr>
    </w:pPr>
  </w:style>
  <w:style w:type="paragraph" w:customStyle="1" w:styleId="Heading-Appendix">
    <w:name w:val="Heading-Appendix"/>
    <w:basedOn w:val="Heading1-nonumber"/>
    <w:next w:val="BodyText"/>
    <w:uiPriority w:val="9"/>
    <w:qFormat/>
    <w:rsid w:val="00EC62C6"/>
    <w:pPr>
      <w:numPr>
        <w:numId w:val="29"/>
      </w:numPr>
    </w:pPr>
  </w:style>
  <w:style w:type="numbering" w:customStyle="1" w:styleId="AppendixHeading">
    <w:name w:val="AppendixHeading"/>
    <w:uiPriority w:val="99"/>
    <w:rsid w:val="00EC62C6"/>
    <w:pPr>
      <w:numPr>
        <w:numId w:val="3"/>
      </w:numPr>
    </w:pPr>
  </w:style>
  <w:style w:type="paragraph" w:customStyle="1" w:styleId="DraftingNote">
    <w:name w:val="Drafting Note"/>
    <w:basedOn w:val="BodyText"/>
    <w:link w:val="DraftingNoteChar"/>
    <w:qFormat/>
    <w:rsid w:val="00EC62C6"/>
    <w:pPr>
      <w:contextualSpacing/>
    </w:pPr>
    <w:rPr>
      <w:color w:val="A22D2B"/>
      <w:sz w:val="24"/>
      <w:u w:val="dotted"/>
    </w:rPr>
  </w:style>
  <w:style w:type="character" w:customStyle="1" w:styleId="DraftingNoteChar">
    <w:name w:val="Drafting Note Char"/>
    <w:basedOn w:val="BodyTextChar"/>
    <w:link w:val="DraftingNote"/>
    <w:rsid w:val="00EC62C6"/>
    <w:rPr>
      <w:color w:val="A22D2B"/>
      <w:sz w:val="24"/>
      <w:szCs w:val="20"/>
      <w:u w:val="dotted"/>
    </w:rPr>
  </w:style>
  <w:style w:type="paragraph" w:customStyle="1" w:styleId="BoxHeading1">
    <w:name w:val="Box Heading 1"/>
    <w:basedOn w:val="FigureTableHeading"/>
    <w:next w:val="BodyText"/>
    <w:uiPriority w:val="4"/>
    <w:qFormat/>
    <w:rsid w:val="00EC62C6"/>
    <w:pPr>
      <w:spacing w:after="0"/>
    </w:pPr>
  </w:style>
  <w:style w:type="character" w:styleId="Emphasis">
    <w:name w:val="Emphasis"/>
    <w:basedOn w:val="DefaultParagraphFont"/>
    <w:uiPriority w:val="22"/>
    <w:qFormat/>
    <w:rsid w:val="00EC62C6"/>
    <w:rPr>
      <w:i/>
      <w:iCs/>
    </w:rPr>
  </w:style>
  <w:style w:type="paragraph" w:customStyle="1" w:styleId="Reference">
    <w:name w:val="Reference"/>
    <w:basedOn w:val="BodyText"/>
    <w:qFormat/>
    <w:rsid w:val="00EC62C6"/>
    <w:pPr>
      <w:spacing w:before="0" w:after="60" w:line="200" w:lineRule="exact"/>
    </w:pPr>
    <w:rPr>
      <w:sz w:val="16"/>
    </w:rPr>
  </w:style>
  <w:style w:type="paragraph" w:customStyle="1" w:styleId="Keypoints-heading">
    <w:name w:val="Key points-heading"/>
    <w:basedOn w:val="Heading3"/>
    <w:uiPriority w:val="10"/>
    <w:qFormat/>
    <w:rsid w:val="00EC62C6"/>
    <w:rPr>
      <w:color w:val="auto"/>
    </w:rPr>
  </w:style>
  <w:style w:type="paragraph" w:customStyle="1" w:styleId="Heading2-Appendix">
    <w:name w:val="Heading 2-Appendix"/>
    <w:basedOn w:val="Heading2-nonumber"/>
    <w:next w:val="Normal"/>
    <w:uiPriority w:val="10"/>
    <w:qFormat/>
    <w:rsid w:val="00EC62C6"/>
    <w:pPr>
      <w:numPr>
        <w:ilvl w:val="1"/>
        <w:numId w:val="29"/>
      </w:numPr>
    </w:pPr>
  </w:style>
  <w:style w:type="numbering" w:customStyle="1" w:styleId="AppendixHeadingList">
    <w:name w:val="Appendix Heading List"/>
    <w:uiPriority w:val="99"/>
    <w:rsid w:val="00EC62C6"/>
    <w:pPr>
      <w:numPr>
        <w:numId w:val="2"/>
      </w:numPr>
    </w:pPr>
  </w:style>
  <w:style w:type="paragraph" w:customStyle="1" w:styleId="Space">
    <w:name w:val="Space"/>
    <w:basedOn w:val="BodyText"/>
    <w:uiPriority w:val="1"/>
    <w:rsid w:val="00EC62C6"/>
    <w:pPr>
      <w:spacing w:before="0" w:after="0"/>
    </w:pPr>
  </w:style>
  <w:style w:type="paragraph" w:customStyle="1" w:styleId="QuoteBullet">
    <w:name w:val="Quote Bullet"/>
    <w:basedOn w:val="ListBullet"/>
    <w:link w:val="QuoteBulletChar"/>
    <w:uiPriority w:val="1"/>
    <w:qFormat/>
    <w:rsid w:val="00EC62C6"/>
    <w:pPr>
      <w:spacing w:before="60"/>
      <w:ind w:left="340" w:right="851"/>
    </w:pPr>
    <w:rPr>
      <w:color w:val="58585B"/>
    </w:rPr>
  </w:style>
  <w:style w:type="character" w:customStyle="1" w:styleId="ListBulletChar">
    <w:name w:val="List Bullet Char"/>
    <w:basedOn w:val="DefaultParagraphFont"/>
    <w:link w:val="ListBullet"/>
    <w:uiPriority w:val="1"/>
    <w:rsid w:val="00EC62C6"/>
    <w:rPr>
      <w:sz w:val="20"/>
      <w:szCs w:val="20"/>
    </w:rPr>
  </w:style>
  <w:style w:type="character" w:customStyle="1" w:styleId="QuoteBulletChar">
    <w:name w:val="Quote Bullet Char"/>
    <w:basedOn w:val="ListBulletChar"/>
    <w:link w:val="QuoteBullet"/>
    <w:uiPriority w:val="1"/>
    <w:rsid w:val="00EC62C6"/>
    <w:rPr>
      <w:color w:val="58585B"/>
      <w:sz w:val="20"/>
      <w:szCs w:val="20"/>
    </w:rPr>
  </w:style>
  <w:style w:type="paragraph" w:customStyle="1" w:styleId="Figurecharttitle">
    <w:name w:val="Figure chart title"/>
    <w:basedOn w:val="BodyText"/>
    <w:uiPriority w:val="10"/>
    <w:qFormat/>
    <w:rsid w:val="00EC62C6"/>
    <w:pPr>
      <w:spacing w:before="0" w:after="0"/>
      <w:ind w:left="284" w:hanging="284"/>
    </w:pPr>
    <w:rPr>
      <w:sz w:val="18"/>
      <w:szCs w:val="18"/>
    </w:rPr>
  </w:style>
  <w:style w:type="paragraph" w:customStyle="1" w:styleId="CoverdisclaimerwhiteCover">
    <w:name w:val="Cover – disclaimer (white) (Cover)"/>
    <w:basedOn w:val="Normal"/>
    <w:uiPriority w:val="99"/>
    <w:rsid w:val="0049695F"/>
    <w:pPr>
      <w:tabs>
        <w:tab w:val="left" w:pos="170"/>
        <w:tab w:val="left" w:pos="6236"/>
      </w:tabs>
      <w:suppressAutoHyphens/>
      <w:autoSpaceDE w:val="0"/>
      <w:autoSpaceDN w:val="0"/>
      <w:adjustRightInd w:val="0"/>
      <w:spacing w:before="0" w:after="0" w:line="288" w:lineRule="auto"/>
      <w:textAlignment w:val="center"/>
    </w:pPr>
    <w:rPr>
      <w:rFonts w:ascii="Arial" w:hAnsi="Arial" w:cs="Arial"/>
      <w:color w:val="FFFFFF"/>
      <w:sz w:val="14"/>
      <w:szCs w:val="14"/>
      <w:lang w:val="en-US"/>
    </w:rPr>
  </w:style>
  <w:style w:type="paragraph" w:customStyle="1" w:styleId="PullQuoteNoSpacing">
    <w:name w:val="Pull Quote No Spacing"/>
    <w:basedOn w:val="NoSpacing"/>
    <w:link w:val="PullQuoteNoSpacingChar"/>
    <w:uiPriority w:val="10"/>
    <w:qFormat/>
    <w:rsid w:val="00EC62C6"/>
    <w:pPr>
      <w:spacing w:line="160" w:lineRule="exact"/>
    </w:pPr>
  </w:style>
  <w:style w:type="character" w:customStyle="1" w:styleId="PullQuoteNoSpacingChar">
    <w:name w:val="Pull Quote No Spacing Char"/>
    <w:basedOn w:val="NoSpacingChar"/>
    <w:link w:val="PullQuoteNoSpacing"/>
    <w:uiPriority w:val="10"/>
    <w:rsid w:val="00EC62C6"/>
    <w:rPr>
      <w:sz w:val="20"/>
      <w:szCs w:val="20"/>
    </w:rPr>
  </w:style>
  <w:style w:type="paragraph" w:customStyle="1" w:styleId="PullQuote-Indigenous">
    <w:name w:val="Pull Quote-Indigenous"/>
    <w:basedOn w:val="PullQuote"/>
    <w:uiPriority w:val="10"/>
    <w:qFormat/>
    <w:rsid w:val="00EC62C6"/>
    <w:pPr>
      <w:ind w:right="680"/>
    </w:pPr>
    <w:rPr>
      <w:rFonts w:ascii="Arial" w:hAnsi="Arial" w:cs="Arial"/>
      <w:color w:val="auto"/>
      <w:spacing w:val="6"/>
      <w:sz w:val="22"/>
      <w:szCs w:val="22"/>
    </w:rPr>
  </w:style>
  <w:style w:type="paragraph" w:customStyle="1" w:styleId="TableListBullet">
    <w:name w:val="Table List Bullet"/>
    <w:basedOn w:val="ListBullet"/>
    <w:uiPriority w:val="10"/>
    <w:qFormat/>
    <w:rsid w:val="00EC62C6"/>
    <w:pPr>
      <w:spacing w:before="0" w:after="20"/>
      <w:ind w:left="170" w:hanging="113"/>
    </w:pPr>
  </w:style>
  <w:style w:type="paragraph" w:customStyle="1" w:styleId="Bullet">
    <w:name w:val="Bullet"/>
    <w:aliases w:val="Body,BodyNum,Bullet + line,Bullet Char1,Bullet Char1 Char Char Char,Bullet Char1 Char Char Char Char,Bullet Char1 Char Char Char Char Char,b,b + line,b1,b1 Char Char Char,bulleted,level 1"/>
    <w:basedOn w:val="Normal"/>
    <w:link w:val="BulletChar"/>
    <w:qFormat/>
    <w:rsid w:val="000A5A14"/>
    <w:pPr>
      <w:numPr>
        <w:numId w:val="18"/>
      </w:numPr>
      <w:spacing w:before="0" w:after="160" w:line="259" w:lineRule="auto"/>
    </w:pPr>
    <w:rPr>
      <w:sz w:val="24"/>
      <w:szCs w:val="24"/>
    </w:rPr>
  </w:style>
  <w:style w:type="character" w:customStyle="1" w:styleId="BulletChar">
    <w:name w:val="Bullet Char"/>
    <w:aliases w:val="Body Char,Bullet + line Char,Bullets Char,L Char,List Paragraph1 Char,List Paragraph11 Char,List Paragraph2 Char,Number Char,Recommendation Char,b + line Char,b + line Char Char,b Char,b Char Char,b1 Char,level 1 Char"/>
    <w:basedOn w:val="DefaultParagraphFont"/>
    <w:link w:val="Bullet"/>
    <w:qFormat/>
    <w:rsid w:val="000A5A14"/>
    <w:rPr>
      <w:sz w:val="24"/>
      <w:szCs w:val="24"/>
    </w:rPr>
  </w:style>
  <w:style w:type="paragraph" w:customStyle="1" w:styleId="Dash">
    <w:name w:val="Dash"/>
    <w:basedOn w:val="Normal"/>
    <w:link w:val="DashChar"/>
    <w:qFormat/>
    <w:rsid w:val="000A5A14"/>
    <w:pPr>
      <w:numPr>
        <w:ilvl w:val="1"/>
        <w:numId w:val="18"/>
      </w:numPr>
      <w:spacing w:before="0" w:after="160" w:line="259" w:lineRule="auto"/>
    </w:pPr>
    <w:rPr>
      <w:sz w:val="24"/>
      <w:szCs w:val="24"/>
    </w:rPr>
  </w:style>
  <w:style w:type="character" w:customStyle="1" w:styleId="DashChar">
    <w:name w:val="Dash Char"/>
    <w:basedOn w:val="DefaultParagraphFont"/>
    <w:link w:val="Dash"/>
    <w:rsid w:val="000A5A14"/>
    <w:rPr>
      <w:sz w:val="24"/>
      <w:szCs w:val="24"/>
    </w:rPr>
  </w:style>
  <w:style w:type="paragraph" w:customStyle="1" w:styleId="DoubleDot">
    <w:name w:val="Double Dot"/>
    <w:basedOn w:val="Normal"/>
    <w:link w:val="DoubleDotChar"/>
    <w:qFormat/>
    <w:rsid w:val="000A5A14"/>
    <w:pPr>
      <w:numPr>
        <w:ilvl w:val="2"/>
        <w:numId w:val="18"/>
      </w:numPr>
      <w:spacing w:before="0" w:after="160" w:line="259" w:lineRule="auto"/>
    </w:pPr>
    <w:rPr>
      <w:sz w:val="24"/>
      <w:szCs w:val="24"/>
    </w:rPr>
  </w:style>
  <w:style w:type="character" w:customStyle="1" w:styleId="DoubleDotChar">
    <w:name w:val="Double Dot Char"/>
    <w:basedOn w:val="DefaultParagraphFont"/>
    <w:link w:val="DoubleDot"/>
    <w:rsid w:val="000A5A14"/>
    <w:rPr>
      <w:sz w:val="24"/>
      <w:szCs w:val="24"/>
    </w:rPr>
  </w:style>
  <w:style w:type="paragraph" w:customStyle="1" w:styleId="OutlineNumbered1">
    <w:name w:val="Outline Numbered 1"/>
    <w:basedOn w:val="Normal"/>
    <w:link w:val="OutlineNumbered1Char"/>
    <w:rsid w:val="00D72818"/>
    <w:pPr>
      <w:numPr>
        <w:numId w:val="19"/>
      </w:numPr>
      <w:spacing w:before="0" w:after="160" w:line="259" w:lineRule="auto"/>
    </w:pPr>
    <w:rPr>
      <w:sz w:val="24"/>
      <w:szCs w:val="24"/>
    </w:rPr>
  </w:style>
  <w:style w:type="character" w:customStyle="1" w:styleId="OutlineNumbered1Char">
    <w:name w:val="Outline Numbered 1 Char"/>
    <w:basedOn w:val="BulletChar"/>
    <w:link w:val="OutlineNumbered1"/>
    <w:rsid w:val="00D72818"/>
    <w:rPr>
      <w:sz w:val="24"/>
      <w:szCs w:val="24"/>
    </w:rPr>
  </w:style>
  <w:style w:type="paragraph" w:customStyle="1" w:styleId="OutlineNumbered2">
    <w:name w:val="Outline Numbered 2"/>
    <w:basedOn w:val="Normal"/>
    <w:link w:val="OutlineNumbered2Char"/>
    <w:rsid w:val="00D72818"/>
    <w:pPr>
      <w:numPr>
        <w:ilvl w:val="1"/>
        <w:numId w:val="19"/>
      </w:numPr>
      <w:spacing w:before="0" w:after="160" w:line="259" w:lineRule="auto"/>
    </w:pPr>
    <w:rPr>
      <w:sz w:val="24"/>
      <w:szCs w:val="24"/>
    </w:rPr>
  </w:style>
  <w:style w:type="character" w:customStyle="1" w:styleId="OutlineNumbered2Char">
    <w:name w:val="Outline Numbered 2 Char"/>
    <w:basedOn w:val="BulletChar"/>
    <w:link w:val="OutlineNumbered2"/>
    <w:rsid w:val="00D72818"/>
    <w:rPr>
      <w:sz w:val="24"/>
      <w:szCs w:val="24"/>
    </w:rPr>
  </w:style>
  <w:style w:type="paragraph" w:customStyle="1" w:styleId="OutlineNumbered3">
    <w:name w:val="Outline Numbered 3"/>
    <w:basedOn w:val="Normal"/>
    <w:rsid w:val="00D72818"/>
    <w:pPr>
      <w:numPr>
        <w:ilvl w:val="2"/>
        <w:numId w:val="19"/>
      </w:numPr>
      <w:spacing w:before="0" w:after="160" w:line="259" w:lineRule="auto"/>
    </w:pPr>
    <w:rPr>
      <w:sz w:val="24"/>
      <w:szCs w:val="24"/>
    </w:rPr>
  </w:style>
  <w:style w:type="character" w:customStyle="1" w:styleId="normaltextrun">
    <w:name w:val="normaltextrun"/>
    <w:basedOn w:val="DefaultParagraphFont"/>
    <w:rsid w:val="00D72818"/>
  </w:style>
  <w:style w:type="paragraph" w:customStyle="1" w:styleId="pf0">
    <w:name w:val="pf0"/>
    <w:basedOn w:val="Normal"/>
    <w:rsid w:val="00DB2ED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DB2ED9"/>
    <w:rPr>
      <w:rFonts w:ascii="Segoe UI" w:hAnsi="Segoe UI" w:cs="Segoe UI" w:hint="default"/>
      <w:sz w:val="18"/>
      <w:szCs w:val="18"/>
    </w:rPr>
  </w:style>
  <w:style w:type="paragraph" w:styleId="NormalWeb">
    <w:name w:val="Normal (Web)"/>
    <w:basedOn w:val="Normal"/>
    <w:uiPriority w:val="99"/>
    <w:unhideWhenUsed/>
    <w:rsid w:val="00DB2ED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ibliography">
    <w:name w:val="Bibliography"/>
    <w:basedOn w:val="Normal"/>
    <w:next w:val="Normal"/>
    <w:uiPriority w:val="37"/>
    <w:unhideWhenUsed/>
    <w:rsid w:val="00DB2ED9"/>
    <w:pPr>
      <w:spacing w:after="240" w:line="240" w:lineRule="atLeast"/>
      <w:ind w:left="720" w:hanging="720"/>
    </w:pPr>
  </w:style>
  <w:style w:type="character" w:styleId="FollowedHyperlink">
    <w:name w:val="FollowedHyperlink"/>
    <w:basedOn w:val="DefaultParagraphFont"/>
    <w:uiPriority w:val="99"/>
    <w:semiHidden/>
    <w:unhideWhenUsed/>
    <w:rsid w:val="00DB2ED9"/>
    <w:rPr>
      <w:color w:val="BFBFBF" w:themeColor="followedHyperlink"/>
      <w:u w:val="single"/>
    </w:rPr>
  </w:style>
  <w:style w:type="character" w:customStyle="1" w:styleId="footnotereference0">
    <w:name w:val="footnotereference"/>
    <w:basedOn w:val="DefaultParagraphFont"/>
    <w:rsid w:val="00DB2ED9"/>
  </w:style>
  <w:style w:type="paragraph" w:customStyle="1" w:styleId="Summarytablebody">
    <w:name w:val="Summary table body"/>
    <w:basedOn w:val="BodyText"/>
    <w:uiPriority w:val="10"/>
    <w:qFormat/>
    <w:rsid w:val="00DB2ED9"/>
    <w:pPr>
      <w:spacing w:before="0"/>
    </w:pPr>
  </w:style>
  <w:style w:type="paragraph" w:customStyle="1" w:styleId="Default">
    <w:name w:val="Default"/>
    <w:rsid w:val="00DB2ED9"/>
    <w:pPr>
      <w:autoSpaceDE w:val="0"/>
      <w:autoSpaceDN w:val="0"/>
      <w:adjustRightInd w:val="0"/>
      <w:spacing w:after="0" w:line="240" w:lineRule="auto"/>
    </w:pPr>
    <w:rPr>
      <w:rFonts w:ascii="Calibri" w:hAnsi="Calibri" w:cs="Calibri"/>
      <w:color w:val="000000"/>
      <w:sz w:val="24"/>
      <w:szCs w:val="24"/>
    </w:rPr>
  </w:style>
  <w:style w:type="character" w:customStyle="1" w:styleId="field">
    <w:name w:val="field"/>
    <w:basedOn w:val="DefaultParagraphFont"/>
    <w:rsid w:val="00DB2ED9"/>
  </w:style>
  <w:style w:type="character" w:styleId="Mention">
    <w:name w:val="Mention"/>
    <w:basedOn w:val="DefaultParagraphFont"/>
    <w:uiPriority w:val="99"/>
    <w:unhideWhenUsed/>
    <w:rsid w:val="00DB2ED9"/>
    <w:rPr>
      <w:color w:val="2B579A"/>
      <w:shd w:val="clear" w:color="auto" w:fill="E1DFDD"/>
    </w:rPr>
  </w:style>
  <w:style w:type="paragraph" w:customStyle="1" w:styleId="Summarytableheading">
    <w:name w:val="Summary table heading"/>
    <w:basedOn w:val="Normal"/>
    <w:uiPriority w:val="10"/>
    <w:qFormat/>
    <w:rsid w:val="001E1B57"/>
    <w:pPr>
      <w:spacing w:before="0" w:after="0"/>
      <w:ind w:left="-105"/>
    </w:pPr>
    <w:rPr>
      <w:rFonts w:ascii="Arial" w:eastAsia="Arial" w:hAnsi="Arial" w:cs="Arial"/>
      <w:b/>
      <w:bCs/>
    </w:rPr>
  </w:style>
  <w:style w:type="paragraph" w:customStyle="1" w:styleId="Summarytablebullet">
    <w:name w:val="Summary table bullet"/>
    <w:basedOn w:val="ListBullet"/>
    <w:uiPriority w:val="10"/>
    <w:qFormat/>
    <w:rsid w:val="001E1B57"/>
  </w:style>
  <w:style w:type="paragraph" w:styleId="EndnoteText">
    <w:name w:val="endnote text"/>
    <w:basedOn w:val="Normal"/>
    <w:link w:val="EndnoteTextChar"/>
    <w:uiPriority w:val="99"/>
    <w:semiHidden/>
    <w:unhideWhenUsed/>
    <w:rsid w:val="001E1B57"/>
    <w:pPr>
      <w:spacing w:before="0" w:after="0" w:line="240" w:lineRule="auto"/>
    </w:pPr>
  </w:style>
  <w:style w:type="character" w:customStyle="1" w:styleId="EndnoteTextChar">
    <w:name w:val="Endnote Text Char"/>
    <w:basedOn w:val="DefaultParagraphFont"/>
    <w:link w:val="EndnoteText"/>
    <w:uiPriority w:val="99"/>
    <w:semiHidden/>
    <w:rsid w:val="001E1B57"/>
    <w:rPr>
      <w:sz w:val="20"/>
      <w:szCs w:val="20"/>
    </w:rPr>
  </w:style>
  <w:style w:type="character" w:styleId="EndnoteReference">
    <w:name w:val="endnote reference"/>
    <w:basedOn w:val="DefaultParagraphFont"/>
    <w:uiPriority w:val="99"/>
    <w:semiHidden/>
    <w:unhideWhenUsed/>
    <w:rsid w:val="001E1B57"/>
    <w:rPr>
      <w:vertAlign w:val="superscript"/>
    </w:rPr>
  </w:style>
  <w:style w:type="character" w:customStyle="1" w:styleId="eop">
    <w:name w:val="eop"/>
    <w:basedOn w:val="DefaultParagraphFont"/>
    <w:rsid w:val="00AD5461"/>
  </w:style>
  <w:style w:type="character" w:customStyle="1" w:styleId="FootnoteTextChar1">
    <w:name w:val="Footnote Text Char1"/>
    <w:basedOn w:val="DefaultParagraphFont"/>
    <w:uiPriority w:val="99"/>
    <w:semiHidden/>
    <w:rsid w:val="00AD5461"/>
    <w:rPr>
      <w:sz w:val="20"/>
      <w:szCs w:val="20"/>
    </w:rPr>
  </w:style>
  <w:style w:type="character" w:customStyle="1" w:styleId="CommentTextChar1">
    <w:name w:val="Comment Text Char1"/>
    <w:basedOn w:val="DefaultParagraphFont"/>
    <w:uiPriority w:val="99"/>
    <w:rsid w:val="00AD5461"/>
    <w:rPr>
      <w:sz w:val="20"/>
      <w:szCs w:val="20"/>
    </w:rPr>
  </w:style>
  <w:style w:type="character" w:customStyle="1" w:styleId="ui-provider">
    <w:name w:val="ui-provider"/>
    <w:basedOn w:val="DefaultParagraphFont"/>
    <w:rsid w:val="009D3029"/>
  </w:style>
  <w:style w:type="table" w:customStyle="1" w:styleId="TableGrid1">
    <w:name w:val="Table Grid1"/>
    <w:basedOn w:val="TableNormal"/>
    <w:next w:val="TableGrid"/>
    <w:uiPriority w:val="39"/>
    <w:rsid w:val="00F634FC"/>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ing1">
    <w:name w:val="Numbering1"/>
    <w:uiPriority w:val="99"/>
    <w:rsid w:val="00EE2487"/>
  </w:style>
  <w:style w:type="character" w:styleId="IntenseEmphasis">
    <w:name w:val="Intense Emphasis"/>
    <w:basedOn w:val="DefaultParagraphFont"/>
    <w:uiPriority w:val="21"/>
    <w:qFormat/>
    <w:rsid w:val="00A30FBC"/>
    <w:rPr>
      <w:i/>
      <w:iCs/>
      <w:color w:val="597923" w:themeColor="accent1" w:themeShade="BF"/>
    </w:rPr>
  </w:style>
  <w:style w:type="paragraph" w:styleId="IntenseQuote">
    <w:name w:val="Intense Quote"/>
    <w:basedOn w:val="Normal"/>
    <w:next w:val="Normal"/>
    <w:link w:val="IntenseQuoteChar"/>
    <w:uiPriority w:val="30"/>
    <w:qFormat/>
    <w:rsid w:val="00A30FBC"/>
    <w:pPr>
      <w:pBdr>
        <w:top w:val="single" w:sz="4" w:space="10" w:color="597923" w:themeColor="accent1" w:themeShade="BF"/>
        <w:bottom w:val="single" w:sz="4" w:space="10" w:color="597923" w:themeColor="accent1" w:themeShade="BF"/>
      </w:pBdr>
      <w:spacing w:before="360" w:after="360" w:line="278" w:lineRule="auto"/>
      <w:ind w:left="864" w:right="864"/>
      <w:jc w:val="center"/>
    </w:pPr>
    <w:rPr>
      <w:i/>
      <w:iCs/>
      <w:color w:val="597923"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30FBC"/>
    <w:rPr>
      <w:i/>
      <w:iCs/>
      <w:color w:val="597923" w:themeColor="accent1" w:themeShade="BF"/>
      <w:kern w:val="2"/>
      <w:sz w:val="24"/>
      <w:szCs w:val="24"/>
      <w14:ligatures w14:val="standardContextual"/>
    </w:rPr>
  </w:style>
  <w:style w:type="character" w:styleId="IntenseReference">
    <w:name w:val="Intense Reference"/>
    <w:basedOn w:val="DefaultParagraphFont"/>
    <w:uiPriority w:val="32"/>
    <w:qFormat/>
    <w:rsid w:val="00A30FBC"/>
    <w:rPr>
      <w:b/>
      <w:bCs/>
      <w:smallCaps/>
      <w:color w:val="597923" w:themeColor="accent1" w:themeShade="BF"/>
      <w:spacing w:val="5"/>
    </w:rPr>
  </w:style>
  <w:style w:type="numbering" w:customStyle="1" w:styleId="NoList1">
    <w:name w:val="No List1"/>
    <w:next w:val="NoList"/>
    <w:uiPriority w:val="99"/>
    <w:semiHidden/>
    <w:unhideWhenUsed/>
    <w:rsid w:val="00A30FBC"/>
  </w:style>
  <w:style w:type="paragraph" w:customStyle="1" w:styleId="msonormal0">
    <w:name w:val="msonormal"/>
    <w:basedOn w:val="Normal"/>
    <w:rsid w:val="00A30FB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z3988">
    <w:name w:val="z3988"/>
    <w:basedOn w:val="DefaultParagraphFont"/>
    <w:rsid w:val="00A30FBC"/>
  </w:style>
  <w:style w:type="paragraph" w:styleId="TOC5">
    <w:name w:val="toc 5"/>
    <w:basedOn w:val="Normal"/>
    <w:next w:val="Normal"/>
    <w:autoRedefine/>
    <w:uiPriority w:val="39"/>
    <w:unhideWhenUsed/>
    <w:rsid w:val="00C74A31"/>
    <w:pPr>
      <w:spacing w:before="0" w:after="100" w:line="278" w:lineRule="auto"/>
      <w:ind w:left="960"/>
    </w:pPr>
    <w:rPr>
      <w:rFonts w:eastAsiaTheme="minorEastAsia"/>
      <w:kern w:val="2"/>
      <w:sz w:val="24"/>
      <w:szCs w:val="24"/>
      <w:lang w:eastAsia="en-AU"/>
      <w14:ligatures w14:val="standardContextual"/>
    </w:rPr>
  </w:style>
  <w:style w:type="paragraph" w:styleId="TOC6">
    <w:name w:val="toc 6"/>
    <w:basedOn w:val="Normal"/>
    <w:next w:val="Normal"/>
    <w:autoRedefine/>
    <w:uiPriority w:val="39"/>
    <w:unhideWhenUsed/>
    <w:rsid w:val="00C74A31"/>
    <w:pPr>
      <w:spacing w:before="0" w:after="100" w:line="278" w:lineRule="auto"/>
      <w:ind w:left="1200"/>
    </w:pPr>
    <w:rPr>
      <w:rFonts w:eastAsiaTheme="minorEastAsia"/>
      <w:kern w:val="2"/>
      <w:sz w:val="24"/>
      <w:szCs w:val="24"/>
      <w:lang w:eastAsia="en-AU"/>
      <w14:ligatures w14:val="standardContextual"/>
    </w:rPr>
  </w:style>
  <w:style w:type="paragraph" w:styleId="TOC7">
    <w:name w:val="toc 7"/>
    <w:basedOn w:val="Normal"/>
    <w:next w:val="Normal"/>
    <w:autoRedefine/>
    <w:uiPriority w:val="39"/>
    <w:unhideWhenUsed/>
    <w:rsid w:val="00C74A31"/>
    <w:pPr>
      <w:spacing w:before="0" w:after="100" w:line="278" w:lineRule="auto"/>
      <w:ind w:left="1440"/>
    </w:pPr>
    <w:rPr>
      <w:rFonts w:eastAsiaTheme="minorEastAsia"/>
      <w:kern w:val="2"/>
      <w:sz w:val="24"/>
      <w:szCs w:val="24"/>
      <w:lang w:eastAsia="en-AU"/>
      <w14:ligatures w14:val="standardContextual"/>
    </w:rPr>
  </w:style>
  <w:style w:type="paragraph" w:styleId="TOC8">
    <w:name w:val="toc 8"/>
    <w:basedOn w:val="Normal"/>
    <w:next w:val="Normal"/>
    <w:autoRedefine/>
    <w:uiPriority w:val="39"/>
    <w:unhideWhenUsed/>
    <w:rsid w:val="00C74A31"/>
    <w:pPr>
      <w:spacing w:before="0" w:after="100" w:line="278" w:lineRule="auto"/>
      <w:ind w:left="1680"/>
    </w:pPr>
    <w:rPr>
      <w:rFonts w:eastAsiaTheme="minorEastAsia"/>
      <w:kern w:val="2"/>
      <w:sz w:val="24"/>
      <w:szCs w:val="24"/>
      <w:lang w:eastAsia="en-AU"/>
      <w14:ligatures w14:val="standardContextual"/>
    </w:rPr>
  </w:style>
  <w:style w:type="paragraph" w:styleId="TOC9">
    <w:name w:val="toc 9"/>
    <w:basedOn w:val="Normal"/>
    <w:next w:val="Normal"/>
    <w:autoRedefine/>
    <w:uiPriority w:val="39"/>
    <w:unhideWhenUsed/>
    <w:rsid w:val="00C74A31"/>
    <w:pPr>
      <w:spacing w:before="0" w:after="100" w:line="278" w:lineRule="auto"/>
      <w:ind w:left="1920"/>
    </w:pPr>
    <w:rPr>
      <w:rFonts w:eastAsiaTheme="minorEastAsia"/>
      <w:kern w:val="2"/>
      <w:sz w:val="24"/>
      <w:szCs w:val="24"/>
      <w:lang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1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header" Target="header5.xml"/><Relationship Id="rId39" Type="http://schemas.openxmlformats.org/officeDocument/2006/relationships/header" Target="header11.xml"/><Relationship Id="rId21" Type="http://schemas.openxmlformats.org/officeDocument/2006/relationships/header" Target="header2.xml"/><Relationship Id="rId34" Type="http://schemas.openxmlformats.org/officeDocument/2006/relationships/image" Target="media/image8.emf"/><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svg"/><Relationship Id="rId29" Type="http://schemas.openxmlformats.org/officeDocument/2006/relationships/header" Target="header8.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image" Target="media/image6.png"/><Relationship Id="rId37" Type="http://schemas.openxmlformats.org/officeDocument/2006/relationships/image" Target="media/image11.emf"/><Relationship Id="rId40" Type="http://schemas.openxmlformats.org/officeDocument/2006/relationships/header" Target="header1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image" Target="media/image10.emf"/><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image" Target="media/image9.emf"/><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image" Target="media/image7.svg"/><Relationship Id="rId38" Type="http://schemas.openxmlformats.org/officeDocument/2006/relationships/image" Target="media/image12.emf"/></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icks\AppData\Local\Temp\Templafy\WordVsto\prelims-study-report.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f0f1bf14863ab2d84cd45522b4eacaee">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6fc40edc3f06652685a3294c25790c57"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mplafyTemplateConfiguration><![CDATA[{"elementsMetadata":[],"transformationConfigurations":[],"templateName":"prelims-study-report","templateDescription":"Prelims for a final study reports","enableDocumentContentUpdater":false,"version":"2.0"}]]></TemplafyTemplateConfiguration>
</file>

<file path=customXml/item4.xml><?xml version="1.0" encoding="utf-8"?>
<TemplafyFormConfiguration><![CDATA[{"formFields":[],"formDataEntries":[]}]]></TemplafyFormConfigura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MPWT-2140667901-71715</_dlc_DocId>
    <_dlc_DocIdUrl xmlns="20393cdf-440a-4521-8f19-00ba43423d00">
      <Url>https://pcgov.sharepoint.com/sites/sceteam/_layouts/15/DocIdRedir.aspx?ID=MPWT-2140667901-71715</Url>
      <Description>MPWT-2140667901-71715</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963F3E-418E-457A-80B5-CBA681121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5CCDCE8C-2FF2-479D-91C1-79A7A7683D3C}">
  <ds:schemaRefs/>
</ds:datastoreItem>
</file>

<file path=customXml/itemProps4.xml><?xml version="1.0" encoding="utf-8"?>
<ds:datastoreItem xmlns:ds="http://schemas.openxmlformats.org/officeDocument/2006/customXml" ds:itemID="{9897F752-2238-441E-ABA5-DB8C10DEA577}">
  <ds:schemaRefs/>
</ds:datastoreItem>
</file>

<file path=customXml/itemProps5.xml><?xml version="1.0" encoding="utf-8"?>
<ds:datastoreItem xmlns:ds="http://schemas.openxmlformats.org/officeDocument/2006/customXml" ds:itemID="{21DCCC56-B3C6-41D1-89B5-D59397A94673}">
  <ds:schemaRefs>
    <ds:schemaRef ds:uri="http://schemas.microsoft.com/sharepoint/events"/>
  </ds:schemaRefs>
</ds:datastoreItem>
</file>

<file path=customXml/itemProps6.xml><?xml version="1.0" encoding="utf-8"?>
<ds:datastoreItem xmlns:ds="http://schemas.openxmlformats.org/officeDocument/2006/customXml" ds:itemID="{43036256-44AD-473E-870D-9342D1E4DDCB}">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7.xml><?xml version="1.0" encoding="utf-8"?>
<ds:datastoreItem xmlns:ds="http://schemas.openxmlformats.org/officeDocument/2006/customXml" ds:itemID="{F61BFAA6-BFDD-4310-B081-78F7EF6B1A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prelims-study-report.dotx</Template>
  <TotalTime>10</TotalTime>
  <Pages>39</Pages>
  <Words>15402</Words>
  <Characters>87796</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National Competition Policy: modelling proposed reforms</vt:lpstr>
    </vt:vector>
  </TitlesOfParts>
  <Company>Productivity Commission</Company>
  <LinksUpToDate>false</LinksUpToDate>
  <CharactersWithSpaces>102993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Competition Policy: modelling proposed reforms</dc:title>
  <dc:subject>Study report</dc:subject>
  <dc:creator>Productivity Commission</dc:creator>
  <cp:keywords/>
  <dc:description/>
  <cp:lastModifiedBy>Chris Alston</cp:lastModifiedBy>
  <cp:revision>10</cp:revision>
  <cp:lastPrinted>2024-11-28T10:09:00Z</cp:lastPrinted>
  <dcterms:created xsi:type="dcterms:W3CDTF">2024-11-28T05:20:00Z</dcterms:created>
  <dcterms:modified xsi:type="dcterms:W3CDTF">2024-11-28T10:09:00Z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94afba05-087d-4f48-8d0b-f9352f789997</vt:lpwstr>
  </property>
  <property fmtid="{D5CDD505-2E9C-101B-9397-08002B2CF9AE}" pid="3" name="MediaServiceImageTags">
    <vt:lpwstr/>
  </property>
  <property fmtid="{D5CDD505-2E9C-101B-9397-08002B2CF9AE}" pid="4" name="TemplafyTenantId">
    <vt:lpwstr>productivitycommission</vt:lpwstr>
  </property>
  <property fmtid="{D5CDD505-2E9C-101B-9397-08002B2CF9AE}" pid="5" name="TemplafyTemplateId">
    <vt:lpwstr>637734058359382389</vt:lpwstr>
  </property>
  <property fmtid="{D5CDD505-2E9C-101B-9397-08002B2CF9AE}" pid="6" name="TemplafyUserProfileId">
    <vt:lpwstr>637853189818630385</vt:lpwstr>
  </property>
  <property fmtid="{D5CDD505-2E9C-101B-9397-08002B2CF9AE}" pid="7" name="TemplafyFromBlank">
    <vt:bool>false</vt:bool>
  </property>
  <property fmtid="{D5CDD505-2E9C-101B-9397-08002B2CF9AE}" pid="8" name="ClassificationContentMarkingHeaderShapeIds">
    <vt:lpwstr>7f5bafc2,22b32664,512adb64</vt:lpwstr>
  </property>
  <property fmtid="{D5CDD505-2E9C-101B-9397-08002B2CF9AE}" pid="9" name="ClassificationContentMarkingHeaderFontProps">
    <vt:lpwstr>#000000,12,Calibri</vt:lpwstr>
  </property>
  <property fmtid="{D5CDD505-2E9C-101B-9397-08002B2CF9AE}" pid="10" name="ClassificationContentMarkingHeaderText">
    <vt:lpwstr> OFFICIAL</vt:lpwstr>
  </property>
  <property fmtid="{D5CDD505-2E9C-101B-9397-08002B2CF9AE}" pid="11" name="ZOTERO_PREF_2">
    <vt:lpwstr>ournalAbbreviations" value="true"/&gt;&lt;pref name="delayCitationUpdates" value="true"/&gt;&lt;pref name="dontAskDelayCitationUpdates" value="true"/&gt;&lt;/prefs&gt;&lt;/data&gt;</vt:lpwstr>
  </property>
  <property fmtid="{D5CDD505-2E9C-101B-9397-08002B2CF9AE}" pid="12" name="ZOTERO_PREF_1">
    <vt:lpwstr>&lt;data data-version="3" zotero-version="7.0.3"&gt;&lt;session id="U7Vy0I8V"/&gt;&lt;style id="http://www.zotero.org/styles/Productivity-Commission" hasBibliography="1" bibliographyStyleHasBeenSet="1"/&gt;&lt;prefs&gt;&lt;pref name="fieldType" value="Field"/&gt;&lt;pref name="automaticJ</vt:lpwstr>
  </property>
  <property fmtid="{D5CDD505-2E9C-101B-9397-08002B2CF9AE}" pid="13" name="MSIP_Label_c1f2b1ce-4212-46db-a901-dd8453f57141_Enabled">
    <vt:lpwstr>true</vt:lpwstr>
  </property>
  <property fmtid="{D5CDD505-2E9C-101B-9397-08002B2CF9AE}" pid="14" name="MSIP_Label_c1f2b1ce-4212-46db-a901-dd8453f57141_SetDate">
    <vt:lpwstr>2024-10-31T12:59:16Z</vt:lpwstr>
  </property>
  <property fmtid="{D5CDD505-2E9C-101B-9397-08002B2CF9AE}" pid="15" name="MSIP_Label_c1f2b1ce-4212-46db-a901-dd8453f57141_Method">
    <vt:lpwstr>Privileged</vt:lpwstr>
  </property>
  <property fmtid="{D5CDD505-2E9C-101B-9397-08002B2CF9AE}" pid="16" name="MSIP_Label_c1f2b1ce-4212-46db-a901-dd8453f57141_Name">
    <vt:lpwstr>Publish</vt:lpwstr>
  </property>
  <property fmtid="{D5CDD505-2E9C-101B-9397-08002B2CF9AE}" pid="17" name="MSIP_Label_c1f2b1ce-4212-46db-a901-dd8453f57141_SiteId">
    <vt:lpwstr>29f9330b-c0fe-4244-830e-ba9f275d6c34</vt:lpwstr>
  </property>
  <property fmtid="{D5CDD505-2E9C-101B-9397-08002B2CF9AE}" pid="18" name="MSIP_Label_c1f2b1ce-4212-46db-a901-dd8453f57141_ActionId">
    <vt:lpwstr>6156ee66-977f-487b-974a-6621b416c702</vt:lpwstr>
  </property>
  <property fmtid="{D5CDD505-2E9C-101B-9397-08002B2CF9AE}" pid="19" name="MSIP_Label_c1f2b1ce-4212-46db-a901-dd8453f57141_ContentBits">
    <vt:lpwstr>0</vt:lpwstr>
  </property>
  <property fmtid="{D5CDD505-2E9C-101B-9397-08002B2CF9AE}" pid="20" name="ContentTypeId">
    <vt:lpwstr>0x0101006C0B5E815648EF46B6FA6D42F17E5E9F000C963E276195B04F83BC027CFDC94A8D</vt:lpwstr>
  </property>
  <property fmtid="{D5CDD505-2E9C-101B-9397-08002B2CF9AE}" pid="21" name="RevIMBCS">
    <vt:lpwstr>1;#Unclassified|3955eeb1-2d18-4582-aeb2-00144ec3aaf5</vt:lpwstr>
  </property>
  <property fmtid="{D5CDD505-2E9C-101B-9397-08002B2CF9AE}" pid="22" name="MSIP_Label_f7467c1a-e0ed-413c-a72b-aac8e8e94f41_Name">
    <vt:lpwstr>OFFICIAL</vt:lpwstr>
  </property>
  <property fmtid="{D5CDD505-2E9C-101B-9397-08002B2CF9AE}" pid="23" name="MSIP_Label_f7467c1a-e0ed-413c-a72b-aac8e8e94f41_ActionId">
    <vt:lpwstr>cc79e1c9-2354-4309-9c7a-4b22bbd6f938</vt:lpwstr>
  </property>
  <property fmtid="{D5CDD505-2E9C-101B-9397-08002B2CF9AE}" pid="24" name="MSIP_Label_f7467c1a-e0ed-413c-a72b-aac8e8e94f41_SiteId">
    <vt:lpwstr>29f9330b-c0fe-4244-830e-ba9f275d6c34</vt:lpwstr>
  </property>
  <property fmtid="{D5CDD505-2E9C-101B-9397-08002B2CF9AE}" pid="25" name="MSIP_Label_f7467c1a-e0ed-413c-a72b-aac8e8e94f41_ContentBits">
    <vt:lpwstr>1</vt:lpwstr>
  </property>
  <property fmtid="{D5CDD505-2E9C-101B-9397-08002B2CF9AE}" pid="26" name="MSIP_Label_f7467c1a-e0ed-413c-a72b-aac8e8e94f41_Method">
    <vt:lpwstr>Privileged</vt:lpwstr>
  </property>
  <property fmtid="{D5CDD505-2E9C-101B-9397-08002B2CF9AE}" pid="27" name="MSIP_Label_f7467c1a-e0ed-413c-a72b-aac8e8e94f41_Enabled">
    <vt:lpwstr>true</vt:lpwstr>
  </property>
  <property fmtid="{D5CDD505-2E9C-101B-9397-08002B2CF9AE}" pid="28" name="MSIP_Label_f7467c1a-e0ed-413c-a72b-aac8e8e94f41_SetDate">
    <vt:lpwstr>2024-10-11T04:31:26Z</vt:lpwstr>
  </property>
</Properties>
</file>