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65" w:rsidRPr="00E47831" w:rsidRDefault="00361665" w:rsidP="00E47831">
      <w:pPr>
        <w:spacing w:before="240"/>
        <w:rPr>
          <w:rFonts w:ascii="Goudy Old Style" w:hAnsi="Goudy Old Style"/>
          <w:sz w:val="25"/>
          <w:szCs w:val="25"/>
        </w:rPr>
      </w:pPr>
      <w:bookmarkStart w:id="0" w:name="_GoBack"/>
      <w:bookmarkEnd w:id="0"/>
      <w:r w:rsidRPr="00E47831">
        <w:rPr>
          <w:rFonts w:ascii="Goudy Old Style" w:hAnsi="Goudy Old Style"/>
          <w:sz w:val="25"/>
          <w:szCs w:val="25"/>
        </w:rPr>
        <w:t xml:space="preserve">The </w:t>
      </w:r>
      <w:r w:rsidRPr="00E47831">
        <w:rPr>
          <w:rFonts w:ascii="Goudy Old Style" w:hAnsi="Goudy Old Style"/>
          <w:i/>
          <w:sz w:val="25"/>
          <w:szCs w:val="25"/>
        </w:rPr>
        <w:t>201</w:t>
      </w:r>
      <w:r w:rsidR="00551E79" w:rsidRPr="00E47831">
        <w:rPr>
          <w:rFonts w:ascii="Goudy Old Style" w:hAnsi="Goudy Old Style"/>
          <w:i/>
          <w:sz w:val="25"/>
          <w:szCs w:val="25"/>
        </w:rPr>
        <w:t>4</w:t>
      </w:r>
      <w:r w:rsidRPr="00E47831">
        <w:rPr>
          <w:rFonts w:ascii="Goudy Old Style" w:hAnsi="Goudy Old Style"/>
          <w:i/>
          <w:sz w:val="25"/>
          <w:szCs w:val="25"/>
        </w:rPr>
        <w:t xml:space="preserve"> Indigenous Expenditure Report</w:t>
      </w:r>
      <w:r w:rsidRPr="00E47831">
        <w:rPr>
          <w:rFonts w:ascii="Goudy Old Style" w:hAnsi="Goudy Old Style"/>
          <w:sz w:val="25"/>
          <w:szCs w:val="25"/>
        </w:rPr>
        <w:t xml:space="preserve"> was released on </w:t>
      </w:r>
      <w:r w:rsidR="00E41DB2" w:rsidRPr="00E47831">
        <w:rPr>
          <w:rFonts w:ascii="Goudy Old Style" w:hAnsi="Goudy Old Style"/>
          <w:b/>
          <w:sz w:val="25"/>
          <w:szCs w:val="25"/>
        </w:rPr>
        <w:t>12</w:t>
      </w:r>
      <w:r w:rsidRPr="00E47831">
        <w:rPr>
          <w:rFonts w:ascii="Goudy Old Style" w:hAnsi="Goudy Old Style"/>
          <w:b/>
          <w:sz w:val="25"/>
          <w:szCs w:val="25"/>
        </w:rPr>
        <w:t xml:space="preserve"> </w:t>
      </w:r>
      <w:r w:rsidR="00E41DB2" w:rsidRPr="00E47831">
        <w:rPr>
          <w:rFonts w:ascii="Goudy Old Style" w:hAnsi="Goudy Old Style"/>
          <w:b/>
          <w:sz w:val="25"/>
          <w:szCs w:val="25"/>
        </w:rPr>
        <w:t>December</w:t>
      </w:r>
      <w:r w:rsidRPr="00E47831">
        <w:rPr>
          <w:rFonts w:ascii="Goudy Old Style" w:hAnsi="Goudy Old Style"/>
          <w:b/>
          <w:sz w:val="25"/>
          <w:szCs w:val="25"/>
        </w:rPr>
        <w:t xml:space="preserve"> 201</w:t>
      </w:r>
      <w:r w:rsidR="00551E79" w:rsidRPr="00E47831">
        <w:rPr>
          <w:rFonts w:ascii="Goudy Old Style" w:hAnsi="Goudy Old Style"/>
          <w:b/>
          <w:sz w:val="25"/>
          <w:szCs w:val="25"/>
        </w:rPr>
        <w:t>4</w:t>
      </w:r>
      <w:r w:rsidRPr="00E47831">
        <w:rPr>
          <w:rFonts w:ascii="Goudy Old Style" w:hAnsi="Goudy Old Style"/>
          <w:sz w:val="25"/>
          <w:szCs w:val="25"/>
        </w:rPr>
        <w:t xml:space="preserve">. The Report is the </w:t>
      </w:r>
      <w:r w:rsidR="007E1BB1" w:rsidRPr="00E47831">
        <w:rPr>
          <w:rFonts w:ascii="Goudy Old Style" w:hAnsi="Goudy Old Style"/>
          <w:sz w:val="25"/>
          <w:szCs w:val="25"/>
        </w:rPr>
        <w:t xml:space="preserve">third </w:t>
      </w:r>
      <w:r w:rsidRPr="00E47831">
        <w:rPr>
          <w:rFonts w:ascii="Goudy Old Style" w:hAnsi="Goudy Old Style"/>
          <w:sz w:val="25"/>
          <w:szCs w:val="25"/>
        </w:rPr>
        <w:t xml:space="preserve">in a series </w:t>
      </w:r>
      <w:r w:rsidR="008D1701">
        <w:rPr>
          <w:rFonts w:ascii="Goudy Old Style" w:hAnsi="Goudy Old Style"/>
          <w:sz w:val="25"/>
          <w:szCs w:val="25"/>
        </w:rPr>
        <w:t>providing</w:t>
      </w:r>
      <w:r w:rsidRPr="00E47831">
        <w:rPr>
          <w:rFonts w:ascii="Goudy Old Style" w:hAnsi="Goudy Old Style"/>
          <w:sz w:val="25"/>
          <w:szCs w:val="25"/>
        </w:rPr>
        <w:t xml:space="preserve"> estimates of expenditure on services provided to Aboriginal and Torres Strait Islander </w:t>
      </w:r>
      <w:r w:rsidR="008D1701">
        <w:rPr>
          <w:rFonts w:ascii="Goudy Old Style" w:hAnsi="Goudy Old Style"/>
          <w:sz w:val="25"/>
          <w:szCs w:val="25"/>
        </w:rPr>
        <w:t>Australians</w:t>
      </w:r>
      <w:r w:rsidR="008D1701" w:rsidRPr="00E47831">
        <w:rPr>
          <w:rFonts w:ascii="Goudy Old Style" w:hAnsi="Goudy Old Style"/>
          <w:sz w:val="25"/>
          <w:szCs w:val="25"/>
        </w:rPr>
        <w:t xml:space="preserve"> </w:t>
      </w:r>
      <w:r w:rsidRPr="00E47831">
        <w:rPr>
          <w:rFonts w:ascii="Goudy Old Style" w:hAnsi="Goudy Old Style"/>
          <w:sz w:val="25"/>
          <w:szCs w:val="25"/>
        </w:rPr>
        <w:t>by the Australian Government, and State and Territory governments.</w:t>
      </w:r>
    </w:p>
    <w:p w:rsidR="005D2C1F" w:rsidRPr="00361AE6" w:rsidRDefault="005D2C1F" w:rsidP="00361AE6">
      <w:pPr>
        <w:spacing w:before="240"/>
        <w:rPr>
          <w:rFonts w:ascii="Goudy Old Style" w:hAnsi="Goudy Old Style"/>
          <w:sz w:val="25"/>
          <w:szCs w:val="25"/>
        </w:rPr>
      </w:pPr>
      <w:r w:rsidRPr="00DC466D">
        <w:rPr>
          <w:rFonts w:ascii="Goudy Old Style" w:hAnsi="Goudy Old Style"/>
          <w:sz w:val="25"/>
          <w:szCs w:val="25"/>
        </w:rPr>
        <w:t xml:space="preserve">This factsheet </w:t>
      </w:r>
      <w:r>
        <w:rPr>
          <w:rFonts w:ascii="Goudy Old Style" w:hAnsi="Goudy Old Style"/>
          <w:sz w:val="25"/>
          <w:szCs w:val="25"/>
        </w:rPr>
        <w:t xml:space="preserve">describes the </w:t>
      </w:r>
      <w:r w:rsidR="009E2BB8" w:rsidRPr="009E2BB8">
        <w:rPr>
          <w:rFonts w:ascii="Goudy Old Style" w:hAnsi="Goudy Old Style"/>
          <w:i/>
          <w:sz w:val="25"/>
          <w:szCs w:val="25"/>
        </w:rPr>
        <w:t>direct</w:t>
      </w:r>
      <w:r w:rsidR="009E2BB8">
        <w:rPr>
          <w:rFonts w:ascii="Goudy Old Style" w:hAnsi="Goudy Old Style"/>
          <w:sz w:val="25"/>
          <w:szCs w:val="25"/>
        </w:rPr>
        <w:t xml:space="preserve"> government </w:t>
      </w:r>
      <w:r>
        <w:rPr>
          <w:rFonts w:ascii="Goudy Old Style" w:hAnsi="Goudy Old Style"/>
          <w:sz w:val="25"/>
          <w:szCs w:val="25"/>
        </w:rPr>
        <w:t>expenditure items that are relevant to each of the</w:t>
      </w:r>
      <w:r w:rsidR="002A2ABB">
        <w:rPr>
          <w:rFonts w:ascii="Goudy Old Style" w:hAnsi="Goudy Old Style"/>
          <w:sz w:val="25"/>
          <w:szCs w:val="25"/>
        </w:rPr>
        <w:t xml:space="preserve"> </w:t>
      </w:r>
      <w:r>
        <w:rPr>
          <w:rFonts w:ascii="Goudy Old Style" w:hAnsi="Goudy Old Style"/>
          <w:sz w:val="25"/>
          <w:szCs w:val="25"/>
        </w:rPr>
        <w:t xml:space="preserve">six </w:t>
      </w:r>
      <w:r w:rsidR="002A2ABB">
        <w:rPr>
          <w:rFonts w:ascii="Goudy Old Style" w:hAnsi="Goudy Old Style"/>
          <w:sz w:val="25"/>
          <w:szCs w:val="25"/>
        </w:rPr>
        <w:t xml:space="preserve">broad </w:t>
      </w:r>
      <w:r w:rsidRPr="00E47831">
        <w:rPr>
          <w:rFonts w:ascii="Goudy Old Style" w:hAnsi="Goudy Old Style"/>
          <w:sz w:val="25"/>
          <w:szCs w:val="25"/>
        </w:rPr>
        <w:t>areas of expenditure</w:t>
      </w:r>
      <w:r w:rsidR="002A2ABB">
        <w:rPr>
          <w:rFonts w:ascii="Goudy Old Style" w:hAnsi="Goudy Old Style"/>
          <w:sz w:val="25"/>
          <w:szCs w:val="25"/>
        </w:rPr>
        <w:t xml:space="preserve"> discussed in the Report</w:t>
      </w:r>
      <w:r w:rsidR="009A41E4">
        <w:rPr>
          <w:rFonts w:ascii="Goudy Old Style" w:hAnsi="Goudy Old Style"/>
          <w:sz w:val="25"/>
          <w:szCs w:val="25"/>
        </w:rPr>
        <w:t xml:space="preserve">. </w:t>
      </w:r>
      <w:r w:rsidR="00B2088C">
        <w:rPr>
          <w:rFonts w:ascii="Goudy Old Style" w:hAnsi="Goudy Old Style"/>
          <w:sz w:val="25"/>
          <w:szCs w:val="25"/>
        </w:rPr>
        <w:t>The information</w:t>
      </w:r>
      <w:r w:rsidR="007D7DDB">
        <w:rPr>
          <w:rFonts w:ascii="Goudy Old Style" w:hAnsi="Goudy Old Style"/>
          <w:sz w:val="25"/>
          <w:szCs w:val="25"/>
        </w:rPr>
        <w:t xml:space="preserve"> in this factsheet </w:t>
      </w:r>
      <w:r w:rsidR="008D1701">
        <w:rPr>
          <w:rFonts w:ascii="Goudy Old Style" w:hAnsi="Goudy Old Style"/>
          <w:sz w:val="25"/>
          <w:szCs w:val="25"/>
        </w:rPr>
        <w:t xml:space="preserve">is designed to </w:t>
      </w:r>
      <w:r w:rsidR="008D1701" w:rsidRPr="00361AE6">
        <w:rPr>
          <w:rFonts w:ascii="Goudy Old Style" w:hAnsi="Goudy Old Style"/>
          <w:sz w:val="25"/>
          <w:szCs w:val="25"/>
        </w:rPr>
        <w:t>help</w:t>
      </w:r>
      <w:r w:rsidR="00B2088C" w:rsidRPr="00361AE6">
        <w:rPr>
          <w:rFonts w:ascii="Goudy Old Style" w:hAnsi="Goudy Old Style"/>
          <w:sz w:val="25"/>
          <w:szCs w:val="25"/>
        </w:rPr>
        <w:t xml:space="preserve"> readers interpret the estimates </w:t>
      </w:r>
      <w:r w:rsidR="007D7DDB" w:rsidRPr="00361AE6">
        <w:rPr>
          <w:rFonts w:ascii="Goudy Old Style" w:hAnsi="Goudy Old Style"/>
          <w:sz w:val="25"/>
          <w:szCs w:val="25"/>
        </w:rPr>
        <w:t xml:space="preserve">in </w:t>
      </w:r>
      <w:r w:rsidR="009A41E4" w:rsidRPr="00361AE6">
        <w:rPr>
          <w:rFonts w:ascii="Goudy Old Style" w:hAnsi="Goudy Old Style"/>
          <w:sz w:val="25"/>
          <w:szCs w:val="25"/>
        </w:rPr>
        <w:t xml:space="preserve">the </w:t>
      </w:r>
      <w:r w:rsidR="00B2088C" w:rsidRPr="00361AE6">
        <w:rPr>
          <w:rFonts w:ascii="Goudy Old Style" w:hAnsi="Goudy Old Style"/>
          <w:sz w:val="25"/>
          <w:szCs w:val="25"/>
        </w:rPr>
        <w:t>separate</w:t>
      </w:r>
      <w:r w:rsidR="009A41E4" w:rsidRPr="00361AE6">
        <w:rPr>
          <w:rFonts w:ascii="Goudy Old Style" w:hAnsi="Goudy Old Style"/>
          <w:sz w:val="25"/>
          <w:szCs w:val="25"/>
        </w:rPr>
        <w:t xml:space="preserve"> factsheets</w:t>
      </w:r>
      <w:r w:rsidR="007D7DDB" w:rsidRPr="00361AE6">
        <w:rPr>
          <w:rFonts w:ascii="Goudy Old Style" w:hAnsi="Goudy Old Style"/>
          <w:sz w:val="25"/>
          <w:szCs w:val="25"/>
        </w:rPr>
        <w:t xml:space="preserve"> covering each of the six expenditure areas</w:t>
      </w:r>
      <w:r w:rsidR="000C2F6C" w:rsidRPr="00361AE6">
        <w:rPr>
          <w:rFonts w:ascii="Goudy Old Style" w:hAnsi="Goudy Old Style"/>
          <w:sz w:val="25"/>
          <w:szCs w:val="25"/>
        </w:rPr>
        <w:t xml:space="preserve"> (available from the project website)</w:t>
      </w:r>
      <w:r w:rsidR="002B417A" w:rsidRPr="00361AE6">
        <w:rPr>
          <w:rFonts w:ascii="Goudy Old Style" w:hAnsi="Goudy Old Style"/>
          <w:sz w:val="25"/>
          <w:szCs w:val="25"/>
        </w:rPr>
        <w:t>:</w:t>
      </w:r>
      <w:r w:rsidR="00CE6C36" w:rsidRPr="00361AE6">
        <w:rPr>
          <w:rFonts w:ascii="Goudy Old Style" w:hAnsi="Goudy Old Style"/>
          <w:sz w:val="25"/>
          <w:szCs w:val="25"/>
        </w:rPr>
        <w:t xml:space="preserve"> </w:t>
      </w:r>
    </w:p>
    <w:p w:rsidR="002B417A" w:rsidRPr="00361AE6" w:rsidRDefault="002B417A" w:rsidP="00361AE6">
      <w:pPr>
        <w:pStyle w:val="BoxListBullet"/>
        <w:keepNext w:val="0"/>
        <w:tabs>
          <w:tab w:val="left" w:pos="1418"/>
        </w:tabs>
        <w:rPr>
          <w:rFonts w:ascii="Goudy Old Style" w:hAnsi="Goudy Old Style"/>
          <w:sz w:val="25"/>
          <w:szCs w:val="25"/>
        </w:rPr>
      </w:pPr>
      <w:r w:rsidRPr="00361AE6">
        <w:rPr>
          <w:rFonts w:ascii="Goudy Old Style" w:hAnsi="Goudy Old Style"/>
          <w:sz w:val="25"/>
          <w:szCs w:val="25"/>
        </w:rPr>
        <w:t>Factsheet</w:t>
      </w:r>
      <w:r w:rsidR="00AA4819" w:rsidRPr="00361AE6">
        <w:rPr>
          <w:rFonts w:ascii="Goudy Old Style" w:hAnsi="Goudy Old Style"/>
          <w:sz w:val="25"/>
          <w:szCs w:val="25"/>
        </w:rPr>
        <w:t>:</w:t>
      </w:r>
      <w:r w:rsidRPr="00361AE6">
        <w:rPr>
          <w:rFonts w:ascii="Goudy Old Style" w:hAnsi="Goudy Old Style"/>
          <w:sz w:val="25"/>
          <w:szCs w:val="25"/>
        </w:rPr>
        <w:t xml:space="preserve"> </w:t>
      </w:r>
      <w:r w:rsidR="00E0710B" w:rsidRPr="00361AE6">
        <w:rPr>
          <w:rFonts w:ascii="Goudy Old Style" w:hAnsi="Goudy Old Style"/>
          <w:sz w:val="25"/>
          <w:szCs w:val="25"/>
        </w:rPr>
        <w:tab/>
      </w:r>
      <w:r w:rsidRPr="00361AE6">
        <w:rPr>
          <w:rFonts w:ascii="Goudy Old Style" w:hAnsi="Goudy Old Style"/>
          <w:sz w:val="25"/>
          <w:szCs w:val="25"/>
        </w:rPr>
        <w:t>Early child development, and education and training</w:t>
      </w:r>
    </w:p>
    <w:p w:rsidR="002B417A" w:rsidRPr="00361AE6" w:rsidRDefault="002B417A" w:rsidP="00361AE6">
      <w:pPr>
        <w:pStyle w:val="BoxListBullet"/>
        <w:keepNext w:val="0"/>
        <w:tabs>
          <w:tab w:val="left" w:pos="1418"/>
        </w:tabs>
        <w:spacing w:before="0"/>
        <w:rPr>
          <w:rFonts w:ascii="Goudy Old Style" w:hAnsi="Goudy Old Style"/>
          <w:sz w:val="25"/>
          <w:szCs w:val="25"/>
        </w:rPr>
      </w:pPr>
      <w:r w:rsidRPr="00361AE6">
        <w:rPr>
          <w:rFonts w:ascii="Goudy Old Style" w:hAnsi="Goudy Old Style"/>
          <w:sz w:val="25"/>
          <w:szCs w:val="25"/>
        </w:rPr>
        <w:t>Factsheet</w:t>
      </w:r>
      <w:r w:rsidR="00AA4819" w:rsidRPr="00361AE6">
        <w:rPr>
          <w:rFonts w:ascii="Goudy Old Style" w:hAnsi="Goudy Old Style"/>
          <w:sz w:val="25"/>
          <w:szCs w:val="25"/>
        </w:rPr>
        <w:t>:</w:t>
      </w:r>
      <w:r w:rsidRPr="00361AE6">
        <w:rPr>
          <w:rFonts w:ascii="Goudy Old Style" w:hAnsi="Goudy Old Style"/>
          <w:sz w:val="25"/>
          <w:szCs w:val="25"/>
        </w:rPr>
        <w:t xml:space="preserve"> </w:t>
      </w:r>
      <w:r w:rsidR="00E0710B" w:rsidRPr="00361AE6">
        <w:rPr>
          <w:rFonts w:ascii="Goudy Old Style" w:hAnsi="Goudy Old Style"/>
          <w:sz w:val="25"/>
          <w:szCs w:val="25"/>
        </w:rPr>
        <w:tab/>
      </w:r>
      <w:r w:rsidRPr="00361AE6">
        <w:rPr>
          <w:rFonts w:ascii="Goudy Old Style" w:hAnsi="Goudy Old Style"/>
          <w:sz w:val="25"/>
          <w:szCs w:val="25"/>
        </w:rPr>
        <w:t>Healthy lives</w:t>
      </w:r>
    </w:p>
    <w:p w:rsidR="002B417A" w:rsidRPr="00361AE6" w:rsidRDefault="002B417A" w:rsidP="00361AE6">
      <w:pPr>
        <w:pStyle w:val="BoxListBullet"/>
        <w:keepNext w:val="0"/>
        <w:tabs>
          <w:tab w:val="left" w:pos="1418"/>
        </w:tabs>
        <w:spacing w:before="0"/>
        <w:rPr>
          <w:rFonts w:ascii="Goudy Old Style" w:hAnsi="Goudy Old Style"/>
          <w:sz w:val="25"/>
          <w:szCs w:val="25"/>
        </w:rPr>
      </w:pPr>
      <w:r w:rsidRPr="00361AE6">
        <w:rPr>
          <w:rFonts w:ascii="Goudy Old Style" w:hAnsi="Goudy Old Style"/>
          <w:sz w:val="25"/>
          <w:szCs w:val="25"/>
        </w:rPr>
        <w:t>Factsheet</w:t>
      </w:r>
      <w:r w:rsidR="00AA4819" w:rsidRPr="00361AE6">
        <w:rPr>
          <w:rFonts w:ascii="Goudy Old Style" w:hAnsi="Goudy Old Style"/>
          <w:sz w:val="25"/>
          <w:szCs w:val="25"/>
        </w:rPr>
        <w:t>:</w:t>
      </w:r>
      <w:r w:rsidRPr="00361AE6">
        <w:rPr>
          <w:rFonts w:ascii="Goudy Old Style" w:hAnsi="Goudy Old Style"/>
          <w:sz w:val="25"/>
          <w:szCs w:val="25"/>
        </w:rPr>
        <w:t xml:space="preserve"> </w:t>
      </w:r>
      <w:r w:rsidR="00E0710B" w:rsidRPr="00361AE6">
        <w:rPr>
          <w:rFonts w:ascii="Goudy Old Style" w:hAnsi="Goudy Old Style"/>
          <w:sz w:val="25"/>
          <w:szCs w:val="25"/>
        </w:rPr>
        <w:tab/>
      </w:r>
      <w:r w:rsidRPr="00361AE6">
        <w:rPr>
          <w:rFonts w:ascii="Goudy Old Style" w:hAnsi="Goudy Old Style"/>
          <w:sz w:val="25"/>
          <w:szCs w:val="25"/>
        </w:rPr>
        <w:t>Economic participation</w:t>
      </w:r>
    </w:p>
    <w:p w:rsidR="002B417A" w:rsidRPr="00361AE6" w:rsidRDefault="002B417A" w:rsidP="00361AE6">
      <w:pPr>
        <w:pStyle w:val="BoxListBullet"/>
        <w:keepNext w:val="0"/>
        <w:tabs>
          <w:tab w:val="left" w:pos="1418"/>
        </w:tabs>
        <w:spacing w:before="0"/>
        <w:rPr>
          <w:rFonts w:ascii="Goudy Old Style" w:hAnsi="Goudy Old Style"/>
          <w:sz w:val="25"/>
          <w:szCs w:val="25"/>
        </w:rPr>
      </w:pPr>
      <w:r w:rsidRPr="00361AE6">
        <w:rPr>
          <w:rFonts w:ascii="Goudy Old Style" w:hAnsi="Goudy Old Style"/>
          <w:sz w:val="25"/>
          <w:szCs w:val="25"/>
        </w:rPr>
        <w:t>Factsheet</w:t>
      </w:r>
      <w:r w:rsidR="00AA4819" w:rsidRPr="00361AE6">
        <w:rPr>
          <w:rFonts w:ascii="Goudy Old Style" w:hAnsi="Goudy Old Style"/>
          <w:sz w:val="25"/>
          <w:szCs w:val="25"/>
        </w:rPr>
        <w:t>:</w:t>
      </w:r>
      <w:r w:rsidRPr="00361AE6">
        <w:rPr>
          <w:rFonts w:ascii="Goudy Old Style" w:hAnsi="Goudy Old Style"/>
          <w:sz w:val="25"/>
          <w:szCs w:val="25"/>
        </w:rPr>
        <w:t xml:space="preserve"> </w:t>
      </w:r>
      <w:r w:rsidR="00E0710B" w:rsidRPr="00361AE6">
        <w:rPr>
          <w:rFonts w:ascii="Goudy Old Style" w:hAnsi="Goudy Old Style"/>
          <w:sz w:val="25"/>
          <w:szCs w:val="25"/>
        </w:rPr>
        <w:tab/>
      </w:r>
      <w:r w:rsidRPr="00361AE6">
        <w:rPr>
          <w:rFonts w:ascii="Goudy Old Style" w:hAnsi="Goudy Old Style"/>
          <w:sz w:val="25"/>
          <w:szCs w:val="25"/>
        </w:rPr>
        <w:t>Home environment</w:t>
      </w:r>
    </w:p>
    <w:p w:rsidR="002B417A" w:rsidRPr="00361AE6" w:rsidRDefault="002B417A" w:rsidP="00361AE6">
      <w:pPr>
        <w:pStyle w:val="BoxListBullet"/>
        <w:keepNext w:val="0"/>
        <w:tabs>
          <w:tab w:val="left" w:pos="1418"/>
        </w:tabs>
        <w:spacing w:before="0"/>
        <w:rPr>
          <w:rFonts w:ascii="Goudy Old Style" w:hAnsi="Goudy Old Style"/>
          <w:sz w:val="25"/>
          <w:szCs w:val="25"/>
        </w:rPr>
      </w:pPr>
      <w:r w:rsidRPr="00361AE6">
        <w:rPr>
          <w:rFonts w:ascii="Goudy Old Style" w:hAnsi="Goudy Old Style"/>
          <w:sz w:val="25"/>
          <w:szCs w:val="25"/>
        </w:rPr>
        <w:t>Factsheet</w:t>
      </w:r>
      <w:r w:rsidR="00AA4819" w:rsidRPr="00361AE6">
        <w:rPr>
          <w:rFonts w:ascii="Goudy Old Style" w:hAnsi="Goudy Old Style"/>
          <w:sz w:val="25"/>
          <w:szCs w:val="25"/>
        </w:rPr>
        <w:t>:</w:t>
      </w:r>
      <w:r w:rsidRPr="00361AE6">
        <w:rPr>
          <w:rFonts w:ascii="Goudy Old Style" w:hAnsi="Goudy Old Style"/>
          <w:sz w:val="25"/>
          <w:szCs w:val="25"/>
        </w:rPr>
        <w:t xml:space="preserve"> </w:t>
      </w:r>
      <w:r w:rsidR="00E0710B" w:rsidRPr="00361AE6">
        <w:rPr>
          <w:rFonts w:ascii="Goudy Old Style" w:hAnsi="Goudy Old Style"/>
          <w:sz w:val="25"/>
          <w:szCs w:val="25"/>
        </w:rPr>
        <w:tab/>
      </w:r>
      <w:r w:rsidRPr="00361AE6">
        <w:rPr>
          <w:rFonts w:ascii="Goudy Old Style" w:hAnsi="Goudy Old Style"/>
          <w:sz w:val="25"/>
          <w:szCs w:val="25"/>
        </w:rPr>
        <w:t>Safe and supportive communities</w:t>
      </w:r>
    </w:p>
    <w:p w:rsidR="002B417A" w:rsidRPr="00361AE6" w:rsidRDefault="002B417A" w:rsidP="00361AE6">
      <w:pPr>
        <w:pStyle w:val="BoxListBullet"/>
        <w:keepNext w:val="0"/>
        <w:tabs>
          <w:tab w:val="left" w:pos="1418"/>
        </w:tabs>
        <w:spacing w:before="0"/>
        <w:rPr>
          <w:rFonts w:ascii="Goudy Old Style" w:hAnsi="Goudy Old Style"/>
          <w:sz w:val="25"/>
          <w:szCs w:val="25"/>
        </w:rPr>
      </w:pPr>
      <w:r w:rsidRPr="00361AE6">
        <w:rPr>
          <w:rFonts w:ascii="Goudy Old Style" w:hAnsi="Goudy Old Style"/>
          <w:sz w:val="25"/>
          <w:szCs w:val="25"/>
        </w:rPr>
        <w:t>Factsheet</w:t>
      </w:r>
      <w:r w:rsidR="00AA4819" w:rsidRPr="00361AE6">
        <w:rPr>
          <w:rFonts w:ascii="Goudy Old Style" w:hAnsi="Goudy Old Style"/>
          <w:sz w:val="25"/>
          <w:szCs w:val="25"/>
        </w:rPr>
        <w:t>:</w:t>
      </w:r>
      <w:r w:rsidRPr="00361AE6">
        <w:rPr>
          <w:rFonts w:ascii="Goudy Old Style" w:hAnsi="Goudy Old Style"/>
          <w:sz w:val="25"/>
          <w:szCs w:val="25"/>
        </w:rPr>
        <w:t xml:space="preserve"> </w:t>
      </w:r>
      <w:r w:rsidR="00E0710B" w:rsidRPr="00361AE6">
        <w:rPr>
          <w:rFonts w:ascii="Goudy Old Style" w:hAnsi="Goudy Old Style"/>
          <w:sz w:val="25"/>
          <w:szCs w:val="25"/>
        </w:rPr>
        <w:tab/>
      </w:r>
      <w:r w:rsidRPr="00361AE6">
        <w:rPr>
          <w:rFonts w:ascii="Goudy Old Style" w:hAnsi="Goudy Old Style"/>
          <w:sz w:val="25"/>
          <w:szCs w:val="25"/>
        </w:rPr>
        <w:t xml:space="preserve">Other government </w:t>
      </w:r>
      <w:r w:rsidR="00C870BB" w:rsidRPr="00361AE6">
        <w:rPr>
          <w:rFonts w:ascii="Goudy Old Style" w:hAnsi="Goudy Old Style"/>
          <w:sz w:val="25"/>
          <w:szCs w:val="25"/>
        </w:rPr>
        <w:t>services</w:t>
      </w:r>
      <w:r w:rsidRPr="00361AE6">
        <w:rPr>
          <w:rFonts w:ascii="Goudy Old Style" w:hAnsi="Goudy Old Style"/>
          <w:sz w:val="25"/>
          <w:szCs w:val="25"/>
        </w:rPr>
        <w:t>.</w:t>
      </w:r>
    </w:p>
    <w:p w:rsidR="00AF2B98" w:rsidRPr="00361AE6" w:rsidRDefault="00E214AF" w:rsidP="00361AE6">
      <w:pPr>
        <w:spacing w:before="240"/>
        <w:rPr>
          <w:rFonts w:ascii="Goudy Old Style" w:hAnsi="Goudy Old Style"/>
          <w:sz w:val="25"/>
          <w:szCs w:val="25"/>
        </w:rPr>
      </w:pPr>
      <w:r w:rsidRPr="00361AE6">
        <w:rPr>
          <w:rFonts w:ascii="Goudy Old Style" w:hAnsi="Goudy Old Style"/>
          <w:sz w:val="25"/>
          <w:szCs w:val="25"/>
        </w:rPr>
        <w:t xml:space="preserve">Estimating the Indigenous component of expenditure is complex, and many data quality and methodological challenges are yet to be resolved. </w:t>
      </w:r>
      <w:r w:rsidR="008D1701" w:rsidRPr="00361AE6">
        <w:rPr>
          <w:rFonts w:ascii="Goudy Old Style" w:hAnsi="Goudy Old Style"/>
          <w:sz w:val="25"/>
          <w:szCs w:val="25"/>
        </w:rPr>
        <w:t>Readers</w:t>
      </w:r>
      <w:r w:rsidR="0035319B" w:rsidRPr="00361AE6">
        <w:rPr>
          <w:rFonts w:ascii="Goudy Old Style" w:hAnsi="Goudy Old Style"/>
          <w:sz w:val="25"/>
          <w:szCs w:val="25"/>
        </w:rPr>
        <w:t xml:space="preserve"> are advised to refer to the </w:t>
      </w:r>
      <w:r w:rsidR="00036AA2" w:rsidRPr="00361AE6">
        <w:rPr>
          <w:rFonts w:ascii="Goudy Old Style" w:hAnsi="Goudy Old Style"/>
          <w:sz w:val="25"/>
          <w:szCs w:val="25"/>
        </w:rPr>
        <w:t>2014 </w:t>
      </w:r>
      <w:r w:rsidR="0035319B" w:rsidRPr="00361AE6">
        <w:rPr>
          <w:rFonts w:ascii="Goudy Old Style" w:hAnsi="Goudy Old Style"/>
          <w:sz w:val="25"/>
          <w:szCs w:val="25"/>
        </w:rPr>
        <w:t xml:space="preserve">Report for information to assist in interpreting </w:t>
      </w:r>
      <w:r w:rsidR="00681655" w:rsidRPr="00361AE6">
        <w:rPr>
          <w:rFonts w:ascii="Goudy Old Style" w:hAnsi="Goudy Old Style"/>
          <w:sz w:val="25"/>
          <w:szCs w:val="25"/>
        </w:rPr>
        <w:t>the expenditure estimates</w:t>
      </w:r>
      <w:r w:rsidRPr="00361AE6">
        <w:rPr>
          <w:rFonts w:ascii="Goudy Old Style" w:hAnsi="Goudy Old Style"/>
          <w:sz w:val="25"/>
          <w:szCs w:val="25"/>
        </w:rPr>
        <w:t>.</w:t>
      </w:r>
      <w:r w:rsidR="00C370D3" w:rsidRPr="00361AE6">
        <w:rPr>
          <w:rFonts w:ascii="Goudy Old Style" w:hAnsi="Goudy Old Style"/>
          <w:sz w:val="25"/>
          <w:szCs w:val="25"/>
        </w:rPr>
        <w:t xml:space="preserve"> Detailed explanations of </w:t>
      </w:r>
      <w:r w:rsidR="00AF2B98" w:rsidRPr="00361AE6">
        <w:rPr>
          <w:rFonts w:ascii="Goudy Old Style" w:hAnsi="Goudy Old Style"/>
          <w:sz w:val="25"/>
          <w:szCs w:val="25"/>
        </w:rPr>
        <w:t xml:space="preserve">definitions and methods that </w:t>
      </w:r>
      <w:r w:rsidR="00C370D3" w:rsidRPr="00361AE6">
        <w:rPr>
          <w:rFonts w:ascii="Goudy Old Style" w:hAnsi="Goudy Old Style"/>
          <w:sz w:val="25"/>
          <w:szCs w:val="25"/>
        </w:rPr>
        <w:t xml:space="preserve">were </w:t>
      </w:r>
      <w:r w:rsidR="00AF2B98" w:rsidRPr="00361AE6">
        <w:rPr>
          <w:rFonts w:ascii="Goudy Old Style" w:hAnsi="Goudy Old Style"/>
          <w:sz w:val="25"/>
          <w:szCs w:val="25"/>
        </w:rPr>
        <w:t xml:space="preserve">followed when </w:t>
      </w:r>
      <w:r w:rsidR="00C370D3" w:rsidRPr="00361AE6">
        <w:rPr>
          <w:rFonts w:ascii="Goudy Old Style" w:hAnsi="Goudy Old Style"/>
          <w:sz w:val="25"/>
          <w:szCs w:val="25"/>
        </w:rPr>
        <w:t xml:space="preserve">collecting </w:t>
      </w:r>
      <w:r w:rsidR="00AF2B98" w:rsidRPr="00361AE6">
        <w:rPr>
          <w:rFonts w:ascii="Goudy Old Style" w:hAnsi="Goudy Old Style"/>
          <w:sz w:val="25"/>
          <w:szCs w:val="25"/>
        </w:rPr>
        <w:t xml:space="preserve">expenditure data </w:t>
      </w:r>
      <w:r w:rsidR="00C370D3" w:rsidRPr="00361AE6">
        <w:rPr>
          <w:rFonts w:ascii="Goudy Old Style" w:hAnsi="Goudy Old Style"/>
          <w:sz w:val="25"/>
          <w:szCs w:val="25"/>
        </w:rPr>
        <w:t xml:space="preserve">and service use measures </w:t>
      </w:r>
      <w:r w:rsidR="00C87FA9" w:rsidRPr="00361AE6">
        <w:rPr>
          <w:rFonts w:ascii="Goudy Old Style" w:hAnsi="Goudy Old Style"/>
          <w:sz w:val="25"/>
          <w:szCs w:val="25"/>
        </w:rPr>
        <w:t>for the Report</w:t>
      </w:r>
      <w:r w:rsidR="00C370D3" w:rsidRPr="00361AE6">
        <w:rPr>
          <w:rFonts w:ascii="Goudy Old Style" w:hAnsi="Goudy Old Style"/>
          <w:sz w:val="25"/>
          <w:szCs w:val="25"/>
        </w:rPr>
        <w:t xml:space="preserve"> are available from </w:t>
      </w:r>
      <w:r w:rsidR="00B2088C" w:rsidRPr="00361AE6">
        <w:rPr>
          <w:rFonts w:ascii="Goudy Old Style" w:hAnsi="Goudy Old Style"/>
          <w:sz w:val="25"/>
          <w:szCs w:val="25"/>
        </w:rPr>
        <w:t xml:space="preserve">manuals on </w:t>
      </w:r>
      <w:r w:rsidR="00C370D3" w:rsidRPr="00361AE6">
        <w:rPr>
          <w:rFonts w:ascii="Goudy Old Style" w:hAnsi="Goudy Old Style"/>
          <w:sz w:val="25"/>
          <w:szCs w:val="25"/>
        </w:rPr>
        <w:t>the project website:</w:t>
      </w:r>
    </w:p>
    <w:p w:rsidR="00C370D3" w:rsidRPr="00361AE6" w:rsidRDefault="00C370D3" w:rsidP="00361AE6">
      <w:pPr>
        <w:pStyle w:val="BoxListBullet"/>
        <w:keepNext w:val="0"/>
        <w:rPr>
          <w:rFonts w:ascii="Goudy Old Style" w:hAnsi="Goudy Old Style"/>
          <w:sz w:val="25"/>
          <w:szCs w:val="25"/>
        </w:rPr>
      </w:pPr>
      <w:r w:rsidRPr="00361AE6">
        <w:rPr>
          <w:rFonts w:ascii="Goudy Old Style" w:hAnsi="Goudy Old Style"/>
          <w:sz w:val="25"/>
          <w:szCs w:val="25"/>
        </w:rPr>
        <w:t>2014 Report Expenditure Data Manual</w:t>
      </w:r>
    </w:p>
    <w:p w:rsidR="00C370D3" w:rsidRPr="00361AE6" w:rsidRDefault="00C370D3" w:rsidP="00361AE6">
      <w:pPr>
        <w:pStyle w:val="BoxListBullet"/>
        <w:keepNext w:val="0"/>
        <w:spacing w:before="0"/>
        <w:rPr>
          <w:rFonts w:ascii="Goudy Old Style" w:hAnsi="Goudy Old Style"/>
          <w:sz w:val="25"/>
          <w:szCs w:val="25"/>
        </w:rPr>
      </w:pPr>
      <w:r w:rsidRPr="00361AE6">
        <w:rPr>
          <w:rFonts w:ascii="Goudy Old Style" w:hAnsi="Goudy Old Style"/>
          <w:sz w:val="25"/>
          <w:szCs w:val="25"/>
        </w:rPr>
        <w:t>2014 Report Service Use Measure Definitions Manual.</w:t>
      </w:r>
    </w:p>
    <w:p w:rsidR="00AF2B98" w:rsidRPr="00361AE6" w:rsidRDefault="009E2BB8" w:rsidP="00361AE6">
      <w:pPr>
        <w:spacing w:before="240"/>
        <w:rPr>
          <w:rFonts w:ascii="Goudy Old Style" w:hAnsi="Goudy Old Style"/>
          <w:sz w:val="25"/>
          <w:szCs w:val="25"/>
        </w:rPr>
      </w:pPr>
      <w:r w:rsidRPr="00361AE6">
        <w:rPr>
          <w:rFonts w:ascii="Goudy Old Style" w:hAnsi="Goudy Old Style"/>
          <w:b/>
          <w:color w:val="800000"/>
          <w:sz w:val="28"/>
        </w:rPr>
        <w:t>Reported d</w:t>
      </w:r>
      <w:r w:rsidR="00C370D3" w:rsidRPr="00361AE6">
        <w:rPr>
          <w:rFonts w:ascii="Goudy Old Style" w:hAnsi="Goudy Old Style"/>
          <w:b/>
          <w:color w:val="800000"/>
          <w:sz w:val="28"/>
        </w:rPr>
        <w:t>irect government expenditure</w:t>
      </w:r>
    </w:p>
    <w:p w:rsidR="00C370D3" w:rsidRPr="00361AE6" w:rsidRDefault="00497CF0" w:rsidP="00361AE6">
      <w:pPr>
        <w:spacing w:before="240"/>
        <w:rPr>
          <w:rFonts w:ascii="Goudy Old Style" w:hAnsi="Goudy Old Style"/>
          <w:sz w:val="25"/>
          <w:szCs w:val="25"/>
        </w:rPr>
      </w:pPr>
      <w:r w:rsidRPr="00361AE6">
        <w:rPr>
          <w:rFonts w:ascii="Goudy Old Style" w:hAnsi="Goudy Old Style"/>
          <w:sz w:val="25"/>
          <w:szCs w:val="25"/>
        </w:rPr>
        <w:t xml:space="preserve">Nationally, Australian Government </w:t>
      </w:r>
      <w:r w:rsidRPr="00361AE6">
        <w:rPr>
          <w:rFonts w:ascii="Goudy Old Style" w:hAnsi="Goudy Old Style"/>
          <w:i/>
          <w:sz w:val="25"/>
          <w:szCs w:val="25"/>
        </w:rPr>
        <w:t>plus</w:t>
      </w:r>
      <w:r w:rsidRPr="00361AE6">
        <w:rPr>
          <w:rFonts w:ascii="Goudy Old Style" w:hAnsi="Goudy Old Style"/>
          <w:sz w:val="25"/>
          <w:szCs w:val="25"/>
        </w:rPr>
        <w:t xml:space="preserve"> State and Territory Government direct expenditure on services for Aboriginal and Torres Strait Islander Australians was $30.</w:t>
      </w:r>
      <w:r w:rsidR="009E7F90" w:rsidRPr="00361AE6">
        <w:rPr>
          <w:rFonts w:ascii="Goudy Old Style" w:hAnsi="Goudy Old Style"/>
          <w:sz w:val="25"/>
          <w:szCs w:val="25"/>
        </w:rPr>
        <w:t>3</w:t>
      </w:r>
      <w:r w:rsidRPr="00361AE6">
        <w:rPr>
          <w:rFonts w:ascii="Goudy Old Style" w:hAnsi="Goudy Old Style"/>
          <w:sz w:val="25"/>
          <w:szCs w:val="25"/>
        </w:rPr>
        <w:t> billion in 2012-13.</w:t>
      </w:r>
      <w:r w:rsidR="00895560" w:rsidRPr="00361AE6">
        <w:rPr>
          <w:rFonts w:ascii="Goudy Old Style" w:hAnsi="Goudy Old Style"/>
          <w:sz w:val="25"/>
          <w:szCs w:val="25"/>
        </w:rPr>
        <w:t xml:space="preserve"> The </w:t>
      </w:r>
      <w:r w:rsidR="00B2088C" w:rsidRPr="00361AE6">
        <w:rPr>
          <w:rFonts w:ascii="Goudy Old Style" w:hAnsi="Goudy Old Style"/>
          <w:sz w:val="25"/>
          <w:szCs w:val="25"/>
        </w:rPr>
        <w:t>Report groups expenditure into six main areas</w:t>
      </w:r>
      <w:r w:rsidR="004B1731" w:rsidRPr="00361AE6">
        <w:rPr>
          <w:rFonts w:ascii="Goudy Old Style" w:hAnsi="Goudy Old Style"/>
          <w:sz w:val="25"/>
          <w:szCs w:val="25"/>
        </w:rPr>
        <w:t>:</w:t>
      </w:r>
    </w:p>
    <w:p w:rsidR="00CE5D5A" w:rsidRPr="00361AE6" w:rsidRDefault="00CE5D5A" w:rsidP="00361AE6">
      <w:pPr>
        <w:pStyle w:val="BoxListBullet"/>
        <w:keepNext w:val="0"/>
        <w:tabs>
          <w:tab w:val="left" w:pos="1701"/>
        </w:tabs>
        <w:rPr>
          <w:rFonts w:ascii="Goudy Old Style" w:hAnsi="Goudy Old Style"/>
          <w:sz w:val="25"/>
          <w:szCs w:val="25"/>
        </w:rPr>
      </w:pPr>
      <w:r w:rsidRPr="00361AE6">
        <w:rPr>
          <w:rFonts w:ascii="Goudy Old Style" w:hAnsi="Goudy Old Style"/>
          <w:sz w:val="25"/>
          <w:szCs w:val="25"/>
        </w:rPr>
        <w:t>Early child development, and education and training</w:t>
      </w:r>
      <w:r w:rsidR="00B2088C" w:rsidRPr="00361AE6">
        <w:rPr>
          <w:rFonts w:ascii="Goudy Old Style" w:hAnsi="Goudy Old Style"/>
          <w:sz w:val="25"/>
          <w:szCs w:val="25"/>
        </w:rPr>
        <w:t xml:space="preserve"> </w:t>
      </w:r>
      <w:r w:rsidR="008D1701" w:rsidRPr="00361AE6">
        <w:rPr>
          <w:rFonts w:ascii="Goudy Old Style" w:hAnsi="Goudy Old Style"/>
          <w:sz w:val="25"/>
          <w:szCs w:val="25"/>
        </w:rPr>
        <w:t xml:space="preserve">— </w:t>
      </w:r>
      <w:r w:rsidR="00B2088C" w:rsidRPr="00361AE6">
        <w:rPr>
          <w:rFonts w:ascii="Goudy Old Style" w:hAnsi="Goudy Old Style"/>
          <w:sz w:val="25"/>
          <w:szCs w:val="25"/>
        </w:rPr>
        <w:t>15 per cent</w:t>
      </w:r>
      <w:r w:rsidR="008D1701" w:rsidRPr="00361AE6">
        <w:rPr>
          <w:rFonts w:ascii="Goudy Old Style" w:hAnsi="Goudy Old Style"/>
          <w:sz w:val="25"/>
          <w:szCs w:val="25"/>
        </w:rPr>
        <w:t xml:space="preserve"> of total Indigenous expenditure</w:t>
      </w:r>
    </w:p>
    <w:p w:rsidR="00CE5D5A" w:rsidRPr="00361AE6" w:rsidRDefault="00CE5D5A" w:rsidP="00361AE6">
      <w:pPr>
        <w:pStyle w:val="BoxListBullet"/>
        <w:keepNext w:val="0"/>
        <w:tabs>
          <w:tab w:val="left" w:pos="1701"/>
        </w:tabs>
        <w:rPr>
          <w:rFonts w:ascii="Goudy Old Style" w:hAnsi="Goudy Old Style"/>
          <w:sz w:val="25"/>
          <w:szCs w:val="25"/>
        </w:rPr>
      </w:pPr>
      <w:r w:rsidRPr="00361AE6">
        <w:rPr>
          <w:rFonts w:ascii="Goudy Old Style" w:hAnsi="Goudy Old Style"/>
          <w:sz w:val="25"/>
          <w:szCs w:val="25"/>
        </w:rPr>
        <w:t>Healthy lives</w:t>
      </w:r>
      <w:r w:rsidR="00B2088C" w:rsidRPr="00361AE6">
        <w:rPr>
          <w:rFonts w:ascii="Goudy Old Style" w:hAnsi="Goudy Old Style"/>
          <w:sz w:val="25"/>
          <w:szCs w:val="25"/>
        </w:rPr>
        <w:t xml:space="preserve"> </w:t>
      </w:r>
      <w:r w:rsidR="008D1701" w:rsidRPr="00361AE6">
        <w:rPr>
          <w:rFonts w:ascii="Goudy Old Style" w:hAnsi="Goudy Old Style"/>
          <w:sz w:val="25"/>
          <w:szCs w:val="25"/>
        </w:rPr>
        <w:t xml:space="preserve">— </w:t>
      </w:r>
      <w:r w:rsidR="00B2088C" w:rsidRPr="00361AE6">
        <w:rPr>
          <w:rFonts w:ascii="Goudy Old Style" w:hAnsi="Goudy Old Style"/>
          <w:sz w:val="25"/>
          <w:szCs w:val="25"/>
        </w:rPr>
        <w:t>21 per cent</w:t>
      </w:r>
      <w:r w:rsidR="008D1701" w:rsidRPr="00361AE6">
        <w:rPr>
          <w:rFonts w:ascii="Goudy Old Style" w:hAnsi="Goudy Old Style"/>
          <w:sz w:val="25"/>
          <w:szCs w:val="25"/>
        </w:rPr>
        <w:t xml:space="preserve"> of total Indigenous expenditure</w:t>
      </w:r>
    </w:p>
    <w:p w:rsidR="00CE5D5A" w:rsidRPr="00361AE6" w:rsidRDefault="00CE5D5A" w:rsidP="00361AE6">
      <w:pPr>
        <w:pStyle w:val="BoxListBullet"/>
        <w:keepNext w:val="0"/>
        <w:tabs>
          <w:tab w:val="left" w:pos="1701"/>
        </w:tabs>
        <w:rPr>
          <w:rFonts w:ascii="Goudy Old Style" w:hAnsi="Goudy Old Style"/>
          <w:sz w:val="25"/>
          <w:szCs w:val="25"/>
        </w:rPr>
      </w:pPr>
      <w:r w:rsidRPr="00361AE6">
        <w:rPr>
          <w:rFonts w:ascii="Goudy Old Style" w:hAnsi="Goudy Old Style"/>
          <w:sz w:val="25"/>
          <w:szCs w:val="25"/>
        </w:rPr>
        <w:t>Economic participation</w:t>
      </w:r>
      <w:r w:rsidR="00B2088C" w:rsidRPr="00361AE6">
        <w:rPr>
          <w:rFonts w:ascii="Goudy Old Style" w:hAnsi="Goudy Old Style"/>
          <w:sz w:val="25"/>
          <w:szCs w:val="25"/>
        </w:rPr>
        <w:t xml:space="preserve"> </w:t>
      </w:r>
      <w:r w:rsidR="008D1701" w:rsidRPr="00361AE6">
        <w:rPr>
          <w:rFonts w:ascii="Goudy Old Style" w:hAnsi="Goudy Old Style"/>
          <w:sz w:val="25"/>
          <w:szCs w:val="25"/>
        </w:rPr>
        <w:t xml:space="preserve">— </w:t>
      </w:r>
      <w:r w:rsidR="00B2088C" w:rsidRPr="00361AE6">
        <w:rPr>
          <w:rFonts w:ascii="Goudy Old Style" w:hAnsi="Goudy Old Style"/>
          <w:sz w:val="25"/>
          <w:szCs w:val="25"/>
        </w:rPr>
        <w:t>18 per cent</w:t>
      </w:r>
      <w:r w:rsidR="008D1701" w:rsidRPr="00361AE6">
        <w:rPr>
          <w:rFonts w:ascii="Goudy Old Style" w:hAnsi="Goudy Old Style"/>
          <w:sz w:val="25"/>
          <w:szCs w:val="25"/>
        </w:rPr>
        <w:t xml:space="preserve"> of total Indigenous expenditure</w:t>
      </w:r>
    </w:p>
    <w:p w:rsidR="00CE5D5A" w:rsidRPr="00361AE6" w:rsidRDefault="00CE5D5A" w:rsidP="00361AE6">
      <w:pPr>
        <w:pStyle w:val="BoxListBullet"/>
        <w:keepNext w:val="0"/>
        <w:tabs>
          <w:tab w:val="left" w:pos="1701"/>
        </w:tabs>
        <w:rPr>
          <w:rFonts w:ascii="Goudy Old Style" w:hAnsi="Goudy Old Style"/>
          <w:sz w:val="25"/>
          <w:szCs w:val="25"/>
        </w:rPr>
      </w:pPr>
      <w:r w:rsidRPr="00361AE6">
        <w:rPr>
          <w:rFonts w:ascii="Goudy Old Style" w:hAnsi="Goudy Old Style"/>
          <w:sz w:val="25"/>
          <w:szCs w:val="25"/>
        </w:rPr>
        <w:t>Home environment</w:t>
      </w:r>
      <w:r w:rsidR="00B2088C" w:rsidRPr="00361AE6">
        <w:rPr>
          <w:rFonts w:ascii="Goudy Old Style" w:hAnsi="Goudy Old Style"/>
          <w:sz w:val="25"/>
          <w:szCs w:val="25"/>
        </w:rPr>
        <w:t xml:space="preserve"> </w:t>
      </w:r>
      <w:r w:rsidR="008D1701" w:rsidRPr="00361AE6">
        <w:rPr>
          <w:rFonts w:ascii="Goudy Old Style" w:hAnsi="Goudy Old Style"/>
          <w:sz w:val="25"/>
          <w:szCs w:val="25"/>
        </w:rPr>
        <w:t xml:space="preserve">— </w:t>
      </w:r>
      <w:r w:rsidR="00B2088C" w:rsidRPr="00361AE6">
        <w:rPr>
          <w:rFonts w:ascii="Goudy Old Style" w:hAnsi="Goudy Old Style"/>
          <w:sz w:val="25"/>
          <w:szCs w:val="25"/>
        </w:rPr>
        <w:t>10 per cent</w:t>
      </w:r>
      <w:r w:rsidR="008D1701" w:rsidRPr="00361AE6">
        <w:rPr>
          <w:rFonts w:ascii="Goudy Old Style" w:hAnsi="Goudy Old Style"/>
          <w:sz w:val="25"/>
          <w:szCs w:val="25"/>
        </w:rPr>
        <w:t xml:space="preserve"> of total Indigenous expenditure</w:t>
      </w:r>
    </w:p>
    <w:p w:rsidR="00CE5D5A" w:rsidRPr="00361AE6" w:rsidRDefault="00CE5D5A" w:rsidP="00361AE6">
      <w:pPr>
        <w:pStyle w:val="BoxListBullet"/>
        <w:keepNext w:val="0"/>
        <w:tabs>
          <w:tab w:val="left" w:pos="1701"/>
        </w:tabs>
        <w:rPr>
          <w:rFonts w:ascii="Goudy Old Style" w:hAnsi="Goudy Old Style"/>
          <w:sz w:val="25"/>
          <w:szCs w:val="25"/>
        </w:rPr>
      </w:pPr>
      <w:r w:rsidRPr="00361AE6">
        <w:rPr>
          <w:rFonts w:ascii="Goudy Old Style" w:hAnsi="Goudy Old Style"/>
          <w:sz w:val="25"/>
          <w:szCs w:val="25"/>
        </w:rPr>
        <w:t>Safe and supportive communities</w:t>
      </w:r>
      <w:r w:rsidR="00B2088C" w:rsidRPr="00361AE6">
        <w:rPr>
          <w:rFonts w:ascii="Goudy Old Style" w:hAnsi="Goudy Old Style"/>
          <w:sz w:val="25"/>
          <w:szCs w:val="25"/>
        </w:rPr>
        <w:t xml:space="preserve"> </w:t>
      </w:r>
      <w:r w:rsidR="008D1701" w:rsidRPr="00361AE6">
        <w:rPr>
          <w:rFonts w:ascii="Goudy Old Style" w:hAnsi="Goudy Old Style"/>
          <w:sz w:val="25"/>
          <w:szCs w:val="25"/>
        </w:rPr>
        <w:t xml:space="preserve">— </w:t>
      </w:r>
      <w:r w:rsidR="00F36B41" w:rsidRPr="00361AE6">
        <w:rPr>
          <w:rFonts w:ascii="Goudy Old Style" w:hAnsi="Goudy Old Style"/>
          <w:sz w:val="25"/>
          <w:szCs w:val="25"/>
        </w:rPr>
        <w:t>2</w:t>
      </w:r>
      <w:r w:rsidR="0002507B" w:rsidRPr="00361AE6">
        <w:rPr>
          <w:rFonts w:ascii="Goudy Old Style" w:hAnsi="Goudy Old Style"/>
          <w:sz w:val="25"/>
          <w:szCs w:val="25"/>
        </w:rPr>
        <w:t>6</w:t>
      </w:r>
      <w:r w:rsidR="00B2088C" w:rsidRPr="00361AE6">
        <w:rPr>
          <w:rFonts w:ascii="Goudy Old Style" w:hAnsi="Goudy Old Style"/>
          <w:sz w:val="25"/>
          <w:szCs w:val="25"/>
        </w:rPr>
        <w:t> per cent</w:t>
      </w:r>
      <w:r w:rsidR="008D1701" w:rsidRPr="00361AE6">
        <w:rPr>
          <w:rFonts w:ascii="Goudy Old Style" w:hAnsi="Goudy Old Style"/>
          <w:sz w:val="25"/>
          <w:szCs w:val="25"/>
        </w:rPr>
        <w:t xml:space="preserve"> of total Indigenous expenditure</w:t>
      </w:r>
    </w:p>
    <w:p w:rsidR="00CE5D5A" w:rsidRPr="002B417A" w:rsidRDefault="00CE5D5A" w:rsidP="00361AE6">
      <w:pPr>
        <w:pStyle w:val="BoxListBullet"/>
        <w:keepNext w:val="0"/>
        <w:tabs>
          <w:tab w:val="left" w:pos="1701"/>
        </w:tabs>
        <w:rPr>
          <w:rFonts w:ascii="Goudy Old Style" w:hAnsi="Goudy Old Style"/>
          <w:sz w:val="25"/>
          <w:szCs w:val="25"/>
        </w:rPr>
      </w:pPr>
      <w:r w:rsidRPr="00361AE6">
        <w:rPr>
          <w:rFonts w:ascii="Goudy Old Style" w:hAnsi="Goudy Old Style"/>
          <w:sz w:val="25"/>
          <w:szCs w:val="25"/>
        </w:rPr>
        <w:t>Other government expenditure</w:t>
      </w:r>
      <w:r w:rsidR="00B2088C" w:rsidRPr="00361AE6">
        <w:rPr>
          <w:rFonts w:ascii="Goudy Old Style" w:hAnsi="Goudy Old Style"/>
          <w:sz w:val="25"/>
          <w:szCs w:val="25"/>
        </w:rPr>
        <w:t xml:space="preserve"> </w:t>
      </w:r>
      <w:r w:rsidR="008D1701" w:rsidRPr="00361AE6">
        <w:rPr>
          <w:rFonts w:ascii="Goudy Old Style" w:hAnsi="Goudy Old Style"/>
          <w:sz w:val="25"/>
          <w:szCs w:val="25"/>
        </w:rPr>
        <w:t xml:space="preserve">— </w:t>
      </w:r>
      <w:r w:rsidR="00B2088C" w:rsidRPr="00361AE6">
        <w:rPr>
          <w:rFonts w:ascii="Goudy Old Style" w:hAnsi="Goudy Old Style"/>
          <w:sz w:val="25"/>
          <w:szCs w:val="25"/>
        </w:rPr>
        <w:t>10 per cent</w:t>
      </w:r>
      <w:r w:rsidR="008D1701" w:rsidRPr="00361AE6">
        <w:rPr>
          <w:rFonts w:ascii="Goudy Old Style" w:hAnsi="Goudy Old Style"/>
          <w:sz w:val="25"/>
          <w:szCs w:val="25"/>
        </w:rPr>
        <w:t xml:space="preserve"> of total Indigenous expenditure</w:t>
      </w:r>
      <w:r w:rsidR="00B2088C">
        <w:rPr>
          <w:rFonts w:ascii="Goudy Old Style" w:hAnsi="Goudy Old Style"/>
          <w:sz w:val="25"/>
          <w:szCs w:val="25"/>
        </w:rPr>
        <w:t>.</w:t>
      </w:r>
    </w:p>
    <w:p w:rsidR="00706AC1" w:rsidRDefault="00706AC1">
      <w:pPr>
        <w:rPr>
          <w:rFonts w:ascii="Goudy Old Style" w:hAnsi="Goudy Old Style"/>
          <w:b/>
          <w:i/>
          <w:color w:val="800000"/>
          <w:szCs w:val="26"/>
        </w:rPr>
      </w:pPr>
      <w:r>
        <w:rPr>
          <w:rFonts w:ascii="Goudy Old Style" w:hAnsi="Goudy Old Style"/>
          <w:b/>
          <w:i/>
          <w:color w:val="800000"/>
          <w:szCs w:val="26"/>
        </w:rPr>
        <w:br w:type="page"/>
      </w:r>
    </w:p>
    <w:p w:rsidR="000C2F6C" w:rsidRPr="00BB1DD7" w:rsidRDefault="00AF2B98" w:rsidP="000C2F6C">
      <w:pPr>
        <w:spacing w:before="240"/>
        <w:rPr>
          <w:rFonts w:ascii="Goudy Old Style" w:hAnsi="Goudy Old Style"/>
          <w:b/>
          <w:color w:val="800000"/>
          <w:szCs w:val="26"/>
        </w:rPr>
      </w:pPr>
      <w:r w:rsidRPr="00BB1DD7">
        <w:rPr>
          <w:rFonts w:ascii="Goudy Old Style" w:hAnsi="Goudy Old Style"/>
          <w:b/>
          <w:i/>
          <w:color w:val="800000"/>
          <w:szCs w:val="26"/>
        </w:rPr>
        <w:lastRenderedPageBreak/>
        <w:t>E</w:t>
      </w:r>
      <w:r w:rsidR="000C2F6C" w:rsidRPr="00BB1DD7">
        <w:rPr>
          <w:rFonts w:ascii="Goudy Old Style" w:hAnsi="Goudy Old Style"/>
          <w:b/>
          <w:i/>
          <w:color w:val="800000"/>
          <w:szCs w:val="26"/>
        </w:rPr>
        <w:t>arly child development and education and training</w:t>
      </w:r>
    </w:p>
    <w:p w:rsidR="000C2F6C" w:rsidRPr="003A143F" w:rsidRDefault="000C2F6C" w:rsidP="000C2F6C">
      <w:pPr>
        <w:spacing w:before="120"/>
        <w:rPr>
          <w:rFonts w:ascii="Goudy Old Style" w:hAnsi="Goudy Old Style"/>
          <w:sz w:val="25"/>
          <w:szCs w:val="25"/>
        </w:rPr>
      </w:pPr>
      <w:r w:rsidRPr="003A143F">
        <w:rPr>
          <w:rFonts w:ascii="Goudy Old Style" w:hAnsi="Goudy Old Style"/>
          <w:sz w:val="25"/>
          <w:szCs w:val="25"/>
        </w:rPr>
        <w:t xml:space="preserve">Early child development, and education and training services help people develop the skills and knowledge to participate successfully in society and the economy, a key element in breaking the cycle of disadvantage. Expenditure in the 2014 Report includes </w:t>
      </w:r>
      <w:r w:rsidR="008D1701">
        <w:rPr>
          <w:rFonts w:ascii="Goudy Old Style" w:hAnsi="Goudy Old Style"/>
          <w:sz w:val="25"/>
          <w:szCs w:val="25"/>
        </w:rPr>
        <w:t xml:space="preserve">government </w:t>
      </w:r>
      <w:r w:rsidRPr="003A143F">
        <w:rPr>
          <w:rFonts w:ascii="Goudy Old Style" w:hAnsi="Goudy Old Style"/>
          <w:sz w:val="25"/>
          <w:szCs w:val="25"/>
        </w:rPr>
        <w:t>outlays on:</w:t>
      </w:r>
    </w:p>
    <w:p w:rsidR="000C2F6C" w:rsidRPr="003A143F" w:rsidRDefault="000C2F6C" w:rsidP="000C2F6C">
      <w:pPr>
        <w:pStyle w:val="BoxListBullet"/>
        <w:keepNext w:val="0"/>
        <w:spacing w:before="80"/>
        <w:rPr>
          <w:rFonts w:ascii="Goudy Old Style" w:hAnsi="Goudy Old Style"/>
          <w:sz w:val="25"/>
          <w:szCs w:val="25"/>
        </w:rPr>
      </w:pPr>
      <w:r w:rsidRPr="003A143F">
        <w:rPr>
          <w:rFonts w:ascii="Goudy Old Style" w:hAnsi="Goudy Old Style"/>
          <w:i/>
          <w:sz w:val="25"/>
          <w:szCs w:val="25"/>
        </w:rPr>
        <w:t>early child development</w:t>
      </w:r>
      <w:r w:rsidRPr="003A143F">
        <w:rPr>
          <w:rFonts w:ascii="Goudy Old Style" w:hAnsi="Goudy Old Style"/>
          <w:sz w:val="25"/>
          <w:szCs w:val="25"/>
        </w:rPr>
        <w:t xml:space="preserve"> — </w:t>
      </w:r>
      <w:r w:rsidR="00CC1EAC" w:rsidRPr="00CC1EAC">
        <w:rPr>
          <w:rFonts w:ascii="Goudy Old Style" w:hAnsi="Goudy Old Style"/>
          <w:sz w:val="25"/>
          <w:szCs w:val="25"/>
        </w:rPr>
        <w:t xml:space="preserve">child care services (long day care, family day care, occasional care and outside-school-hours care services provided to children aged 0–12 years) and preschool services (early childhood education programs provided by qualified teachers for children from </w:t>
      </w:r>
      <w:r w:rsidR="008A171B">
        <w:rPr>
          <w:rFonts w:ascii="Goudy Old Style" w:hAnsi="Goudy Old Style"/>
          <w:sz w:val="25"/>
          <w:szCs w:val="25"/>
        </w:rPr>
        <w:t>3</w:t>
      </w:r>
      <w:r w:rsidR="008A171B" w:rsidRPr="00CC1EAC">
        <w:rPr>
          <w:rFonts w:ascii="Goudy Old Style" w:hAnsi="Goudy Old Style"/>
          <w:sz w:val="25"/>
          <w:szCs w:val="25"/>
        </w:rPr>
        <w:t>–</w:t>
      </w:r>
      <w:r w:rsidR="008A171B">
        <w:rPr>
          <w:rFonts w:ascii="Goudy Old Style" w:hAnsi="Goudy Old Style"/>
          <w:sz w:val="25"/>
          <w:szCs w:val="25"/>
        </w:rPr>
        <w:t>5</w:t>
      </w:r>
      <w:r w:rsidR="008A171B" w:rsidRPr="00CC1EAC">
        <w:rPr>
          <w:rFonts w:ascii="Goudy Old Style" w:hAnsi="Goudy Old Style"/>
          <w:sz w:val="25"/>
          <w:szCs w:val="25"/>
        </w:rPr>
        <w:t xml:space="preserve"> </w:t>
      </w:r>
      <w:r w:rsidR="00CC1EAC" w:rsidRPr="00CC1EAC">
        <w:rPr>
          <w:rFonts w:ascii="Goudy Old Style" w:hAnsi="Goudy Old Style"/>
          <w:sz w:val="25"/>
          <w:szCs w:val="25"/>
        </w:rPr>
        <w:t>years)</w:t>
      </w:r>
    </w:p>
    <w:p w:rsidR="000C2F6C" w:rsidRPr="003A143F" w:rsidRDefault="000C2F6C" w:rsidP="000C2F6C">
      <w:pPr>
        <w:pStyle w:val="BoxListBullet"/>
        <w:keepNext w:val="0"/>
        <w:spacing w:before="80"/>
        <w:rPr>
          <w:rFonts w:ascii="Goudy Old Style" w:hAnsi="Goudy Old Style"/>
          <w:sz w:val="25"/>
          <w:szCs w:val="25"/>
        </w:rPr>
      </w:pPr>
      <w:r w:rsidRPr="003A143F">
        <w:rPr>
          <w:rFonts w:ascii="Goudy Old Style" w:hAnsi="Goudy Old Style"/>
          <w:i/>
          <w:sz w:val="25"/>
          <w:szCs w:val="25"/>
        </w:rPr>
        <w:t>school education</w:t>
      </w:r>
      <w:r w:rsidRPr="003A143F">
        <w:rPr>
          <w:rFonts w:ascii="Goudy Old Style" w:hAnsi="Goudy Old Style"/>
          <w:sz w:val="25"/>
          <w:szCs w:val="25"/>
        </w:rPr>
        <w:t xml:space="preserve"> — </w:t>
      </w:r>
      <w:r w:rsidR="00CC1EAC" w:rsidRPr="00CC1EAC">
        <w:rPr>
          <w:rFonts w:ascii="Goudy Old Style" w:hAnsi="Goudy Old Style"/>
          <w:sz w:val="25"/>
          <w:szCs w:val="25"/>
        </w:rPr>
        <w:t>compulsory and non</w:t>
      </w:r>
      <w:r w:rsidR="008D1701">
        <w:rPr>
          <w:rFonts w:ascii="Goudy Old Style" w:hAnsi="Goudy Old Style"/>
          <w:sz w:val="25"/>
          <w:szCs w:val="25"/>
        </w:rPr>
        <w:t>-</w:t>
      </w:r>
      <w:r w:rsidR="00CC1EAC" w:rsidRPr="00CC1EAC">
        <w:rPr>
          <w:rFonts w:ascii="Goudy Old Style" w:hAnsi="Goudy Old Style"/>
          <w:sz w:val="25"/>
          <w:szCs w:val="25"/>
        </w:rPr>
        <w:t>compulsory education services are provided in government and non-government, primary and secondary schools. ‘Other school education’ includes services provided in special schools for students with disability, support for school students (such as student transport and income support) and support for schools and teachers (curriculum development and student assessment, examinations and certification, school registration</w:t>
      </w:r>
      <w:r w:rsidR="00A22C2F">
        <w:rPr>
          <w:rFonts w:ascii="Goudy Old Style" w:hAnsi="Goudy Old Style"/>
          <w:sz w:val="25"/>
          <w:szCs w:val="25"/>
        </w:rPr>
        <w:t xml:space="preserve"> and accreditation)</w:t>
      </w:r>
    </w:p>
    <w:p w:rsidR="000C2F6C" w:rsidRDefault="000C2F6C" w:rsidP="00CB4AF1">
      <w:pPr>
        <w:pStyle w:val="BoxListBullet"/>
        <w:keepNext w:val="0"/>
        <w:spacing w:before="80" w:after="120"/>
        <w:rPr>
          <w:rFonts w:ascii="Goudy Old Style" w:hAnsi="Goudy Old Style"/>
          <w:sz w:val="25"/>
          <w:szCs w:val="25"/>
        </w:rPr>
      </w:pPr>
      <w:r w:rsidRPr="003A143F">
        <w:rPr>
          <w:rFonts w:ascii="Goudy Old Style" w:hAnsi="Goudy Old Style"/>
          <w:i/>
          <w:sz w:val="25"/>
          <w:szCs w:val="25"/>
        </w:rPr>
        <w:t>tertiary education</w:t>
      </w:r>
      <w:r w:rsidRPr="003A143F">
        <w:rPr>
          <w:rFonts w:ascii="Goudy Old Style" w:hAnsi="Goudy Old Style"/>
          <w:sz w:val="25"/>
          <w:szCs w:val="25"/>
        </w:rPr>
        <w:t xml:space="preserve"> — </w:t>
      </w:r>
      <w:r w:rsidR="00CC1EAC" w:rsidRPr="00CC1EAC">
        <w:rPr>
          <w:rFonts w:ascii="Goudy Old Style" w:hAnsi="Goudy Old Style"/>
          <w:sz w:val="25"/>
          <w:szCs w:val="25"/>
        </w:rPr>
        <w:t xml:space="preserve">university education, </w:t>
      </w:r>
      <w:r w:rsidR="00B2088C">
        <w:rPr>
          <w:rFonts w:ascii="Goudy Old Style" w:hAnsi="Goudy Old Style"/>
          <w:sz w:val="25"/>
          <w:szCs w:val="25"/>
        </w:rPr>
        <w:t>technical and further education (</w:t>
      </w:r>
      <w:r w:rsidR="00CC1EAC" w:rsidRPr="00CC1EAC">
        <w:rPr>
          <w:rFonts w:ascii="Goudy Old Style" w:hAnsi="Goudy Old Style"/>
          <w:sz w:val="25"/>
          <w:szCs w:val="25"/>
        </w:rPr>
        <w:t>TAFE</w:t>
      </w:r>
      <w:r w:rsidR="00B2088C">
        <w:rPr>
          <w:rFonts w:ascii="Goudy Old Style" w:hAnsi="Goudy Old Style"/>
          <w:sz w:val="25"/>
          <w:szCs w:val="25"/>
        </w:rPr>
        <w:t>)</w:t>
      </w:r>
      <w:r w:rsidR="00CC1EAC" w:rsidRPr="00CC1EAC">
        <w:rPr>
          <w:rFonts w:ascii="Goudy Old Style" w:hAnsi="Goudy Old Style"/>
          <w:sz w:val="25"/>
          <w:szCs w:val="25"/>
        </w:rPr>
        <w:t xml:space="preserve"> and </w:t>
      </w:r>
      <w:r w:rsidR="00B2088C">
        <w:rPr>
          <w:rFonts w:ascii="Goudy Old Style" w:hAnsi="Goudy Old Style"/>
          <w:sz w:val="25"/>
          <w:szCs w:val="25"/>
        </w:rPr>
        <w:t>vocational education and training (</w:t>
      </w:r>
      <w:r w:rsidR="00CC1EAC" w:rsidRPr="00CC1EAC">
        <w:rPr>
          <w:rFonts w:ascii="Goudy Old Style" w:hAnsi="Goudy Old Style"/>
          <w:sz w:val="25"/>
          <w:szCs w:val="25"/>
        </w:rPr>
        <w:t>VET</w:t>
      </w:r>
      <w:r w:rsidR="00B2088C">
        <w:rPr>
          <w:rFonts w:ascii="Goudy Old Style" w:hAnsi="Goudy Old Style"/>
          <w:sz w:val="25"/>
          <w:szCs w:val="25"/>
        </w:rPr>
        <w:t>)</w:t>
      </w:r>
      <w:r w:rsidR="00CC1EAC" w:rsidRPr="00CC1EAC">
        <w:rPr>
          <w:rFonts w:ascii="Goudy Old Style" w:hAnsi="Goudy Old Style"/>
          <w:sz w:val="25"/>
          <w:szCs w:val="25"/>
        </w:rPr>
        <w:t>, provided in both government and non-government institutions. ‘Other tertiary</w:t>
      </w:r>
      <w:r w:rsidR="00CC1EAC" w:rsidRPr="00CC1EAC">
        <w:rPr>
          <w:rFonts w:ascii="Goudy Old Style" w:hAnsi="Goudy Old Style"/>
          <w:i/>
          <w:sz w:val="25"/>
          <w:szCs w:val="25"/>
        </w:rPr>
        <w:t xml:space="preserve"> </w:t>
      </w:r>
      <w:r w:rsidR="00CC1EAC" w:rsidRPr="00CC1EAC">
        <w:rPr>
          <w:rFonts w:ascii="Goudy Old Style" w:hAnsi="Goudy Old Style"/>
          <w:sz w:val="25"/>
          <w:szCs w:val="25"/>
        </w:rPr>
        <w:t>education’ includes support for tertiary</w:t>
      </w:r>
      <w:r w:rsidR="00CC1EAC" w:rsidRPr="00CC1EAC">
        <w:rPr>
          <w:rFonts w:ascii="Goudy Old Style" w:hAnsi="Goudy Old Style"/>
          <w:i/>
          <w:sz w:val="25"/>
          <w:szCs w:val="25"/>
        </w:rPr>
        <w:t xml:space="preserve"> </w:t>
      </w:r>
      <w:r w:rsidR="00CC1EAC" w:rsidRPr="00CC1EAC">
        <w:rPr>
          <w:rFonts w:ascii="Goudy Old Style" w:hAnsi="Goudy Old Style"/>
          <w:sz w:val="25"/>
          <w:szCs w:val="25"/>
        </w:rPr>
        <w:t>students (such as student transport and income support) and support for tertiary</w:t>
      </w:r>
      <w:r w:rsidR="00CC1EAC" w:rsidRPr="00CC1EAC">
        <w:rPr>
          <w:rFonts w:ascii="Goudy Old Style" w:hAnsi="Goudy Old Style"/>
          <w:i/>
          <w:sz w:val="25"/>
          <w:szCs w:val="25"/>
        </w:rPr>
        <w:t xml:space="preserve"> </w:t>
      </w:r>
      <w:r w:rsidR="00CC1EAC" w:rsidRPr="00CC1EAC">
        <w:rPr>
          <w:rFonts w:ascii="Goudy Old Style" w:hAnsi="Goudy Old Style"/>
          <w:sz w:val="25"/>
          <w:szCs w:val="25"/>
        </w:rPr>
        <w:t>institutions</w:t>
      </w:r>
      <w:r w:rsidR="00CC1EAC" w:rsidRPr="00CC1EAC">
        <w:rPr>
          <w:rFonts w:ascii="Goudy Old Style" w:hAnsi="Goudy Old Style"/>
          <w:i/>
          <w:sz w:val="25"/>
          <w:szCs w:val="25"/>
        </w:rPr>
        <w:t xml:space="preserve"> </w:t>
      </w:r>
      <w:r w:rsidR="00CC1EAC" w:rsidRPr="00CC1EAC">
        <w:rPr>
          <w:rFonts w:ascii="Goudy Old Style" w:hAnsi="Goudy Old Style"/>
          <w:sz w:val="25"/>
          <w:szCs w:val="25"/>
        </w:rPr>
        <w:t>and teachers.</w:t>
      </w:r>
    </w:p>
    <w:p w:rsidR="00977830" w:rsidRPr="00BB1DD7" w:rsidRDefault="00AF2B98" w:rsidP="00977830">
      <w:pPr>
        <w:spacing w:before="240"/>
        <w:rPr>
          <w:rFonts w:ascii="Goudy Old Style" w:hAnsi="Goudy Old Style"/>
          <w:b/>
          <w:color w:val="800000"/>
          <w:szCs w:val="26"/>
        </w:rPr>
      </w:pPr>
      <w:r w:rsidRPr="00BB1DD7">
        <w:rPr>
          <w:rFonts w:ascii="Goudy Old Style" w:hAnsi="Goudy Old Style"/>
          <w:b/>
          <w:i/>
          <w:color w:val="800000"/>
          <w:szCs w:val="26"/>
        </w:rPr>
        <w:t>H</w:t>
      </w:r>
      <w:r w:rsidR="00B561CE" w:rsidRPr="00BB1DD7">
        <w:rPr>
          <w:rFonts w:ascii="Goudy Old Style" w:hAnsi="Goudy Old Style"/>
          <w:b/>
          <w:i/>
          <w:color w:val="800000"/>
          <w:szCs w:val="26"/>
        </w:rPr>
        <w:t>ealthy lives</w:t>
      </w:r>
    </w:p>
    <w:p w:rsidR="0013610E" w:rsidRPr="00DC466D" w:rsidRDefault="002C14E9" w:rsidP="00773A24">
      <w:pPr>
        <w:spacing w:before="120"/>
        <w:rPr>
          <w:rFonts w:ascii="Goudy Old Style" w:hAnsi="Goudy Old Style"/>
          <w:sz w:val="25"/>
          <w:szCs w:val="25"/>
        </w:rPr>
      </w:pPr>
      <w:r w:rsidRPr="00DC466D">
        <w:rPr>
          <w:rFonts w:ascii="Goudy Old Style" w:hAnsi="Goudy Old Style"/>
          <w:sz w:val="25"/>
          <w:szCs w:val="25"/>
        </w:rPr>
        <w:t xml:space="preserve">Healthy lives services play an important role in improving health outcomes and contribute to </w:t>
      </w:r>
      <w:r w:rsidR="008D1701">
        <w:rPr>
          <w:rFonts w:ascii="Goudy Old Style" w:hAnsi="Goudy Old Style"/>
          <w:sz w:val="25"/>
          <w:szCs w:val="25"/>
        </w:rPr>
        <w:t>c</w:t>
      </w:r>
      <w:r w:rsidR="008D1701" w:rsidRPr="00DC466D">
        <w:rPr>
          <w:rFonts w:ascii="Goudy Old Style" w:hAnsi="Goudy Old Style"/>
          <w:sz w:val="25"/>
          <w:szCs w:val="25"/>
        </w:rPr>
        <w:t xml:space="preserve">losing </w:t>
      </w:r>
      <w:r w:rsidRPr="00DC466D">
        <w:rPr>
          <w:rFonts w:ascii="Goudy Old Style" w:hAnsi="Goudy Old Style"/>
          <w:sz w:val="25"/>
          <w:szCs w:val="25"/>
        </w:rPr>
        <w:t xml:space="preserve">the </w:t>
      </w:r>
      <w:r w:rsidR="008D1701">
        <w:rPr>
          <w:rFonts w:ascii="Goudy Old Style" w:hAnsi="Goudy Old Style"/>
          <w:sz w:val="25"/>
          <w:szCs w:val="25"/>
        </w:rPr>
        <w:t>g</w:t>
      </w:r>
      <w:r w:rsidR="008D1701" w:rsidRPr="00DC466D">
        <w:rPr>
          <w:rFonts w:ascii="Goudy Old Style" w:hAnsi="Goudy Old Style"/>
          <w:sz w:val="25"/>
          <w:szCs w:val="25"/>
        </w:rPr>
        <w:t xml:space="preserve">ap </w:t>
      </w:r>
      <w:r w:rsidRPr="00DC466D">
        <w:rPr>
          <w:rFonts w:ascii="Goudy Old Style" w:hAnsi="Goudy Old Style"/>
          <w:sz w:val="25"/>
          <w:szCs w:val="25"/>
        </w:rPr>
        <w:t>in life expectancy between Indigenous and non</w:t>
      </w:r>
      <w:r w:rsidRPr="00DC466D">
        <w:rPr>
          <w:rFonts w:ascii="Goudy Old Style" w:hAnsi="Goudy Old Style"/>
          <w:sz w:val="25"/>
          <w:szCs w:val="25"/>
        </w:rPr>
        <w:noBreakHyphen/>
        <w:t>Indigenous Australians</w:t>
      </w:r>
      <w:r w:rsidR="008B3339" w:rsidRPr="00DC466D">
        <w:rPr>
          <w:rFonts w:ascii="Goudy Old Style" w:hAnsi="Goudy Old Style"/>
          <w:sz w:val="25"/>
          <w:szCs w:val="25"/>
        </w:rPr>
        <w:t>.</w:t>
      </w:r>
      <w:r w:rsidR="000E63B1" w:rsidRPr="00DC466D">
        <w:rPr>
          <w:rFonts w:ascii="Goudy Old Style" w:hAnsi="Goudy Old Style"/>
          <w:sz w:val="25"/>
          <w:szCs w:val="25"/>
        </w:rPr>
        <w:t xml:space="preserve"> </w:t>
      </w:r>
      <w:r w:rsidR="008B3339" w:rsidRPr="00DC466D">
        <w:rPr>
          <w:rFonts w:ascii="Goudy Old Style" w:hAnsi="Goudy Old Style"/>
          <w:sz w:val="25"/>
          <w:szCs w:val="25"/>
        </w:rPr>
        <w:t xml:space="preserve">Expenditure in the 2014 Report includes </w:t>
      </w:r>
      <w:r w:rsidR="008D1701">
        <w:rPr>
          <w:rFonts w:ascii="Goudy Old Style" w:hAnsi="Goudy Old Style"/>
          <w:sz w:val="25"/>
          <w:szCs w:val="25"/>
        </w:rPr>
        <w:t xml:space="preserve">government </w:t>
      </w:r>
      <w:r w:rsidR="008B3339" w:rsidRPr="00DC466D">
        <w:rPr>
          <w:rFonts w:ascii="Goudy Old Style" w:hAnsi="Goudy Old Style"/>
          <w:sz w:val="25"/>
          <w:szCs w:val="25"/>
        </w:rPr>
        <w:t>outlays on:</w:t>
      </w:r>
    </w:p>
    <w:p w:rsidR="00944475" w:rsidRPr="00DC466D" w:rsidRDefault="004A7AF7" w:rsidP="008333C7">
      <w:pPr>
        <w:pStyle w:val="BoxListBullet"/>
        <w:keepNext w:val="0"/>
        <w:spacing w:before="80"/>
        <w:rPr>
          <w:rFonts w:ascii="Goudy Old Style" w:hAnsi="Goudy Old Style"/>
          <w:sz w:val="25"/>
          <w:szCs w:val="25"/>
        </w:rPr>
      </w:pPr>
      <w:r w:rsidRPr="00DC466D">
        <w:rPr>
          <w:rFonts w:ascii="Goudy Old Style" w:hAnsi="Goudy Old Style"/>
          <w:i/>
          <w:sz w:val="25"/>
          <w:szCs w:val="25"/>
        </w:rPr>
        <w:t>hospital services</w:t>
      </w:r>
      <w:r w:rsidRPr="00DC466D">
        <w:rPr>
          <w:rFonts w:ascii="Goudy Old Style" w:hAnsi="Goudy Old Style"/>
          <w:sz w:val="25"/>
          <w:szCs w:val="25"/>
        </w:rPr>
        <w:t xml:space="preserve"> —</w:t>
      </w:r>
      <w:r w:rsidR="00A65EFC" w:rsidRPr="00A65EFC">
        <w:rPr>
          <w:rFonts w:ascii="Calibri" w:eastAsia="Calibri" w:hAnsi="Calibri"/>
          <w:szCs w:val="22"/>
          <w:lang w:eastAsia="en-US"/>
        </w:rPr>
        <w:t xml:space="preserve"> </w:t>
      </w:r>
      <w:r w:rsidR="00A65EFC" w:rsidRPr="00A65EFC">
        <w:rPr>
          <w:rFonts w:ascii="Goudy Old Style" w:hAnsi="Goudy Old Style"/>
          <w:sz w:val="25"/>
          <w:szCs w:val="25"/>
        </w:rPr>
        <w:t xml:space="preserve">including </w:t>
      </w:r>
      <w:r w:rsidR="008D1701">
        <w:rPr>
          <w:rFonts w:ascii="Goudy Old Style" w:hAnsi="Goudy Old Style"/>
          <w:sz w:val="25"/>
          <w:szCs w:val="25"/>
        </w:rPr>
        <w:t xml:space="preserve">hospital </w:t>
      </w:r>
      <w:r w:rsidR="00A65EFC" w:rsidRPr="00A65EFC">
        <w:rPr>
          <w:rFonts w:ascii="Goudy Old Style" w:hAnsi="Goudy Old Style"/>
          <w:sz w:val="25"/>
          <w:szCs w:val="25"/>
        </w:rPr>
        <w:t>services provided to admitted patients (acute care services, rehabilitation and palliative care) and non</w:t>
      </w:r>
      <w:r w:rsidR="00A65EFC" w:rsidRPr="00A65EFC">
        <w:rPr>
          <w:rFonts w:ascii="Goudy Old Style" w:hAnsi="Goudy Old Style"/>
          <w:sz w:val="25"/>
          <w:szCs w:val="25"/>
        </w:rPr>
        <w:noBreakHyphen/>
        <w:t>admitted patients (emergency and outpatient services). Hospital services also include mental health services provided to admitted patients in psychiatric hospitals and psycho</w:t>
      </w:r>
      <w:r w:rsidR="00A65EFC" w:rsidRPr="00A65EFC">
        <w:rPr>
          <w:rFonts w:ascii="Goudy Old Style" w:hAnsi="Goudy Old Style"/>
          <w:sz w:val="25"/>
          <w:szCs w:val="25"/>
        </w:rPr>
        <w:noBreakHyphen/>
        <w:t>geriatric nursing homes</w:t>
      </w:r>
    </w:p>
    <w:p w:rsidR="008F2976" w:rsidRDefault="004A7AF7" w:rsidP="008333C7">
      <w:pPr>
        <w:pStyle w:val="BoxListBullet"/>
        <w:keepNext w:val="0"/>
        <w:spacing w:before="80"/>
        <w:rPr>
          <w:rFonts w:ascii="Goudy Old Style" w:hAnsi="Goudy Old Style"/>
          <w:sz w:val="25"/>
          <w:szCs w:val="25"/>
        </w:rPr>
      </w:pPr>
      <w:r w:rsidRPr="00DC466D">
        <w:rPr>
          <w:rFonts w:ascii="Goudy Old Style" w:hAnsi="Goudy Old Style"/>
          <w:i/>
          <w:sz w:val="25"/>
          <w:szCs w:val="25"/>
        </w:rPr>
        <w:t>public and community health services</w:t>
      </w:r>
      <w:r w:rsidRPr="00DC466D">
        <w:rPr>
          <w:rFonts w:ascii="Goudy Old Style" w:hAnsi="Goudy Old Style"/>
          <w:sz w:val="25"/>
          <w:szCs w:val="25"/>
        </w:rPr>
        <w:t xml:space="preserve"> — </w:t>
      </w:r>
      <w:r w:rsidR="00A65EFC" w:rsidRPr="00A65EFC">
        <w:rPr>
          <w:rFonts w:ascii="Goudy Old Style" w:hAnsi="Goudy Old Style"/>
          <w:sz w:val="25"/>
          <w:szCs w:val="25"/>
        </w:rPr>
        <w:t>encompassing an extensive range of health programs offered in community (non-hospital) settings, and primary health services that target particular health issues or particular at</w:t>
      </w:r>
      <w:r w:rsidR="008D1701">
        <w:rPr>
          <w:rFonts w:ascii="Goudy Old Style" w:hAnsi="Goudy Old Style"/>
          <w:sz w:val="25"/>
          <w:szCs w:val="25"/>
        </w:rPr>
        <w:t>-</w:t>
      </w:r>
      <w:r w:rsidR="00A65EFC" w:rsidRPr="00A65EFC">
        <w:rPr>
          <w:rFonts w:ascii="Goudy Old Style" w:hAnsi="Goudy Old Style"/>
          <w:sz w:val="25"/>
          <w:szCs w:val="25"/>
        </w:rPr>
        <w:t>risk groups in the population. These include:</w:t>
      </w:r>
    </w:p>
    <w:p w:rsidR="00A65EFC" w:rsidRPr="00A65EFC" w:rsidRDefault="00A65EFC" w:rsidP="00A65EFC">
      <w:pPr>
        <w:pStyle w:val="BoxListBullet"/>
        <w:keepNext w:val="0"/>
        <w:numPr>
          <w:ilvl w:val="0"/>
          <w:numId w:val="15"/>
        </w:numPr>
        <w:spacing w:before="80"/>
        <w:ind w:left="709"/>
        <w:rPr>
          <w:rFonts w:ascii="Goudy Old Style" w:hAnsi="Goudy Old Style"/>
          <w:sz w:val="25"/>
          <w:szCs w:val="25"/>
        </w:rPr>
      </w:pPr>
      <w:r w:rsidRPr="00A65EFC">
        <w:rPr>
          <w:rFonts w:ascii="Goudy Old Style" w:hAnsi="Goudy Old Style"/>
          <w:i/>
          <w:sz w:val="25"/>
          <w:szCs w:val="25"/>
        </w:rPr>
        <w:t>public health services</w:t>
      </w:r>
      <w:r w:rsidRPr="00A65EFC">
        <w:rPr>
          <w:rFonts w:ascii="Goudy Old Style" w:hAnsi="Goudy Old Style"/>
          <w:sz w:val="25"/>
          <w:szCs w:val="25"/>
        </w:rPr>
        <w:t xml:space="preserve"> — covering activities that contribute to health protection and promotion, illness prevention and expenditure on public health issues and priorities that affect the population as a whole, or significant population sub-groups</w:t>
      </w:r>
    </w:p>
    <w:p w:rsidR="00A65EFC" w:rsidRPr="00A65EFC" w:rsidRDefault="00A65EFC" w:rsidP="00A65EFC">
      <w:pPr>
        <w:pStyle w:val="BoxListBullet"/>
        <w:keepNext w:val="0"/>
        <w:numPr>
          <w:ilvl w:val="0"/>
          <w:numId w:val="15"/>
        </w:numPr>
        <w:spacing w:before="80"/>
        <w:ind w:left="709"/>
        <w:rPr>
          <w:rFonts w:ascii="Goudy Old Style" w:hAnsi="Goudy Old Style"/>
          <w:sz w:val="25"/>
          <w:szCs w:val="25"/>
        </w:rPr>
      </w:pPr>
      <w:r w:rsidRPr="00A65EFC">
        <w:rPr>
          <w:rFonts w:ascii="Goudy Old Style" w:hAnsi="Goudy Old Style"/>
          <w:i/>
          <w:sz w:val="25"/>
          <w:szCs w:val="25"/>
        </w:rPr>
        <w:t>community health services</w:t>
      </w:r>
      <w:r w:rsidRPr="00A65EFC">
        <w:rPr>
          <w:rFonts w:ascii="Goudy Old Style" w:hAnsi="Goudy Old Style"/>
          <w:sz w:val="25"/>
          <w:szCs w:val="25"/>
        </w:rPr>
        <w:t xml:space="preserve"> — including mental health services, patient transport, alcohol and other drug treatment, and mat</w:t>
      </w:r>
      <w:r w:rsidR="00A22C2F">
        <w:rPr>
          <w:rFonts w:ascii="Goudy Old Style" w:hAnsi="Goudy Old Style"/>
          <w:sz w:val="25"/>
          <w:szCs w:val="25"/>
        </w:rPr>
        <w:t>ernal and child health services</w:t>
      </w:r>
    </w:p>
    <w:p w:rsidR="008F2976" w:rsidRDefault="004A7AF7" w:rsidP="00CB4AF1">
      <w:pPr>
        <w:pStyle w:val="BoxListBullet"/>
        <w:keepNext w:val="0"/>
        <w:spacing w:before="80" w:after="120"/>
        <w:rPr>
          <w:rFonts w:ascii="Goudy Old Style" w:hAnsi="Goudy Old Style"/>
          <w:sz w:val="25"/>
          <w:szCs w:val="25"/>
        </w:rPr>
      </w:pPr>
      <w:r w:rsidRPr="00DC466D">
        <w:rPr>
          <w:rFonts w:ascii="Goudy Old Style" w:hAnsi="Goudy Old Style"/>
          <w:i/>
          <w:sz w:val="25"/>
          <w:szCs w:val="25"/>
        </w:rPr>
        <w:t>health care subsidies and support services</w:t>
      </w:r>
      <w:r w:rsidRPr="00DC466D">
        <w:rPr>
          <w:rFonts w:ascii="Goudy Old Style" w:hAnsi="Goudy Old Style"/>
          <w:sz w:val="25"/>
          <w:szCs w:val="25"/>
        </w:rPr>
        <w:t xml:space="preserve"> — </w:t>
      </w:r>
      <w:r w:rsidR="00A65EFC" w:rsidRPr="00A65EFC">
        <w:rPr>
          <w:rFonts w:ascii="Goudy Old Style" w:hAnsi="Goudy Old Style"/>
          <w:sz w:val="25"/>
          <w:szCs w:val="25"/>
        </w:rPr>
        <w:t>including private health insurance subsidies, medical services subsidies provided under the Medicare Benefits Schedule (MBS), medications provided under the Pharmaceutical Benefits Scheme (PBS) and the Repatriation Pharmaceutical Benefits Scheme (RPBS), patient aids (wheelchairs, hearing aids, orthopaedic appliances and prostheses), health research and general health administration.</w:t>
      </w:r>
    </w:p>
    <w:p w:rsidR="000C2F6C" w:rsidRPr="00BB1DD7" w:rsidRDefault="00AF2B98" w:rsidP="00DB3798">
      <w:pPr>
        <w:keepNext/>
        <w:spacing w:before="240"/>
        <w:rPr>
          <w:rFonts w:ascii="Goudy Old Style" w:hAnsi="Goudy Old Style"/>
          <w:b/>
          <w:color w:val="800000"/>
          <w:szCs w:val="26"/>
        </w:rPr>
      </w:pPr>
      <w:r w:rsidRPr="00BB1DD7">
        <w:rPr>
          <w:rFonts w:ascii="Goudy Old Style" w:hAnsi="Goudy Old Style"/>
          <w:b/>
          <w:i/>
          <w:color w:val="800000"/>
          <w:szCs w:val="26"/>
        </w:rPr>
        <w:lastRenderedPageBreak/>
        <w:t>E</w:t>
      </w:r>
      <w:r w:rsidR="000C2F6C" w:rsidRPr="00BB1DD7">
        <w:rPr>
          <w:rFonts w:ascii="Goudy Old Style" w:hAnsi="Goudy Old Style"/>
          <w:b/>
          <w:i/>
          <w:color w:val="800000"/>
          <w:szCs w:val="26"/>
        </w:rPr>
        <w:t>conomic participation</w:t>
      </w:r>
    </w:p>
    <w:p w:rsidR="000C2F6C" w:rsidRPr="004428EF" w:rsidRDefault="000C2F6C" w:rsidP="000C2F6C">
      <w:pPr>
        <w:spacing w:before="120"/>
        <w:rPr>
          <w:rFonts w:ascii="Goudy Old Style" w:hAnsi="Goudy Old Style"/>
          <w:sz w:val="25"/>
          <w:szCs w:val="25"/>
        </w:rPr>
      </w:pPr>
      <w:r w:rsidRPr="004428EF">
        <w:rPr>
          <w:rFonts w:ascii="Goudy Old Style" w:hAnsi="Goudy Old Style"/>
          <w:sz w:val="25"/>
          <w:szCs w:val="25"/>
        </w:rPr>
        <w:t>Economic participation is associated with a range of positive life outcome areas, such as improved income, sense of identity, improved self</w:t>
      </w:r>
      <w:r w:rsidRPr="004428EF">
        <w:rPr>
          <w:rFonts w:ascii="Goudy Old Style" w:hAnsi="Goudy Old Style"/>
          <w:sz w:val="25"/>
          <w:szCs w:val="25"/>
        </w:rPr>
        <w:noBreakHyphen/>
        <w:t xml:space="preserve">esteem and social contact. This in turn can lead to improved health and financial independence. Expenditure in the 2014 Report includes </w:t>
      </w:r>
      <w:r w:rsidR="008D1701">
        <w:rPr>
          <w:rFonts w:ascii="Goudy Old Style" w:hAnsi="Goudy Old Style"/>
          <w:sz w:val="25"/>
          <w:szCs w:val="25"/>
        </w:rPr>
        <w:t xml:space="preserve">government </w:t>
      </w:r>
      <w:r w:rsidRPr="004428EF">
        <w:rPr>
          <w:rFonts w:ascii="Goudy Old Style" w:hAnsi="Goudy Old Style"/>
          <w:sz w:val="25"/>
          <w:szCs w:val="25"/>
        </w:rPr>
        <w:t>outlays on:</w:t>
      </w:r>
    </w:p>
    <w:p w:rsidR="000C2F6C" w:rsidRDefault="000C2F6C" w:rsidP="000C2F6C">
      <w:pPr>
        <w:pStyle w:val="BoxListBullet"/>
        <w:keepNext w:val="0"/>
        <w:spacing w:before="80"/>
        <w:rPr>
          <w:rFonts w:ascii="Goudy Old Style" w:hAnsi="Goudy Old Style"/>
          <w:sz w:val="25"/>
          <w:szCs w:val="25"/>
        </w:rPr>
      </w:pPr>
      <w:r w:rsidRPr="004428EF">
        <w:rPr>
          <w:rFonts w:ascii="Goudy Old Style" w:hAnsi="Goudy Old Style"/>
          <w:i/>
          <w:sz w:val="25"/>
          <w:szCs w:val="25"/>
        </w:rPr>
        <w:t>labour and employment services</w:t>
      </w:r>
      <w:r w:rsidRPr="004428EF">
        <w:rPr>
          <w:rFonts w:ascii="Goudy Old Style" w:hAnsi="Goudy Old Style"/>
          <w:sz w:val="25"/>
          <w:szCs w:val="25"/>
        </w:rPr>
        <w:t xml:space="preserve"> — </w:t>
      </w:r>
      <w:r w:rsidR="004B778F" w:rsidRPr="004B778F">
        <w:rPr>
          <w:rFonts w:ascii="Goudy Old Style" w:hAnsi="Goudy Old Style"/>
          <w:sz w:val="25"/>
          <w:szCs w:val="25"/>
        </w:rPr>
        <w:t>services that aim to facilitate a strong institutional framework for the labour market and to promote employment, including:</w:t>
      </w:r>
    </w:p>
    <w:p w:rsidR="004B778F" w:rsidRPr="004B778F" w:rsidRDefault="004B778F" w:rsidP="000D1621">
      <w:pPr>
        <w:pStyle w:val="BoxListBullet"/>
        <w:keepNext w:val="0"/>
        <w:numPr>
          <w:ilvl w:val="0"/>
          <w:numId w:val="15"/>
        </w:numPr>
        <w:spacing w:before="60"/>
        <w:ind w:left="709"/>
        <w:rPr>
          <w:rFonts w:ascii="Goudy Old Style" w:hAnsi="Goudy Old Style"/>
          <w:sz w:val="25"/>
          <w:szCs w:val="25"/>
        </w:rPr>
      </w:pPr>
      <w:r w:rsidRPr="004B778F">
        <w:rPr>
          <w:rFonts w:ascii="Goudy Old Style" w:hAnsi="Goudy Old Style"/>
          <w:i/>
          <w:sz w:val="25"/>
          <w:szCs w:val="25"/>
        </w:rPr>
        <w:t xml:space="preserve">other labour and employment services </w:t>
      </w:r>
      <w:r w:rsidRPr="004B778F">
        <w:rPr>
          <w:rFonts w:ascii="Goudy Old Style" w:hAnsi="Goudy Old Style"/>
          <w:sz w:val="25"/>
          <w:szCs w:val="25"/>
        </w:rPr>
        <w:t>— support for workplace institutions (such as the administration of industrial relations, occupational health and safety, and worker’s compensation systems); labour market assistance services (assistance to jobseekers, work placement, and active labour market programs); and skilled immigration programs</w:t>
      </w:r>
    </w:p>
    <w:p w:rsidR="004B778F" w:rsidRPr="004B778F" w:rsidRDefault="004B778F" w:rsidP="000D1621">
      <w:pPr>
        <w:pStyle w:val="BoxListBullet"/>
        <w:keepNext w:val="0"/>
        <w:numPr>
          <w:ilvl w:val="0"/>
          <w:numId w:val="15"/>
        </w:numPr>
        <w:spacing w:before="60"/>
        <w:ind w:left="709"/>
        <w:rPr>
          <w:rFonts w:ascii="Goudy Old Style" w:hAnsi="Goudy Old Style"/>
          <w:sz w:val="25"/>
          <w:szCs w:val="25"/>
        </w:rPr>
      </w:pPr>
      <w:r w:rsidRPr="004B778F">
        <w:rPr>
          <w:rFonts w:ascii="Goudy Old Style" w:hAnsi="Goudy Old Style"/>
          <w:i/>
          <w:sz w:val="25"/>
          <w:szCs w:val="25"/>
        </w:rPr>
        <w:t xml:space="preserve">other economic affairs </w:t>
      </w:r>
      <w:r w:rsidRPr="004B778F">
        <w:rPr>
          <w:rFonts w:ascii="Goudy Old Style" w:hAnsi="Goudy Old Style"/>
          <w:sz w:val="25"/>
          <w:szCs w:val="25"/>
        </w:rPr>
        <w:t>— the administration, regulation, promotion, research, operation, licensing and general business support activities that promote the efficient operations of markets, and facilitate a vibrant, competitive, growing and sustainable economy. For example, the activities of regulatory bodies such as the Australian Competition and Consumer Commission an</w:t>
      </w:r>
      <w:r w:rsidR="00A22C2F">
        <w:rPr>
          <w:rFonts w:ascii="Goudy Old Style" w:hAnsi="Goudy Old Style"/>
          <w:sz w:val="25"/>
          <w:szCs w:val="25"/>
        </w:rPr>
        <w:t>d Indigenous Business Australia</w:t>
      </w:r>
    </w:p>
    <w:p w:rsidR="000C2F6C" w:rsidRDefault="000C2F6C" w:rsidP="000C2F6C">
      <w:pPr>
        <w:pStyle w:val="BoxListBullet"/>
        <w:keepNext w:val="0"/>
        <w:spacing w:before="80"/>
        <w:rPr>
          <w:rFonts w:ascii="Goudy Old Style" w:hAnsi="Goudy Old Style"/>
          <w:sz w:val="25"/>
          <w:szCs w:val="25"/>
        </w:rPr>
      </w:pPr>
      <w:r w:rsidRPr="004428EF">
        <w:rPr>
          <w:rFonts w:ascii="Goudy Old Style" w:hAnsi="Goudy Old Style"/>
          <w:i/>
          <w:sz w:val="25"/>
          <w:szCs w:val="25"/>
        </w:rPr>
        <w:t>social security support payments</w:t>
      </w:r>
      <w:r w:rsidRPr="004428EF">
        <w:rPr>
          <w:rFonts w:ascii="Goudy Old Style" w:hAnsi="Goudy Old Style"/>
          <w:sz w:val="25"/>
          <w:szCs w:val="25"/>
        </w:rPr>
        <w:t xml:space="preserve"> — </w:t>
      </w:r>
      <w:r w:rsidR="004B778F" w:rsidRPr="004B778F">
        <w:rPr>
          <w:rFonts w:ascii="Goudy Old Style" w:hAnsi="Goudy Old Style"/>
          <w:sz w:val="25"/>
          <w:szCs w:val="25"/>
        </w:rPr>
        <w:t>government payments and concessions for people who have low incomes because they are unemployed, because their personal circumstances limit their employment options (for example, age or medical conditions), or because their normal income is insufficient to meet the costs of raising a family.</w:t>
      </w:r>
    </w:p>
    <w:p w:rsidR="000C2F6C" w:rsidRPr="00BB1DD7" w:rsidRDefault="00AF2B98" w:rsidP="000C2F6C">
      <w:pPr>
        <w:spacing w:before="240"/>
        <w:rPr>
          <w:rFonts w:ascii="Goudy Old Style" w:hAnsi="Goudy Old Style"/>
          <w:b/>
          <w:color w:val="800000"/>
          <w:szCs w:val="26"/>
        </w:rPr>
      </w:pPr>
      <w:r w:rsidRPr="00BB1DD7">
        <w:rPr>
          <w:rFonts w:ascii="Goudy Old Style" w:hAnsi="Goudy Old Style"/>
          <w:b/>
          <w:i/>
          <w:color w:val="800000"/>
          <w:szCs w:val="26"/>
        </w:rPr>
        <w:t>H</w:t>
      </w:r>
      <w:r w:rsidR="000C2F6C" w:rsidRPr="00BB1DD7">
        <w:rPr>
          <w:rFonts w:ascii="Goudy Old Style" w:hAnsi="Goudy Old Style"/>
          <w:b/>
          <w:i/>
          <w:color w:val="800000"/>
          <w:szCs w:val="26"/>
        </w:rPr>
        <w:t>ome environment</w:t>
      </w:r>
    </w:p>
    <w:p w:rsidR="000C2F6C" w:rsidRPr="003D2215" w:rsidRDefault="000C2F6C" w:rsidP="000C2F6C">
      <w:pPr>
        <w:spacing w:before="120"/>
        <w:rPr>
          <w:rFonts w:ascii="Goudy Old Style" w:hAnsi="Goudy Old Style"/>
          <w:sz w:val="25"/>
          <w:szCs w:val="25"/>
        </w:rPr>
      </w:pPr>
      <w:r w:rsidRPr="003D2215">
        <w:rPr>
          <w:rFonts w:ascii="Goudy Old Style" w:hAnsi="Goudy Old Style"/>
          <w:sz w:val="25"/>
          <w:szCs w:val="25"/>
        </w:rPr>
        <w:t xml:space="preserve">A healthy home environment includes access to housing as well as amenities and services in the local community, and services and infrastructure that enable interaction with the broader economy and society such as transport and communications. Expenditure in the 2014 Report includes </w:t>
      </w:r>
      <w:r w:rsidR="008D1701">
        <w:rPr>
          <w:rFonts w:ascii="Goudy Old Style" w:hAnsi="Goudy Old Style"/>
          <w:sz w:val="25"/>
          <w:szCs w:val="25"/>
        </w:rPr>
        <w:t xml:space="preserve">government </w:t>
      </w:r>
      <w:r w:rsidRPr="003D2215">
        <w:rPr>
          <w:rFonts w:ascii="Goudy Old Style" w:hAnsi="Goudy Old Style"/>
          <w:sz w:val="25"/>
          <w:szCs w:val="25"/>
        </w:rPr>
        <w:t>outlays on:</w:t>
      </w:r>
    </w:p>
    <w:p w:rsidR="000C2F6C" w:rsidRDefault="000C2F6C" w:rsidP="000C2F6C">
      <w:pPr>
        <w:pStyle w:val="BoxListBullet"/>
        <w:keepNext w:val="0"/>
        <w:spacing w:before="80"/>
        <w:rPr>
          <w:rFonts w:ascii="Goudy Old Style" w:hAnsi="Goudy Old Style"/>
          <w:sz w:val="25"/>
          <w:szCs w:val="25"/>
        </w:rPr>
      </w:pPr>
      <w:r w:rsidRPr="003D2215">
        <w:rPr>
          <w:rFonts w:ascii="Goudy Old Style" w:hAnsi="Goudy Old Style"/>
          <w:i/>
          <w:sz w:val="25"/>
          <w:szCs w:val="25"/>
        </w:rPr>
        <w:t>housing services</w:t>
      </w:r>
      <w:r w:rsidRPr="003D2215">
        <w:rPr>
          <w:rFonts w:ascii="Goudy Old Style" w:hAnsi="Goudy Old Style"/>
          <w:sz w:val="25"/>
          <w:szCs w:val="25"/>
        </w:rPr>
        <w:t xml:space="preserve"> — </w:t>
      </w:r>
      <w:r w:rsidR="001A1A65" w:rsidRPr="001A1A65">
        <w:rPr>
          <w:rFonts w:ascii="Goudy Old Style" w:hAnsi="Goudy Old Style"/>
          <w:sz w:val="25"/>
          <w:szCs w:val="25"/>
        </w:rPr>
        <w:t>services that provide people with a safe and healthy place to live, including</w:t>
      </w:r>
      <w:r w:rsidR="001A1A65">
        <w:rPr>
          <w:rFonts w:ascii="Goudy Old Style" w:hAnsi="Goudy Old Style"/>
          <w:sz w:val="25"/>
          <w:szCs w:val="25"/>
        </w:rPr>
        <w:t>:</w:t>
      </w:r>
    </w:p>
    <w:p w:rsidR="001A1A65" w:rsidRPr="001A1A65" w:rsidRDefault="001A1A65" w:rsidP="000D1621">
      <w:pPr>
        <w:pStyle w:val="BoxListBullet"/>
        <w:keepNext w:val="0"/>
        <w:numPr>
          <w:ilvl w:val="0"/>
          <w:numId w:val="15"/>
        </w:numPr>
        <w:spacing w:before="60"/>
        <w:ind w:left="709"/>
        <w:rPr>
          <w:rFonts w:ascii="Goudy Old Style" w:hAnsi="Goudy Old Style"/>
          <w:sz w:val="25"/>
          <w:szCs w:val="25"/>
        </w:rPr>
      </w:pPr>
      <w:r w:rsidRPr="001A1A65">
        <w:rPr>
          <w:rFonts w:ascii="Goudy Old Style" w:hAnsi="Goudy Old Style"/>
          <w:i/>
          <w:sz w:val="25"/>
          <w:szCs w:val="25"/>
        </w:rPr>
        <w:t>home purchase assistance</w:t>
      </w:r>
      <w:r w:rsidRPr="001A1A65">
        <w:rPr>
          <w:rFonts w:ascii="Goudy Old Style" w:hAnsi="Goudy Old Style"/>
          <w:sz w:val="25"/>
          <w:szCs w:val="25"/>
        </w:rPr>
        <w:t xml:space="preserve"> — grants and concessions designed to make home ownership achievable, typically to first home buyers</w:t>
      </w:r>
    </w:p>
    <w:p w:rsidR="001A1A65" w:rsidRPr="001A1A65" w:rsidRDefault="001A1A65" w:rsidP="000D1621">
      <w:pPr>
        <w:pStyle w:val="BoxListBullet"/>
        <w:keepNext w:val="0"/>
        <w:numPr>
          <w:ilvl w:val="0"/>
          <w:numId w:val="15"/>
        </w:numPr>
        <w:spacing w:before="60"/>
        <w:ind w:left="709"/>
        <w:rPr>
          <w:rFonts w:ascii="Goudy Old Style" w:hAnsi="Goudy Old Style"/>
          <w:sz w:val="25"/>
          <w:szCs w:val="25"/>
        </w:rPr>
      </w:pPr>
      <w:r w:rsidRPr="001A1A65">
        <w:rPr>
          <w:rFonts w:ascii="Goudy Old Style" w:hAnsi="Goudy Old Style"/>
          <w:i/>
          <w:sz w:val="25"/>
          <w:szCs w:val="25"/>
        </w:rPr>
        <w:t>rental assistance</w:t>
      </w:r>
      <w:r w:rsidRPr="001A1A65">
        <w:rPr>
          <w:rFonts w:ascii="Goudy Old Style" w:hAnsi="Goudy Old Style"/>
          <w:sz w:val="25"/>
          <w:szCs w:val="25"/>
        </w:rPr>
        <w:t xml:space="preserve"> — financial assistance to people in the private rental market</w:t>
      </w:r>
    </w:p>
    <w:p w:rsidR="001A1A65" w:rsidRPr="001A1A65" w:rsidRDefault="001A1A65" w:rsidP="000D1621">
      <w:pPr>
        <w:pStyle w:val="BoxListBullet"/>
        <w:keepNext w:val="0"/>
        <w:numPr>
          <w:ilvl w:val="0"/>
          <w:numId w:val="15"/>
        </w:numPr>
        <w:spacing w:before="60"/>
        <w:ind w:left="709"/>
        <w:rPr>
          <w:rFonts w:ascii="Goudy Old Style" w:hAnsi="Goudy Old Style"/>
          <w:sz w:val="25"/>
          <w:szCs w:val="25"/>
        </w:rPr>
      </w:pPr>
      <w:r w:rsidRPr="001A1A65">
        <w:rPr>
          <w:rFonts w:ascii="Goudy Old Style" w:hAnsi="Goudy Old Style"/>
          <w:i/>
          <w:sz w:val="25"/>
          <w:szCs w:val="25"/>
        </w:rPr>
        <w:t>social housing</w:t>
      </w:r>
      <w:r w:rsidRPr="001A1A65">
        <w:rPr>
          <w:rFonts w:ascii="Goudy Old Style" w:hAnsi="Goudy Old Style"/>
          <w:sz w:val="25"/>
          <w:szCs w:val="25"/>
        </w:rPr>
        <w:t xml:space="preserve"> — public housing (dwellings owned or leased to provide affordable rental accommodation) and community housing (rental housing provided for low to moderate income or special needs households)</w:t>
      </w:r>
    </w:p>
    <w:p w:rsidR="001A1A65" w:rsidRPr="001A1A65" w:rsidRDefault="001A1A65" w:rsidP="000D1621">
      <w:pPr>
        <w:pStyle w:val="BoxListBullet"/>
        <w:keepNext w:val="0"/>
        <w:numPr>
          <w:ilvl w:val="0"/>
          <w:numId w:val="15"/>
        </w:numPr>
        <w:spacing w:before="60"/>
        <w:ind w:left="709"/>
        <w:rPr>
          <w:rFonts w:ascii="Goudy Old Style" w:hAnsi="Goudy Old Style"/>
          <w:sz w:val="25"/>
          <w:szCs w:val="25"/>
        </w:rPr>
      </w:pPr>
      <w:r w:rsidRPr="001A1A65">
        <w:rPr>
          <w:rFonts w:ascii="Goudy Old Style" w:hAnsi="Goudy Old Style"/>
          <w:i/>
          <w:sz w:val="25"/>
          <w:szCs w:val="25"/>
        </w:rPr>
        <w:t>homelessness services</w:t>
      </w:r>
      <w:r w:rsidRPr="001A1A65">
        <w:rPr>
          <w:rFonts w:ascii="Goudy Old Style" w:hAnsi="Goudy Old Style"/>
          <w:sz w:val="25"/>
          <w:szCs w:val="25"/>
        </w:rPr>
        <w:t xml:space="preserve"> — crisis accommodation, homelessness services and the Supported A</w:t>
      </w:r>
      <w:r w:rsidR="00A22C2F">
        <w:rPr>
          <w:rFonts w:ascii="Goudy Old Style" w:hAnsi="Goudy Old Style"/>
          <w:sz w:val="25"/>
          <w:szCs w:val="25"/>
        </w:rPr>
        <w:t>ccommodation Assistance Program</w:t>
      </w:r>
    </w:p>
    <w:p w:rsidR="000C2F6C" w:rsidRDefault="000C2F6C" w:rsidP="000C2F6C">
      <w:pPr>
        <w:pStyle w:val="BoxListBullet"/>
        <w:keepNext w:val="0"/>
        <w:spacing w:before="80"/>
        <w:rPr>
          <w:rFonts w:ascii="Goudy Old Style" w:hAnsi="Goudy Old Style"/>
          <w:sz w:val="25"/>
          <w:szCs w:val="25"/>
        </w:rPr>
      </w:pPr>
      <w:r w:rsidRPr="003D2215">
        <w:rPr>
          <w:rFonts w:ascii="Goudy Old Style" w:hAnsi="Goudy Old Style"/>
          <w:i/>
          <w:sz w:val="25"/>
          <w:szCs w:val="25"/>
        </w:rPr>
        <w:t>community and environment services</w:t>
      </w:r>
      <w:r w:rsidRPr="003D2215">
        <w:rPr>
          <w:rFonts w:ascii="Goudy Old Style" w:hAnsi="Goudy Old Style"/>
          <w:sz w:val="25"/>
          <w:szCs w:val="25"/>
        </w:rPr>
        <w:t xml:space="preserve"> — </w:t>
      </w:r>
      <w:r w:rsidR="001A1A65" w:rsidRPr="001A1A65">
        <w:rPr>
          <w:rFonts w:ascii="Goudy Old Style" w:hAnsi="Goudy Old Style"/>
          <w:sz w:val="25"/>
          <w:szCs w:val="25"/>
        </w:rPr>
        <w:t>services that support the physical and built environment, including:</w:t>
      </w:r>
    </w:p>
    <w:p w:rsidR="001A1A65" w:rsidRPr="001A1A65" w:rsidRDefault="001A1A65" w:rsidP="000D1621">
      <w:pPr>
        <w:pStyle w:val="BoxListBullet"/>
        <w:keepNext w:val="0"/>
        <w:numPr>
          <w:ilvl w:val="0"/>
          <w:numId w:val="15"/>
        </w:numPr>
        <w:spacing w:before="60"/>
        <w:ind w:left="709"/>
        <w:rPr>
          <w:rFonts w:ascii="Goudy Old Style" w:hAnsi="Goudy Old Style"/>
          <w:sz w:val="25"/>
          <w:szCs w:val="25"/>
        </w:rPr>
      </w:pPr>
      <w:r w:rsidRPr="001A1A65">
        <w:rPr>
          <w:rFonts w:ascii="Goudy Old Style" w:hAnsi="Goudy Old Style"/>
          <w:i/>
          <w:sz w:val="25"/>
          <w:szCs w:val="25"/>
        </w:rPr>
        <w:t>community development</w:t>
      </w:r>
      <w:r w:rsidRPr="001A1A65">
        <w:rPr>
          <w:rFonts w:ascii="Goudy Old Style" w:hAnsi="Goudy Old Style"/>
          <w:sz w:val="25"/>
          <w:szCs w:val="25"/>
        </w:rPr>
        <w:t xml:space="preserve"> — planning new or rehabilitating existing communities, land use regulation and community amenities such as street lighting, public conveniences, bus shelters and pedestrian shopping malls</w:t>
      </w:r>
    </w:p>
    <w:p w:rsidR="001A1A65" w:rsidRPr="001A1A65" w:rsidRDefault="001A1A65" w:rsidP="000D1621">
      <w:pPr>
        <w:pStyle w:val="BoxListBullet"/>
        <w:keepNext w:val="0"/>
        <w:numPr>
          <w:ilvl w:val="0"/>
          <w:numId w:val="15"/>
        </w:numPr>
        <w:spacing w:before="60"/>
        <w:ind w:left="709"/>
        <w:rPr>
          <w:rFonts w:ascii="Goudy Old Style" w:hAnsi="Goudy Old Style"/>
          <w:sz w:val="25"/>
          <w:szCs w:val="25"/>
        </w:rPr>
      </w:pPr>
      <w:r w:rsidRPr="001A1A65">
        <w:rPr>
          <w:rFonts w:ascii="Goudy Old Style" w:hAnsi="Goudy Old Style"/>
          <w:i/>
          <w:sz w:val="25"/>
          <w:szCs w:val="25"/>
        </w:rPr>
        <w:lastRenderedPageBreak/>
        <w:t>water supply</w:t>
      </w:r>
      <w:r w:rsidRPr="001A1A65">
        <w:rPr>
          <w:rFonts w:ascii="Goudy Old Style" w:hAnsi="Goudy Old Style"/>
          <w:sz w:val="25"/>
          <w:szCs w:val="25"/>
        </w:rPr>
        <w:t xml:space="preserve"> — supply of fresh water for drinking and domestic purposes including public health issues related to the domestic water supply, and the expansion and operation of water supply systems</w:t>
      </w:r>
    </w:p>
    <w:p w:rsidR="001A1A65" w:rsidRPr="001A1A65" w:rsidRDefault="001A1A65" w:rsidP="000D1621">
      <w:pPr>
        <w:pStyle w:val="BoxListBullet"/>
        <w:keepNext w:val="0"/>
        <w:numPr>
          <w:ilvl w:val="0"/>
          <w:numId w:val="15"/>
        </w:numPr>
        <w:spacing w:before="60"/>
        <w:ind w:left="709"/>
        <w:rPr>
          <w:rFonts w:ascii="Goudy Old Style" w:hAnsi="Goudy Old Style"/>
          <w:sz w:val="25"/>
          <w:szCs w:val="25"/>
        </w:rPr>
      </w:pPr>
      <w:r w:rsidRPr="001A1A65">
        <w:rPr>
          <w:rFonts w:ascii="Goudy Old Style" w:hAnsi="Goudy Old Style"/>
          <w:i/>
          <w:sz w:val="25"/>
          <w:szCs w:val="25"/>
        </w:rPr>
        <w:t>sanitation, waste management and environment protection</w:t>
      </w:r>
      <w:r w:rsidRPr="001A1A65">
        <w:rPr>
          <w:rFonts w:ascii="Goudy Old Style" w:hAnsi="Goudy Old Style"/>
          <w:sz w:val="25"/>
          <w:szCs w:val="25"/>
        </w:rPr>
        <w:t xml:space="preserve"> — the management of household and industrial waste, sewerage, street cleaning and urban stormwater drainage management, and the protection and conservation of the environment</w:t>
      </w:r>
    </w:p>
    <w:p w:rsidR="001A1A65" w:rsidRPr="001A1A65" w:rsidRDefault="001A1A65" w:rsidP="000D1621">
      <w:pPr>
        <w:pStyle w:val="BoxListBullet"/>
        <w:keepNext w:val="0"/>
        <w:numPr>
          <w:ilvl w:val="0"/>
          <w:numId w:val="15"/>
        </w:numPr>
        <w:spacing w:before="60"/>
        <w:ind w:left="709"/>
        <w:rPr>
          <w:rFonts w:ascii="Goudy Old Style" w:hAnsi="Goudy Old Style"/>
          <w:sz w:val="25"/>
          <w:szCs w:val="25"/>
        </w:rPr>
      </w:pPr>
      <w:r w:rsidRPr="00330B70">
        <w:rPr>
          <w:rFonts w:ascii="Goudy Old Style" w:hAnsi="Goudy Old Style"/>
          <w:i/>
          <w:sz w:val="25"/>
          <w:szCs w:val="25"/>
        </w:rPr>
        <w:t>fuel and energy supply</w:t>
      </w:r>
      <w:r w:rsidRPr="001A1A65">
        <w:rPr>
          <w:rFonts w:ascii="Goudy Old Style" w:hAnsi="Goudy Old Style"/>
          <w:sz w:val="25"/>
          <w:szCs w:val="25"/>
        </w:rPr>
        <w:t xml:space="preserve"> — the administration, regulation, planning, support and operation of electricity, gas </w:t>
      </w:r>
      <w:r w:rsidR="008A171B">
        <w:rPr>
          <w:rFonts w:ascii="Goudy Old Style" w:hAnsi="Goudy Old Style"/>
          <w:sz w:val="25"/>
          <w:szCs w:val="25"/>
        </w:rPr>
        <w:t>and other fuel</w:t>
      </w:r>
      <w:r w:rsidR="008A171B">
        <w:rPr>
          <w:rFonts w:ascii="Goudy Old Style" w:hAnsi="Goudy Old Style"/>
          <w:sz w:val="25"/>
          <w:szCs w:val="25"/>
        </w:rPr>
        <w:noBreakHyphen/>
      </w:r>
      <w:r w:rsidR="00A22C2F">
        <w:rPr>
          <w:rFonts w:ascii="Goudy Old Style" w:hAnsi="Goudy Old Style"/>
          <w:sz w:val="25"/>
          <w:szCs w:val="25"/>
        </w:rPr>
        <w:t>based industries</w:t>
      </w:r>
    </w:p>
    <w:p w:rsidR="000C2F6C" w:rsidRDefault="000C2F6C" w:rsidP="000C2F6C">
      <w:pPr>
        <w:pStyle w:val="BoxListBullet"/>
        <w:keepNext w:val="0"/>
        <w:spacing w:before="80"/>
        <w:rPr>
          <w:rFonts w:ascii="Goudy Old Style" w:hAnsi="Goudy Old Style"/>
          <w:sz w:val="25"/>
          <w:szCs w:val="25"/>
        </w:rPr>
      </w:pPr>
      <w:r w:rsidRPr="003D2215">
        <w:rPr>
          <w:rFonts w:ascii="Goudy Old Style" w:hAnsi="Goudy Old Style"/>
          <w:i/>
          <w:sz w:val="25"/>
          <w:szCs w:val="25"/>
        </w:rPr>
        <w:t>transport and communications services</w:t>
      </w:r>
      <w:r w:rsidRPr="003D2215">
        <w:rPr>
          <w:rFonts w:ascii="Goudy Old Style" w:hAnsi="Goudy Old Style"/>
          <w:sz w:val="25"/>
          <w:szCs w:val="25"/>
        </w:rPr>
        <w:t xml:space="preserve"> — services that support connection</w:t>
      </w:r>
      <w:r w:rsidR="00330B70">
        <w:rPr>
          <w:rFonts w:ascii="Goudy Old Style" w:hAnsi="Goudy Old Style"/>
          <w:sz w:val="25"/>
          <w:szCs w:val="25"/>
        </w:rPr>
        <w:t>s within and across communities</w:t>
      </w:r>
      <w:r w:rsidR="008D1701">
        <w:rPr>
          <w:rFonts w:ascii="Goudy Old Style" w:hAnsi="Goudy Old Style"/>
          <w:sz w:val="25"/>
          <w:szCs w:val="25"/>
        </w:rPr>
        <w:t>,</w:t>
      </w:r>
      <w:r w:rsidR="00330B70">
        <w:rPr>
          <w:rFonts w:ascii="Goudy Old Style" w:hAnsi="Goudy Old Style"/>
          <w:sz w:val="25"/>
          <w:szCs w:val="25"/>
        </w:rPr>
        <w:t xml:space="preserve"> such as road, rail and air transport, pipelines and communication services (</w:t>
      </w:r>
      <w:r w:rsidR="00330B70" w:rsidRPr="00330B70">
        <w:rPr>
          <w:rFonts w:ascii="Goudy Old Style" w:hAnsi="Goudy Old Style"/>
          <w:sz w:val="25"/>
          <w:szCs w:val="25"/>
        </w:rPr>
        <w:t>postal, cable, telephone and wireless communications systems and satellites</w:t>
      </w:r>
      <w:r w:rsidR="00330B70">
        <w:rPr>
          <w:rFonts w:ascii="Goudy Old Style" w:hAnsi="Goudy Old Style"/>
          <w:sz w:val="25"/>
          <w:szCs w:val="25"/>
        </w:rPr>
        <w:t>)</w:t>
      </w:r>
      <w:r w:rsidR="00330B70" w:rsidRPr="00330B70">
        <w:rPr>
          <w:rFonts w:ascii="Goudy Old Style" w:hAnsi="Goudy Old Style"/>
          <w:sz w:val="25"/>
          <w:szCs w:val="25"/>
        </w:rPr>
        <w:t>.</w:t>
      </w:r>
    </w:p>
    <w:p w:rsidR="000C2F6C" w:rsidRPr="00BB1DD7" w:rsidRDefault="00AF2B98" w:rsidP="000C2F6C">
      <w:pPr>
        <w:spacing w:before="240"/>
        <w:rPr>
          <w:rFonts w:ascii="Goudy Old Style" w:hAnsi="Goudy Old Style"/>
          <w:b/>
          <w:color w:val="800000"/>
          <w:szCs w:val="26"/>
        </w:rPr>
      </w:pPr>
      <w:r w:rsidRPr="00BB1DD7">
        <w:rPr>
          <w:rFonts w:ascii="Goudy Old Style" w:hAnsi="Goudy Old Style"/>
          <w:b/>
          <w:i/>
          <w:color w:val="800000"/>
          <w:szCs w:val="26"/>
        </w:rPr>
        <w:t>S</w:t>
      </w:r>
      <w:r w:rsidR="000C2F6C" w:rsidRPr="00BB1DD7">
        <w:rPr>
          <w:rFonts w:ascii="Goudy Old Style" w:hAnsi="Goudy Old Style"/>
          <w:b/>
          <w:i/>
          <w:color w:val="800000"/>
          <w:szCs w:val="26"/>
        </w:rPr>
        <w:t>afe and supportive communities</w:t>
      </w:r>
      <w:r w:rsidR="000C2F6C" w:rsidRPr="00BB1DD7">
        <w:rPr>
          <w:rFonts w:ascii="Goudy Old Style" w:hAnsi="Goudy Old Style"/>
          <w:b/>
          <w:color w:val="800000"/>
          <w:szCs w:val="26"/>
        </w:rPr>
        <w:t xml:space="preserve"> </w:t>
      </w:r>
    </w:p>
    <w:p w:rsidR="000C2F6C" w:rsidRDefault="000C2F6C" w:rsidP="000C2F6C">
      <w:pPr>
        <w:spacing w:before="120"/>
        <w:rPr>
          <w:rFonts w:ascii="Goudy Old Style" w:hAnsi="Goudy Old Style"/>
          <w:sz w:val="25"/>
          <w:szCs w:val="25"/>
        </w:rPr>
      </w:pPr>
      <w:r w:rsidRPr="000E63B1">
        <w:rPr>
          <w:rFonts w:ascii="Goudy Old Style" w:hAnsi="Goudy Old Style"/>
          <w:sz w:val="25"/>
          <w:szCs w:val="25"/>
        </w:rPr>
        <w:t>Safe and supportive community services promote an environment in which Australians can feel safe from violence, abuse and neglect, and are able to engage in the communities in which they live</w:t>
      </w:r>
      <w:r>
        <w:rPr>
          <w:rFonts w:ascii="Goudy Old Style" w:hAnsi="Goudy Old Style"/>
          <w:sz w:val="25"/>
          <w:szCs w:val="25"/>
        </w:rPr>
        <w:t xml:space="preserve">. </w:t>
      </w:r>
      <w:r w:rsidR="00245563" w:rsidRPr="003A143F">
        <w:rPr>
          <w:rFonts w:ascii="Goudy Old Style" w:hAnsi="Goudy Old Style"/>
          <w:sz w:val="25"/>
          <w:szCs w:val="25"/>
        </w:rPr>
        <w:t xml:space="preserve">Expenditure in the 2014 Report includes </w:t>
      </w:r>
      <w:r w:rsidR="008D1701">
        <w:rPr>
          <w:rFonts w:ascii="Goudy Old Style" w:hAnsi="Goudy Old Style"/>
          <w:sz w:val="25"/>
          <w:szCs w:val="25"/>
        </w:rPr>
        <w:t xml:space="preserve">government </w:t>
      </w:r>
      <w:r w:rsidR="00245563" w:rsidRPr="003A143F">
        <w:rPr>
          <w:rFonts w:ascii="Goudy Old Style" w:hAnsi="Goudy Old Style"/>
          <w:sz w:val="25"/>
          <w:szCs w:val="25"/>
        </w:rPr>
        <w:t>outlays on:</w:t>
      </w:r>
    </w:p>
    <w:p w:rsidR="000C2F6C" w:rsidRDefault="000C2F6C" w:rsidP="000C2F6C">
      <w:pPr>
        <w:pStyle w:val="BoxListBullet"/>
        <w:keepNext w:val="0"/>
        <w:spacing w:before="80"/>
        <w:rPr>
          <w:rFonts w:ascii="Goudy Old Style" w:hAnsi="Goudy Old Style"/>
          <w:sz w:val="25"/>
          <w:szCs w:val="25"/>
        </w:rPr>
      </w:pPr>
      <w:r w:rsidRPr="007E7911">
        <w:rPr>
          <w:rFonts w:ascii="Goudy Old Style" w:hAnsi="Goudy Old Style"/>
          <w:i/>
          <w:sz w:val="25"/>
          <w:szCs w:val="25"/>
        </w:rPr>
        <w:t>public order and safety</w:t>
      </w:r>
      <w:r>
        <w:rPr>
          <w:rFonts w:ascii="Goudy Old Style" w:hAnsi="Goudy Old Style"/>
          <w:i/>
          <w:sz w:val="25"/>
          <w:szCs w:val="25"/>
        </w:rPr>
        <w:t xml:space="preserve"> </w:t>
      </w:r>
      <w:r>
        <w:rPr>
          <w:rFonts w:ascii="Goudy Old Style" w:hAnsi="Goudy Old Style"/>
          <w:sz w:val="25"/>
          <w:szCs w:val="25"/>
        </w:rPr>
        <w:sym w:font="Symbol" w:char="F02D"/>
      </w:r>
      <w:r w:rsidRPr="007E7911">
        <w:rPr>
          <w:rFonts w:ascii="Goudy Old Style" w:hAnsi="Goudy Old Style"/>
          <w:sz w:val="25"/>
          <w:szCs w:val="25"/>
        </w:rPr>
        <w:t xml:space="preserve"> </w:t>
      </w:r>
      <w:r w:rsidR="00245563" w:rsidRPr="00245563">
        <w:rPr>
          <w:rFonts w:ascii="Goudy Old Style" w:hAnsi="Goudy Old Style"/>
          <w:sz w:val="25"/>
          <w:szCs w:val="25"/>
        </w:rPr>
        <w:t>services that ensure a safe home environment and equitable access to the legal system and services</w:t>
      </w:r>
      <w:r w:rsidR="00245563">
        <w:rPr>
          <w:rFonts w:ascii="Goudy Old Style" w:hAnsi="Goudy Old Style"/>
          <w:sz w:val="25"/>
          <w:szCs w:val="25"/>
        </w:rPr>
        <w:t xml:space="preserve"> and which </w:t>
      </w:r>
      <w:r w:rsidR="00245563" w:rsidRPr="00245563">
        <w:rPr>
          <w:rFonts w:ascii="Goudy Old Style" w:hAnsi="Goudy Old Style"/>
          <w:sz w:val="25"/>
          <w:szCs w:val="25"/>
        </w:rPr>
        <w:t>reduce the consequences of criminal activity</w:t>
      </w:r>
      <w:r w:rsidR="00A24473">
        <w:rPr>
          <w:rFonts w:ascii="Goudy Old Style" w:hAnsi="Goudy Old Style"/>
          <w:sz w:val="25"/>
          <w:szCs w:val="25"/>
        </w:rPr>
        <w:t>, including:</w:t>
      </w:r>
    </w:p>
    <w:p w:rsidR="00A24473" w:rsidRPr="00A24473" w:rsidRDefault="00A24473" w:rsidP="000D1621">
      <w:pPr>
        <w:pStyle w:val="BoxListBullet"/>
        <w:keepNext w:val="0"/>
        <w:numPr>
          <w:ilvl w:val="0"/>
          <w:numId w:val="15"/>
        </w:numPr>
        <w:spacing w:before="60"/>
        <w:ind w:left="709"/>
        <w:rPr>
          <w:rFonts w:ascii="Goudy Old Style" w:hAnsi="Goudy Old Style"/>
          <w:sz w:val="25"/>
          <w:szCs w:val="25"/>
        </w:rPr>
      </w:pPr>
      <w:r w:rsidRPr="00A24473">
        <w:rPr>
          <w:rFonts w:ascii="Goudy Old Style" w:hAnsi="Goudy Old Style"/>
          <w:i/>
          <w:sz w:val="25"/>
          <w:szCs w:val="25"/>
        </w:rPr>
        <w:t>police services</w:t>
      </w:r>
      <w:r w:rsidRPr="00A24473">
        <w:rPr>
          <w:rFonts w:ascii="Goudy Old Style" w:hAnsi="Goudy Old Style"/>
          <w:sz w:val="25"/>
          <w:szCs w:val="25"/>
        </w:rPr>
        <w:t xml:space="preserve"> — expenditure on areas including crime and corruption commissions, criminal investigation, traffic and commuter services </w:t>
      </w:r>
      <w:r w:rsidR="008D1701">
        <w:rPr>
          <w:rFonts w:ascii="Goudy Old Style" w:hAnsi="Goudy Old Style"/>
          <w:sz w:val="25"/>
          <w:szCs w:val="25"/>
        </w:rPr>
        <w:t>(</w:t>
      </w:r>
      <w:r w:rsidRPr="00A24473">
        <w:rPr>
          <w:rFonts w:ascii="Goudy Old Style" w:hAnsi="Goudy Old Style"/>
          <w:sz w:val="25"/>
          <w:szCs w:val="25"/>
        </w:rPr>
        <w:t>such as road safety and the safety of commuters using public transport</w:t>
      </w:r>
      <w:r w:rsidR="008D1701">
        <w:rPr>
          <w:rFonts w:ascii="Goudy Old Style" w:hAnsi="Goudy Old Style"/>
          <w:sz w:val="25"/>
          <w:szCs w:val="25"/>
        </w:rPr>
        <w:t>)</w:t>
      </w:r>
      <w:r w:rsidRPr="00A24473">
        <w:rPr>
          <w:rFonts w:ascii="Goudy Old Style" w:hAnsi="Goudy Old Style"/>
          <w:sz w:val="25"/>
          <w:szCs w:val="25"/>
        </w:rPr>
        <w:t>, and community safety and support including crime prevention and responding to calls for assistance</w:t>
      </w:r>
    </w:p>
    <w:p w:rsidR="00A24473" w:rsidRPr="00A24473" w:rsidRDefault="00A24473" w:rsidP="000D1621">
      <w:pPr>
        <w:pStyle w:val="BoxListBullet"/>
        <w:keepNext w:val="0"/>
        <w:numPr>
          <w:ilvl w:val="0"/>
          <w:numId w:val="15"/>
        </w:numPr>
        <w:spacing w:before="60"/>
        <w:ind w:left="709"/>
        <w:rPr>
          <w:rFonts w:ascii="Goudy Old Style" w:hAnsi="Goudy Old Style"/>
          <w:sz w:val="25"/>
          <w:szCs w:val="25"/>
        </w:rPr>
      </w:pPr>
      <w:r w:rsidRPr="00A24473">
        <w:rPr>
          <w:rFonts w:ascii="Goudy Old Style" w:hAnsi="Goudy Old Style"/>
          <w:i/>
          <w:sz w:val="25"/>
          <w:szCs w:val="25"/>
        </w:rPr>
        <w:t>law courts and legal services</w:t>
      </w:r>
      <w:r w:rsidRPr="00A24473">
        <w:rPr>
          <w:rFonts w:ascii="Goudy Old Style" w:hAnsi="Goudy Old Style"/>
          <w:sz w:val="25"/>
          <w:szCs w:val="25"/>
        </w:rPr>
        <w:t xml:space="preserve"> — expenditure on areas including criminal court services, other courts and legal services </w:t>
      </w:r>
      <w:r w:rsidR="008D1701">
        <w:rPr>
          <w:rFonts w:ascii="Goudy Old Style" w:hAnsi="Goudy Old Style"/>
          <w:sz w:val="25"/>
          <w:szCs w:val="25"/>
        </w:rPr>
        <w:t>(</w:t>
      </w:r>
      <w:r w:rsidRPr="00A24473">
        <w:rPr>
          <w:rFonts w:ascii="Goudy Old Style" w:hAnsi="Goudy Old Style"/>
          <w:sz w:val="25"/>
          <w:szCs w:val="25"/>
        </w:rPr>
        <w:t xml:space="preserve">such as civil courts and </w:t>
      </w:r>
      <w:r w:rsidR="00214FAD">
        <w:rPr>
          <w:rFonts w:ascii="Goudy Old Style" w:hAnsi="Goudy Old Style"/>
          <w:sz w:val="25"/>
          <w:szCs w:val="25"/>
        </w:rPr>
        <w:t>n</w:t>
      </w:r>
      <w:r w:rsidRPr="00A24473">
        <w:rPr>
          <w:rFonts w:ascii="Goudy Old Style" w:hAnsi="Goudy Old Style"/>
          <w:sz w:val="25"/>
          <w:szCs w:val="25"/>
        </w:rPr>
        <w:t>ative title</w:t>
      </w:r>
      <w:r w:rsidR="008D1701">
        <w:rPr>
          <w:rFonts w:ascii="Goudy Old Style" w:hAnsi="Goudy Old Style"/>
          <w:sz w:val="25"/>
          <w:szCs w:val="25"/>
        </w:rPr>
        <w:t>)</w:t>
      </w:r>
      <w:r w:rsidRPr="00A24473">
        <w:rPr>
          <w:rFonts w:ascii="Goudy Old Style" w:hAnsi="Goudy Old Style"/>
          <w:sz w:val="25"/>
          <w:szCs w:val="25"/>
        </w:rPr>
        <w:t>, and access to justice including legal assistance ser</w:t>
      </w:r>
      <w:r w:rsidR="00A22C2F">
        <w:rPr>
          <w:rFonts w:ascii="Goudy Old Style" w:hAnsi="Goudy Old Style"/>
          <w:sz w:val="25"/>
          <w:szCs w:val="25"/>
        </w:rPr>
        <w:t>vices and policy and law reform</w:t>
      </w:r>
    </w:p>
    <w:p w:rsidR="00A24473" w:rsidRPr="00A24473" w:rsidRDefault="00A24473" w:rsidP="000D1621">
      <w:pPr>
        <w:pStyle w:val="BoxListBullet"/>
        <w:keepNext w:val="0"/>
        <w:numPr>
          <w:ilvl w:val="0"/>
          <w:numId w:val="15"/>
        </w:numPr>
        <w:spacing w:before="60"/>
        <w:ind w:left="709"/>
        <w:rPr>
          <w:rFonts w:ascii="Goudy Old Style" w:hAnsi="Goudy Old Style"/>
          <w:sz w:val="25"/>
          <w:szCs w:val="25"/>
        </w:rPr>
      </w:pPr>
      <w:r w:rsidRPr="00A24473">
        <w:rPr>
          <w:rFonts w:ascii="Goudy Old Style" w:hAnsi="Goudy Old Style"/>
          <w:i/>
          <w:sz w:val="25"/>
          <w:szCs w:val="25"/>
        </w:rPr>
        <w:t>prison and corrective services</w:t>
      </w:r>
      <w:r w:rsidRPr="00A24473">
        <w:rPr>
          <w:rFonts w:ascii="Goudy Old Style" w:hAnsi="Goudy Old Style"/>
          <w:sz w:val="25"/>
          <w:szCs w:val="25"/>
        </w:rPr>
        <w:t xml:space="preserve"> — expenditure on areas including juvenile and adult community</w:t>
      </w:r>
      <w:r w:rsidR="00AD6DBB">
        <w:rPr>
          <w:rFonts w:ascii="Goudy Old Style" w:hAnsi="Goudy Old Style"/>
          <w:sz w:val="25"/>
          <w:szCs w:val="25"/>
        </w:rPr>
        <w:noBreakHyphen/>
      </w:r>
      <w:r w:rsidRPr="00A24473">
        <w:rPr>
          <w:rFonts w:ascii="Goudy Old Style" w:hAnsi="Goudy Old Style"/>
          <w:sz w:val="25"/>
          <w:szCs w:val="25"/>
        </w:rPr>
        <w:t>based and facility</w:t>
      </w:r>
      <w:r w:rsidR="008A171B">
        <w:rPr>
          <w:rFonts w:ascii="Goudy Old Style" w:hAnsi="Goudy Old Style"/>
          <w:sz w:val="25"/>
          <w:szCs w:val="25"/>
        </w:rPr>
        <w:noBreakHyphen/>
      </w:r>
      <w:r w:rsidRPr="00A24473">
        <w:rPr>
          <w:rFonts w:ascii="Goudy Old Style" w:hAnsi="Goudy Old Style"/>
          <w:sz w:val="25"/>
          <w:szCs w:val="25"/>
        </w:rPr>
        <w:t>based detention and corrective services</w:t>
      </w:r>
    </w:p>
    <w:p w:rsidR="00A24473" w:rsidRPr="00A24473" w:rsidRDefault="00A24473" w:rsidP="000D1621">
      <w:pPr>
        <w:pStyle w:val="BoxListBullet"/>
        <w:keepNext w:val="0"/>
        <w:numPr>
          <w:ilvl w:val="0"/>
          <w:numId w:val="15"/>
        </w:numPr>
        <w:spacing w:before="60"/>
        <w:ind w:left="709"/>
        <w:rPr>
          <w:rFonts w:ascii="Goudy Old Style" w:hAnsi="Goudy Old Style"/>
          <w:sz w:val="25"/>
          <w:szCs w:val="25"/>
        </w:rPr>
      </w:pPr>
      <w:r w:rsidRPr="00A24473">
        <w:rPr>
          <w:rFonts w:ascii="Goudy Old Style" w:hAnsi="Goudy Old Style"/>
          <w:i/>
          <w:sz w:val="25"/>
          <w:szCs w:val="25"/>
        </w:rPr>
        <w:t>other public order</w:t>
      </w:r>
      <w:r w:rsidRPr="00A24473">
        <w:rPr>
          <w:rFonts w:ascii="Goudy Old Style" w:hAnsi="Goudy Old Style"/>
          <w:sz w:val="25"/>
          <w:szCs w:val="25"/>
        </w:rPr>
        <w:t xml:space="preserve"> — expenditure on metropolitan and other fire protection services, and other public order and safety services </w:t>
      </w:r>
      <w:r w:rsidR="008D1701">
        <w:rPr>
          <w:rFonts w:ascii="Goudy Old Style" w:hAnsi="Goudy Old Style"/>
          <w:sz w:val="25"/>
          <w:szCs w:val="25"/>
        </w:rPr>
        <w:t>(</w:t>
      </w:r>
      <w:r w:rsidRPr="00A24473">
        <w:rPr>
          <w:rFonts w:ascii="Goudy Old Style" w:hAnsi="Goudy Old Style"/>
          <w:sz w:val="25"/>
          <w:szCs w:val="25"/>
        </w:rPr>
        <w:t>such as maintenance of state emergency services</w:t>
      </w:r>
      <w:r w:rsidR="008D1701">
        <w:rPr>
          <w:rFonts w:ascii="Goudy Old Style" w:hAnsi="Goudy Old Style"/>
          <w:sz w:val="25"/>
          <w:szCs w:val="25"/>
        </w:rPr>
        <w:t>)</w:t>
      </w:r>
      <w:r w:rsidRPr="00A24473">
        <w:rPr>
          <w:rFonts w:ascii="Goudy Old Style" w:hAnsi="Goudy Old Style"/>
          <w:sz w:val="25"/>
          <w:szCs w:val="25"/>
        </w:rPr>
        <w:t>, a</w:t>
      </w:r>
      <w:r w:rsidR="00A22C2F">
        <w:rPr>
          <w:rFonts w:ascii="Goudy Old Style" w:hAnsi="Goudy Old Style"/>
          <w:sz w:val="25"/>
          <w:szCs w:val="25"/>
        </w:rPr>
        <w:t>nd lifesaving and beach patrols</w:t>
      </w:r>
    </w:p>
    <w:p w:rsidR="000C2F6C" w:rsidRDefault="000C2F6C" w:rsidP="000C2F6C">
      <w:pPr>
        <w:pStyle w:val="BoxListBullet"/>
        <w:keepNext w:val="0"/>
        <w:spacing w:before="80"/>
        <w:rPr>
          <w:rFonts w:ascii="Goudy Old Style" w:hAnsi="Goudy Old Style"/>
          <w:sz w:val="25"/>
          <w:szCs w:val="25"/>
        </w:rPr>
      </w:pPr>
      <w:r w:rsidRPr="00A151F6">
        <w:rPr>
          <w:rFonts w:ascii="Goudy Old Style" w:hAnsi="Goudy Old Style"/>
          <w:i/>
          <w:sz w:val="25"/>
          <w:szCs w:val="25"/>
        </w:rPr>
        <w:t>community support and welfare</w:t>
      </w:r>
      <w:r w:rsidRPr="00A151F6">
        <w:rPr>
          <w:rFonts w:ascii="Goudy Old Style" w:hAnsi="Goudy Old Style"/>
          <w:sz w:val="25"/>
          <w:szCs w:val="25"/>
        </w:rPr>
        <w:t xml:space="preserve"> </w:t>
      </w:r>
      <w:r>
        <w:rPr>
          <w:rFonts w:ascii="Goudy Old Style" w:hAnsi="Goudy Old Style"/>
          <w:sz w:val="25"/>
          <w:szCs w:val="25"/>
        </w:rPr>
        <w:sym w:font="Symbol" w:char="F02D"/>
      </w:r>
      <w:r w:rsidRPr="00A151F6">
        <w:rPr>
          <w:rFonts w:ascii="Goudy Old Style" w:hAnsi="Goudy Old Style"/>
          <w:sz w:val="25"/>
          <w:szCs w:val="25"/>
        </w:rPr>
        <w:t xml:space="preserve"> </w:t>
      </w:r>
      <w:r w:rsidR="00A24473" w:rsidRPr="00A24473">
        <w:rPr>
          <w:rFonts w:ascii="Goudy Old Style" w:hAnsi="Goudy Old Style"/>
          <w:sz w:val="25"/>
          <w:szCs w:val="25"/>
        </w:rPr>
        <w:t xml:space="preserve">services </w:t>
      </w:r>
      <w:r w:rsidR="00A24473">
        <w:rPr>
          <w:rFonts w:ascii="Goudy Old Style" w:hAnsi="Goudy Old Style"/>
          <w:sz w:val="25"/>
          <w:szCs w:val="25"/>
        </w:rPr>
        <w:t xml:space="preserve">that </w:t>
      </w:r>
      <w:r w:rsidR="00A24473" w:rsidRPr="00A24473">
        <w:rPr>
          <w:rFonts w:ascii="Goudy Old Style" w:hAnsi="Goudy Old Style"/>
          <w:sz w:val="25"/>
          <w:szCs w:val="25"/>
        </w:rPr>
        <w:t>assist people who need help to meet the challenges that arise in their day-to-day lives</w:t>
      </w:r>
      <w:r w:rsidR="00A24473">
        <w:rPr>
          <w:rFonts w:ascii="Goudy Old Style" w:hAnsi="Goudy Old Style"/>
          <w:sz w:val="25"/>
          <w:szCs w:val="25"/>
        </w:rPr>
        <w:t>, such as:</w:t>
      </w:r>
    </w:p>
    <w:p w:rsidR="000D1621" w:rsidRPr="000D1621" w:rsidRDefault="000D1621" w:rsidP="000D1621">
      <w:pPr>
        <w:pStyle w:val="BoxListBullet"/>
        <w:keepNext w:val="0"/>
        <w:numPr>
          <w:ilvl w:val="0"/>
          <w:numId w:val="15"/>
        </w:numPr>
        <w:spacing w:before="60"/>
        <w:ind w:left="709"/>
        <w:rPr>
          <w:rFonts w:ascii="Goudy Old Style" w:hAnsi="Goudy Old Style"/>
          <w:sz w:val="25"/>
          <w:szCs w:val="25"/>
        </w:rPr>
      </w:pPr>
      <w:r w:rsidRPr="000D1621">
        <w:rPr>
          <w:rFonts w:ascii="Goudy Old Style" w:hAnsi="Goudy Old Style"/>
          <w:i/>
          <w:sz w:val="25"/>
          <w:szCs w:val="25"/>
        </w:rPr>
        <w:t>welfare for the aged</w:t>
      </w:r>
      <w:r w:rsidRPr="000D1621">
        <w:rPr>
          <w:rFonts w:ascii="Goudy Old Style" w:hAnsi="Goudy Old Style"/>
          <w:sz w:val="25"/>
          <w:szCs w:val="25"/>
        </w:rPr>
        <w:t xml:space="preserve"> — expenditure on nursing homes for the aged, welfare services for the aged including support programs, and home and residential care services</w:t>
      </w:r>
    </w:p>
    <w:p w:rsidR="000D1621" w:rsidRPr="000D1621" w:rsidRDefault="000D1621" w:rsidP="000D1621">
      <w:pPr>
        <w:pStyle w:val="BoxListBullet"/>
        <w:keepNext w:val="0"/>
        <w:numPr>
          <w:ilvl w:val="0"/>
          <w:numId w:val="15"/>
        </w:numPr>
        <w:spacing w:before="60"/>
        <w:ind w:left="709"/>
        <w:rPr>
          <w:rFonts w:ascii="Goudy Old Style" w:hAnsi="Goudy Old Style"/>
          <w:sz w:val="25"/>
          <w:szCs w:val="25"/>
        </w:rPr>
      </w:pPr>
      <w:r w:rsidRPr="000D1621">
        <w:rPr>
          <w:rFonts w:ascii="Goudy Old Style" w:hAnsi="Goudy Old Style"/>
          <w:i/>
          <w:sz w:val="25"/>
          <w:szCs w:val="25"/>
        </w:rPr>
        <w:t>welfare services for people with a disability</w:t>
      </w:r>
      <w:r w:rsidRPr="000D1621">
        <w:rPr>
          <w:rFonts w:ascii="Goudy Old Style" w:hAnsi="Goudy Old Style"/>
          <w:sz w:val="25"/>
          <w:szCs w:val="25"/>
        </w:rPr>
        <w:t xml:space="preserve"> — expenditure on accommodation support, community support, community access and other disability support such as employment services </w:t>
      </w:r>
    </w:p>
    <w:p w:rsidR="000D1621" w:rsidRPr="000D1621" w:rsidRDefault="000D1621" w:rsidP="000D1621">
      <w:pPr>
        <w:pStyle w:val="BoxListBullet"/>
        <w:keepNext w:val="0"/>
        <w:numPr>
          <w:ilvl w:val="0"/>
          <w:numId w:val="15"/>
        </w:numPr>
        <w:spacing w:before="60"/>
        <w:ind w:left="709"/>
        <w:rPr>
          <w:rFonts w:ascii="Goudy Old Style" w:hAnsi="Goudy Old Style"/>
          <w:sz w:val="25"/>
          <w:szCs w:val="25"/>
        </w:rPr>
      </w:pPr>
      <w:r w:rsidRPr="000D1621">
        <w:rPr>
          <w:rFonts w:ascii="Goudy Old Style" w:hAnsi="Goudy Old Style"/>
          <w:i/>
          <w:sz w:val="25"/>
          <w:szCs w:val="25"/>
        </w:rPr>
        <w:t>protection and support services</w:t>
      </w:r>
      <w:r w:rsidRPr="000D1621">
        <w:rPr>
          <w:rFonts w:ascii="Goudy Old Style" w:hAnsi="Goudy Old Style"/>
          <w:sz w:val="25"/>
          <w:szCs w:val="25"/>
        </w:rPr>
        <w:t xml:space="preserve"> — expenditure on child protection and out</w:t>
      </w:r>
      <w:r w:rsidRPr="000D1621">
        <w:rPr>
          <w:rFonts w:ascii="Goudy Old Style" w:hAnsi="Goudy Old Style"/>
          <w:sz w:val="25"/>
          <w:szCs w:val="25"/>
        </w:rPr>
        <w:noBreakHyphen/>
        <w:t>of</w:t>
      </w:r>
      <w:r w:rsidRPr="000D1621">
        <w:rPr>
          <w:rFonts w:ascii="Goudy Old Style" w:hAnsi="Goudy Old Style"/>
          <w:sz w:val="25"/>
          <w:szCs w:val="25"/>
        </w:rPr>
        <w:noBreakHyphen/>
        <w:t xml:space="preserve">home care services </w:t>
      </w:r>
    </w:p>
    <w:p w:rsidR="000D1621" w:rsidRPr="000D1621" w:rsidRDefault="000D1621" w:rsidP="000D1621">
      <w:pPr>
        <w:pStyle w:val="BoxListBullet"/>
        <w:keepNext w:val="0"/>
        <w:numPr>
          <w:ilvl w:val="0"/>
          <w:numId w:val="15"/>
        </w:numPr>
        <w:spacing w:before="60"/>
        <w:ind w:left="709"/>
        <w:rPr>
          <w:rFonts w:ascii="Goudy Old Style" w:hAnsi="Goudy Old Style"/>
          <w:sz w:val="25"/>
          <w:szCs w:val="25"/>
        </w:rPr>
      </w:pPr>
      <w:r w:rsidRPr="000D1621">
        <w:rPr>
          <w:rFonts w:ascii="Goudy Old Style" w:hAnsi="Goudy Old Style"/>
          <w:i/>
          <w:sz w:val="25"/>
          <w:szCs w:val="25"/>
        </w:rPr>
        <w:t>general family and support services</w:t>
      </w:r>
      <w:r w:rsidRPr="000D1621">
        <w:rPr>
          <w:rFonts w:ascii="Goudy Old Style" w:hAnsi="Goudy Old Style"/>
          <w:sz w:val="25"/>
          <w:szCs w:val="25"/>
        </w:rPr>
        <w:t xml:space="preserve"> — expenditure on child support payments and family support, including intensive family support </w:t>
      </w:r>
    </w:p>
    <w:p w:rsidR="000D1621" w:rsidRPr="000D1621" w:rsidRDefault="000D1621" w:rsidP="000D1621">
      <w:pPr>
        <w:pStyle w:val="BoxListBullet"/>
        <w:keepNext w:val="0"/>
        <w:numPr>
          <w:ilvl w:val="0"/>
          <w:numId w:val="15"/>
        </w:numPr>
        <w:spacing w:before="60"/>
        <w:ind w:left="709"/>
        <w:rPr>
          <w:rFonts w:ascii="Goudy Old Style" w:hAnsi="Goudy Old Style"/>
          <w:sz w:val="25"/>
          <w:szCs w:val="25"/>
        </w:rPr>
      </w:pPr>
      <w:r w:rsidRPr="000D1621">
        <w:rPr>
          <w:rFonts w:ascii="Goudy Old Style" w:hAnsi="Goudy Old Style"/>
          <w:i/>
          <w:sz w:val="25"/>
          <w:szCs w:val="25"/>
        </w:rPr>
        <w:lastRenderedPageBreak/>
        <w:t>other welfare services</w:t>
      </w:r>
      <w:r w:rsidRPr="000D1621">
        <w:rPr>
          <w:rFonts w:ascii="Goudy Old Style" w:hAnsi="Goudy Old Style"/>
          <w:sz w:val="25"/>
          <w:szCs w:val="25"/>
        </w:rPr>
        <w:t xml:space="preserve"> — expenditure on social security and welfare services not elsewhere classified, such as superannuation support programs, Indigenous advancement programs and research into social security an</w:t>
      </w:r>
      <w:r w:rsidR="00A22C2F">
        <w:rPr>
          <w:rFonts w:ascii="Goudy Old Style" w:hAnsi="Goudy Old Style"/>
          <w:sz w:val="25"/>
          <w:szCs w:val="25"/>
        </w:rPr>
        <w:t>d welfare affairs and services</w:t>
      </w:r>
    </w:p>
    <w:p w:rsidR="000C2F6C" w:rsidRDefault="000C2F6C" w:rsidP="000C2F6C">
      <w:pPr>
        <w:pStyle w:val="BoxListBullet"/>
        <w:keepNext w:val="0"/>
        <w:spacing w:before="80"/>
        <w:rPr>
          <w:rFonts w:ascii="Goudy Old Style" w:hAnsi="Goudy Old Style"/>
          <w:sz w:val="25"/>
          <w:szCs w:val="25"/>
        </w:rPr>
      </w:pPr>
      <w:r w:rsidRPr="00A151F6">
        <w:rPr>
          <w:rFonts w:ascii="Goudy Old Style" w:hAnsi="Goudy Old Style"/>
          <w:i/>
          <w:sz w:val="25"/>
          <w:szCs w:val="25"/>
        </w:rPr>
        <w:t>recreation and culture</w:t>
      </w:r>
      <w:r w:rsidRPr="00A151F6">
        <w:rPr>
          <w:rFonts w:ascii="Goudy Old Style" w:hAnsi="Goudy Old Style"/>
          <w:sz w:val="25"/>
          <w:szCs w:val="25"/>
        </w:rPr>
        <w:t xml:space="preserve"> </w:t>
      </w:r>
      <w:r>
        <w:rPr>
          <w:rFonts w:ascii="Goudy Old Style" w:hAnsi="Goudy Old Style"/>
          <w:sz w:val="25"/>
          <w:szCs w:val="25"/>
        </w:rPr>
        <w:sym w:font="Symbol" w:char="F02D"/>
      </w:r>
      <w:r w:rsidRPr="00A151F6">
        <w:rPr>
          <w:rFonts w:ascii="Goudy Old Style" w:hAnsi="Goudy Old Style"/>
          <w:sz w:val="25"/>
          <w:szCs w:val="25"/>
        </w:rPr>
        <w:t xml:space="preserve"> </w:t>
      </w:r>
      <w:r w:rsidR="000D1621" w:rsidRPr="000D1621">
        <w:rPr>
          <w:rFonts w:ascii="Goudy Old Style" w:hAnsi="Goudy Old Style"/>
          <w:sz w:val="25"/>
          <w:szCs w:val="25"/>
        </w:rPr>
        <w:t>services for the general community, such as arts, language and cultural activities, national parks and sporting grounds, as well as specific initiatives to support and promote Indigenous identity (such as Indigenous film and television)</w:t>
      </w:r>
      <w:r w:rsidR="000D1621">
        <w:rPr>
          <w:rFonts w:ascii="Goudy Old Style" w:hAnsi="Goudy Old Style"/>
          <w:sz w:val="25"/>
          <w:szCs w:val="25"/>
        </w:rPr>
        <w:t>:</w:t>
      </w:r>
    </w:p>
    <w:p w:rsidR="000D1621" w:rsidRPr="000D1621" w:rsidRDefault="000D1621" w:rsidP="000D1621">
      <w:pPr>
        <w:pStyle w:val="BoxListBullet"/>
        <w:keepNext w:val="0"/>
        <w:numPr>
          <w:ilvl w:val="0"/>
          <w:numId w:val="15"/>
        </w:numPr>
        <w:spacing w:before="60"/>
        <w:ind w:left="709"/>
        <w:rPr>
          <w:rFonts w:ascii="Goudy Old Style" w:hAnsi="Goudy Old Style"/>
          <w:sz w:val="25"/>
          <w:szCs w:val="25"/>
        </w:rPr>
      </w:pPr>
      <w:r w:rsidRPr="000D1621">
        <w:rPr>
          <w:rFonts w:ascii="Goudy Old Style" w:hAnsi="Goudy Old Style"/>
          <w:i/>
          <w:sz w:val="25"/>
          <w:szCs w:val="25"/>
        </w:rPr>
        <w:t>national parks and wildlife</w:t>
      </w:r>
      <w:r w:rsidRPr="000D1621">
        <w:rPr>
          <w:rFonts w:ascii="Goudy Old Style" w:hAnsi="Goudy Old Style"/>
          <w:sz w:val="25"/>
          <w:szCs w:val="25"/>
        </w:rPr>
        <w:t xml:space="preserve"> — expenditure on administration and the operation of national parks, including historic houses and sites that are part of national parks and wildlife services</w:t>
      </w:r>
    </w:p>
    <w:p w:rsidR="00A24473" w:rsidRPr="00433B5D" w:rsidRDefault="000D1621" w:rsidP="000D1621">
      <w:pPr>
        <w:pStyle w:val="BoxListBullet"/>
        <w:keepNext w:val="0"/>
        <w:numPr>
          <w:ilvl w:val="0"/>
          <w:numId w:val="15"/>
        </w:numPr>
        <w:spacing w:before="60"/>
        <w:ind w:left="709"/>
        <w:rPr>
          <w:rFonts w:ascii="Goudy Old Style" w:hAnsi="Goudy Old Style"/>
          <w:sz w:val="25"/>
          <w:szCs w:val="25"/>
        </w:rPr>
      </w:pPr>
      <w:r w:rsidRPr="000D1621">
        <w:rPr>
          <w:rFonts w:ascii="Goudy Old Style" w:hAnsi="Goudy Old Style"/>
          <w:i/>
          <w:sz w:val="25"/>
          <w:szCs w:val="25"/>
        </w:rPr>
        <w:t>recreation services</w:t>
      </w:r>
      <w:r w:rsidRPr="000D1621">
        <w:rPr>
          <w:rFonts w:ascii="Goudy Old Style" w:hAnsi="Goudy Old Style"/>
          <w:sz w:val="25"/>
          <w:szCs w:val="25"/>
        </w:rPr>
        <w:t xml:space="preserve"> — expenditure on other recreation facilities and services such as playgrounds, sporting grounds and recreational parks and gardens, and administration and operation costs associated with recreational and cultural affairs and services.</w:t>
      </w:r>
    </w:p>
    <w:p w:rsidR="000C2F6C" w:rsidRPr="00BB1DD7" w:rsidRDefault="00AF2B98" w:rsidP="000C2F6C">
      <w:pPr>
        <w:spacing w:before="240"/>
        <w:rPr>
          <w:rFonts w:ascii="Goudy Old Style" w:hAnsi="Goudy Old Style"/>
          <w:b/>
          <w:color w:val="800000"/>
          <w:szCs w:val="26"/>
        </w:rPr>
      </w:pPr>
      <w:r w:rsidRPr="00BB1DD7">
        <w:rPr>
          <w:rFonts w:ascii="Goudy Old Style" w:hAnsi="Goudy Old Style"/>
          <w:b/>
          <w:i/>
          <w:color w:val="800000"/>
          <w:szCs w:val="26"/>
        </w:rPr>
        <w:t>O</w:t>
      </w:r>
      <w:r w:rsidR="000C2F6C" w:rsidRPr="00BB1DD7">
        <w:rPr>
          <w:rFonts w:ascii="Goudy Old Style" w:hAnsi="Goudy Old Style"/>
          <w:b/>
          <w:i/>
          <w:color w:val="800000"/>
          <w:szCs w:val="26"/>
        </w:rPr>
        <w:t>ther government services</w:t>
      </w:r>
    </w:p>
    <w:p w:rsidR="000C2F6C" w:rsidRPr="00E26358" w:rsidRDefault="000C2F6C" w:rsidP="000C2F6C">
      <w:pPr>
        <w:spacing w:before="120"/>
        <w:rPr>
          <w:rFonts w:ascii="Goudy Old Style" w:hAnsi="Goudy Old Style"/>
          <w:sz w:val="25"/>
          <w:szCs w:val="25"/>
        </w:rPr>
      </w:pPr>
      <w:r w:rsidRPr="00E26358">
        <w:rPr>
          <w:rFonts w:ascii="Goudy Old Style" w:hAnsi="Goudy Old Style"/>
          <w:sz w:val="25"/>
          <w:szCs w:val="25"/>
        </w:rPr>
        <w:t xml:space="preserve">Various government services do not explicitly relate to the COAG Closing </w:t>
      </w:r>
      <w:r w:rsidR="008F7A9F">
        <w:rPr>
          <w:rFonts w:ascii="Goudy Old Style" w:hAnsi="Goudy Old Style"/>
          <w:sz w:val="25"/>
          <w:szCs w:val="25"/>
        </w:rPr>
        <w:t>t</w:t>
      </w:r>
      <w:r w:rsidRPr="00E26358">
        <w:rPr>
          <w:rFonts w:ascii="Goudy Old Style" w:hAnsi="Goudy Old Style"/>
          <w:sz w:val="25"/>
          <w:szCs w:val="25"/>
        </w:rPr>
        <w:t xml:space="preserve">he Gap building blocks, </w:t>
      </w:r>
      <w:r w:rsidR="00F11694">
        <w:rPr>
          <w:rFonts w:ascii="Goudy Old Style" w:hAnsi="Goudy Old Style"/>
          <w:sz w:val="25"/>
          <w:szCs w:val="25"/>
        </w:rPr>
        <w:t>but</w:t>
      </w:r>
      <w:r w:rsidRPr="00E26358">
        <w:rPr>
          <w:rFonts w:ascii="Goudy Old Style" w:hAnsi="Goudy Old Style"/>
          <w:sz w:val="25"/>
          <w:szCs w:val="25"/>
        </w:rPr>
        <w:t xml:space="preserve"> can affect Indigenous outcomes through Indigenous specific expenditure and the machinery of government. Expenditure in the 2014 Report includes </w:t>
      </w:r>
      <w:r w:rsidR="00F11694">
        <w:rPr>
          <w:rFonts w:ascii="Goudy Old Style" w:hAnsi="Goudy Old Style"/>
          <w:sz w:val="25"/>
          <w:szCs w:val="25"/>
        </w:rPr>
        <w:t xml:space="preserve">government </w:t>
      </w:r>
      <w:r w:rsidRPr="00E26358">
        <w:rPr>
          <w:rFonts w:ascii="Goudy Old Style" w:hAnsi="Goudy Old Style"/>
          <w:sz w:val="25"/>
          <w:szCs w:val="25"/>
        </w:rPr>
        <w:t>outlays on:</w:t>
      </w:r>
    </w:p>
    <w:p w:rsidR="000C2F6C" w:rsidRDefault="000C2F6C" w:rsidP="000C2F6C">
      <w:pPr>
        <w:pStyle w:val="BoxListBullet"/>
        <w:keepNext w:val="0"/>
        <w:spacing w:before="80"/>
        <w:rPr>
          <w:rFonts w:ascii="Goudy Old Style" w:hAnsi="Goudy Old Style"/>
          <w:sz w:val="25"/>
          <w:szCs w:val="25"/>
        </w:rPr>
      </w:pPr>
      <w:r w:rsidRPr="00E26358">
        <w:rPr>
          <w:rFonts w:ascii="Goudy Old Style" w:hAnsi="Goudy Old Style"/>
          <w:i/>
          <w:sz w:val="25"/>
          <w:szCs w:val="25"/>
        </w:rPr>
        <w:t xml:space="preserve">general government </w:t>
      </w:r>
      <w:r w:rsidR="00B85BEC" w:rsidRPr="00E26358">
        <w:rPr>
          <w:rFonts w:ascii="Goudy Old Style" w:hAnsi="Goudy Old Style"/>
          <w:i/>
          <w:sz w:val="25"/>
          <w:szCs w:val="25"/>
        </w:rPr>
        <w:t xml:space="preserve">services </w:t>
      </w:r>
      <w:r w:rsidRPr="00E26358">
        <w:rPr>
          <w:rFonts w:ascii="Goudy Old Style" w:hAnsi="Goudy Old Style"/>
          <w:i/>
          <w:sz w:val="25"/>
          <w:szCs w:val="25"/>
        </w:rPr>
        <w:t>and defence</w:t>
      </w:r>
      <w:r w:rsidR="00B85BEC">
        <w:rPr>
          <w:rFonts w:ascii="Goudy Old Style" w:hAnsi="Goudy Old Style"/>
          <w:i/>
          <w:sz w:val="25"/>
          <w:szCs w:val="25"/>
        </w:rPr>
        <w:t xml:space="preserve"> </w:t>
      </w:r>
      <w:r w:rsidRPr="00E26358">
        <w:rPr>
          <w:rFonts w:ascii="Goudy Old Style" w:hAnsi="Goudy Old Style"/>
          <w:sz w:val="25"/>
          <w:szCs w:val="25"/>
        </w:rPr>
        <w:t>—</w:t>
      </w:r>
      <w:r w:rsidR="00F11694">
        <w:rPr>
          <w:rFonts w:ascii="Goudy Old Style" w:hAnsi="Goudy Old Style"/>
          <w:sz w:val="25"/>
          <w:szCs w:val="25"/>
        </w:rPr>
        <w:t xml:space="preserve"> </w:t>
      </w:r>
      <w:r w:rsidRPr="00E26358">
        <w:rPr>
          <w:rFonts w:ascii="Goudy Old Style" w:hAnsi="Goudy Old Style"/>
          <w:sz w:val="25"/>
          <w:szCs w:val="25"/>
        </w:rPr>
        <w:t>a diverse range of activities that governments undertake to ensure effective financial management and operation of the machinery of government and the political system, and to ensure the integrity of Australia’s national security</w:t>
      </w:r>
      <w:r w:rsidR="00CE6548">
        <w:rPr>
          <w:rFonts w:ascii="Goudy Old Style" w:hAnsi="Goudy Old Style"/>
          <w:sz w:val="25"/>
          <w:szCs w:val="25"/>
        </w:rPr>
        <w:t>:</w:t>
      </w:r>
    </w:p>
    <w:p w:rsidR="00CE6548" w:rsidRPr="00CE6548" w:rsidRDefault="00CE6548" w:rsidP="00CE6548">
      <w:pPr>
        <w:pStyle w:val="BoxListBullet"/>
        <w:keepNext w:val="0"/>
        <w:numPr>
          <w:ilvl w:val="0"/>
          <w:numId w:val="15"/>
        </w:numPr>
        <w:spacing w:before="60"/>
        <w:ind w:left="709"/>
        <w:rPr>
          <w:rFonts w:ascii="Goudy Old Style" w:hAnsi="Goudy Old Style"/>
          <w:sz w:val="25"/>
          <w:szCs w:val="25"/>
        </w:rPr>
      </w:pPr>
      <w:r w:rsidRPr="00CE6548">
        <w:rPr>
          <w:rFonts w:ascii="Goudy Old Style" w:hAnsi="Goudy Old Style"/>
          <w:i/>
          <w:sz w:val="25"/>
          <w:szCs w:val="25"/>
        </w:rPr>
        <w:t>general public services</w:t>
      </w:r>
      <w:r w:rsidRPr="00CE6548">
        <w:rPr>
          <w:rFonts w:ascii="Goudy Old Style" w:hAnsi="Goudy Old Style"/>
          <w:sz w:val="25"/>
          <w:szCs w:val="25"/>
        </w:rPr>
        <w:t xml:space="preserve"> — centralised activities that support the operations of the executive and the planning and coordination of services on a whole-of-government basis. They include central policy agencies that develop, monitor and coordinate policy related to Indigenous affairs. They also include services related to legislative and executive affairs, financial and fiscal affairs, external affairs, foreign aid, general research, and government superannuation expenditure that cannot be appropriately allocated to a specific service area</w:t>
      </w:r>
    </w:p>
    <w:p w:rsidR="00CE6548" w:rsidRPr="00CE6548" w:rsidRDefault="00CE6548" w:rsidP="00CE6548">
      <w:pPr>
        <w:pStyle w:val="BoxListBullet"/>
        <w:keepNext w:val="0"/>
        <w:numPr>
          <w:ilvl w:val="0"/>
          <w:numId w:val="15"/>
        </w:numPr>
        <w:spacing w:before="60"/>
        <w:ind w:left="709"/>
        <w:rPr>
          <w:rFonts w:ascii="Goudy Old Style" w:hAnsi="Goudy Old Style"/>
          <w:sz w:val="25"/>
          <w:szCs w:val="25"/>
        </w:rPr>
      </w:pPr>
      <w:r w:rsidRPr="00CE6548">
        <w:rPr>
          <w:rFonts w:ascii="Goudy Old Style" w:hAnsi="Goudy Old Style"/>
          <w:i/>
          <w:sz w:val="25"/>
          <w:szCs w:val="25"/>
        </w:rPr>
        <w:t>defence</w:t>
      </w:r>
      <w:r w:rsidRPr="00CE6548">
        <w:rPr>
          <w:rFonts w:ascii="Goudy Old Style" w:hAnsi="Goudy Old Style"/>
          <w:sz w:val="25"/>
          <w:szCs w:val="25"/>
        </w:rPr>
        <w:t xml:space="preserve"> — including activities related to administration, supervision, and support of civil defence and foreign defence affairs, as well as military research. Defence housing is also included in this category and provides housing for serving members of the Australian Defence Force and their families </w:t>
      </w:r>
    </w:p>
    <w:p w:rsidR="00CE6548" w:rsidRPr="00CE6548" w:rsidRDefault="00CE6548" w:rsidP="00CE6548">
      <w:pPr>
        <w:pStyle w:val="BoxListBullet"/>
        <w:keepNext w:val="0"/>
        <w:numPr>
          <w:ilvl w:val="0"/>
          <w:numId w:val="15"/>
        </w:numPr>
        <w:spacing w:before="60"/>
        <w:ind w:left="709"/>
        <w:rPr>
          <w:rFonts w:ascii="Goudy Old Style" w:hAnsi="Goudy Old Style"/>
          <w:sz w:val="25"/>
          <w:szCs w:val="25"/>
        </w:rPr>
      </w:pPr>
      <w:r w:rsidRPr="00CE6548">
        <w:rPr>
          <w:rFonts w:ascii="Goudy Old Style" w:hAnsi="Goudy Old Style"/>
          <w:i/>
          <w:sz w:val="25"/>
          <w:szCs w:val="25"/>
        </w:rPr>
        <w:t>other purpose services</w:t>
      </w:r>
      <w:r w:rsidRPr="00CE6548">
        <w:rPr>
          <w:rFonts w:ascii="Goudy Old Style" w:hAnsi="Goudy Old Style"/>
          <w:sz w:val="25"/>
          <w:szCs w:val="25"/>
        </w:rPr>
        <w:t xml:space="preserve"> — general government transactions such as public debt transactions (underwriting and floating of government loans and interest payments), natural disaster relief (immediate relief to victims of droughts, fires, floods, cyclones and other natural disasters in Australia), and general purpose inter</w:t>
      </w:r>
      <w:r w:rsidRPr="00CE6548">
        <w:rPr>
          <w:rFonts w:ascii="Goudy Old Style" w:hAnsi="Goudy Old Style"/>
          <w:sz w:val="25"/>
          <w:szCs w:val="25"/>
        </w:rPr>
        <w:noBreakHyphen/>
        <w:t>government transactions (general purpose transfers to other governments such as Australian Government GST revenue grants to the S</w:t>
      </w:r>
      <w:r w:rsidR="00A22C2F">
        <w:rPr>
          <w:rFonts w:ascii="Goudy Old Style" w:hAnsi="Goudy Old Style"/>
          <w:sz w:val="25"/>
          <w:szCs w:val="25"/>
        </w:rPr>
        <w:t>tate and Territory governments)</w:t>
      </w:r>
    </w:p>
    <w:p w:rsidR="000C2F6C" w:rsidRPr="00E26358" w:rsidRDefault="000C2F6C" w:rsidP="000C2F6C">
      <w:pPr>
        <w:pStyle w:val="BoxListBullet"/>
        <w:keepNext w:val="0"/>
        <w:spacing w:before="80"/>
        <w:rPr>
          <w:rFonts w:ascii="Goudy Old Style" w:hAnsi="Goudy Old Style"/>
          <w:sz w:val="25"/>
          <w:szCs w:val="25"/>
        </w:rPr>
      </w:pPr>
      <w:r w:rsidRPr="00E26358">
        <w:rPr>
          <w:rFonts w:ascii="Goudy Old Style" w:hAnsi="Goudy Old Style"/>
          <w:i/>
          <w:sz w:val="25"/>
          <w:szCs w:val="25"/>
        </w:rPr>
        <w:t>support to industry</w:t>
      </w:r>
      <w:r w:rsidRPr="00E26358">
        <w:rPr>
          <w:rFonts w:ascii="Goudy Old Style" w:hAnsi="Goudy Old Style"/>
          <w:sz w:val="25"/>
          <w:szCs w:val="25"/>
        </w:rPr>
        <w:t xml:space="preserve"> — services and provision for administration, regulation, planning and support (such as research, marketing, financial assistance, and business development) for </w:t>
      </w:r>
      <w:r w:rsidR="00FF1E26">
        <w:rPr>
          <w:rFonts w:ascii="Goudy Old Style" w:hAnsi="Goudy Old Style"/>
          <w:sz w:val="25"/>
          <w:szCs w:val="25"/>
        </w:rPr>
        <w:t>th</w:t>
      </w:r>
      <w:r w:rsidR="00FF1E26" w:rsidRPr="00FF1E26">
        <w:rPr>
          <w:rFonts w:ascii="Goudy Old Style" w:hAnsi="Goudy Old Style"/>
          <w:sz w:val="25"/>
          <w:szCs w:val="25"/>
        </w:rPr>
        <w:t>e following industries: agriculture</w:t>
      </w:r>
      <w:r w:rsidR="00FF1E26">
        <w:rPr>
          <w:rFonts w:ascii="Goudy Old Style" w:hAnsi="Goudy Old Style"/>
          <w:sz w:val="25"/>
          <w:szCs w:val="25"/>
        </w:rPr>
        <w:t>, forestry, fishing and hunting;</w:t>
      </w:r>
      <w:r w:rsidR="00FF1E26" w:rsidRPr="00FF1E26">
        <w:rPr>
          <w:rFonts w:ascii="Goudy Old Style" w:hAnsi="Goudy Old Style"/>
          <w:sz w:val="25"/>
          <w:szCs w:val="25"/>
        </w:rPr>
        <w:t xml:space="preserve"> mining and mineral resources (other than fuel),</w:t>
      </w:r>
      <w:r w:rsidR="00FF1E26">
        <w:rPr>
          <w:rFonts w:ascii="Goudy Old Style" w:hAnsi="Goudy Old Style"/>
          <w:sz w:val="25"/>
          <w:szCs w:val="25"/>
        </w:rPr>
        <w:t xml:space="preserve"> manufacturing and construction; storage, saleyards and markets;</w:t>
      </w:r>
      <w:r w:rsidR="00FF1E26" w:rsidRPr="00FF1E26">
        <w:rPr>
          <w:rFonts w:ascii="Goudy Old Style" w:hAnsi="Goudy Old Style"/>
          <w:sz w:val="25"/>
          <w:szCs w:val="25"/>
        </w:rPr>
        <w:t xml:space="preserve"> and tourism and area promotion.</w:t>
      </w:r>
    </w:p>
    <w:sectPr w:rsidR="000C2F6C" w:rsidRPr="00E26358" w:rsidSect="001A51AB">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1418" w:left="851" w:header="709" w:footer="4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36" w:rsidRDefault="00E01136">
      <w:r>
        <w:separator/>
      </w:r>
    </w:p>
  </w:endnote>
  <w:endnote w:type="continuationSeparator" w:id="0">
    <w:p w:rsidR="00E01136" w:rsidRDefault="00E0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T Extra">
    <w:panose1 w:val="05050102010205020202"/>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tblCellMar>
        <w:left w:w="0" w:type="dxa"/>
        <w:right w:w="0" w:type="dxa"/>
      </w:tblCellMar>
      <w:tblLook w:val="01E0" w:firstRow="1" w:lastRow="1" w:firstColumn="1" w:lastColumn="1" w:noHBand="0" w:noVBand="0"/>
    </w:tblPr>
    <w:tblGrid>
      <w:gridCol w:w="2590"/>
      <w:gridCol w:w="7614"/>
    </w:tblGrid>
    <w:tr w:rsidR="00E01136" w:rsidRPr="00B141C3" w:rsidTr="00B141C3">
      <w:trPr>
        <w:cantSplit/>
      </w:trPr>
      <w:tc>
        <w:tcPr>
          <w:tcW w:w="2552" w:type="dxa"/>
          <w:shd w:val="clear" w:color="auto" w:fill="auto"/>
          <w:vAlign w:val="center"/>
        </w:tcPr>
        <w:p w:rsidR="00E01136" w:rsidRPr="00B141C3" w:rsidRDefault="00E01136" w:rsidP="00B141C3">
          <w:pPr>
            <w:pStyle w:val="Footertext2"/>
            <w:jc w:val="left"/>
            <w:rPr>
              <w:rFonts w:cs="Arial"/>
              <w:sz w:val="110"/>
              <w:szCs w:val="110"/>
            </w:rPr>
          </w:pPr>
          <w:r w:rsidRPr="00B141C3">
            <w:rPr>
              <w:rFonts w:cs="Arial"/>
              <w:sz w:val="110"/>
              <w:szCs w:val="110"/>
            </w:rPr>
            <w:t>2010</w:t>
          </w:r>
        </w:p>
      </w:tc>
      <w:tc>
        <w:tcPr>
          <w:tcW w:w="7504" w:type="dxa"/>
          <w:shd w:val="clear" w:color="auto" w:fill="auto"/>
          <w:vAlign w:val="center"/>
        </w:tcPr>
        <w:p w:rsidR="00E01136" w:rsidRPr="00F70F36" w:rsidRDefault="00E01136" w:rsidP="003F30DF">
          <w:pPr>
            <w:pStyle w:val="Footertext"/>
          </w:pPr>
          <w:r w:rsidRPr="00F70F36">
            <w:t xml:space="preserve">Information in this </w:t>
          </w:r>
          <w:r>
            <w:t>factsheet</w:t>
          </w:r>
          <w:r w:rsidRPr="00F70F36">
            <w:t xml:space="preserve"> is from the </w:t>
          </w:r>
          <w:r w:rsidRPr="00B141C3">
            <w:rPr>
              <w:i/>
            </w:rPr>
            <w:t>2010 Indigenous Expenditure Report</w:t>
          </w:r>
          <w:r w:rsidRPr="00F70F36">
            <w:t xml:space="preserve">, published by the Indigenous Expenditure Report Steering Committee. The Report can be found on the project website: www.pc.gov.au/ier. Printed copies of the report are available from Canprint Communication (ph 1300 889 873 or email: sales@infoservices.com.au). </w:t>
          </w:r>
        </w:p>
        <w:p w:rsidR="00E01136" w:rsidRPr="00B141C3" w:rsidRDefault="00E01136" w:rsidP="00B141C3">
          <w:pPr>
            <w:pStyle w:val="Footertext"/>
            <w:spacing w:before="40"/>
            <w:rPr>
              <w:rFonts w:cs="Arial"/>
            </w:rPr>
          </w:pPr>
          <w:r w:rsidRPr="00B141C3">
            <w:rPr>
              <w:rFonts w:cs="Arial"/>
            </w:rPr>
            <w:t>For further information contact the Secretariat: (03) 9653 2100.</w:t>
          </w:r>
        </w:p>
      </w:tc>
    </w:tr>
  </w:tbl>
  <w:p w:rsidR="00E01136" w:rsidRPr="00556877" w:rsidRDefault="00E01136" w:rsidP="003F30DF">
    <w:pP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EE7E02">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340874">
      <w:trPr>
        <w:cantSplit/>
      </w:trPr>
      <w:tc>
        <w:tcPr>
          <w:tcW w:w="2552" w:type="dxa"/>
          <w:shd w:val="clear" w:color="auto" w:fill="800000"/>
          <w:vAlign w:val="center"/>
        </w:tcPr>
        <w:p w:rsidR="00E01136" w:rsidRPr="00B141C3" w:rsidRDefault="00E01136" w:rsidP="00446B0D">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BC52B5" w:rsidRDefault="00BC52B5" w:rsidP="00BC52B5">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Canprint Communications (ph 1300 889 873 or email: sales@infoservices.com.au). </w:t>
          </w:r>
        </w:p>
        <w:p w:rsidR="00E01136" w:rsidRPr="00B141C3" w:rsidRDefault="00BC52B5" w:rsidP="00BC52B5">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340874">
      <w:trPr>
        <w:cantSplit/>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9F7376">
            <w:rPr>
              <w:noProof/>
              <w:sz w:val="16"/>
              <w:szCs w:val="16"/>
            </w:rPr>
            <w:t>5</w:t>
          </w:r>
          <w:r w:rsidRPr="00AD6F22">
            <w:rPr>
              <w:noProof/>
              <w:sz w:val="16"/>
              <w:szCs w:val="16"/>
            </w:rPr>
            <w:fldChar w:fldCharType="end"/>
          </w:r>
        </w:p>
      </w:tc>
    </w:tr>
  </w:tbl>
  <w:p w:rsidR="00E01136" w:rsidRPr="00556877" w:rsidRDefault="00E01136" w:rsidP="00556877">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B141C3">
      <w:trPr>
        <w:cantSplit/>
      </w:trPr>
      <w:tc>
        <w:tcPr>
          <w:tcW w:w="2552" w:type="dxa"/>
          <w:shd w:val="clear" w:color="auto" w:fill="800000"/>
          <w:vAlign w:val="center"/>
        </w:tcPr>
        <w:p w:rsidR="00E01136" w:rsidRPr="00B141C3" w:rsidRDefault="00E01136" w:rsidP="007A13A9">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BC52B5" w:rsidRDefault="00BC52B5" w:rsidP="00BC52B5">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Canprint Communications (ph 1300 889 873 or email: sales@infoservices.com.au). </w:t>
          </w:r>
        </w:p>
        <w:p w:rsidR="00E01136" w:rsidRPr="00B141C3" w:rsidRDefault="00BC52B5" w:rsidP="00BC52B5">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B141C3">
      <w:trPr>
        <w:cantSplit/>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9F7376">
            <w:rPr>
              <w:noProof/>
              <w:sz w:val="16"/>
              <w:szCs w:val="16"/>
            </w:rPr>
            <w:t>1</w:t>
          </w:r>
          <w:r w:rsidRPr="00AD6F22">
            <w:rPr>
              <w:noProof/>
              <w:sz w:val="16"/>
              <w:szCs w:val="16"/>
            </w:rPr>
            <w:fldChar w:fldCharType="end"/>
          </w:r>
        </w:p>
      </w:tc>
    </w:tr>
  </w:tbl>
  <w:p w:rsidR="00E01136" w:rsidRPr="00556877" w:rsidRDefault="00E01136" w:rsidP="003F30DF">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36" w:rsidRDefault="00E01136">
      <w:r>
        <w:separator/>
      </w:r>
    </w:p>
  </w:footnote>
  <w:footnote w:type="continuationSeparator" w:id="0">
    <w:p w:rsidR="00E01136" w:rsidRDefault="00E01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tblCellMar>
        <w:left w:w="0" w:type="dxa"/>
        <w:right w:w="0" w:type="dxa"/>
      </w:tblCellMar>
      <w:tblLook w:val="01E0" w:firstRow="1" w:lastRow="1" w:firstColumn="1" w:lastColumn="1" w:noHBand="0" w:noVBand="0"/>
    </w:tblPr>
    <w:tblGrid>
      <w:gridCol w:w="2520"/>
      <w:gridCol w:w="7684"/>
    </w:tblGrid>
    <w:tr w:rsidR="00E01136" w:rsidRPr="00B141C3" w:rsidTr="00B141C3">
      <w:trPr>
        <w:cantSplit/>
      </w:trPr>
      <w:tc>
        <w:tcPr>
          <w:tcW w:w="2520" w:type="dxa"/>
          <w:shd w:val="clear" w:color="auto" w:fill="auto"/>
        </w:tcPr>
        <w:p w:rsidR="00E01136" w:rsidRPr="00B141C3" w:rsidRDefault="00E01136" w:rsidP="00B141C3">
          <w:pPr>
            <w:pStyle w:val="Headertext1"/>
            <w:spacing w:before="80"/>
            <w:rPr>
              <w:rFonts w:ascii="GoudyOlSt BT" w:hAnsi="GoudyOlSt BT"/>
              <w:i/>
              <w:sz w:val="40"/>
              <w:szCs w:val="40"/>
            </w:rPr>
          </w:pPr>
        </w:p>
      </w:tc>
      <w:tc>
        <w:tcPr>
          <w:tcW w:w="7684" w:type="dxa"/>
          <w:shd w:val="clear" w:color="auto" w:fill="auto"/>
        </w:tcPr>
        <w:p w:rsidR="00E01136" w:rsidRPr="00B141C3" w:rsidRDefault="00E01136" w:rsidP="003F30DF">
          <w:pPr>
            <w:pStyle w:val="Headertext2"/>
            <w:rPr>
              <w:sz w:val="40"/>
              <w:szCs w:val="40"/>
            </w:rPr>
          </w:pPr>
          <w:r w:rsidRPr="00B141C3">
            <w:rPr>
              <w:sz w:val="40"/>
              <w:szCs w:val="40"/>
            </w:rPr>
            <w:t>Education &amp; Training</w:t>
          </w:r>
        </w:p>
      </w:tc>
    </w:tr>
  </w:tbl>
  <w:p w:rsidR="00E01136" w:rsidRPr="00AB160F" w:rsidRDefault="00E01136" w:rsidP="003F30DF">
    <w:pPr>
      <w:rPr>
        <w:sz w:val="4"/>
        <w:szCs w:val="4"/>
      </w:rPr>
    </w:pPr>
  </w:p>
  <w:p w:rsidR="00E01136" w:rsidRPr="00AB160F" w:rsidRDefault="00E01136" w:rsidP="003F30DF">
    <w:pP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10204"/>
    </w:tblGrid>
    <w:tr w:rsidR="00E01136" w:rsidRPr="00B141C3" w:rsidTr="00B141C3">
      <w:trPr>
        <w:cantSplit/>
      </w:trPr>
      <w:tc>
        <w:tcPr>
          <w:tcW w:w="10204" w:type="dxa"/>
          <w:shd w:val="clear" w:color="auto" w:fill="800000"/>
        </w:tcPr>
        <w:p w:rsidR="00E01136" w:rsidRPr="00B141C3" w:rsidRDefault="00245563" w:rsidP="00361AE6">
          <w:pPr>
            <w:pStyle w:val="Headertext2"/>
            <w:rPr>
              <w:color w:val="FFFFFF"/>
              <w:sz w:val="44"/>
              <w:szCs w:val="44"/>
            </w:rPr>
          </w:pPr>
          <w:r>
            <w:rPr>
              <w:color w:val="FFFFFF"/>
              <w:sz w:val="44"/>
              <w:szCs w:val="44"/>
            </w:rPr>
            <w:t xml:space="preserve">Description of </w:t>
          </w:r>
          <w:r w:rsidRPr="009C355D">
            <w:rPr>
              <w:color w:val="FFFFFF"/>
              <w:sz w:val="44"/>
              <w:szCs w:val="44"/>
            </w:rPr>
            <w:t>expenditure</w:t>
          </w:r>
          <w:r>
            <w:rPr>
              <w:color w:val="FFFFFF"/>
              <w:sz w:val="44"/>
              <w:szCs w:val="44"/>
            </w:rPr>
            <w:t xml:space="preserve"> categories</w:t>
          </w:r>
        </w:p>
      </w:tc>
    </w:tr>
  </w:tbl>
  <w:p w:rsidR="00E01136" w:rsidRPr="00180415" w:rsidRDefault="00E01136" w:rsidP="00AD6F22">
    <w:pPr>
      <w:pStyle w:val="HeadingSpaceAfter"/>
      <w:spacing w:after="180"/>
      <w:rPr>
        <w:vanish w:val="0"/>
      </w:rPr>
    </w:pPr>
  </w:p>
  <w:p w:rsidR="00E01136" w:rsidRPr="00AB160F" w:rsidRDefault="00E01136" w:rsidP="00F75728">
    <w:pP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2552"/>
      <w:gridCol w:w="7652"/>
    </w:tblGrid>
    <w:tr w:rsidR="00E01136" w:rsidRPr="00DD7438" w:rsidTr="004D1CC4">
      <w:trPr>
        <w:cantSplit/>
        <w:trHeight w:val="581"/>
      </w:trPr>
      <w:tc>
        <w:tcPr>
          <w:tcW w:w="2552" w:type="dxa"/>
          <w:vMerge w:val="restart"/>
          <w:shd w:val="clear" w:color="auto" w:fill="800000"/>
          <w:vAlign w:val="bottom"/>
        </w:tcPr>
        <w:p w:rsidR="00E01136" w:rsidRPr="004D1CC4" w:rsidRDefault="00E01136" w:rsidP="00945669">
          <w:pPr>
            <w:pStyle w:val="Headertext2"/>
            <w:ind w:left="142"/>
            <w:jc w:val="left"/>
            <w:rPr>
              <w:color w:val="FFFFFF"/>
              <w:sz w:val="36"/>
              <w:szCs w:val="36"/>
            </w:rPr>
          </w:pPr>
          <w:r w:rsidRPr="004D1CC4">
            <w:rPr>
              <w:color w:val="FFFFFF"/>
              <w:sz w:val="36"/>
              <w:szCs w:val="36"/>
            </w:rPr>
            <w:t>201</w:t>
          </w:r>
          <w:r>
            <w:rPr>
              <w:color w:val="FFFFFF"/>
              <w:sz w:val="36"/>
              <w:szCs w:val="36"/>
            </w:rPr>
            <w:t>4</w:t>
          </w:r>
          <w:r w:rsidRPr="004D1CC4">
            <w:rPr>
              <w:color w:val="FFFFFF"/>
              <w:sz w:val="36"/>
              <w:szCs w:val="36"/>
            </w:rPr>
            <w:t xml:space="preserve"> Indigenous Expenditure Report</w:t>
          </w:r>
        </w:p>
      </w:tc>
      <w:tc>
        <w:tcPr>
          <w:tcW w:w="7652" w:type="dxa"/>
          <w:shd w:val="clear" w:color="auto" w:fill="800000"/>
        </w:tcPr>
        <w:p w:rsidR="00E01136" w:rsidRPr="00791BC3" w:rsidRDefault="00E01136" w:rsidP="00361AE6">
          <w:pPr>
            <w:pStyle w:val="Headertext2"/>
            <w:rPr>
              <w:color w:val="FFFFFF"/>
              <w:sz w:val="36"/>
              <w:szCs w:val="36"/>
            </w:rPr>
          </w:pPr>
          <w:r w:rsidRPr="00791BC3">
            <w:rPr>
              <w:smallCaps/>
              <w:color w:val="FFFFFF"/>
              <w:sz w:val="36"/>
              <w:szCs w:val="36"/>
            </w:rPr>
            <w:t>Factsheet</w:t>
          </w:r>
        </w:p>
      </w:tc>
    </w:tr>
    <w:tr w:rsidR="00E01136" w:rsidRPr="00DD7438" w:rsidTr="00F92819">
      <w:trPr>
        <w:cantSplit/>
        <w:trHeight w:val="580"/>
      </w:trPr>
      <w:tc>
        <w:tcPr>
          <w:tcW w:w="2552" w:type="dxa"/>
          <w:vMerge/>
          <w:shd w:val="clear" w:color="auto" w:fill="800000"/>
        </w:tcPr>
        <w:p w:rsidR="00E01136" w:rsidRPr="004D1CC4" w:rsidRDefault="00E01136" w:rsidP="009D7E03">
          <w:pPr>
            <w:pStyle w:val="Headertext2"/>
            <w:rPr>
              <w:color w:val="FFFFFF"/>
              <w:sz w:val="36"/>
              <w:szCs w:val="36"/>
            </w:rPr>
          </w:pPr>
        </w:p>
      </w:tc>
      <w:tc>
        <w:tcPr>
          <w:tcW w:w="7652" w:type="dxa"/>
          <w:shd w:val="clear" w:color="auto" w:fill="800000"/>
          <w:vAlign w:val="center"/>
        </w:tcPr>
        <w:p w:rsidR="00E01136" w:rsidRPr="00791BC3" w:rsidRDefault="00330B70" w:rsidP="00330B70">
          <w:pPr>
            <w:pStyle w:val="Headertext2"/>
            <w:rPr>
              <w:color w:val="FFFFFF"/>
              <w:sz w:val="44"/>
              <w:szCs w:val="44"/>
            </w:rPr>
          </w:pPr>
          <w:r>
            <w:rPr>
              <w:color w:val="FFFFFF"/>
              <w:sz w:val="44"/>
              <w:szCs w:val="44"/>
            </w:rPr>
            <w:t xml:space="preserve">Description of </w:t>
          </w:r>
          <w:r w:rsidR="00E01136" w:rsidRPr="009C355D">
            <w:rPr>
              <w:color w:val="FFFFFF"/>
              <w:sz w:val="44"/>
              <w:szCs w:val="44"/>
            </w:rPr>
            <w:t>expenditure</w:t>
          </w:r>
          <w:r w:rsidR="00F92819">
            <w:rPr>
              <w:color w:val="FFFFFF"/>
              <w:sz w:val="44"/>
              <w:szCs w:val="44"/>
            </w:rPr>
            <w:t xml:space="preserve"> </w:t>
          </w:r>
          <w:r>
            <w:rPr>
              <w:color w:val="FFFFFF"/>
              <w:sz w:val="44"/>
              <w:szCs w:val="44"/>
            </w:rPr>
            <w:t>categories</w:t>
          </w:r>
        </w:p>
      </w:tc>
    </w:tr>
  </w:tbl>
  <w:p w:rsidR="00E01136" w:rsidRPr="00180415" w:rsidRDefault="00E01136" w:rsidP="00AD6F22">
    <w:pPr>
      <w:pStyle w:val="HeadingSpaceAfter"/>
      <w:spacing w:after="180"/>
      <w:rPr>
        <w:vanish w:val="0"/>
      </w:rPr>
    </w:pPr>
  </w:p>
  <w:p w:rsidR="00E01136" w:rsidRPr="00AB160F" w:rsidRDefault="00E01136" w:rsidP="003F30DF">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9CC52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47A7C39"/>
    <w:multiLevelType w:val="singleLevel"/>
    <w:tmpl w:val="4438961C"/>
    <w:lvl w:ilvl="0">
      <w:numFmt w:val="bullet"/>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CCD54E4"/>
    <w:multiLevelType w:val="hybridMultilevel"/>
    <w:tmpl w:val="F2E4BC32"/>
    <w:lvl w:ilvl="0" w:tplc="C4E2BBB8">
      <w:start w:val="1"/>
      <w:numFmt w:val="bullet"/>
      <w:pStyle w:val="BoxListBullet4"/>
      <w:lvlText w:val=""/>
      <w:lvlJc w:val="left"/>
      <w:pPr>
        <w:ind w:left="1741" w:hanging="360"/>
      </w:pPr>
      <w:rPr>
        <w:rFonts w:ascii="MT Extra" w:hAnsi="MT Extra" w:hint="default"/>
        <w:b w:val="0"/>
        <w:i w:val="0"/>
        <w:sz w:val="16"/>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6">
    <w:nsid w:val="5DE14E86"/>
    <w:multiLevelType w:val="hybridMultilevel"/>
    <w:tmpl w:val="6D20F5E8"/>
    <w:lvl w:ilvl="0" w:tplc="92147A3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num w:numId="1">
    <w:abstractNumId w:val="0"/>
  </w:num>
  <w:num w:numId="2">
    <w:abstractNumId w:val="5"/>
  </w:num>
  <w:num w:numId="3">
    <w:abstractNumId w:val="2"/>
  </w:num>
  <w:num w:numId="4">
    <w:abstractNumId w:val="4"/>
  </w:num>
  <w:num w:numId="5">
    <w:abstractNumId w:val="7"/>
  </w:num>
  <w:num w:numId="6">
    <w:abstractNumId w:val="1"/>
  </w:num>
  <w:num w:numId="7">
    <w:abstractNumId w:val="5"/>
  </w:num>
  <w:num w:numId="8">
    <w:abstractNumId w:val="2"/>
  </w:num>
  <w:num w:numId="9">
    <w:abstractNumId w:val="2"/>
  </w:num>
  <w:num w:numId="10">
    <w:abstractNumId w:val="5"/>
  </w:num>
  <w:num w:numId="11">
    <w:abstractNumId w:val="5"/>
  </w:num>
  <w:num w:numId="12">
    <w:abstractNumId w:val="5"/>
  </w:num>
  <w:num w:numId="13">
    <w:abstractNumId w:val="5"/>
  </w:num>
  <w:num w:numId="14">
    <w:abstractNumId w:val="5"/>
  </w:num>
  <w:num w:numId="15">
    <w:abstractNumId w:val="6"/>
  </w:num>
  <w:num w:numId="16">
    <w:abstractNumId w:val="3"/>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64"/>
    <w:rsid w:val="00001A32"/>
    <w:rsid w:val="00001A71"/>
    <w:rsid w:val="0000319D"/>
    <w:rsid w:val="000046C8"/>
    <w:rsid w:val="000049FD"/>
    <w:rsid w:val="0001440D"/>
    <w:rsid w:val="0001608B"/>
    <w:rsid w:val="00016421"/>
    <w:rsid w:val="00020E79"/>
    <w:rsid w:val="0002177A"/>
    <w:rsid w:val="00023DD1"/>
    <w:rsid w:val="0002507B"/>
    <w:rsid w:val="00032702"/>
    <w:rsid w:val="000363F6"/>
    <w:rsid w:val="00036AA2"/>
    <w:rsid w:val="000370B5"/>
    <w:rsid w:val="00041A86"/>
    <w:rsid w:val="00042CAE"/>
    <w:rsid w:val="000463DE"/>
    <w:rsid w:val="000475F7"/>
    <w:rsid w:val="000508A6"/>
    <w:rsid w:val="00052426"/>
    <w:rsid w:val="0006061E"/>
    <w:rsid w:val="00061466"/>
    <w:rsid w:val="00066E4D"/>
    <w:rsid w:val="0007148E"/>
    <w:rsid w:val="0007259A"/>
    <w:rsid w:val="000727C0"/>
    <w:rsid w:val="000774A4"/>
    <w:rsid w:val="00077DA8"/>
    <w:rsid w:val="00081FB9"/>
    <w:rsid w:val="000824B0"/>
    <w:rsid w:val="000832F8"/>
    <w:rsid w:val="00085EC4"/>
    <w:rsid w:val="00087C6A"/>
    <w:rsid w:val="000940C0"/>
    <w:rsid w:val="000944C0"/>
    <w:rsid w:val="000A40C9"/>
    <w:rsid w:val="000B2F78"/>
    <w:rsid w:val="000B476D"/>
    <w:rsid w:val="000C048F"/>
    <w:rsid w:val="000C1CCB"/>
    <w:rsid w:val="000C2F6C"/>
    <w:rsid w:val="000C5E06"/>
    <w:rsid w:val="000D1621"/>
    <w:rsid w:val="000D3C2F"/>
    <w:rsid w:val="000D7791"/>
    <w:rsid w:val="000E4292"/>
    <w:rsid w:val="000E5F1D"/>
    <w:rsid w:val="000E63B1"/>
    <w:rsid w:val="001027B3"/>
    <w:rsid w:val="00102B61"/>
    <w:rsid w:val="001079C4"/>
    <w:rsid w:val="00112E76"/>
    <w:rsid w:val="00120A25"/>
    <w:rsid w:val="00124908"/>
    <w:rsid w:val="001262CE"/>
    <w:rsid w:val="00131F0F"/>
    <w:rsid w:val="00134117"/>
    <w:rsid w:val="0013610E"/>
    <w:rsid w:val="00136113"/>
    <w:rsid w:val="001435CF"/>
    <w:rsid w:val="00144F1F"/>
    <w:rsid w:val="00153CB4"/>
    <w:rsid w:val="00154B79"/>
    <w:rsid w:val="001560BE"/>
    <w:rsid w:val="00156485"/>
    <w:rsid w:val="00157FE9"/>
    <w:rsid w:val="00164EA6"/>
    <w:rsid w:val="001725D3"/>
    <w:rsid w:val="00174548"/>
    <w:rsid w:val="00176DDE"/>
    <w:rsid w:val="00180415"/>
    <w:rsid w:val="00180D1E"/>
    <w:rsid w:val="00181904"/>
    <w:rsid w:val="00184147"/>
    <w:rsid w:val="00185E54"/>
    <w:rsid w:val="00185F09"/>
    <w:rsid w:val="001911C8"/>
    <w:rsid w:val="00194D56"/>
    <w:rsid w:val="0019639E"/>
    <w:rsid w:val="001A0D09"/>
    <w:rsid w:val="001A1A65"/>
    <w:rsid w:val="001A51AB"/>
    <w:rsid w:val="001A5D3D"/>
    <w:rsid w:val="001B1164"/>
    <w:rsid w:val="001B3426"/>
    <w:rsid w:val="001B5801"/>
    <w:rsid w:val="001C020A"/>
    <w:rsid w:val="001D1B28"/>
    <w:rsid w:val="001F6C41"/>
    <w:rsid w:val="00205042"/>
    <w:rsid w:val="002078BC"/>
    <w:rsid w:val="00211F81"/>
    <w:rsid w:val="00214FAD"/>
    <w:rsid w:val="00215383"/>
    <w:rsid w:val="00215E1C"/>
    <w:rsid w:val="0022017C"/>
    <w:rsid w:val="002252E7"/>
    <w:rsid w:val="00234F1D"/>
    <w:rsid w:val="00235968"/>
    <w:rsid w:val="00236E70"/>
    <w:rsid w:val="00237557"/>
    <w:rsid w:val="00242125"/>
    <w:rsid w:val="00243ADC"/>
    <w:rsid w:val="00245563"/>
    <w:rsid w:val="00245C31"/>
    <w:rsid w:val="00246EE3"/>
    <w:rsid w:val="00252279"/>
    <w:rsid w:val="002661A3"/>
    <w:rsid w:val="00267603"/>
    <w:rsid w:val="00270D9D"/>
    <w:rsid w:val="002758B0"/>
    <w:rsid w:val="00280A5C"/>
    <w:rsid w:val="0028160E"/>
    <w:rsid w:val="0029025F"/>
    <w:rsid w:val="002A1B40"/>
    <w:rsid w:val="002A2ABB"/>
    <w:rsid w:val="002A3091"/>
    <w:rsid w:val="002A3461"/>
    <w:rsid w:val="002A4A56"/>
    <w:rsid w:val="002B012C"/>
    <w:rsid w:val="002B417A"/>
    <w:rsid w:val="002C004B"/>
    <w:rsid w:val="002C14E9"/>
    <w:rsid w:val="002D14B3"/>
    <w:rsid w:val="002D1EC9"/>
    <w:rsid w:val="002D7A0E"/>
    <w:rsid w:val="002E3D8B"/>
    <w:rsid w:val="002F0299"/>
    <w:rsid w:val="0030075C"/>
    <w:rsid w:val="003112D2"/>
    <w:rsid w:val="00312B17"/>
    <w:rsid w:val="00330B70"/>
    <w:rsid w:val="00332258"/>
    <w:rsid w:val="00340874"/>
    <w:rsid w:val="00340ED7"/>
    <w:rsid w:val="00351587"/>
    <w:rsid w:val="00352A29"/>
    <w:rsid w:val="0035319B"/>
    <w:rsid w:val="0035602A"/>
    <w:rsid w:val="00356CD7"/>
    <w:rsid w:val="00361665"/>
    <w:rsid w:val="00361AE6"/>
    <w:rsid w:val="00363839"/>
    <w:rsid w:val="00365077"/>
    <w:rsid w:val="0037098D"/>
    <w:rsid w:val="003713AE"/>
    <w:rsid w:val="0037243E"/>
    <w:rsid w:val="0038079A"/>
    <w:rsid w:val="00381565"/>
    <w:rsid w:val="00385BC8"/>
    <w:rsid w:val="00394A8C"/>
    <w:rsid w:val="00397DCF"/>
    <w:rsid w:val="003A5A8E"/>
    <w:rsid w:val="003A6AEE"/>
    <w:rsid w:val="003B2D4A"/>
    <w:rsid w:val="003B7145"/>
    <w:rsid w:val="003C6B01"/>
    <w:rsid w:val="003E1456"/>
    <w:rsid w:val="003E1B3A"/>
    <w:rsid w:val="003F30DF"/>
    <w:rsid w:val="003F7814"/>
    <w:rsid w:val="003F7E50"/>
    <w:rsid w:val="00400EA4"/>
    <w:rsid w:val="00402D6B"/>
    <w:rsid w:val="00414C29"/>
    <w:rsid w:val="004172A5"/>
    <w:rsid w:val="0042097B"/>
    <w:rsid w:val="00427F8B"/>
    <w:rsid w:val="00430CFC"/>
    <w:rsid w:val="00433B5D"/>
    <w:rsid w:val="004350C8"/>
    <w:rsid w:val="00435DCB"/>
    <w:rsid w:val="00443165"/>
    <w:rsid w:val="004433BA"/>
    <w:rsid w:val="00446B0D"/>
    <w:rsid w:val="004504FE"/>
    <w:rsid w:val="00454B6D"/>
    <w:rsid w:val="00457BF2"/>
    <w:rsid w:val="00457E96"/>
    <w:rsid w:val="00463178"/>
    <w:rsid w:val="0046646D"/>
    <w:rsid w:val="0047050C"/>
    <w:rsid w:val="00471F58"/>
    <w:rsid w:val="00477041"/>
    <w:rsid w:val="00477F1E"/>
    <w:rsid w:val="00481F7C"/>
    <w:rsid w:val="004825D6"/>
    <w:rsid w:val="004833BA"/>
    <w:rsid w:val="004871DB"/>
    <w:rsid w:val="00491203"/>
    <w:rsid w:val="00491302"/>
    <w:rsid w:val="00492234"/>
    <w:rsid w:val="00492BE9"/>
    <w:rsid w:val="00493621"/>
    <w:rsid w:val="004960B1"/>
    <w:rsid w:val="00497CF0"/>
    <w:rsid w:val="004A2C67"/>
    <w:rsid w:val="004A2D57"/>
    <w:rsid w:val="004A5307"/>
    <w:rsid w:val="004A7AF7"/>
    <w:rsid w:val="004B1731"/>
    <w:rsid w:val="004B1D81"/>
    <w:rsid w:val="004B45BB"/>
    <w:rsid w:val="004B778F"/>
    <w:rsid w:val="004C41D7"/>
    <w:rsid w:val="004C6077"/>
    <w:rsid w:val="004D1678"/>
    <w:rsid w:val="004D1CC4"/>
    <w:rsid w:val="004D3A59"/>
    <w:rsid w:val="004D3CED"/>
    <w:rsid w:val="004D5E49"/>
    <w:rsid w:val="004F0DB4"/>
    <w:rsid w:val="004F2661"/>
    <w:rsid w:val="00504745"/>
    <w:rsid w:val="005118FF"/>
    <w:rsid w:val="00513280"/>
    <w:rsid w:val="00513CC6"/>
    <w:rsid w:val="005154F6"/>
    <w:rsid w:val="005243A4"/>
    <w:rsid w:val="0053004B"/>
    <w:rsid w:val="0053674B"/>
    <w:rsid w:val="00536A17"/>
    <w:rsid w:val="00536BAA"/>
    <w:rsid w:val="00544B02"/>
    <w:rsid w:val="00546119"/>
    <w:rsid w:val="0054701F"/>
    <w:rsid w:val="00551E79"/>
    <w:rsid w:val="005529ED"/>
    <w:rsid w:val="00556877"/>
    <w:rsid w:val="00570A6F"/>
    <w:rsid w:val="00571C29"/>
    <w:rsid w:val="00572481"/>
    <w:rsid w:val="00574866"/>
    <w:rsid w:val="0059179F"/>
    <w:rsid w:val="0059318C"/>
    <w:rsid w:val="005938FB"/>
    <w:rsid w:val="0059612D"/>
    <w:rsid w:val="00597917"/>
    <w:rsid w:val="005A6E09"/>
    <w:rsid w:val="005A78AA"/>
    <w:rsid w:val="005B2EFE"/>
    <w:rsid w:val="005C0A0E"/>
    <w:rsid w:val="005C554D"/>
    <w:rsid w:val="005D2C1F"/>
    <w:rsid w:val="005D4B93"/>
    <w:rsid w:val="005E3612"/>
    <w:rsid w:val="005E6DC2"/>
    <w:rsid w:val="005F11D4"/>
    <w:rsid w:val="005F5940"/>
    <w:rsid w:val="005F5F15"/>
    <w:rsid w:val="00602DC8"/>
    <w:rsid w:val="00603105"/>
    <w:rsid w:val="00613E46"/>
    <w:rsid w:val="00616442"/>
    <w:rsid w:val="00616E48"/>
    <w:rsid w:val="00625735"/>
    <w:rsid w:val="00645022"/>
    <w:rsid w:val="0066470D"/>
    <w:rsid w:val="0067107A"/>
    <w:rsid w:val="00674252"/>
    <w:rsid w:val="00681655"/>
    <w:rsid w:val="00681994"/>
    <w:rsid w:val="0068255C"/>
    <w:rsid w:val="006915D3"/>
    <w:rsid w:val="00694815"/>
    <w:rsid w:val="00697D1D"/>
    <w:rsid w:val="006A3448"/>
    <w:rsid w:val="006A615F"/>
    <w:rsid w:val="006B5F85"/>
    <w:rsid w:val="006C2FDA"/>
    <w:rsid w:val="006C374C"/>
    <w:rsid w:val="006C64F1"/>
    <w:rsid w:val="006D657E"/>
    <w:rsid w:val="006E507B"/>
    <w:rsid w:val="006E7E93"/>
    <w:rsid w:val="00705227"/>
    <w:rsid w:val="00705385"/>
    <w:rsid w:val="0070580B"/>
    <w:rsid w:val="00706AC1"/>
    <w:rsid w:val="00707235"/>
    <w:rsid w:val="00712A61"/>
    <w:rsid w:val="007156FA"/>
    <w:rsid w:val="00735449"/>
    <w:rsid w:val="00752CDB"/>
    <w:rsid w:val="00753F8B"/>
    <w:rsid w:val="00755618"/>
    <w:rsid w:val="00755897"/>
    <w:rsid w:val="00757DCA"/>
    <w:rsid w:val="00761D9A"/>
    <w:rsid w:val="00761EB5"/>
    <w:rsid w:val="00764C99"/>
    <w:rsid w:val="0077014D"/>
    <w:rsid w:val="00773A24"/>
    <w:rsid w:val="00776694"/>
    <w:rsid w:val="00785C79"/>
    <w:rsid w:val="00791BC3"/>
    <w:rsid w:val="007A13A9"/>
    <w:rsid w:val="007A3A66"/>
    <w:rsid w:val="007A56E7"/>
    <w:rsid w:val="007A6216"/>
    <w:rsid w:val="007A77E8"/>
    <w:rsid w:val="007C2122"/>
    <w:rsid w:val="007C6E88"/>
    <w:rsid w:val="007C7480"/>
    <w:rsid w:val="007D01CF"/>
    <w:rsid w:val="007D0332"/>
    <w:rsid w:val="007D0886"/>
    <w:rsid w:val="007D1989"/>
    <w:rsid w:val="007D39C8"/>
    <w:rsid w:val="007D7A04"/>
    <w:rsid w:val="007D7DDB"/>
    <w:rsid w:val="007E1BB1"/>
    <w:rsid w:val="007E7827"/>
    <w:rsid w:val="007E7911"/>
    <w:rsid w:val="007F6B75"/>
    <w:rsid w:val="00800E14"/>
    <w:rsid w:val="00812EBA"/>
    <w:rsid w:val="008252C7"/>
    <w:rsid w:val="00826F1B"/>
    <w:rsid w:val="008333C7"/>
    <w:rsid w:val="008379F7"/>
    <w:rsid w:val="008407AF"/>
    <w:rsid w:val="0085030F"/>
    <w:rsid w:val="008543A3"/>
    <w:rsid w:val="008562AE"/>
    <w:rsid w:val="00857D55"/>
    <w:rsid w:val="00861E26"/>
    <w:rsid w:val="0086783B"/>
    <w:rsid w:val="00867B7C"/>
    <w:rsid w:val="00867EC8"/>
    <w:rsid w:val="008861CF"/>
    <w:rsid w:val="00890BE7"/>
    <w:rsid w:val="00892B00"/>
    <w:rsid w:val="00893460"/>
    <w:rsid w:val="00895560"/>
    <w:rsid w:val="008A171B"/>
    <w:rsid w:val="008A479B"/>
    <w:rsid w:val="008B03FB"/>
    <w:rsid w:val="008B2885"/>
    <w:rsid w:val="008B3339"/>
    <w:rsid w:val="008C2C98"/>
    <w:rsid w:val="008D1701"/>
    <w:rsid w:val="008D29AF"/>
    <w:rsid w:val="008D5484"/>
    <w:rsid w:val="008D6A54"/>
    <w:rsid w:val="008D700E"/>
    <w:rsid w:val="008E2986"/>
    <w:rsid w:val="008F2976"/>
    <w:rsid w:val="008F63DE"/>
    <w:rsid w:val="008F7A9F"/>
    <w:rsid w:val="009012B3"/>
    <w:rsid w:val="009055BA"/>
    <w:rsid w:val="00907D3F"/>
    <w:rsid w:val="00923512"/>
    <w:rsid w:val="0092678D"/>
    <w:rsid w:val="0093249D"/>
    <w:rsid w:val="00944475"/>
    <w:rsid w:val="00945669"/>
    <w:rsid w:val="00947295"/>
    <w:rsid w:val="00951FFA"/>
    <w:rsid w:val="0095346F"/>
    <w:rsid w:val="00953A76"/>
    <w:rsid w:val="009644C5"/>
    <w:rsid w:val="0097142C"/>
    <w:rsid w:val="00977830"/>
    <w:rsid w:val="00984859"/>
    <w:rsid w:val="009919F6"/>
    <w:rsid w:val="0099540F"/>
    <w:rsid w:val="0099654C"/>
    <w:rsid w:val="00997548"/>
    <w:rsid w:val="009A0E99"/>
    <w:rsid w:val="009A41E4"/>
    <w:rsid w:val="009A6F36"/>
    <w:rsid w:val="009B112C"/>
    <w:rsid w:val="009B3EA5"/>
    <w:rsid w:val="009B50C8"/>
    <w:rsid w:val="009B53E3"/>
    <w:rsid w:val="009C355D"/>
    <w:rsid w:val="009C5EE1"/>
    <w:rsid w:val="009C76EA"/>
    <w:rsid w:val="009C7A67"/>
    <w:rsid w:val="009D0234"/>
    <w:rsid w:val="009D2296"/>
    <w:rsid w:val="009D7E03"/>
    <w:rsid w:val="009E00B3"/>
    <w:rsid w:val="009E12D1"/>
    <w:rsid w:val="009E17AA"/>
    <w:rsid w:val="009E2BB8"/>
    <w:rsid w:val="009E3969"/>
    <w:rsid w:val="009E4917"/>
    <w:rsid w:val="009E7F90"/>
    <w:rsid w:val="009F7376"/>
    <w:rsid w:val="00A008EF"/>
    <w:rsid w:val="00A073F8"/>
    <w:rsid w:val="00A11819"/>
    <w:rsid w:val="00A1257E"/>
    <w:rsid w:val="00A13731"/>
    <w:rsid w:val="00A151F6"/>
    <w:rsid w:val="00A219BD"/>
    <w:rsid w:val="00A22C2F"/>
    <w:rsid w:val="00A24473"/>
    <w:rsid w:val="00A24CCE"/>
    <w:rsid w:val="00A4030B"/>
    <w:rsid w:val="00A4287F"/>
    <w:rsid w:val="00A463C0"/>
    <w:rsid w:val="00A65EFC"/>
    <w:rsid w:val="00A66811"/>
    <w:rsid w:val="00A73FB7"/>
    <w:rsid w:val="00A770DD"/>
    <w:rsid w:val="00A818D3"/>
    <w:rsid w:val="00A90938"/>
    <w:rsid w:val="00A90CA4"/>
    <w:rsid w:val="00A9187B"/>
    <w:rsid w:val="00A92B4E"/>
    <w:rsid w:val="00A966F2"/>
    <w:rsid w:val="00A96FAA"/>
    <w:rsid w:val="00A97E0C"/>
    <w:rsid w:val="00AA037B"/>
    <w:rsid w:val="00AA2859"/>
    <w:rsid w:val="00AA4819"/>
    <w:rsid w:val="00AB0871"/>
    <w:rsid w:val="00AB160F"/>
    <w:rsid w:val="00AB7B6A"/>
    <w:rsid w:val="00AC07C1"/>
    <w:rsid w:val="00AD1CD7"/>
    <w:rsid w:val="00AD3129"/>
    <w:rsid w:val="00AD6DBB"/>
    <w:rsid w:val="00AD6F22"/>
    <w:rsid w:val="00AE014C"/>
    <w:rsid w:val="00AF2B98"/>
    <w:rsid w:val="00AF2DFC"/>
    <w:rsid w:val="00AF2F0D"/>
    <w:rsid w:val="00AF41F2"/>
    <w:rsid w:val="00B06F34"/>
    <w:rsid w:val="00B1124D"/>
    <w:rsid w:val="00B123F8"/>
    <w:rsid w:val="00B141C3"/>
    <w:rsid w:val="00B2088C"/>
    <w:rsid w:val="00B20C8F"/>
    <w:rsid w:val="00B278E7"/>
    <w:rsid w:val="00B27B2C"/>
    <w:rsid w:val="00B41F9C"/>
    <w:rsid w:val="00B42CE0"/>
    <w:rsid w:val="00B43665"/>
    <w:rsid w:val="00B53B3D"/>
    <w:rsid w:val="00B561CE"/>
    <w:rsid w:val="00B606FA"/>
    <w:rsid w:val="00B6092B"/>
    <w:rsid w:val="00B62748"/>
    <w:rsid w:val="00B62B7F"/>
    <w:rsid w:val="00B73299"/>
    <w:rsid w:val="00B7364E"/>
    <w:rsid w:val="00B741E1"/>
    <w:rsid w:val="00B81AB4"/>
    <w:rsid w:val="00B83435"/>
    <w:rsid w:val="00B85BEC"/>
    <w:rsid w:val="00B914C3"/>
    <w:rsid w:val="00B949CA"/>
    <w:rsid w:val="00BA0E27"/>
    <w:rsid w:val="00BB1147"/>
    <w:rsid w:val="00BB1DD7"/>
    <w:rsid w:val="00BB2B88"/>
    <w:rsid w:val="00BB354D"/>
    <w:rsid w:val="00BB44F7"/>
    <w:rsid w:val="00BB5A02"/>
    <w:rsid w:val="00BC3BC0"/>
    <w:rsid w:val="00BC51DD"/>
    <w:rsid w:val="00BC52B5"/>
    <w:rsid w:val="00BE28CF"/>
    <w:rsid w:val="00BE3D4E"/>
    <w:rsid w:val="00BE4730"/>
    <w:rsid w:val="00BE6DEA"/>
    <w:rsid w:val="00C01293"/>
    <w:rsid w:val="00C01635"/>
    <w:rsid w:val="00C023E5"/>
    <w:rsid w:val="00C0541F"/>
    <w:rsid w:val="00C26DBF"/>
    <w:rsid w:val="00C271D2"/>
    <w:rsid w:val="00C30E55"/>
    <w:rsid w:val="00C36593"/>
    <w:rsid w:val="00C370D3"/>
    <w:rsid w:val="00C40E61"/>
    <w:rsid w:val="00C41A9B"/>
    <w:rsid w:val="00C46941"/>
    <w:rsid w:val="00C52B7C"/>
    <w:rsid w:val="00C60C80"/>
    <w:rsid w:val="00C61170"/>
    <w:rsid w:val="00C67FB2"/>
    <w:rsid w:val="00C80C3F"/>
    <w:rsid w:val="00C870BB"/>
    <w:rsid w:val="00C87FA9"/>
    <w:rsid w:val="00C90925"/>
    <w:rsid w:val="00CA041F"/>
    <w:rsid w:val="00CA0B43"/>
    <w:rsid w:val="00CA26D0"/>
    <w:rsid w:val="00CB14E6"/>
    <w:rsid w:val="00CB4ADD"/>
    <w:rsid w:val="00CB4AF1"/>
    <w:rsid w:val="00CC1EAC"/>
    <w:rsid w:val="00CC2786"/>
    <w:rsid w:val="00CC4254"/>
    <w:rsid w:val="00CC495A"/>
    <w:rsid w:val="00CC7D7D"/>
    <w:rsid w:val="00CE5D5A"/>
    <w:rsid w:val="00CE6548"/>
    <w:rsid w:val="00CE69B4"/>
    <w:rsid w:val="00CE6C36"/>
    <w:rsid w:val="00CF3765"/>
    <w:rsid w:val="00CF7684"/>
    <w:rsid w:val="00D0022D"/>
    <w:rsid w:val="00D03BFE"/>
    <w:rsid w:val="00D12781"/>
    <w:rsid w:val="00D1312C"/>
    <w:rsid w:val="00D15326"/>
    <w:rsid w:val="00D22472"/>
    <w:rsid w:val="00D2700B"/>
    <w:rsid w:val="00D30FC9"/>
    <w:rsid w:val="00D36583"/>
    <w:rsid w:val="00D37A59"/>
    <w:rsid w:val="00D43864"/>
    <w:rsid w:val="00D52A2E"/>
    <w:rsid w:val="00D52BE1"/>
    <w:rsid w:val="00D530B8"/>
    <w:rsid w:val="00D603AF"/>
    <w:rsid w:val="00D67B46"/>
    <w:rsid w:val="00D67F49"/>
    <w:rsid w:val="00D703AC"/>
    <w:rsid w:val="00D95F21"/>
    <w:rsid w:val="00DB3798"/>
    <w:rsid w:val="00DB5C19"/>
    <w:rsid w:val="00DC07C6"/>
    <w:rsid w:val="00DC466D"/>
    <w:rsid w:val="00DC65DF"/>
    <w:rsid w:val="00DD1FBF"/>
    <w:rsid w:val="00DD6CF1"/>
    <w:rsid w:val="00DD7438"/>
    <w:rsid w:val="00DF6415"/>
    <w:rsid w:val="00E01136"/>
    <w:rsid w:val="00E01155"/>
    <w:rsid w:val="00E0710B"/>
    <w:rsid w:val="00E214AF"/>
    <w:rsid w:val="00E27AF3"/>
    <w:rsid w:val="00E36A37"/>
    <w:rsid w:val="00E41DB2"/>
    <w:rsid w:val="00E42608"/>
    <w:rsid w:val="00E42A91"/>
    <w:rsid w:val="00E45601"/>
    <w:rsid w:val="00E458B4"/>
    <w:rsid w:val="00E47831"/>
    <w:rsid w:val="00E562AF"/>
    <w:rsid w:val="00E56637"/>
    <w:rsid w:val="00E56838"/>
    <w:rsid w:val="00E6156C"/>
    <w:rsid w:val="00E63629"/>
    <w:rsid w:val="00E64091"/>
    <w:rsid w:val="00E64176"/>
    <w:rsid w:val="00E71991"/>
    <w:rsid w:val="00E7297E"/>
    <w:rsid w:val="00E82C10"/>
    <w:rsid w:val="00E8341E"/>
    <w:rsid w:val="00E85BE5"/>
    <w:rsid w:val="00E86A26"/>
    <w:rsid w:val="00E87557"/>
    <w:rsid w:val="00E9256B"/>
    <w:rsid w:val="00EA1B78"/>
    <w:rsid w:val="00EB11F8"/>
    <w:rsid w:val="00EB42F1"/>
    <w:rsid w:val="00EC10E8"/>
    <w:rsid w:val="00EC4BB0"/>
    <w:rsid w:val="00EC7838"/>
    <w:rsid w:val="00ED5509"/>
    <w:rsid w:val="00EE4463"/>
    <w:rsid w:val="00EE6821"/>
    <w:rsid w:val="00EE6B11"/>
    <w:rsid w:val="00EE7E02"/>
    <w:rsid w:val="00EF5FCF"/>
    <w:rsid w:val="00EF6DB2"/>
    <w:rsid w:val="00F11694"/>
    <w:rsid w:val="00F301D8"/>
    <w:rsid w:val="00F36582"/>
    <w:rsid w:val="00F36B41"/>
    <w:rsid w:val="00F40389"/>
    <w:rsid w:val="00F42BDE"/>
    <w:rsid w:val="00F42C88"/>
    <w:rsid w:val="00F5744B"/>
    <w:rsid w:val="00F6086E"/>
    <w:rsid w:val="00F60AC3"/>
    <w:rsid w:val="00F62759"/>
    <w:rsid w:val="00F6416D"/>
    <w:rsid w:val="00F70F36"/>
    <w:rsid w:val="00F72CBB"/>
    <w:rsid w:val="00F75728"/>
    <w:rsid w:val="00F84A76"/>
    <w:rsid w:val="00F85B03"/>
    <w:rsid w:val="00F90586"/>
    <w:rsid w:val="00F92819"/>
    <w:rsid w:val="00FA7405"/>
    <w:rsid w:val="00FB150A"/>
    <w:rsid w:val="00FB2FFB"/>
    <w:rsid w:val="00FB3976"/>
    <w:rsid w:val="00FB53FA"/>
    <w:rsid w:val="00FB56E8"/>
    <w:rsid w:val="00FB6A7E"/>
    <w:rsid w:val="00FE6261"/>
    <w:rsid w:val="00FF1CFD"/>
    <w:rsid w:val="00FF1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 w:type="paragraph" w:customStyle="1" w:styleId="BoxListBullet4">
    <w:name w:val="Box List Bullet 4"/>
    <w:basedOn w:val="BoxListBullet3"/>
    <w:qFormat/>
    <w:rsid w:val="00A65EFC"/>
    <w:pPr>
      <w:numPr>
        <w:numId w:val="16"/>
      </w:numPr>
      <w:ind w:left="1247" w:hanging="3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 w:type="paragraph" w:customStyle="1" w:styleId="BoxListBullet4">
    <w:name w:val="Box List Bullet 4"/>
    <w:basedOn w:val="BoxListBullet3"/>
    <w:qFormat/>
    <w:rsid w:val="00A65EFC"/>
    <w:pPr>
      <w:numPr>
        <w:numId w:val="16"/>
      </w:numPr>
      <w:ind w:left="1247"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2608">
      <w:bodyDiv w:val="1"/>
      <w:marLeft w:val="0"/>
      <w:marRight w:val="0"/>
      <w:marTop w:val="0"/>
      <w:marBottom w:val="0"/>
      <w:divBdr>
        <w:top w:val="none" w:sz="0" w:space="0" w:color="auto"/>
        <w:left w:val="none" w:sz="0" w:space="0" w:color="auto"/>
        <w:bottom w:val="none" w:sz="0" w:space="0" w:color="auto"/>
        <w:right w:val="none" w:sz="0" w:space="0" w:color="auto"/>
      </w:divBdr>
    </w:div>
    <w:div w:id="237911496">
      <w:bodyDiv w:val="1"/>
      <w:marLeft w:val="0"/>
      <w:marRight w:val="0"/>
      <w:marTop w:val="0"/>
      <w:marBottom w:val="0"/>
      <w:divBdr>
        <w:top w:val="none" w:sz="0" w:space="0" w:color="auto"/>
        <w:left w:val="none" w:sz="0" w:space="0" w:color="auto"/>
        <w:bottom w:val="none" w:sz="0" w:space="0" w:color="auto"/>
        <w:right w:val="none" w:sz="0" w:space="0" w:color="auto"/>
      </w:divBdr>
    </w:div>
    <w:div w:id="298194575">
      <w:bodyDiv w:val="1"/>
      <w:marLeft w:val="0"/>
      <w:marRight w:val="0"/>
      <w:marTop w:val="0"/>
      <w:marBottom w:val="0"/>
      <w:divBdr>
        <w:top w:val="none" w:sz="0" w:space="0" w:color="auto"/>
        <w:left w:val="none" w:sz="0" w:space="0" w:color="auto"/>
        <w:bottom w:val="none" w:sz="0" w:space="0" w:color="auto"/>
        <w:right w:val="none" w:sz="0" w:space="0" w:color="auto"/>
      </w:divBdr>
    </w:div>
    <w:div w:id="723018229">
      <w:bodyDiv w:val="1"/>
      <w:marLeft w:val="0"/>
      <w:marRight w:val="0"/>
      <w:marTop w:val="0"/>
      <w:marBottom w:val="0"/>
      <w:divBdr>
        <w:top w:val="none" w:sz="0" w:space="0" w:color="auto"/>
        <w:left w:val="none" w:sz="0" w:space="0" w:color="auto"/>
        <w:bottom w:val="none" w:sz="0" w:space="0" w:color="auto"/>
        <w:right w:val="none" w:sz="0" w:space="0" w:color="auto"/>
      </w:divBdr>
    </w:div>
    <w:div w:id="15621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7665-481C-47A2-81FC-29208F8E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1952</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Description of expenditure categories - IER 2014 Building blocks factsheets</vt:lpstr>
    </vt:vector>
  </TitlesOfParts>
  <Company>Productivity Commission</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expenditure categories - IER 2014 Building blocks factsheets</dc:title>
  <dc:creator>Steering Committee for the Review of Government Service Provision</dc:creator>
  <cp:lastModifiedBy>Steering Committee for the Review </cp:lastModifiedBy>
  <cp:revision>26</cp:revision>
  <cp:lastPrinted>2014-09-09T05:28:00Z</cp:lastPrinted>
  <dcterms:created xsi:type="dcterms:W3CDTF">2014-09-10T23:59:00Z</dcterms:created>
  <dcterms:modified xsi:type="dcterms:W3CDTF">2014-12-08T03:32:00Z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