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984DC3" w:rsidRDefault="007B63F5" w:rsidP="002F70F5">
      <w:pPr>
        <w:pStyle w:val="Heading2"/>
      </w:pPr>
      <w:bookmarkStart w:id="0" w:name="_Toc282441422"/>
      <w:bookmarkStart w:id="1" w:name="_Toc282442143"/>
      <w:bookmarkStart w:id="2" w:name="_Toc282506048"/>
      <w:bookmarkStart w:id="3" w:name="_Toc338344187"/>
      <w:bookmarkStart w:id="4" w:name="_Toc278275793"/>
      <w:bookmarkStart w:id="5" w:name="_Toc278275740"/>
      <w:bookmarkStart w:id="6" w:name="_GoBack"/>
      <w:bookmarkEnd w:id="6"/>
      <w:r>
        <w:t>Data q</w:t>
      </w:r>
      <w:r w:rsidR="005E066E" w:rsidRPr="00984DC3">
        <w:t xml:space="preserve">uality </w:t>
      </w:r>
      <w:r>
        <w:t>i</w:t>
      </w:r>
      <w:r w:rsidR="005E066E" w:rsidRPr="00984DC3">
        <w:t xml:space="preserve">nformation — </w:t>
      </w:r>
      <w:r w:rsidR="0071029E">
        <w:t>Courts</w:t>
      </w:r>
      <w:r w:rsidR="005E066E" w:rsidRPr="00984DC3">
        <w:t xml:space="preserve">, </w:t>
      </w:r>
      <w:r w:rsidR="00206133">
        <w:t>chapter</w:t>
      </w:r>
      <w:r w:rsidR="00C77D0D">
        <w:t> </w:t>
      </w:r>
      <w:r w:rsidR="00206133">
        <w:t>7</w:t>
      </w:r>
      <w:bookmarkEnd w:id="0"/>
      <w:bookmarkEnd w:id="1"/>
      <w:bookmarkEnd w:id="2"/>
      <w:bookmarkEnd w:id="3"/>
    </w:p>
    <w:p w:rsidR="005E066E" w:rsidRDefault="005E066E" w:rsidP="005E06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E066E" w:rsidTr="00101653">
        <w:tc>
          <w:tcPr>
            <w:tcW w:w="8771" w:type="dxa"/>
            <w:tcBorders>
              <w:top w:val="single" w:sz="6" w:space="0" w:color="auto"/>
              <w:bottom w:val="nil"/>
            </w:tcBorders>
          </w:tcPr>
          <w:p w:rsidR="005E066E" w:rsidRDefault="005E066E" w:rsidP="00101653">
            <w:pPr>
              <w:pStyle w:val="BoxTitle"/>
            </w:pPr>
            <w:r>
              <w:t>Data quality information</w:t>
            </w:r>
          </w:p>
        </w:tc>
      </w:tr>
      <w:tr w:rsidR="005E066E" w:rsidTr="00101653">
        <w:trPr>
          <w:cantSplit/>
        </w:trPr>
        <w:tc>
          <w:tcPr>
            <w:tcW w:w="8771" w:type="dxa"/>
            <w:tcBorders>
              <w:top w:val="nil"/>
              <w:left w:val="single" w:sz="6" w:space="0" w:color="auto"/>
              <w:bottom w:val="nil"/>
              <w:right w:val="single" w:sz="6" w:space="0" w:color="auto"/>
            </w:tcBorders>
          </w:tcPr>
          <w:p w:rsidR="005E066E" w:rsidRPr="003043D1" w:rsidRDefault="00C77D0D" w:rsidP="00101653">
            <w:pPr>
              <w:pStyle w:val="Box"/>
            </w:pPr>
            <w:r>
              <w:t>Da</w:t>
            </w:r>
            <w:r w:rsidR="009A5C10">
              <w:t>ta quality information (</w:t>
            </w:r>
            <w:proofErr w:type="spellStart"/>
            <w:r w:rsidR="009A5C10">
              <w:t>DQI</w:t>
            </w:r>
            <w:proofErr w:type="spellEnd"/>
            <w:r w:rsidR="009A5C10">
              <w:t>) was</w:t>
            </w:r>
            <w:r>
              <w:t xml:space="preserve"> prepared for the first time for the 2011 Report on Government Services. </w:t>
            </w:r>
            <w:r w:rsidR="00051463">
              <w:t>The 2014</w:t>
            </w:r>
            <w:r w:rsidR="009A5C10">
              <w:t xml:space="preserve"> Report provides </w:t>
            </w:r>
            <w:proofErr w:type="spellStart"/>
            <w:r w:rsidR="009A5C10">
              <w:t>DQI</w:t>
            </w:r>
            <w:proofErr w:type="spellEnd"/>
            <w:r w:rsidR="009A5C10">
              <w:t xml:space="preserve"> </w:t>
            </w:r>
            <w:r w:rsidR="00B84204">
              <w:t>against the</w:t>
            </w:r>
            <w:r>
              <w:t xml:space="preserve"> ABS data quality frame</w:t>
            </w:r>
            <w:r w:rsidR="00AA362F">
              <w:t>work dimensions, for all</w:t>
            </w:r>
            <w:r>
              <w:t xml:space="preserve"> of</w:t>
            </w:r>
            <w:r w:rsidR="00AA362F">
              <w:t xml:space="preserve"> the</w:t>
            </w:r>
            <w:r>
              <w:t xml:space="preserve"> perf</w:t>
            </w:r>
            <w:r w:rsidR="009C1776">
              <w:t>ormance indicators in the Courts</w:t>
            </w:r>
            <w:r w:rsidR="00AA362F">
              <w:t xml:space="preserve"> chapter. </w:t>
            </w:r>
          </w:p>
        </w:tc>
      </w:tr>
      <w:tr w:rsidR="005E066E" w:rsidTr="00101653">
        <w:trPr>
          <w:cantSplit/>
        </w:trPr>
        <w:tc>
          <w:tcPr>
            <w:tcW w:w="8771" w:type="dxa"/>
            <w:tcBorders>
              <w:top w:val="nil"/>
              <w:left w:val="single" w:sz="6" w:space="0" w:color="auto"/>
              <w:bottom w:val="single" w:sz="6" w:space="0" w:color="auto"/>
              <w:right w:val="single" w:sz="6" w:space="0" w:color="auto"/>
            </w:tcBorders>
          </w:tcPr>
          <w:p w:rsidR="005E066E" w:rsidRDefault="005E066E" w:rsidP="00101653">
            <w:pPr>
              <w:pStyle w:val="Box"/>
              <w:spacing w:before="0" w:line="120" w:lineRule="exact"/>
            </w:pPr>
          </w:p>
        </w:tc>
      </w:tr>
      <w:tr w:rsidR="005E066E" w:rsidTr="00101653">
        <w:tc>
          <w:tcPr>
            <w:tcW w:w="8771" w:type="dxa"/>
            <w:tcBorders>
              <w:top w:val="nil"/>
              <w:left w:val="nil"/>
              <w:bottom w:val="nil"/>
              <w:right w:val="nil"/>
            </w:tcBorders>
          </w:tcPr>
          <w:p w:rsidR="005E066E" w:rsidRDefault="005E066E" w:rsidP="00101653">
            <w:pPr>
              <w:pStyle w:val="Box"/>
              <w:keepNext w:val="0"/>
              <w:spacing w:before="60" w:after="60" w:line="80" w:lineRule="exact"/>
              <w:rPr>
                <w:b/>
                <w:color w:val="FF00FF"/>
                <w:sz w:val="14"/>
              </w:rPr>
            </w:pPr>
          </w:p>
        </w:tc>
      </w:tr>
    </w:tbl>
    <w:p w:rsidR="00920A25" w:rsidRDefault="00920A25" w:rsidP="005E066E">
      <w:pPr>
        <w:pStyle w:val="BodyText"/>
      </w:pPr>
    </w:p>
    <w:p w:rsidR="0071029E" w:rsidRDefault="005E066E" w:rsidP="005E066E">
      <w:pPr>
        <w:pStyle w:val="BodyText"/>
        <w:rPr>
          <w:noProof/>
        </w:rPr>
      </w:pPr>
      <w:proofErr w:type="spellStart"/>
      <w:r w:rsidRPr="00CA5E50">
        <w:t>DQI</w:t>
      </w:r>
      <w:proofErr w:type="spellEnd"/>
      <w:r w:rsidRPr="00CA5E50">
        <w:t xml:space="preserve"> are available for the following</w:t>
      </w:r>
      <w:r>
        <w:t xml:space="preserve"> performance indicators</w:t>
      </w:r>
      <w:r w:rsidRPr="00CA5E50">
        <w:t>:</w:t>
      </w:r>
    </w:p>
    <w:p w:rsidR="0071029E" w:rsidRPr="00455E7B" w:rsidRDefault="0071029E">
      <w:pPr>
        <w:pStyle w:val="TOC2"/>
        <w:rPr>
          <w:rFonts w:ascii="Calibri" w:hAnsi="Calibri"/>
          <w:b w:val="0"/>
          <w:noProof/>
          <w:sz w:val="22"/>
          <w:szCs w:val="22"/>
        </w:rPr>
      </w:pPr>
    </w:p>
    <w:p w:rsidR="0071029E" w:rsidRPr="00455E7B" w:rsidRDefault="0071029E">
      <w:pPr>
        <w:pStyle w:val="TOC3"/>
        <w:rPr>
          <w:rFonts w:ascii="Calibri" w:hAnsi="Calibri"/>
          <w:noProof/>
          <w:sz w:val="22"/>
          <w:szCs w:val="22"/>
        </w:rPr>
      </w:pPr>
      <w:r w:rsidRPr="00E74CF4">
        <w:rPr>
          <w:noProof/>
        </w:rPr>
        <w:t>Fees paid by applicants</w:t>
      </w:r>
      <w:r>
        <w:rPr>
          <w:noProof/>
          <w:webHidden/>
        </w:rPr>
        <w:tab/>
      </w:r>
      <w:r w:rsidR="00807A8D">
        <w:rPr>
          <w:noProof/>
          <w:webHidden/>
        </w:rPr>
        <w:t>2</w:t>
      </w:r>
    </w:p>
    <w:p w:rsidR="0071029E" w:rsidRPr="00455E7B" w:rsidRDefault="0071029E">
      <w:pPr>
        <w:pStyle w:val="TOC3"/>
        <w:rPr>
          <w:rFonts w:ascii="Calibri" w:hAnsi="Calibri"/>
          <w:noProof/>
          <w:sz w:val="22"/>
          <w:szCs w:val="22"/>
        </w:rPr>
      </w:pPr>
      <w:r w:rsidRPr="00E74CF4">
        <w:rPr>
          <w:noProof/>
        </w:rPr>
        <w:t>Judicial officers (as expressed per 100 000 population)</w:t>
      </w:r>
      <w:r>
        <w:rPr>
          <w:noProof/>
          <w:webHidden/>
        </w:rPr>
        <w:tab/>
      </w:r>
      <w:r w:rsidR="00807A8D">
        <w:rPr>
          <w:noProof/>
          <w:webHidden/>
        </w:rPr>
        <w:t>5</w:t>
      </w:r>
    </w:p>
    <w:p w:rsidR="0071029E" w:rsidRPr="00455E7B" w:rsidRDefault="0071029E">
      <w:pPr>
        <w:pStyle w:val="TOC3"/>
        <w:rPr>
          <w:rFonts w:ascii="Calibri" w:hAnsi="Calibri"/>
          <w:noProof/>
          <w:sz w:val="22"/>
          <w:szCs w:val="22"/>
        </w:rPr>
      </w:pPr>
      <w:r w:rsidRPr="00E74CF4">
        <w:rPr>
          <w:noProof/>
        </w:rPr>
        <w:t>Backlog</w:t>
      </w:r>
      <w:r>
        <w:rPr>
          <w:noProof/>
          <w:webHidden/>
        </w:rPr>
        <w:tab/>
      </w:r>
      <w:r w:rsidR="00807A8D">
        <w:rPr>
          <w:noProof/>
          <w:webHidden/>
        </w:rPr>
        <w:t>8</w:t>
      </w:r>
    </w:p>
    <w:p w:rsidR="0071029E" w:rsidRPr="00455E7B" w:rsidRDefault="0071029E" w:rsidP="00E74CF4">
      <w:pPr>
        <w:pStyle w:val="TOC3"/>
        <w:tabs>
          <w:tab w:val="left" w:pos="4095"/>
        </w:tabs>
        <w:rPr>
          <w:rFonts w:ascii="Calibri" w:hAnsi="Calibri"/>
          <w:noProof/>
          <w:sz w:val="22"/>
          <w:szCs w:val="22"/>
        </w:rPr>
      </w:pPr>
      <w:r w:rsidRPr="00E74CF4">
        <w:rPr>
          <w:noProof/>
        </w:rPr>
        <w:t>Attendance</w:t>
      </w:r>
      <w:r>
        <w:rPr>
          <w:noProof/>
          <w:webHidden/>
        </w:rPr>
        <w:tab/>
      </w:r>
      <w:r w:rsidR="00E74CF4">
        <w:rPr>
          <w:noProof/>
          <w:webHidden/>
        </w:rPr>
        <w:tab/>
      </w:r>
      <w:r w:rsidR="00807A8D">
        <w:rPr>
          <w:noProof/>
          <w:webHidden/>
        </w:rPr>
        <w:t>11</w:t>
      </w:r>
    </w:p>
    <w:p w:rsidR="0071029E" w:rsidRPr="00455E7B" w:rsidRDefault="0071029E">
      <w:pPr>
        <w:pStyle w:val="TOC3"/>
        <w:rPr>
          <w:rFonts w:ascii="Calibri" w:hAnsi="Calibri"/>
          <w:noProof/>
          <w:sz w:val="22"/>
          <w:szCs w:val="22"/>
        </w:rPr>
      </w:pPr>
      <w:r w:rsidRPr="00E74CF4">
        <w:rPr>
          <w:noProof/>
        </w:rPr>
        <w:t>Clearance</w:t>
      </w:r>
      <w:r>
        <w:rPr>
          <w:noProof/>
          <w:webHidden/>
        </w:rPr>
        <w:tab/>
      </w:r>
      <w:r w:rsidR="00807A8D">
        <w:rPr>
          <w:noProof/>
          <w:webHidden/>
        </w:rPr>
        <w:t>15</w:t>
      </w:r>
    </w:p>
    <w:p w:rsidR="0071029E" w:rsidRPr="00455E7B" w:rsidRDefault="0071029E">
      <w:pPr>
        <w:pStyle w:val="TOC3"/>
        <w:rPr>
          <w:rFonts w:ascii="Calibri" w:hAnsi="Calibri"/>
          <w:noProof/>
          <w:sz w:val="22"/>
          <w:szCs w:val="22"/>
        </w:rPr>
      </w:pPr>
      <w:r w:rsidRPr="00E74CF4">
        <w:rPr>
          <w:noProof/>
        </w:rPr>
        <w:t>Judicial officers per 100 finalisations</w:t>
      </w:r>
      <w:r>
        <w:rPr>
          <w:noProof/>
          <w:webHidden/>
        </w:rPr>
        <w:tab/>
      </w:r>
      <w:r w:rsidR="00807A8D">
        <w:rPr>
          <w:noProof/>
          <w:webHidden/>
        </w:rPr>
        <w:t>18</w:t>
      </w:r>
    </w:p>
    <w:p w:rsidR="0071029E" w:rsidRPr="00455E7B" w:rsidRDefault="0071029E">
      <w:pPr>
        <w:pStyle w:val="TOC3"/>
        <w:rPr>
          <w:rFonts w:ascii="Calibri" w:hAnsi="Calibri"/>
          <w:noProof/>
          <w:sz w:val="22"/>
          <w:szCs w:val="22"/>
        </w:rPr>
      </w:pPr>
      <w:r w:rsidRPr="00E74CF4">
        <w:rPr>
          <w:noProof/>
        </w:rPr>
        <w:t>Full time equivalent (FTE) staff per 100 finalisations</w:t>
      </w:r>
      <w:r>
        <w:rPr>
          <w:noProof/>
          <w:webHidden/>
        </w:rPr>
        <w:tab/>
      </w:r>
      <w:r w:rsidR="00807A8D">
        <w:rPr>
          <w:noProof/>
          <w:webHidden/>
        </w:rPr>
        <w:t>21</w:t>
      </w:r>
    </w:p>
    <w:p w:rsidR="0071029E" w:rsidRPr="00455E7B" w:rsidRDefault="0071029E">
      <w:pPr>
        <w:pStyle w:val="TOC3"/>
        <w:rPr>
          <w:rFonts w:ascii="Calibri" w:hAnsi="Calibri"/>
          <w:noProof/>
          <w:sz w:val="22"/>
          <w:szCs w:val="22"/>
        </w:rPr>
      </w:pPr>
      <w:r w:rsidRPr="00E74CF4">
        <w:rPr>
          <w:noProof/>
        </w:rPr>
        <w:t>Cost per finalisation</w:t>
      </w:r>
      <w:r>
        <w:rPr>
          <w:noProof/>
          <w:webHidden/>
        </w:rPr>
        <w:tab/>
      </w:r>
      <w:r w:rsidR="00807A8D">
        <w:rPr>
          <w:noProof/>
          <w:webHidden/>
        </w:rPr>
        <w:t>24</w:t>
      </w:r>
    </w:p>
    <w:p w:rsidR="00C77D0D" w:rsidRDefault="00C77D0D" w:rsidP="00062F62">
      <w:pPr>
        <w:pStyle w:val="Heading3"/>
        <w:spacing w:before="120"/>
      </w:pPr>
      <w:bookmarkStart w:id="7" w:name="_Toc282010971"/>
      <w:bookmarkStart w:id="8" w:name="_Toc282425395"/>
      <w:bookmarkStart w:id="9" w:name="_Toc338344188"/>
      <w:bookmarkEnd w:id="4"/>
      <w:bookmarkEnd w:id="5"/>
      <w:r w:rsidRPr="00A05229">
        <w:lastRenderedPageBreak/>
        <w:t>F</w:t>
      </w:r>
      <w:bookmarkEnd w:id="7"/>
      <w:r>
        <w:t>ees paid by applicants</w:t>
      </w:r>
      <w:bookmarkEnd w:id="8"/>
      <w:bookmarkEnd w:id="9"/>
    </w:p>
    <w:p w:rsidR="00101653" w:rsidRPr="00101653" w:rsidRDefault="00C77D0D" w:rsidP="00101653">
      <w:pPr>
        <w:pStyle w:val="Box"/>
      </w:pPr>
      <w:r w:rsidRPr="00EC0FC7">
        <w:t>Data quality information for this indicator has been drafted by the Secretariat</w:t>
      </w:r>
      <w:r w:rsidR="009C1776">
        <w:t xml:space="preserve"> in consultation with the Courts </w:t>
      </w:r>
      <w:r w:rsidRPr="00EC0FC7">
        <w:t>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101653" w:rsidTr="00101653">
        <w:tc>
          <w:tcPr>
            <w:tcW w:w="5000" w:type="pct"/>
            <w:gridSpan w:val="2"/>
          </w:tcPr>
          <w:p w:rsidR="00BB531B" w:rsidRDefault="00BB531B" w:rsidP="007D0BFD">
            <w:pPr>
              <w:pStyle w:val="TableBodyText"/>
              <w:jc w:val="both"/>
              <w:rPr>
                <w:b/>
                <w:u w:val="single"/>
              </w:rPr>
            </w:pPr>
          </w:p>
          <w:p w:rsidR="00101653" w:rsidRDefault="00101653" w:rsidP="007D0BFD">
            <w:pPr>
              <w:pStyle w:val="TableBodyText"/>
              <w:jc w:val="both"/>
            </w:pPr>
            <w:r w:rsidRPr="007D0BFD">
              <w:rPr>
                <w:b/>
                <w:u w:val="single"/>
              </w:rPr>
              <w:t>Indica</w:t>
            </w:r>
            <w:r w:rsidR="007D0BFD" w:rsidRPr="007D0BFD">
              <w:rPr>
                <w:b/>
                <w:u w:val="single"/>
              </w:rPr>
              <w:t>tor definition and description</w:t>
            </w:r>
            <w:r w:rsidR="007D0BFD">
              <w:rPr>
                <w:rFonts w:cs="Arial"/>
                <w:b/>
                <w:sz w:val="22"/>
                <w:szCs w:val="22"/>
                <w:u w:val="single"/>
              </w:rPr>
              <w:t xml:space="preserve"> </w:t>
            </w:r>
          </w:p>
        </w:tc>
      </w:tr>
      <w:tr w:rsidR="00062F62" w:rsidTr="00DD3D61">
        <w:tc>
          <w:tcPr>
            <w:tcW w:w="922" w:type="pct"/>
          </w:tcPr>
          <w:p w:rsidR="00062F62" w:rsidRPr="00C744E0" w:rsidRDefault="00062F62" w:rsidP="00730827">
            <w:pPr>
              <w:pStyle w:val="TableBodyText"/>
              <w:jc w:val="left"/>
              <w:rPr>
                <w:b/>
              </w:rPr>
            </w:pPr>
            <w:r w:rsidRPr="00C744E0">
              <w:rPr>
                <w:b/>
              </w:rPr>
              <w:t>Element</w:t>
            </w:r>
          </w:p>
        </w:tc>
        <w:tc>
          <w:tcPr>
            <w:tcW w:w="4078" w:type="pct"/>
          </w:tcPr>
          <w:p w:rsidR="00062F62" w:rsidRPr="008C4B88" w:rsidRDefault="009C1776" w:rsidP="00062F62">
            <w:pPr>
              <w:pStyle w:val="TableBodyText"/>
              <w:jc w:val="both"/>
            </w:pPr>
            <w:r>
              <w:t>Courts</w:t>
            </w:r>
            <w:r w:rsidR="00062F62" w:rsidRPr="008C4B88">
              <w:t xml:space="preserve"> Equity – Access – Affordability</w:t>
            </w:r>
          </w:p>
        </w:tc>
      </w:tr>
      <w:tr w:rsidR="00062F62" w:rsidTr="00DD3D61">
        <w:tc>
          <w:tcPr>
            <w:tcW w:w="922" w:type="pct"/>
          </w:tcPr>
          <w:p w:rsidR="00062F62" w:rsidRPr="00C744E0" w:rsidRDefault="00062F62" w:rsidP="00730827">
            <w:pPr>
              <w:pStyle w:val="TableBodyText"/>
              <w:jc w:val="left"/>
              <w:rPr>
                <w:b/>
              </w:rPr>
            </w:pPr>
            <w:r w:rsidRPr="00C744E0">
              <w:rPr>
                <w:b/>
              </w:rPr>
              <w:t>Indicator</w:t>
            </w:r>
          </w:p>
        </w:tc>
        <w:tc>
          <w:tcPr>
            <w:tcW w:w="4078" w:type="pct"/>
          </w:tcPr>
          <w:p w:rsidR="00062F62" w:rsidRDefault="00062F62" w:rsidP="00062F62">
            <w:pPr>
              <w:pStyle w:val="TableBodyText"/>
              <w:jc w:val="both"/>
            </w:pPr>
            <w:r w:rsidRPr="008C4B88">
              <w:t>Fees paid by applicants</w:t>
            </w:r>
          </w:p>
        </w:tc>
      </w:tr>
      <w:tr w:rsidR="00730827" w:rsidTr="00DD3D61">
        <w:tc>
          <w:tcPr>
            <w:tcW w:w="922" w:type="pct"/>
          </w:tcPr>
          <w:p w:rsidR="00730827" w:rsidRPr="00C744E0" w:rsidRDefault="00730827" w:rsidP="00730827">
            <w:pPr>
              <w:pStyle w:val="TableBodyText"/>
              <w:jc w:val="left"/>
              <w:rPr>
                <w:b/>
              </w:rPr>
            </w:pPr>
            <w:r w:rsidRPr="00C744E0">
              <w:rPr>
                <w:b/>
              </w:rPr>
              <w:t>Measure (computation)</w:t>
            </w:r>
          </w:p>
        </w:tc>
        <w:tc>
          <w:tcPr>
            <w:tcW w:w="4078" w:type="pct"/>
          </w:tcPr>
          <w:p w:rsidR="00062F62" w:rsidRDefault="00062F62" w:rsidP="00062F62">
            <w:pPr>
              <w:pStyle w:val="TableBodyText"/>
              <w:keepNext w:val="0"/>
              <w:jc w:val="both"/>
            </w:pPr>
            <w:r>
              <w:t xml:space="preserve">‘Fees paid by applicants’ is defined as the average court fees paid per </w:t>
            </w:r>
            <w:proofErr w:type="spellStart"/>
            <w:r>
              <w:t>lodgment</w:t>
            </w:r>
            <w:proofErr w:type="spellEnd"/>
            <w:r>
              <w:t xml:space="preserve">. It is derived by dividing the total court fees collected in a year (numerator) by the total number of </w:t>
            </w:r>
            <w:proofErr w:type="spellStart"/>
            <w:r>
              <w:t>lodgments</w:t>
            </w:r>
            <w:proofErr w:type="spellEnd"/>
            <w:r>
              <w:t xml:space="preserve"> in a year (denominator). </w:t>
            </w:r>
          </w:p>
          <w:p w:rsidR="00062F62" w:rsidRDefault="00062F62" w:rsidP="00062F62">
            <w:pPr>
              <w:pStyle w:val="TableBodyText"/>
              <w:keepNext w:val="0"/>
              <w:jc w:val="both"/>
            </w:pPr>
            <w:r>
              <w:rPr>
                <w:u w:val="single"/>
              </w:rPr>
              <w:t>Numerator</w:t>
            </w:r>
            <w:r>
              <w:t xml:space="preserve"> is defined as:</w:t>
            </w:r>
          </w:p>
          <w:p w:rsidR="00062F62" w:rsidRDefault="00062F62" w:rsidP="00062F62">
            <w:pPr>
              <w:pStyle w:val="TableBullet"/>
              <w:keepNext w:val="0"/>
              <w:numPr>
                <w:ilvl w:val="0"/>
                <w:numId w:val="42"/>
              </w:numPr>
              <w:spacing w:line="220" w:lineRule="exact"/>
              <w:jc w:val="both"/>
            </w:pPr>
            <w:r>
              <w:t>Total court fees collected in a financial year</w:t>
            </w:r>
          </w:p>
          <w:p w:rsidR="00062F62" w:rsidRPr="005D4651" w:rsidRDefault="00062F62" w:rsidP="00062F62">
            <w:pPr>
              <w:pStyle w:val="TableBodyText"/>
              <w:keepNext w:val="0"/>
              <w:jc w:val="both"/>
            </w:pPr>
            <w:r>
              <w:rPr>
                <w:u w:val="single"/>
              </w:rPr>
              <w:t>Denominator</w:t>
            </w:r>
            <w:r>
              <w:t xml:space="preserve"> is defined as:</w:t>
            </w:r>
          </w:p>
          <w:p w:rsidR="00062F62" w:rsidRPr="008F7404" w:rsidRDefault="00062F62" w:rsidP="00062F62">
            <w:pPr>
              <w:pStyle w:val="TableBullet"/>
              <w:keepNext w:val="0"/>
              <w:numPr>
                <w:ilvl w:val="0"/>
                <w:numId w:val="42"/>
              </w:numPr>
              <w:spacing w:line="220" w:lineRule="exact"/>
              <w:jc w:val="both"/>
            </w:pPr>
            <w:r>
              <w:t xml:space="preserve">Total number of </w:t>
            </w:r>
            <w:proofErr w:type="spellStart"/>
            <w:r>
              <w:t>lodgments</w:t>
            </w:r>
            <w:proofErr w:type="spellEnd"/>
            <w:r>
              <w:t xml:space="preserve"> in a financial year</w:t>
            </w:r>
          </w:p>
          <w:p w:rsidR="00730827" w:rsidRPr="00B96E3E" w:rsidRDefault="00062F62" w:rsidP="00051463">
            <w:pPr>
              <w:pStyle w:val="TableBodyText"/>
              <w:jc w:val="both"/>
            </w:pPr>
            <w:r>
              <w:t xml:space="preserve">Data for the numerator are adjusted </w:t>
            </w:r>
            <w:r w:rsidR="00051463">
              <w:t>by applying the General Government Final Consumption Expenditure (</w:t>
            </w:r>
            <w:proofErr w:type="spellStart"/>
            <w:r w:rsidR="00051463">
              <w:t>GGFCE</w:t>
            </w:r>
            <w:proofErr w:type="spellEnd"/>
            <w:r w:rsidR="00051463">
              <w:t>) chain price index deflator</w:t>
            </w:r>
            <w:r>
              <w:t xml:space="preserve"> (see </w:t>
            </w:r>
            <w:r w:rsidR="00051463">
              <w:t>Chapter 2 section 2.</w:t>
            </w:r>
            <w:r>
              <w:t xml:space="preserve">5 </w:t>
            </w:r>
            <w:r w:rsidR="00051463">
              <w:t>for an explanation of s</w:t>
            </w:r>
            <w:r>
              <w:t xml:space="preserve">tatistical </w:t>
            </w:r>
            <w:r w:rsidR="00051463">
              <w:t>c</w:t>
            </w:r>
            <w:r>
              <w:t>oncepts used in the Report).</w:t>
            </w:r>
          </w:p>
        </w:tc>
      </w:tr>
      <w:tr w:rsidR="00730827" w:rsidTr="00DD3D61">
        <w:tc>
          <w:tcPr>
            <w:tcW w:w="922" w:type="pct"/>
          </w:tcPr>
          <w:p w:rsidR="00730827" w:rsidRPr="00C744E0" w:rsidRDefault="00730827" w:rsidP="00730827">
            <w:pPr>
              <w:pStyle w:val="TableBodyText"/>
              <w:jc w:val="left"/>
              <w:rPr>
                <w:b/>
              </w:rPr>
            </w:pPr>
            <w:r w:rsidRPr="00C744E0">
              <w:rPr>
                <w:b/>
              </w:rPr>
              <w:t>Data source/s</w:t>
            </w:r>
          </w:p>
        </w:tc>
        <w:tc>
          <w:tcPr>
            <w:tcW w:w="4078" w:type="pct"/>
          </w:tcPr>
          <w:p w:rsidR="00730827" w:rsidRPr="00B96E3E" w:rsidRDefault="00062F62" w:rsidP="00062F62">
            <w:pPr>
              <w:pStyle w:val="TableBodyText"/>
              <w:jc w:val="both"/>
            </w:pPr>
            <w:r>
              <w:t xml:space="preserve">Court fees collected and </w:t>
            </w:r>
            <w:proofErr w:type="spellStart"/>
            <w:r>
              <w:t>lodgment</w:t>
            </w:r>
            <w:proofErr w:type="spellEnd"/>
            <w:r>
              <w:t xml:space="preserve"> data</w:t>
            </w:r>
            <w:r w:rsidRPr="00C34F8E">
              <w:t xml:space="preserve"> are sourced from</w:t>
            </w:r>
            <w:r>
              <w:t xml:space="preserve"> administrative data collected by</w:t>
            </w:r>
            <w:r w:rsidRPr="00C34F8E">
              <w:t xml:space="preserve"> </w:t>
            </w:r>
            <w:r>
              <w:t>Australian, State an</w:t>
            </w:r>
            <w:r w:rsidR="009C1776">
              <w:t>d Territory courts</w:t>
            </w:r>
            <w:r>
              <w:t xml:space="preserve"> authorities and departments.</w:t>
            </w:r>
          </w:p>
        </w:tc>
      </w:tr>
      <w:tr w:rsidR="00730827" w:rsidTr="00730827">
        <w:tc>
          <w:tcPr>
            <w:tcW w:w="5000" w:type="pct"/>
            <w:gridSpan w:val="2"/>
          </w:tcPr>
          <w:p w:rsidR="00404F8B" w:rsidRDefault="00404F8B" w:rsidP="005167FD">
            <w:pPr>
              <w:pStyle w:val="TableBodyText"/>
              <w:jc w:val="both"/>
              <w:rPr>
                <w:b/>
                <w:u w:val="single"/>
              </w:rPr>
            </w:pPr>
          </w:p>
          <w:p w:rsidR="00730827" w:rsidRPr="00C744E0" w:rsidRDefault="00730827" w:rsidP="005167FD">
            <w:pPr>
              <w:pStyle w:val="TableBodyText"/>
              <w:jc w:val="both"/>
              <w:rPr>
                <w:b/>
                <w:u w:val="single"/>
              </w:rPr>
            </w:pPr>
            <w:r w:rsidRPr="00C744E0">
              <w:rPr>
                <w:b/>
                <w:u w:val="single"/>
              </w:rPr>
              <w:t>Data Quality Framework Dimensions</w:t>
            </w:r>
          </w:p>
        </w:tc>
      </w:tr>
      <w:tr w:rsidR="00730827" w:rsidTr="00DD3D61">
        <w:tc>
          <w:tcPr>
            <w:tcW w:w="922" w:type="pct"/>
          </w:tcPr>
          <w:p w:rsidR="00730827" w:rsidRPr="00C744E0" w:rsidRDefault="00730827" w:rsidP="00730827">
            <w:pPr>
              <w:pStyle w:val="TableBodyText"/>
              <w:jc w:val="left"/>
              <w:rPr>
                <w:b/>
              </w:rPr>
            </w:pPr>
            <w:r w:rsidRPr="00C744E0">
              <w:rPr>
                <w:b/>
              </w:rPr>
              <w:t>Institutional environment</w:t>
            </w:r>
          </w:p>
        </w:tc>
        <w:tc>
          <w:tcPr>
            <w:tcW w:w="4078" w:type="pct"/>
          </w:tcPr>
          <w:p w:rsidR="00062F62" w:rsidRPr="003F301E" w:rsidRDefault="00062F62" w:rsidP="00062F62">
            <w:pPr>
              <w:pStyle w:val="TableBodyText"/>
              <w:keepNext w:val="0"/>
              <w:jc w:val="both"/>
              <w:rPr>
                <w:rFonts w:cs="Arial"/>
                <w:u w:val="single"/>
              </w:rPr>
            </w:pPr>
            <w:r>
              <w:rPr>
                <w:rFonts w:cs="Arial"/>
                <w:u w:val="single"/>
              </w:rPr>
              <w:t>Numerator</w:t>
            </w:r>
            <w:r w:rsidRPr="00314362">
              <w:rPr>
                <w:rFonts w:cs="Arial"/>
              </w:rPr>
              <w:t xml:space="preserve"> – Total court fees collected</w:t>
            </w:r>
            <w:r>
              <w:rPr>
                <w:rFonts w:cs="Arial"/>
              </w:rPr>
              <w:t xml:space="preserve"> in a financial year</w:t>
            </w:r>
          </w:p>
          <w:p w:rsidR="00062F62" w:rsidRDefault="00062F62" w:rsidP="00062F62">
            <w:pPr>
              <w:pStyle w:val="TableBodyText"/>
              <w:keepNext w:val="0"/>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009C1776">
              <w:rPr>
                <w:rFonts w:cs="Arial"/>
              </w:rPr>
              <w:t>compiled by the court</w:t>
            </w:r>
            <w:r>
              <w:rPr>
                <w:rFonts w:cs="Arial"/>
              </w:rPr>
              <w:t xml:space="preserve"> authority</w:t>
            </w:r>
            <w:r w:rsidRPr="009875F7">
              <w:rPr>
                <w:rFonts w:cs="Arial"/>
              </w:rPr>
              <w:t xml:space="preserve">.  In the </w:t>
            </w:r>
            <w:r>
              <w:rPr>
                <w:rFonts w:cs="Arial"/>
              </w:rPr>
              <w:t>other jurisdictions</w:t>
            </w:r>
            <w:r w:rsidRPr="009875F7">
              <w:rPr>
                <w:rFonts w:cs="Arial"/>
              </w:rPr>
              <w:t>, it is</w:t>
            </w:r>
            <w:r>
              <w:rPr>
                <w:rFonts w:cs="Arial"/>
              </w:rPr>
              <w:t xml:space="preserve"> collected and compiled by governing departments.</w:t>
            </w:r>
          </w:p>
          <w:p w:rsidR="00062F62" w:rsidRDefault="00062F62" w:rsidP="00062F62">
            <w:pPr>
              <w:pStyle w:val="TableBodyText"/>
              <w:keepNext w:val="0"/>
              <w:jc w:val="both"/>
              <w:rPr>
                <w:rFonts w:cs="Arial"/>
              </w:rPr>
            </w:pPr>
            <w:r>
              <w:rPr>
                <w:rFonts w:cs="Arial"/>
              </w:rPr>
              <w:t>The data are requested and submitted in accordance with the authority of the terms of reference of the Review of Government Service Provision.</w:t>
            </w:r>
          </w:p>
          <w:p w:rsidR="00062F62" w:rsidRPr="00314362" w:rsidRDefault="00062F62" w:rsidP="00062F62">
            <w:pPr>
              <w:pStyle w:val="TableBodyText"/>
              <w:keepNext w:val="0"/>
              <w:jc w:val="both"/>
              <w:rPr>
                <w:rFonts w:cs="Arial"/>
                <w:b/>
              </w:rPr>
            </w:pPr>
          </w:p>
          <w:p w:rsidR="00062F62" w:rsidRDefault="00062F62" w:rsidP="00062F62">
            <w:pPr>
              <w:pStyle w:val="TableBodyText"/>
              <w:keepNext w:val="0"/>
              <w:jc w:val="both"/>
            </w:pPr>
            <w:r>
              <w:rPr>
                <w:u w:val="single"/>
              </w:rPr>
              <w:t>D</w:t>
            </w:r>
            <w:r w:rsidRPr="0071426B">
              <w:rPr>
                <w:u w:val="single"/>
              </w:rPr>
              <w:t>enominator</w:t>
            </w:r>
            <w:r>
              <w:t xml:space="preserve"> – Total </w:t>
            </w:r>
            <w:proofErr w:type="spellStart"/>
            <w:r>
              <w:t>lodgments</w:t>
            </w:r>
            <w:proofErr w:type="spellEnd"/>
            <w:r>
              <w:t xml:space="preserve"> in a financial year</w:t>
            </w:r>
          </w:p>
          <w:p w:rsidR="00062F62" w:rsidRDefault="00062F62" w:rsidP="00062F62">
            <w:pPr>
              <w:pStyle w:val="TableBodyText"/>
              <w:keepNext w:val="0"/>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compi</w:t>
            </w:r>
            <w:r w:rsidR="009C1776">
              <w:rPr>
                <w:rFonts w:cs="Arial"/>
              </w:rPr>
              <w:t>led by the</w:t>
            </w:r>
            <w:r>
              <w:rPr>
                <w:rFonts w:cs="Arial"/>
              </w:rPr>
              <w:t xml:space="preserve"> cou</w:t>
            </w:r>
            <w:r w:rsidR="009C1776">
              <w:rPr>
                <w:rFonts w:cs="Arial"/>
              </w:rPr>
              <w:t>rts</w:t>
            </w:r>
            <w:r>
              <w:rPr>
                <w:rFonts w:cs="Arial"/>
              </w:rPr>
              <w:t xml:space="preserve"> authority</w:t>
            </w:r>
            <w:r w:rsidR="009C1776">
              <w:rPr>
                <w:rFonts w:cs="Arial"/>
              </w:rPr>
              <w:t>.</w:t>
            </w:r>
            <w:r w:rsidRPr="009875F7">
              <w:rPr>
                <w:rFonts w:cs="Arial"/>
              </w:rPr>
              <w:t xml:space="preserve"> In the </w:t>
            </w:r>
            <w:r>
              <w:rPr>
                <w:rFonts w:cs="Arial"/>
              </w:rPr>
              <w:t>other jurisdictions</w:t>
            </w:r>
            <w:r w:rsidRPr="009875F7">
              <w:rPr>
                <w:rFonts w:cs="Arial"/>
              </w:rPr>
              <w:t>, it is</w:t>
            </w:r>
            <w:r>
              <w:rPr>
                <w:rFonts w:cs="Arial"/>
              </w:rPr>
              <w:t xml:space="preserve"> collected and compiled by governing departments.</w:t>
            </w:r>
          </w:p>
          <w:p w:rsidR="00730827" w:rsidRPr="00062F62" w:rsidRDefault="00062F62" w:rsidP="00062F62">
            <w:pPr>
              <w:pStyle w:val="TableBodyText"/>
              <w:keepNext w:val="0"/>
              <w:jc w:val="both"/>
              <w:rPr>
                <w:rFonts w:cs="Arial"/>
              </w:rPr>
            </w:pPr>
            <w:r>
              <w:rPr>
                <w:rFonts w:cs="Arial"/>
              </w:rPr>
              <w:t>The data are requested and submitted in accordance with the authority of the terms of reference of the Review of Government Service Provision.</w:t>
            </w:r>
          </w:p>
        </w:tc>
      </w:tr>
      <w:tr w:rsidR="00730827" w:rsidTr="00DD3D61">
        <w:tc>
          <w:tcPr>
            <w:tcW w:w="922" w:type="pct"/>
          </w:tcPr>
          <w:p w:rsidR="00730827" w:rsidRPr="00C744E0" w:rsidRDefault="00730827" w:rsidP="00730827">
            <w:pPr>
              <w:pStyle w:val="TableBodyText"/>
              <w:jc w:val="left"/>
              <w:rPr>
                <w:b/>
              </w:rPr>
            </w:pPr>
            <w:r w:rsidRPr="00C744E0">
              <w:rPr>
                <w:b/>
              </w:rPr>
              <w:t>Relevance</w:t>
            </w:r>
          </w:p>
        </w:tc>
        <w:tc>
          <w:tcPr>
            <w:tcW w:w="4078" w:type="pct"/>
          </w:tcPr>
          <w:p w:rsidR="00062F62" w:rsidRDefault="00062F62" w:rsidP="00062F62">
            <w:pPr>
              <w:pStyle w:val="TableBodyText"/>
              <w:jc w:val="both"/>
            </w:pPr>
            <w:r>
              <w:t>‘Fees paid by applicants’ is intended to be an indicator of governments’ achievement against the objective of keeping services accessible through charging affordable court fees for services provided.</w:t>
            </w:r>
          </w:p>
          <w:p w:rsidR="00062F62" w:rsidRDefault="00062F62" w:rsidP="00062F62">
            <w:pPr>
              <w:pStyle w:val="TableBodyText"/>
              <w:jc w:val="both"/>
            </w:pPr>
            <w:r>
              <w:t>However, court fees are only a small component of the broader legal costs incurred by applicants. Given that using the courts is often only practically possible with the assistance of lawyers, this indicator should not be interpreted as an indicator of general accessibility to legal services or processes.</w:t>
            </w:r>
          </w:p>
          <w:p w:rsidR="00A3758E" w:rsidRDefault="00062F62" w:rsidP="00062F62">
            <w:pPr>
              <w:pStyle w:val="TableBodyText"/>
              <w:jc w:val="both"/>
            </w:pPr>
            <w:r w:rsidRPr="002C6D8F">
              <w:t>Also fee structures and the associated bases for charging differ across jurisdictions</w:t>
            </w:r>
            <w:r>
              <w:t>, e.g. corporate entities pay more than individuals</w:t>
            </w:r>
            <w:r w:rsidRPr="002C6D8F">
              <w:t>.</w:t>
            </w:r>
            <w:r>
              <w:t xml:space="preserve"> Jurisdictions also exempt and waive fees in special circumstances and this affects the amounts of fees paid in the </w:t>
            </w:r>
            <w:proofErr w:type="spellStart"/>
            <w:r>
              <w:t>ROGS</w:t>
            </w:r>
            <w:proofErr w:type="spellEnd"/>
            <w:r>
              <w:t xml:space="preserve">. </w:t>
            </w:r>
          </w:p>
          <w:p w:rsidR="00C90BD4" w:rsidRPr="00B96E3E" w:rsidRDefault="00C90BD4" w:rsidP="00062F62">
            <w:pPr>
              <w:pStyle w:val="TableBodyText"/>
              <w:jc w:val="both"/>
            </w:pPr>
          </w:p>
        </w:tc>
      </w:tr>
      <w:tr w:rsidR="00730827" w:rsidTr="00DD3D61">
        <w:tc>
          <w:tcPr>
            <w:tcW w:w="922" w:type="pct"/>
          </w:tcPr>
          <w:p w:rsidR="00730827" w:rsidRPr="00C744E0" w:rsidRDefault="00730827" w:rsidP="00CC2599">
            <w:pPr>
              <w:pStyle w:val="TableBodyText"/>
              <w:jc w:val="both"/>
              <w:rPr>
                <w:b/>
              </w:rPr>
            </w:pPr>
            <w:r w:rsidRPr="00C744E0">
              <w:rPr>
                <w:b/>
              </w:rPr>
              <w:t>Timeliness</w:t>
            </w:r>
          </w:p>
        </w:tc>
        <w:tc>
          <w:tcPr>
            <w:tcW w:w="4078" w:type="pct"/>
          </w:tcPr>
          <w:p w:rsidR="00CC2599" w:rsidRDefault="00CC2599" w:rsidP="00CC2599">
            <w:pPr>
              <w:pStyle w:val="TableBodyText"/>
              <w:keepNext w:val="0"/>
              <w:tabs>
                <w:tab w:val="left" w:pos="369"/>
              </w:tabs>
              <w:ind w:left="369" w:hanging="363"/>
              <w:jc w:val="both"/>
              <w:rPr>
                <w:rFonts w:cs="Arial"/>
              </w:rPr>
            </w:pPr>
            <w:r w:rsidRPr="00952528">
              <w:rPr>
                <w:u w:val="single"/>
              </w:rPr>
              <w:t>Numerator</w:t>
            </w:r>
            <w:r w:rsidRPr="00CE1EFF">
              <w:t xml:space="preserve"> - </w:t>
            </w:r>
            <w:r w:rsidRPr="00314362">
              <w:rPr>
                <w:rFonts w:cs="Arial"/>
              </w:rPr>
              <w:t>Total court fees collected</w:t>
            </w:r>
            <w:r>
              <w:rPr>
                <w:rFonts w:cs="Arial"/>
              </w:rPr>
              <w:t xml:space="preserve"> in a financial year</w:t>
            </w:r>
          </w:p>
          <w:p w:rsidR="00CC2599" w:rsidRDefault="00CC2599" w:rsidP="00CC2599">
            <w:pPr>
              <w:pStyle w:val="TableBodyText"/>
              <w:keepNext w:val="0"/>
              <w:jc w:val="both"/>
            </w:pPr>
            <w:r>
              <w:t>The reference p</w:t>
            </w:r>
            <w:r w:rsidR="00FE0448">
              <w:t>eriod for court fees is the 2012-13</w:t>
            </w:r>
            <w:r>
              <w:t xml:space="preserve"> financial year. Dat</w:t>
            </w:r>
            <w:r w:rsidR="00FE0448">
              <w:t>a are provided in September 2013</w:t>
            </w:r>
            <w:r>
              <w:t>,</w:t>
            </w:r>
            <w:r w:rsidR="00A74563">
              <w:t xml:space="preserve"> for publi</w:t>
            </w:r>
            <w:r w:rsidR="00333779">
              <w:t xml:space="preserve">cation in </w:t>
            </w:r>
            <w:r w:rsidR="00FE0448">
              <w:t>January 2014</w:t>
            </w:r>
            <w:r>
              <w:t>.</w:t>
            </w:r>
          </w:p>
          <w:p w:rsidR="00C90BD4" w:rsidRDefault="00C90BD4" w:rsidP="00CC2599">
            <w:pPr>
              <w:pStyle w:val="TableBodyText"/>
              <w:keepNext w:val="0"/>
              <w:jc w:val="both"/>
            </w:pPr>
          </w:p>
          <w:p w:rsidR="00681AF5" w:rsidRDefault="00681AF5" w:rsidP="00CC2599">
            <w:pPr>
              <w:pStyle w:val="TableBodyText"/>
              <w:keepNext w:val="0"/>
              <w:jc w:val="both"/>
            </w:pPr>
          </w:p>
          <w:p w:rsidR="00CC2599" w:rsidRDefault="00CC2599" w:rsidP="00CC2599">
            <w:pPr>
              <w:pStyle w:val="TableBodyText"/>
              <w:keepNext w:val="0"/>
              <w:jc w:val="both"/>
            </w:pPr>
            <w:r>
              <w:rPr>
                <w:u w:val="single"/>
              </w:rPr>
              <w:lastRenderedPageBreak/>
              <w:t>Denominator</w:t>
            </w:r>
            <w:r>
              <w:t xml:space="preserve"> - Total </w:t>
            </w:r>
            <w:proofErr w:type="spellStart"/>
            <w:r>
              <w:t>lodgments</w:t>
            </w:r>
            <w:proofErr w:type="spellEnd"/>
            <w:r>
              <w:t xml:space="preserve"> in a financial year</w:t>
            </w:r>
          </w:p>
          <w:p w:rsidR="00CC2599" w:rsidRDefault="00CC2599" w:rsidP="00CC2599">
            <w:pPr>
              <w:pStyle w:val="TableBodyText"/>
              <w:keepNext w:val="0"/>
              <w:jc w:val="both"/>
            </w:pPr>
            <w:r>
              <w:t>The reference peri</w:t>
            </w:r>
            <w:r w:rsidR="001A49A9">
              <w:t xml:space="preserve">od for </w:t>
            </w:r>
            <w:proofErr w:type="spellStart"/>
            <w:r w:rsidR="001A49A9">
              <w:t>lodgment</w:t>
            </w:r>
            <w:proofErr w:type="spellEnd"/>
            <w:r w:rsidR="001A49A9">
              <w:t xml:space="preserve"> data is the 2012-13</w:t>
            </w:r>
            <w:r>
              <w:t xml:space="preserve"> financial year. Dat</w:t>
            </w:r>
            <w:r w:rsidR="001A49A9">
              <w:t>a are provided in September 2013</w:t>
            </w:r>
            <w:r>
              <w:t>,</w:t>
            </w:r>
            <w:r w:rsidR="001A49A9">
              <w:t xml:space="preserve"> for publication in January 2014</w:t>
            </w:r>
            <w:r>
              <w:t>.</w:t>
            </w:r>
          </w:p>
          <w:p w:rsidR="00730827" w:rsidRPr="009F199D" w:rsidRDefault="00CC2599" w:rsidP="00CC2599">
            <w:pPr>
              <w:pStyle w:val="TableBodyText"/>
              <w:keepNext w:val="0"/>
              <w:jc w:val="both"/>
            </w:pPr>
            <w:r>
              <w:t>Data can be revised retrospectively up to 5 years later.</w:t>
            </w:r>
          </w:p>
        </w:tc>
      </w:tr>
      <w:tr w:rsidR="00730827" w:rsidTr="00DD3D61">
        <w:tc>
          <w:tcPr>
            <w:tcW w:w="922" w:type="pct"/>
          </w:tcPr>
          <w:p w:rsidR="00730827" w:rsidRPr="00C744E0" w:rsidRDefault="00730827" w:rsidP="00730827">
            <w:pPr>
              <w:pStyle w:val="TableBodyText"/>
              <w:jc w:val="left"/>
              <w:rPr>
                <w:b/>
              </w:rPr>
            </w:pPr>
            <w:r w:rsidRPr="00C744E0">
              <w:rPr>
                <w:b/>
              </w:rPr>
              <w:lastRenderedPageBreak/>
              <w:t>Accuracy</w:t>
            </w:r>
          </w:p>
        </w:tc>
        <w:tc>
          <w:tcPr>
            <w:tcW w:w="4078" w:type="pct"/>
          </w:tcPr>
          <w:p w:rsidR="00CC2599" w:rsidRDefault="00CC2599" w:rsidP="00CC2599">
            <w:pPr>
              <w:pStyle w:val="TableBodyText"/>
              <w:keepNext w:val="0"/>
              <w:tabs>
                <w:tab w:val="left" w:pos="369"/>
              </w:tabs>
              <w:ind w:left="369" w:hanging="363"/>
              <w:jc w:val="both"/>
            </w:pPr>
            <w:r>
              <w:rPr>
                <w:u w:val="single"/>
              </w:rPr>
              <w:t>Numerator</w:t>
            </w:r>
            <w:r>
              <w:t xml:space="preserve"> — Total court fees collected in a financial year</w:t>
            </w:r>
          </w:p>
          <w:p w:rsidR="00CC2599" w:rsidRDefault="00CC2599" w:rsidP="00CC2599">
            <w:pPr>
              <w:pStyle w:val="TableBullet"/>
              <w:numPr>
                <w:ilvl w:val="0"/>
                <w:numId w:val="0"/>
              </w:numPr>
              <w:spacing w:line="220" w:lineRule="exact"/>
              <w:ind w:left="6"/>
              <w:jc w:val="both"/>
            </w:pPr>
            <w:r>
              <w:t>In all jurisdictions the identification of total court fees is done using electronic case management and finance systems.</w:t>
            </w:r>
          </w:p>
          <w:p w:rsidR="00CC2599" w:rsidRDefault="00CC2599" w:rsidP="00CC2599">
            <w:pPr>
              <w:pStyle w:val="TableBullet"/>
              <w:numPr>
                <w:ilvl w:val="0"/>
                <w:numId w:val="0"/>
              </w:numPr>
              <w:jc w:val="both"/>
            </w:pPr>
            <w:r>
              <w:t xml:space="preserve">The data provided are consistent with </w:t>
            </w:r>
            <w:proofErr w:type="spellStart"/>
            <w:r>
              <w:t>ROGS</w:t>
            </w:r>
            <w:proofErr w:type="spellEnd"/>
            <w:r>
              <w:t xml:space="preserve"> counting rules and the requested data reported are for all court levels in each jurisdiction.</w:t>
            </w:r>
          </w:p>
          <w:p w:rsidR="00CC2599" w:rsidRDefault="00CC2599" w:rsidP="00CC2599">
            <w:pPr>
              <w:pStyle w:val="TableBullet"/>
              <w:numPr>
                <w:ilvl w:val="0"/>
                <w:numId w:val="0"/>
              </w:numPr>
              <w:spacing w:line="220" w:lineRule="exact"/>
              <w:ind w:left="6"/>
              <w:jc w:val="both"/>
            </w:pPr>
            <w:r w:rsidRPr="00CF5FA0">
              <w:t xml:space="preserve">The </w:t>
            </w:r>
            <w:r>
              <w:t xml:space="preserve">data are sourced </w:t>
            </w:r>
            <w:r w:rsidRPr="00CF5FA0">
              <w:t xml:space="preserve">from </w:t>
            </w:r>
            <w:r>
              <w:t xml:space="preserve">finance and case management </w:t>
            </w:r>
            <w:r w:rsidRPr="00CF5FA0">
              <w:t>systems, which are subject to the normal legislative financial and administrative controls, reconciliation, and validation processes</w:t>
            </w:r>
            <w:r>
              <w:t xml:space="preserve"> to ensure accuracy. Due to the financial nature of the data it is also independently audited for annual reporting purposes. </w:t>
            </w:r>
          </w:p>
          <w:p w:rsidR="00CC2599" w:rsidRDefault="00CC2599" w:rsidP="00CC2599">
            <w:pPr>
              <w:pStyle w:val="TableBullet"/>
              <w:numPr>
                <w:ilvl w:val="0"/>
                <w:numId w:val="0"/>
              </w:numPr>
              <w:spacing w:line="220" w:lineRule="exact"/>
              <w:ind w:left="6"/>
              <w:jc w:val="both"/>
            </w:pPr>
          </w:p>
          <w:p w:rsidR="00CC2599" w:rsidRDefault="00CC2599" w:rsidP="00CC2599">
            <w:pPr>
              <w:pStyle w:val="TableBodyText"/>
              <w:keepNext w:val="0"/>
              <w:tabs>
                <w:tab w:val="left" w:pos="369"/>
              </w:tabs>
              <w:ind w:left="369" w:hanging="363"/>
              <w:jc w:val="both"/>
            </w:pPr>
            <w:r>
              <w:rPr>
                <w:u w:val="single"/>
              </w:rPr>
              <w:t>Denominator</w:t>
            </w:r>
            <w:r>
              <w:t xml:space="preserve"> — Total </w:t>
            </w:r>
            <w:proofErr w:type="spellStart"/>
            <w:r>
              <w:t>lodgments</w:t>
            </w:r>
            <w:proofErr w:type="spellEnd"/>
            <w:r>
              <w:t xml:space="preserve"> in a financial year</w:t>
            </w:r>
          </w:p>
          <w:p w:rsidR="00730827" w:rsidRDefault="00CC2599" w:rsidP="00CC2599">
            <w:pPr>
              <w:pStyle w:val="TableBodyText"/>
              <w:jc w:val="both"/>
            </w:pPr>
            <w:r>
              <w:t xml:space="preserve">In all jurisdictions the identification of </w:t>
            </w:r>
            <w:proofErr w:type="spellStart"/>
            <w:r>
              <w:t>lodgments</w:t>
            </w:r>
            <w:proofErr w:type="spellEnd"/>
            <w:r>
              <w:t xml:space="preserve"> is done using electronic case management systems. The data provided are consistent with </w:t>
            </w:r>
            <w:proofErr w:type="spellStart"/>
            <w:r>
              <w:t>ROGS</w:t>
            </w:r>
            <w:proofErr w:type="spellEnd"/>
            <w:r>
              <w:t xml:space="preserve"> counting rules and the requested data reported are for all court levels in each jurisdiction.</w:t>
            </w:r>
          </w:p>
          <w:p w:rsidR="00C90BD4" w:rsidRPr="00B96E3E" w:rsidRDefault="003302AE" w:rsidP="00CC2599">
            <w:pPr>
              <w:pStyle w:val="TableBodyText"/>
              <w:jc w:val="both"/>
            </w:pPr>
            <w:r w:rsidRPr="00CF5FA0">
              <w:t xml:space="preserve">The </w:t>
            </w:r>
            <w:r>
              <w:t xml:space="preserve">data are sourced </w:t>
            </w:r>
            <w:r w:rsidRPr="00CF5FA0">
              <w:t xml:space="preserve">from </w:t>
            </w:r>
            <w:r>
              <w:t xml:space="preserve">case management </w:t>
            </w:r>
            <w:r w:rsidRPr="00CF5FA0">
              <w:t>systems, which are subject to the normal administrative controls, reconciliation, and validation processes</w:t>
            </w:r>
            <w:r>
              <w:t xml:space="preserve"> to ensure accuracy.</w:t>
            </w:r>
            <w:r w:rsidR="004F7B50">
              <w:t xml:space="preserve"> Preparation of the data for </w:t>
            </w:r>
            <w:r w:rsidR="009C1776">
              <w:t xml:space="preserve">the </w:t>
            </w:r>
            <w:proofErr w:type="spellStart"/>
            <w:r w:rsidR="009C1776">
              <w:t>RoGS</w:t>
            </w:r>
            <w:proofErr w:type="spellEnd"/>
            <w:r w:rsidR="009C1776">
              <w:t xml:space="preserve"> by courts</w:t>
            </w:r>
            <w:r w:rsidR="004F7B50">
              <w:t xml:space="preserve"> authorities also undergoes checking and verification procedures, including investigation of significant variances with previous years.</w:t>
            </w:r>
          </w:p>
        </w:tc>
      </w:tr>
      <w:tr w:rsidR="00730827" w:rsidTr="00DD3D61">
        <w:tc>
          <w:tcPr>
            <w:tcW w:w="922" w:type="pct"/>
          </w:tcPr>
          <w:p w:rsidR="00730827" w:rsidRPr="00C744E0" w:rsidRDefault="00730827" w:rsidP="00464ABC">
            <w:pPr>
              <w:pStyle w:val="TableBodyText"/>
              <w:keepNext w:val="0"/>
              <w:jc w:val="both"/>
              <w:rPr>
                <w:b/>
              </w:rPr>
            </w:pPr>
            <w:r w:rsidRPr="00C744E0">
              <w:rPr>
                <w:b/>
              </w:rPr>
              <w:t>Coherence</w:t>
            </w:r>
          </w:p>
        </w:tc>
        <w:tc>
          <w:tcPr>
            <w:tcW w:w="4078" w:type="pct"/>
          </w:tcPr>
          <w:p w:rsidR="003302AE" w:rsidRDefault="003302AE" w:rsidP="00464ABC">
            <w:pPr>
              <w:pStyle w:val="TableBodyText"/>
              <w:keepNext w:val="0"/>
              <w:tabs>
                <w:tab w:val="left" w:pos="369"/>
              </w:tabs>
              <w:ind w:left="369" w:hanging="363"/>
              <w:jc w:val="both"/>
            </w:pPr>
            <w:r>
              <w:rPr>
                <w:u w:val="single"/>
              </w:rPr>
              <w:t>Numerator</w:t>
            </w:r>
            <w:r w:rsidRPr="00E40302">
              <w:t xml:space="preserve"> —</w:t>
            </w:r>
            <w:r>
              <w:t>Total court fees collected in a financial year</w:t>
            </w:r>
          </w:p>
          <w:p w:rsidR="003302AE" w:rsidRDefault="003302AE" w:rsidP="00464ABC">
            <w:pPr>
              <w:pStyle w:val="TableBodyText"/>
              <w:keepNext w:val="0"/>
              <w:ind w:left="0" w:firstLine="6"/>
              <w:jc w:val="both"/>
            </w:pPr>
            <w:r>
              <w:t>F</w:t>
            </w:r>
            <w:r w:rsidRPr="00206536">
              <w:t>or the last five years,</w:t>
            </w:r>
            <w:r>
              <w:t xml:space="preserve"> the data have</w:t>
            </w:r>
            <w:r w:rsidRPr="00206536">
              <w:t xml:space="preserve"> been counted and reported</w:t>
            </w:r>
            <w:r>
              <w:t xml:space="preserve"> relatively</w:t>
            </w:r>
            <w:r w:rsidRPr="00206536">
              <w:t xml:space="preserve"> consistently</w:t>
            </w:r>
            <w:r>
              <w:t xml:space="preserve"> and</w:t>
            </w:r>
            <w:r w:rsidRPr="00206536">
              <w:t xml:space="preserve"> no </w:t>
            </w:r>
            <w:r>
              <w:t xml:space="preserve">significant </w:t>
            </w:r>
            <w:r w:rsidRPr="00206536">
              <w:t>factors</w:t>
            </w:r>
            <w:r>
              <w:t xml:space="preserve"> have been identified</w:t>
            </w:r>
            <w:r w:rsidRPr="00206536">
              <w:t xml:space="preserve"> </w:t>
            </w:r>
            <w:r>
              <w:t>which</w:t>
            </w:r>
            <w:r w:rsidRPr="00206536">
              <w:t xml:space="preserve"> have prevented or affected the consistent compilation of time series data</w:t>
            </w:r>
            <w:r>
              <w:t>. Minor exceptions are as follows.</w:t>
            </w:r>
          </w:p>
          <w:p w:rsidR="003302AE" w:rsidRDefault="003302AE" w:rsidP="00464ABC">
            <w:pPr>
              <w:pStyle w:val="TableBodyText"/>
              <w:keepNext w:val="0"/>
              <w:numPr>
                <w:ilvl w:val="0"/>
                <w:numId w:val="42"/>
              </w:numPr>
              <w:jc w:val="both"/>
            </w:pPr>
            <w:r w:rsidRPr="00206536">
              <w:t>In the Federal Court</w:t>
            </w:r>
            <w:r>
              <w:t xml:space="preserve"> of Australia,</w:t>
            </w:r>
            <w:r w:rsidRPr="00206536">
              <w:t xml:space="preserve"> </w:t>
            </w:r>
            <w:r>
              <w:t xml:space="preserve">fees associated with </w:t>
            </w:r>
            <w:r w:rsidRPr="00206536">
              <w:t xml:space="preserve">bankruptcy matters are now excluded from current </w:t>
            </w:r>
            <w:proofErr w:type="spellStart"/>
            <w:r w:rsidRPr="00206536">
              <w:t>ROGS</w:t>
            </w:r>
            <w:proofErr w:type="spellEnd"/>
            <w:r w:rsidRPr="00206536">
              <w:t xml:space="preserve"> data</w:t>
            </w:r>
            <w:r>
              <w:t xml:space="preserve"> </w:t>
            </w:r>
            <w:r w:rsidR="001A49A9">
              <w:t>(they are included in Federal Circuit</w:t>
            </w:r>
            <w:r>
              <w:t xml:space="preserve"> Court data)</w:t>
            </w:r>
            <w:r w:rsidRPr="00206536">
              <w:t>. A</w:t>
            </w:r>
            <w:r>
              <w:t>djustments have been made to Federal Court</w:t>
            </w:r>
            <w:r w:rsidRPr="00206536">
              <w:t xml:space="preserve"> d</w:t>
            </w:r>
            <w:r w:rsidR="001A49A9">
              <w:t xml:space="preserve">ata from </w:t>
            </w:r>
            <w:r>
              <w:t>2008/09.</w:t>
            </w:r>
          </w:p>
          <w:p w:rsidR="001D633C" w:rsidRDefault="001D633C" w:rsidP="00464ABC">
            <w:pPr>
              <w:pStyle w:val="TableBodyText"/>
              <w:keepNext w:val="0"/>
              <w:numPr>
                <w:ilvl w:val="0"/>
                <w:numId w:val="42"/>
              </w:numPr>
              <w:jc w:val="both"/>
            </w:pPr>
            <w:r>
              <w:t>Commencing 1 November 2010 the Australian Government introduced</w:t>
            </w:r>
            <w:r w:rsidR="001B7363">
              <w:t>, with some exceptions,</w:t>
            </w:r>
            <w:r>
              <w:t xml:space="preserve"> that all initiating applications attracted a minimum, or reduced, filing fee amount (if a full fee was not owing) in al</w:t>
            </w:r>
            <w:r w:rsidR="001B7363">
              <w:t>l federal courts.</w:t>
            </w:r>
          </w:p>
          <w:p w:rsidR="003302AE" w:rsidRDefault="001A49A9" w:rsidP="00464ABC">
            <w:pPr>
              <w:pStyle w:val="TableBodyText"/>
              <w:keepNext w:val="0"/>
              <w:numPr>
                <w:ilvl w:val="0"/>
                <w:numId w:val="42"/>
              </w:numPr>
              <w:jc w:val="both"/>
            </w:pPr>
            <w:r>
              <w:t xml:space="preserve">Since </w:t>
            </w:r>
            <w:r w:rsidR="003302AE">
              <w:t xml:space="preserve">the 2011 report, </w:t>
            </w:r>
            <w:r>
              <w:t>the WA Magistrates Court reports</w:t>
            </w:r>
            <w:r w:rsidR="003302AE" w:rsidRPr="004456CD">
              <w:t xml:space="preserve"> revenue (court fees) collected on behalf of the court by the Fines Enforcement Registry (</w:t>
            </w:r>
            <w:smartTag w:uri="urn:schemas-microsoft-com:office:smarttags" w:element="Street">
              <w:smartTag w:uri="urn:schemas-microsoft-com:office:smarttags" w:element="address">
                <w:r w:rsidR="003302AE" w:rsidRPr="004456CD">
                  <w:t>Electronic Court</w:t>
                </w:r>
              </w:smartTag>
            </w:smartTag>
            <w:r w:rsidR="003302AE" w:rsidRPr="004456CD">
              <w:t>). This revenue had previously been rec</w:t>
            </w:r>
            <w:r w:rsidR="003302AE">
              <w:t xml:space="preserve">orded in the </w:t>
            </w:r>
            <w:smartTag w:uri="urn:schemas-microsoft-com:office:smarttags" w:element="Street">
              <w:smartTag w:uri="urn:schemas-microsoft-com:office:smarttags" w:element="address">
                <w:r w:rsidR="003302AE">
                  <w:t>Electronic Court</w:t>
                </w:r>
              </w:smartTag>
            </w:smartTag>
            <w:r w:rsidR="003302AE">
              <w:t xml:space="preserve">. </w:t>
            </w:r>
            <w:r w:rsidR="003302AE" w:rsidRPr="004456CD">
              <w:t xml:space="preserve">Additionally consolidated (or administered) revenue of the </w:t>
            </w:r>
            <w:smartTag w:uri="urn:schemas-microsoft-com:office:smarttags" w:element="Street">
              <w:smartTag w:uri="urn:schemas-microsoft-com:office:smarttags" w:element="address">
                <w:r w:rsidR="003302AE" w:rsidRPr="004456CD">
                  <w:t>Electronic Court</w:t>
                </w:r>
              </w:smartTag>
            </w:smartTag>
            <w:r w:rsidR="003302AE" w:rsidRPr="004456CD">
              <w:t xml:space="preserve"> relating to fines and infri</w:t>
            </w:r>
            <w:r w:rsidR="00C60423">
              <w:t>ngements w</w:t>
            </w:r>
            <w:r w:rsidR="003302AE" w:rsidRPr="004456CD">
              <w:t>as included fo</w:t>
            </w:r>
            <w:r w:rsidR="003302AE">
              <w:t xml:space="preserve">r the first time. </w:t>
            </w:r>
            <w:r w:rsidR="003302AE" w:rsidRPr="004456CD">
              <w:t xml:space="preserve">These changes have been made to bring WA in to line with other </w:t>
            </w:r>
            <w:r w:rsidR="003302AE">
              <w:t>jurisdictions</w:t>
            </w:r>
            <w:r w:rsidR="003302AE" w:rsidRPr="004456CD">
              <w:t xml:space="preserve"> reporting in this area.</w:t>
            </w:r>
          </w:p>
          <w:p w:rsidR="003302AE" w:rsidRPr="00D84159" w:rsidRDefault="003302AE" w:rsidP="00464ABC">
            <w:pPr>
              <w:pStyle w:val="TableBullet"/>
              <w:keepNext w:val="0"/>
              <w:numPr>
                <w:ilvl w:val="0"/>
                <w:numId w:val="0"/>
              </w:numPr>
              <w:jc w:val="both"/>
            </w:pPr>
            <w:r w:rsidRPr="00D84159">
              <w:t xml:space="preserve">In some </w:t>
            </w:r>
            <w:r>
              <w:t>jurisdictions</w:t>
            </w:r>
            <w:r w:rsidRPr="00D84159">
              <w:t xml:space="preserve"> there is an alignment with other publications</w:t>
            </w:r>
            <w:r>
              <w:t xml:space="preserve">, e.g. annual reports, in relation to court fees collected. </w:t>
            </w:r>
            <w:r w:rsidRPr="00D84159">
              <w:t xml:space="preserve">In the </w:t>
            </w:r>
            <w:r>
              <w:t>other jurisdictions</w:t>
            </w:r>
            <w:r w:rsidRPr="00D84159">
              <w:t xml:space="preserve"> there are differences due to the </w:t>
            </w:r>
            <w:proofErr w:type="spellStart"/>
            <w:r w:rsidRPr="00D84159">
              <w:t>ROGS</w:t>
            </w:r>
            <w:proofErr w:type="spellEnd"/>
            <w:r w:rsidRPr="00D84159">
              <w:t xml:space="preserve"> counting rules.</w:t>
            </w:r>
          </w:p>
          <w:p w:rsidR="0078627F" w:rsidRDefault="0078627F" w:rsidP="00464ABC">
            <w:pPr>
              <w:pStyle w:val="TableBodyText"/>
              <w:keepNext w:val="0"/>
              <w:tabs>
                <w:tab w:val="left" w:pos="369"/>
              </w:tabs>
              <w:ind w:left="369" w:hanging="363"/>
              <w:jc w:val="both"/>
              <w:rPr>
                <w:u w:val="single"/>
              </w:rPr>
            </w:pPr>
          </w:p>
          <w:p w:rsidR="003302AE" w:rsidRDefault="003302AE" w:rsidP="00464ABC">
            <w:pPr>
              <w:pStyle w:val="TableBodyText"/>
              <w:keepNext w:val="0"/>
              <w:tabs>
                <w:tab w:val="left" w:pos="369"/>
              </w:tabs>
              <w:ind w:left="369" w:hanging="363"/>
              <w:jc w:val="both"/>
            </w:pPr>
            <w:r w:rsidRPr="00040185">
              <w:rPr>
                <w:u w:val="single"/>
              </w:rPr>
              <w:t>Denominator</w:t>
            </w:r>
            <w:r>
              <w:t xml:space="preserve"> — Total </w:t>
            </w:r>
            <w:proofErr w:type="spellStart"/>
            <w:r>
              <w:t>lodgments</w:t>
            </w:r>
            <w:proofErr w:type="spellEnd"/>
            <w:r>
              <w:t xml:space="preserve"> in a financial year</w:t>
            </w:r>
          </w:p>
          <w:p w:rsidR="003302AE" w:rsidRDefault="003302AE" w:rsidP="00464ABC">
            <w:pPr>
              <w:pStyle w:val="TableBodyText"/>
              <w:keepNext w:val="0"/>
              <w:ind w:left="0" w:firstLine="6"/>
              <w:jc w:val="both"/>
            </w:pPr>
            <w:r>
              <w:t>F</w:t>
            </w:r>
            <w:r w:rsidRPr="00206536">
              <w:t>or t</w:t>
            </w:r>
            <w:r>
              <w:t>he last five years, the data have</w:t>
            </w:r>
            <w:r w:rsidRPr="00206536">
              <w:t xml:space="preserve"> been counted and reported </w:t>
            </w:r>
            <w:r>
              <w:t xml:space="preserve">relatively </w:t>
            </w:r>
            <w:r w:rsidRPr="00206536">
              <w:t>consistently</w:t>
            </w:r>
            <w:r>
              <w:t xml:space="preserve"> and</w:t>
            </w:r>
            <w:r w:rsidRPr="00206536">
              <w:t xml:space="preserve"> no </w:t>
            </w:r>
            <w:r>
              <w:t xml:space="preserve">significant </w:t>
            </w:r>
            <w:r w:rsidRPr="00206536">
              <w:t>factors</w:t>
            </w:r>
            <w:r>
              <w:t xml:space="preserve"> have been identified</w:t>
            </w:r>
            <w:r w:rsidRPr="00206536">
              <w:t xml:space="preserve"> </w:t>
            </w:r>
            <w:r>
              <w:t>which</w:t>
            </w:r>
            <w:r w:rsidRPr="00206536">
              <w:t xml:space="preserve"> have prevented or affected the consistent compilation of time series data</w:t>
            </w:r>
            <w:r>
              <w:t>. Minor exceptions are as follows.</w:t>
            </w:r>
          </w:p>
          <w:p w:rsidR="00B60836" w:rsidRDefault="00B60836" w:rsidP="00464ABC">
            <w:pPr>
              <w:pStyle w:val="TableBodyText"/>
              <w:keepNext w:val="0"/>
              <w:ind w:left="0" w:firstLine="6"/>
              <w:jc w:val="both"/>
            </w:pPr>
          </w:p>
          <w:p w:rsidR="003302AE" w:rsidRDefault="003302AE" w:rsidP="00464ABC">
            <w:pPr>
              <w:pStyle w:val="TableBodyText"/>
              <w:keepNext w:val="0"/>
              <w:numPr>
                <w:ilvl w:val="0"/>
                <w:numId w:val="42"/>
              </w:numPr>
              <w:jc w:val="both"/>
            </w:pPr>
            <w:r w:rsidRPr="00206536">
              <w:lastRenderedPageBreak/>
              <w:t xml:space="preserve">In the Federal Court </w:t>
            </w:r>
            <w:proofErr w:type="spellStart"/>
            <w:r>
              <w:t>lodgments</w:t>
            </w:r>
            <w:proofErr w:type="spellEnd"/>
            <w:r>
              <w:t xml:space="preserve"> associated with </w:t>
            </w:r>
            <w:r w:rsidRPr="00206536">
              <w:t xml:space="preserve">bankruptcy matters are now excluded from current </w:t>
            </w:r>
            <w:proofErr w:type="spellStart"/>
            <w:r w:rsidRPr="00206536">
              <w:t>ROGS</w:t>
            </w:r>
            <w:proofErr w:type="spellEnd"/>
            <w:r w:rsidRPr="00206536">
              <w:t xml:space="preserve"> data. Adjustments have been made to </w:t>
            </w:r>
            <w:r w:rsidR="00E5459B">
              <w:t>the data from 2008</w:t>
            </w:r>
            <w:r w:rsidR="00E96FD9">
              <w:t>-</w:t>
            </w:r>
            <w:r w:rsidR="00E5459B">
              <w:t>09</w:t>
            </w:r>
            <w:r w:rsidRPr="00206536">
              <w:t xml:space="preserve"> </w:t>
            </w:r>
            <w:r w:rsidR="00E96FD9">
              <w:t>onwards</w:t>
            </w:r>
            <w:r w:rsidRPr="00206536">
              <w:t xml:space="preserve">.   </w:t>
            </w:r>
          </w:p>
          <w:p w:rsidR="000C3AC0" w:rsidRDefault="000C3AC0" w:rsidP="00464ABC">
            <w:pPr>
              <w:pStyle w:val="TableBodyText"/>
              <w:keepNext w:val="0"/>
              <w:numPr>
                <w:ilvl w:val="0"/>
                <w:numId w:val="42"/>
              </w:numPr>
              <w:jc w:val="both"/>
            </w:pPr>
            <w:r>
              <w:t xml:space="preserve">In </w:t>
            </w:r>
            <w:smartTag w:uri="urn:schemas-microsoft-com:office:smarttags" w:element="place">
              <w:smartTag w:uri="urn:schemas-microsoft-com:office:smarttags" w:element="State">
                <w:r>
                  <w:t>South Australia</w:t>
                </w:r>
              </w:smartTag>
            </w:smartTag>
            <w:r>
              <w:t xml:space="preserve"> changes in legislation (e.g. offences moving from a court p</w:t>
            </w:r>
            <w:r w:rsidR="00095E5B">
              <w:t>rocess to a</w:t>
            </w:r>
            <w:r>
              <w:t>n infringement process) have impacted on numbers from 2008-09 onwards.</w:t>
            </w:r>
          </w:p>
          <w:p w:rsidR="000C3AC0" w:rsidRDefault="000C3AC0" w:rsidP="00464ABC">
            <w:pPr>
              <w:pStyle w:val="TableBodyText"/>
              <w:keepNext w:val="0"/>
              <w:numPr>
                <w:ilvl w:val="0"/>
                <w:numId w:val="42"/>
              </w:numPr>
              <w:jc w:val="both"/>
            </w:pPr>
            <w:r>
              <w:t xml:space="preserve">Changes to legislation in 2008 in </w:t>
            </w:r>
            <w:smartTag w:uri="urn:schemas-microsoft-com:office:smarttags" w:element="State">
              <w:smartTag w:uri="urn:schemas-microsoft-com:office:smarttags" w:element="place">
                <w:r>
                  <w:t>Tasmania</w:t>
                </w:r>
              </w:smartTag>
            </w:smartTag>
            <w:r>
              <w:t>’s courts have seen a significant number of minor traffic matters (infringement notices) no longer dealt with by the court. These are now enforced by the Monetary Penalties Enforcement Service and are excluded from the data.</w:t>
            </w:r>
          </w:p>
          <w:p w:rsidR="003302AE" w:rsidRDefault="003302AE" w:rsidP="00464ABC">
            <w:pPr>
              <w:pStyle w:val="TableBodyText"/>
              <w:keepNext w:val="0"/>
              <w:numPr>
                <w:ilvl w:val="0"/>
                <w:numId w:val="42"/>
              </w:numPr>
              <w:jc w:val="both"/>
            </w:pPr>
            <w:r>
              <w:t xml:space="preserve">For the 2011 report </w:t>
            </w:r>
            <w:r w:rsidR="00E21372">
              <w:t xml:space="preserve">the </w:t>
            </w:r>
            <w:r w:rsidRPr="004247B2">
              <w:t>WA Coroners Co</w:t>
            </w:r>
            <w:r w:rsidR="00E21372">
              <w:t>urt</w:t>
            </w:r>
            <w:r w:rsidRPr="004247B2">
              <w:t xml:space="preserve"> moved from a manual data collection method to an electronic data collection method</w:t>
            </w:r>
            <w:r>
              <w:t xml:space="preserve">, and in the 2010 report the </w:t>
            </w:r>
            <w:r w:rsidRPr="004247B2">
              <w:t>WA Supreme court revis</w:t>
            </w:r>
            <w:r>
              <w:t>ed</w:t>
            </w:r>
            <w:r w:rsidRPr="004247B2">
              <w:t xml:space="preserve"> </w:t>
            </w:r>
            <w:r>
              <w:t>the</w:t>
            </w:r>
            <w:r w:rsidRPr="004247B2">
              <w:t xml:space="preserve"> bus</w:t>
            </w:r>
            <w:r>
              <w:t xml:space="preserve">iness counting rules </w:t>
            </w:r>
            <w:r w:rsidRPr="004247B2">
              <w:t>to bring data into line with the jurisdiction practices and procedures.</w:t>
            </w:r>
          </w:p>
          <w:p w:rsidR="003302AE" w:rsidRPr="00206536" w:rsidRDefault="007C2C24" w:rsidP="00464ABC">
            <w:pPr>
              <w:pStyle w:val="TableBodyText"/>
              <w:keepNext w:val="0"/>
              <w:numPr>
                <w:ilvl w:val="0"/>
                <w:numId w:val="42"/>
              </w:numPr>
              <w:jc w:val="both"/>
            </w:pPr>
            <w:r>
              <w:t>System-based data were unavailable for 2009-10 for NSW civil appeal data. A manual count was used and continues to be used until system data are restored</w:t>
            </w:r>
            <w:r w:rsidR="003302AE">
              <w:t>.</w:t>
            </w:r>
            <w:r>
              <w:t xml:space="preserve"> For civil non-appeal data, NSW has changed from one electronic system to another — the new system was unable to provide pending caseload data for 2009-10 and so an estimate was used.</w:t>
            </w:r>
          </w:p>
          <w:p w:rsidR="00C90BD4" w:rsidRPr="001A7053" w:rsidRDefault="003302AE" w:rsidP="00464ABC">
            <w:pPr>
              <w:pStyle w:val="TableBodyText"/>
              <w:keepNext w:val="0"/>
              <w:jc w:val="both"/>
            </w:pPr>
            <w:r w:rsidRPr="00D84159">
              <w:t xml:space="preserve">In </w:t>
            </w:r>
            <w:r>
              <w:t>most</w:t>
            </w:r>
            <w:r w:rsidRPr="00D84159">
              <w:t xml:space="preserve"> </w:t>
            </w:r>
            <w:r>
              <w:t>jurisdictions</w:t>
            </w:r>
            <w:r w:rsidRPr="00D84159">
              <w:t xml:space="preserve"> there is an alignment with other publications</w:t>
            </w:r>
            <w:r>
              <w:t xml:space="preserve">, e.g. annual reports, in relation to </w:t>
            </w:r>
            <w:proofErr w:type="spellStart"/>
            <w:r>
              <w:t>lodgments</w:t>
            </w:r>
            <w:proofErr w:type="spellEnd"/>
            <w:r w:rsidRPr="00D84159">
              <w:t xml:space="preserve">. In the </w:t>
            </w:r>
            <w:r>
              <w:t xml:space="preserve">other jurisdictions </w:t>
            </w:r>
            <w:r w:rsidRPr="00D84159">
              <w:t xml:space="preserve">there are differences due to the </w:t>
            </w:r>
            <w:proofErr w:type="spellStart"/>
            <w:r w:rsidRPr="00D84159">
              <w:t>ROGS</w:t>
            </w:r>
            <w:proofErr w:type="spellEnd"/>
            <w:r w:rsidRPr="00D84159">
              <w:t xml:space="preserve"> counting rules.</w:t>
            </w:r>
          </w:p>
        </w:tc>
      </w:tr>
      <w:tr w:rsidR="00730827" w:rsidTr="00DD3D61">
        <w:tc>
          <w:tcPr>
            <w:tcW w:w="922" w:type="pct"/>
          </w:tcPr>
          <w:p w:rsidR="00730827" w:rsidRPr="00C744E0" w:rsidRDefault="00730827" w:rsidP="00464ABC">
            <w:pPr>
              <w:pStyle w:val="TableBodyText"/>
              <w:keepNext w:val="0"/>
              <w:jc w:val="left"/>
              <w:rPr>
                <w:b/>
              </w:rPr>
            </w:pPr>
            <w:r w:rsidRPr="00C744E0">
              <w:rPr>
                <w:b/>
              </w:rPr>
              <w:lastRenderedPageBreak/>
              <w:t>Accessibility</w:t>
            </w:r>
          </w:p>
        </w:tc>
        <w:tc>
          <w:tcPr>
            <w:tcW w:w="4078" w:type="pct"/>
          </w:tcPr>
          <w:p w:rsidR="003302AE" w:rsidRDefault="003302AE" w:rsidP="00464ABC">
            <w:pPr>
              <w:pStyle w:val="TableBodyText"/>
              <w:keepNext w:val="0"/>
              <w:tabs>
                <w:tab w:val="left" w:pos="369"/>
              </w:tabs>
              <w:ind w:left="369" w:hanging="363"/>
              <w:jc w:val="both"/>
            </w:pPr>
            <w:r>
              <w:rPr>
                <w:u w:val="single"/>
              </w:rPr>
              <w:t>Numerator</w:t>
            </w:r>
            <w:r>
              <w:t xml:space="preserve"> — Total court fees collected in a financial year</w:t>
            </w:r>
          </w:p>
          <w:p w:rsidR="003302AE" w:rsidRDefault="003302AE" w:rsidP="00464ABC">
            <w:pPr>
              <w:pStyle w:val="TableBodyText"/>
              <w:keepNext w:val="0"/>
              <w:jc w:val="both"/>
            </w:pPr>
            <w:r>
              <w:t xml:space="preserve">Data on court fees are supplied for the </w:t>
            </w:r>
            <w:proofErr w:type="spellStart"/>
            <w:r>
              <w:t>RoGS</w:t>
            </w:r>
            <w:proofErr w:type="spellEnd"/>
            <w:r>
              <w:t xml:space="preserve"> according to the specific </w:t>
            </w:r>
            <w:proofErr w:type="spellStart"/>
            <w:r>
              <w:t>RoGS</w:t>
            </w:r>
            <w:proofErr w:type="spellEnd"/>
            <w:r>
              <w:t xml:space="preserve"> counting rules. O</w:t>
            </w:r>
            <w:r w:rsidRPr="00427A31">
              <w:t xml:space="preserve">ther data on </w:t>
            </w:r>
            <w:r>
              <w:t>court fees</w:t>
            </w:r>
            <w:r w:rsidRPr="00427A31">
              <w:t xml:space="preserve"> can be accessed through annual reports and court websites wi</w:t>
            </w:r>
            <w:r>
              <w:t>thin most jurisdictions</w:t>
            </w:r>
            <w:r w:rsidRPr="00D84159">
              <w:t xml:space="preserve"> </w:t>
            </w:r>
            <w:r>
              <w:t>and i</w:t>
            </w:r>
            <w:r w:rsidRPr="00D84159">
              <w:t xml:space="preserve">n </w:t>
            </w:r>
            <w:r>
              <w:t>most</w:t>
            </w:r>
            <w:r w:rsidRPr="00D84159">
              <w:t xml:space="preserve"> </w:t>
            </w:r>
            <w:r>
              <w:t>jurisdictions</w:t>
            </w:r>
            <w:r w:rsidRPr="00D84159">
              <w:t xml:space="preserve"> there is an alignment with other publications</w:t>
            </w:r>
            <w:r>
              <w:t>, e.g. annual reports, in relation to court fees.</w:t>
            </w:r>
          </w:p>
          <w:p w:rsidR="003302AE" w:rsidRDefault="003302AE" w:rsidP="00464ABC">
            <w:pPr>
              <w:pStyle w:val="TableBodyText"/>
              <w:keepNext w:val="0"/>
              <w:jc w:val="both"/>
            </w:pPr>
            <w:r>
              <w:t xml:space="preserve">However, some data obtained from these other sources in some jurisdictions may not align with the </w:t>
            </w:r>
            <w:proofErr w:type="spellStart"/>
            <w:r>
              <w:t>ROGS</w:t>
            </w:r>
            <w:proofErr w:type="spellEnd"/>
            <w:r>
              <w:t xml:space="preserve"> due to the specific </w:t>
            </w:r>
            <w:proofErr w:type="spellStart"/>
            <w:r>
              <w:t>ROGS</w:t>
            </w:r>
            <w:proofErr w:type="spellEnd"/>
            <w:r>
              <w:t xml:space="preserve"> counting rules.</w:t>
            </w:r>
          </w:p>
          <w:p w:rsidR="003302AE" w:rsidRPr="00FD11D9" w:rsidRDefault="003302AE" w:rsidP="00464ABC">
            <w:pPr>
              <w:pStyle w:val="TableBodyText"/>
              <w:keepNext w:val="0"/>
              <w:ind w:left="0"/>
              <w:jc w:val="both"/>
              <w:rPr>
                <w:b/>
              </w:rPr>
            </w:pPr>
          </w:p>
          <w:p w:rsidR="003302AE" w:rsidRDefault="003302AE" w:rsidP="00464ABC">
            <w:pPr>
              <w:pStyle w:val="TableBodyText"/>
              <w:keepNext w:val="0"/>
              <w:tabs>
                <w:tab w:val="left" w:pos="369"/>
              </w:tabs>
              <w:ind w:left="369" w:hanging="363"/>
              <w:jc w:val="both"/>
            </w:pPr>
            <w:r w:rsidRPr="00040185">
              <w:rPr>
                <w:u w:val="single"/>
              </w:rPr>
              <w:t>Denominator</w:t>
            </w:r>
            <w:r>
              <w:t xml:space="preserve"> — Total </w:t>
            </w:r>
            <w:proofErr w:type="spellStart"/>
            <w:r>
              <w:t>lodgments</w:t>
            </w:r>
            <w:proofErr w:type="spellEnd"/>
            <w:r>
              <w:t xml:space="preserve"> in a financial year</w:t>
            </w:r>
          </w:p>
          <w:p w:rsidR="00730827" w:rsidRPr="001A7053" w:rsidRDefault="003302AE" w:rsidP="00464ABC">
            <w:pPr>
              <w:pStyle w:val="TableBodyText"/>
              <w:keepNext w:val="0"/>
              <w:jc w:val="both"/>
            </w:pPr>
            <w:r>
              <w:t xml:space="preserve">Data on court </w:t>
            </w:r>
            <w:proofErr w:type="spellStart"/>
            <w:r>
              <w:t>lodgments</w:t>
            </w:r>
            <w:proofErr w:type="spellEnd"/>
            <w:r>
              <w:t xml:space="preserve"> are supplied for the </w:t>
            </w:r>
            <w:proofErr w:type="spellStart"/>
            <w:r>
              <w:t>RoGS</w:t>
            </w:r>
            <w:proofErr w:type="spellEnd"/>
            <w:r>
              <w:t xml:space="preserve"> according to the specific </w:t>
            </w:r>
            <w:proofErr w:type="spellStart"/>
            <w:r>
              <w:t>RoGS</w:t>
            </w:r>
            <w:proofErr w:type="spellEnd"/>
            <w:r>
              <w:t xml:space="preserve"> counting rules. In many cases</w:t>
            </w:r>
            <w:r w:rsidRPr="00D84159">
              <w:t xml:space="preserve"> </w:t>
            </w:r>
            <w:r>
              <w:t xml:space="preserve">the </w:t>
            </w:r>
            <w:proofErr w:type="spellStart"/>
            <w:r>
              <w:t>RoGS</w:t>
            </w:r>
            <w:proofErr w:type="spellEnd"/>
            <w:r w:rsidRPr="00D84159">
              <w:t xml:space="preserve"> align</w:t>
            </w:r>
            <w:r>
              <w:t>s</w:t>
            </w:r>
            <w:r w:rsidRPr="00D84159">
              <w:t xml:space="preserve"> with</w:t>
            </w:r>
            <w:r>
              <w:t xml:space="preserve"> data published in</w:t>
            </w:r>
            <w:r w:rsidRPr="00D84159">
              <w:t xml:space="preserve"> </w:t>
            </w:r>
            <w:r>
              <w:t xml:space="preserve">jurisdictional reports, e.g. annual reports. Some jurisdictions may also publish different data which may not align with </w:t>
            </w:r>
            <w:proofErr w:type="spellStart"/>
            <w:r>
              <w:t>RoGS</w:t>
            </w:r>
            <w:proofErr w:type="spellEnd"/>
            <w:r>
              <w:t>.</w:t>
            </w:r>
          </w:p>
        </w:tc>
      </w:tr>
      <w:tr w:rsidR="00730827" w:rsidTr="00DD3D61">
        <w:tc>
          <w:tcPr>
            <w:tcW w:w="922" w:type="pct"/>
          </w:tcPr>
          <w:p w:rsidR="00730827" w:rsidRPr="00C744E0" w:rsidRDefault="00730827" w:rsidP="00464ABC">
            <w:pPr>
              <w:pStyle w:val="TableBodyText"/>
              <w:keepNext w:val="0"/>
              <w:jc w:val="left"/>
              <w:rPr>
                <w:b/>
              </w:rPr>
            </w:pPr>
            <w:r w:rsidRPr="00C744E0">
              <w:rPr>
                <w:b/>
              </w:rPr>
              <w:t>Interpretability</w:t>
            </w:r>
          </w:p>
        </w:tc>
        <w:tc>
          <w:tcPr>
            <w:tcW w:w="4078" w:type="pct"/>
          </w:tcPr>
          <w:p w:rsidR="003302AE" w:rsidRDefault="003302AE" w:rsidP="00464ABC">
            <w:pPr>
              <w:pStyle w:val="TableBodyText"/>
              <w:keepNext w:val="0"/>
              <w:tabs>
                <w:tab w:val="left" w:pos="369"/>
              </w:tabs>
              <w:ind w:left="369" w:hanging="363"/>
              <w:jc w:val="both"/>
            </w:pPr>
            <w:r>
              <w:rPr>
                <w:u w:val="single"/>
              </w:rPr>
              <w:t>Numerator</w:t>
            </w:r>
          </w:p>
          <w:p w:rsidR="003302AE" w:rsidRDefault="003302AE" w:rsidP="00464ABC">
            <w:pPr>
              <w:pStyle w:val="TableBullet"/>
              <w:keepNext w:val="0"/>
              <w:numPr>
                <w:ilvl w:val="0"/>
                <w:numId w:val="42"/>
              </w:numPr>
              <w:spacing w:line="220" w:lineRule="exact"/>
              <w:jc w:val="both"/>
            </w:pPr>
            <w:r>
              <w:t>Total court fees collected in a financial year</w:t>
            </w:r>
          </w:p>
          <w:p w:rsidR="003302AE" w:rsidRPr="00040185" w:rsidRDefault="003302AE" w:rsidP="00464ABC">
            <w:pPr>
              <w:pStyle w:val="TableBodyText"/>
              <w:keepNext w:val="0"/>
              <w:tabs>
                <w:tab w:val="left" w:pos="369"/>
              </w:tabs>
              <w:ind w:left="369" w:hanging="363"/>
              <w:jc w:val="both"/>
              <w:rPr>
                <w:u w:val="single"/>
              </w:rPr>
            </w:pPr>
            <w:r w:rsidRPr="00040185">
              <w:rPr>
                <w:u w:val="single"/>
              </w:rPr>
              <w:t>Denominator</w:t>
            </w:r>
          </w:p>
          <w:p w:rsidR="003302AE" w:rsidRDefault="003302AE" w:rsidP="00464ABC">
            <w:pPr>
              <w:pStyle w:val="TableBullet"/>
              <w:keepNext w:val="0"/>
              <w:numPr>
                <w:ilvl w:val="0"/>
                <w:numId w:val="42"/>
              </w:numPr>
              <w:spacing w:line="220" w:lineRule="exact"/>
              <w:jc w:val="both"/>
            </w:pPr>
            <w:r>
              <w:t xml:space="preserve">Total </w:t>
            </w:r>
            <w:proofErr w:type="spellStart"/>
            <w:r>
              <w:t>lodgments</w:t>
            </w:r>
            <w:proofErr w:type="spellEnd"/>
            <w:r>
              <w:t xml:space="preserve"> in a financial year</w:t>
            </w:r>
          </w:p>
          <w:p w:rsidR="00730827" w:rsidRPr="001A7053" w:rsidRDefault="003302AE" w:rsidP="00464ABC">
            <w:pPr>
              <w:pStyle w:val="TableBodyText"/>
              <w:keepNext w:val="0"/>
              <w:jc w:val="both"/>
            </w:pPr>
            <w:r>
              <w:rPr>
                <w:rFonts w:ascii="Helvetica" w:hAnsi="Helvetica"/>
                <w:lang w:val="en"/>
              </w:rPr>
              <w:t>Contextual information for fees collected and lodgment data are prov</w:t>
            </w:r>
            <w:r w:rsidR="009C1776">
              <w:rPr>
                <w:rFonts w:ascii="Helvetica" w:hAnsi="Helvetica"/>
                <w:lang w:val="en"/>
              </w:rPr>
              <w:t>ided in the Courts</w:t>
            </w:r>
            <w:r>
              <w:rPr>
                <w:rFonts w:ascii="Helvetica" w:hAnsi="Helvetica"/>
                <w:lang w:val="en"/>
              </w:rPr>
              <w:t xml:space="preserve"> chapter and attachment tables.</w:t>
            </w:r>
          </w:p>
        </w:tc>
      </w:tr>
      <w:tr w:rsidR="00730827" w:rsidTr="00730827">
        <w:tc>
          <w:tcPr>
            <w:tcW w:w="5000" w:type="pct"/>
            <w:gridSpan w:val="2"/>
            <w:shd w:val="clear" w:color="auto" w:fill="auto"/>
          </w:tcPr>
          <w:p w:rsidR="00404F8B" w:rsidRDefault="00404F8B" w:rsidP="00730827">
            <w:pPr>
              <w:pStyle w:val="TableBodyText"/>
              <w:jc w:val="left"/>
              <w:rPr>
                <w:b/>
                <w:u w:val="single"/>
              </w:rPr>
            </w:pPr>
          </w:p>
          <w:p w:rsidR="00730827" w:rsidRPr="00C744E0" w:rsidRDefault="00730827" w:rsidP="00730827">
            <w:pPr>
              <w:pStyle w:val="TableBodyText"/>
              <w:jc w:val="left"/>
              <w:rPr>
                <w:b/>
                <w:u w:val="single"/>
              </w:rPr>
            </w:pPr>
            <w:r w:rsidRPr="00C744E0">
              <w:rPr>
                <w:b/>
                <w:u w:val="single"/>
              </w:rPr>
              <w:t>Data Gaps/Issues Analysis</w:t>
            </w:r>
          </w:p>
        </w:tc>
      </w:tr>
      <w:tr w:rsidR="00730827" w:rsidTr="00DD3D61">
        <w:tc>
          <w:tcPr>
            <w:tcW w:w="922" w:type="pct"/>
            <w:shd w:val="clear" w:color="auto" w:fill="auto"/>
          </w:tcPr>
          <w:p w:rsidR="00730827" w:rsidRPr="00C744E0" w:rsidRDefault="00730827" w:rsidP="00730827">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730827" w:rsidRDefault="00730827" w:rsidP="003302AE">
            <w:pPr>
              <w:pStyle w:val="TableBodyText"/>
              <w:jc w:val="both"/>
            </w:pPr>
            <w:r w:rsidRPr="00B96E3E">
              <w:t xml:space="preserve">The Steering Committee notes the following key data gaps/issues: </w:t>
            </w:r>
          </w:p>
          <w:p w:rsidR="00730827" w:rsidRPr="00B96E3E" w:rsidRDefault="003302AE" w:rsidP="00E5459B">
            <w:pPr>
              <w:pStyle w:val="TableBullet"/>
              <w:jc w:val="both"/>
            </w:pPr>
            <w:r>
              <w:t xml:space="preserve">While ‘fees paid by applicants’ is an indicator of accessibility to court services, a large proportion of civil matters in the federal courts have fees exempted or waived under certain circumstances. State and territory courts to a lesser extent also exempt and waive some fees. The </w:t>
            </w:r>
            <w:proofErr w:type="spellStart"/>
            <w:r>
              <w:t>lodgments</w:t>
            </w:r>
            <w:proofErr w:type="spellEnd"/>
            <w:r>
              <w:t xml:space="preserve"> for which no fees are paid are included in the total </w:t>
            </w:r>
            <w:proofErr w:type="spellStart"/>
            <w:r>
              <w:t>lodgments</w:t>
            </w:r>
            <w:proofErr w:type="spellEnd"/>
            <w:r>
              <w:t xml:space="preserve"> data which diminishes the reported average fees paid per </w:t>
            </w:r>
            <w:proofErr w:type="spellStart"/>
            <w:r>
              <w:t>lodgment</w:t>
            </w:r>
            <w:proofErr w:type="spellEnd"/>
            <w:r>
              <w:t xml:space="preserve">. If no-fee </w:t>
            </w:r>
            <w:proofErr w:type="spellStart"/>
            <w:r>
              <w:t>lodgments</w:t>
            </w:r>
            <w:proofErr w:type="spellEnd"/>
            <w:r>
              <w:t xml:space="preserve"> were excluded</w:t>
            </w:r>
            <w:r w:rsidR="00E5459B">
              <w:t>, or if reliable data could be collected on fees waived and exempted</w:t>
            </w:r>
            <w:r>
              <w:t xml:space="preserve"> a better comparison of affordability would be achieved.</w:t>
            </w:r>
          </w:p>
        </w:tc>
      </w:tr>
    </w:tbl>
    <w:p w:rsidR="00016770" w:rsidRPr="00016770" w:rsidRDefault="00016770" w:rsidP="00016770">
      <w:pPr>
        <w:pStyle w:val="Heading3"/>
        <w:spacing w:before="120"/>
      </w:pPr>
      <w:r>
        <w:br w:type="page"/>
      </w:r>
      <w:bookmarkStart w:id="10" w:name="_Toc338344189"/>
      <w:r w:rsidRPr="00016770">
        <w:lastRenderedPageBreak/>
        <w:t>Judicial officers (as expressed per 100 000 population)</w:t>
      </w:r>
      <w:bookmarkEnd w:id="10"/>
    </w:p>
    <w:p w:rsidR="00016770" w:rsidRPr="00101653" w:rsidRDefault="00016770" w:rsidP="00016770">
      <w:pPr>
        <w:pStyle w:val="Box"/>
      </w:pPr>
      <w:r w:rsidRPr="00016770">
        <w:t>Data quality information for this indicator has been drafted by the Secretariat in consultation with the Court</w:t>
      </w:r>
      <w:r w:rsidR="009C1776">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016770" w:rsidTr="00016770">
        <w:tc>
          <w:tcPr>
            <w:tcW w:w="5000" w:type="pct"/>
            <w:gridSpan w:val="2"/>
          </w:tcPr>
          <w:p w:rsidR="00016770" w:rsidRDefault="00016770" w:rsidP="00016770">
            <w:pPr>
              <w:pStyle w:val="TableBodyText"/>
              <w:jc w:val="both"/>
              <w:rPr>
                <w:b/>
                <w:u w:val="single"/>
              </w:rPr>
            </w:pPr>
          </w:p>
          <w:p w:rsidR="00016770" w:rsidRDefault="00016770" w:rsidP="00016770">
            <w:pPr>
              <w:pStyle w:val="TableBodyText"/>
              <w:jc w:val="both"/>
            </w:pPr>
            <w:r w:rsidRPr="007D0BFD">
              <w:rPr>
                <w:b/>
                <w:u w:val="single"/>
              </w:rPr>
              <w:t>Indicator definition and description</w:t>
            </w:r>
            <w:r>
              <w:rPr>
                <w:rFonts w:cs="Arial"/>
                <w:b/>
                <w:sz w:val="22"/>
                <w:szCs w:val="22"/>
                <w:u w:val="single"/>
              </w:rPr>
              <w:t xml:space="preserve"> </w:t>
            </w:r>
          </w:p>
        </w:tc>
      </w:tr>
      <w:tr w:rsidR="002E75EF" w:rsidTr="00016770">
        <w:tc>
          <w:tcPr>
            <w:tcW w:w="922" w:type="pct"/>
          </w:tcPr>
          <w:p w:rsidR="002E75EF" w:rsidRPr="00C744E0" w:rsidRDefault="002E75EF" w:rsidP="002E75EF">
            <w:pPr>
              <w:pStyle w:val="TableBodyText"/>
              <w:jc w:val="left"/>
              <w:rPr>
                <w:b/>
              </w:rPr>
            </w:pPr>
            <w:r w:rsidRPr="00C744E0">
              <w:rPr>
                <w:b/>
              </w:rPr>
              <w:t>Element</w:t>
            </w:r>
          </w:p>
        </w:tc>
        <w:tc>
          <w:tcPr>
            <w:tcW w:w="4078" w:type="pct"/>
          </w:tcPr>
          <w:p w:rsidR="002E75EF" w:rsidRPr="00A1569C" w:rsidRDefault="002E75EF" w:rsidP="009C1776">
            <w:pPr>
              <w:pStyle w:val="TableBodyText"/>
              <w:jc w:val="both"/>
            </w:pPr>
            <w:r>
              <w:t>Co</w:t>
            </w:r>
            <w:r w:rsidR="0051376F">
              <w:t>urt</w:t>
            </w:r>
            <w:r w:rsidR="009C1776">
              <w:t>s</w:t>
            </w:r>
            <w:r w:rsidR="0051376F">
              <w:t xml:space="preserve"> Equity</w:t>
            </w:r>
            <w:r>
              <w:t xml:space="preserve"> – Access – Geographical access</w:t>
            </w:r>
          </w:p>
        </w:tc>
      </w:tr>
      <w:tr w:rsidR="002E75EF" w:rsidTr="00016770">
        <w:tc>
          <w:tcPr>
            <w:tcW w:w="922" w:type="pct"/>
          </w:tcPr>
          <w:p w:rsidR="002E75EF" w:rsidRPr="00C744E0" w:rsidRDefault="002E75EF" w:rsidP="002E75EF">
            <w:pPr>
              <w:pStyle w:val="TableBodyText"/>
              <w:jc w:val="left"/>
              <w:rPr>
                <w:b/>
              </w:rPr>
            </w:pPr>
            <w:r w:rsidRPr="00C744E0">
              <w:rPr>
                <w:b/>
              </w:rPr>
              <w:t>Indicator</w:t>
            </w:r>
          </w:p>
        </w:tc>
        <w:tc>
          <w:tcPr>
            <w:tcW w:w="4078" w:type="pct"/>
          </w:tcPr>
          <w:p w:rsidR="002E75EF" w:rsidRPr="00E17A32" w:rsidRDefault="002E75EF" w:rsidP="00406582">
            <w:pPr>
              <w:pStyle w:val="TableBodyText"/>
              <w:jc w:val="both"/>
            </w:pPr>
            <w:r>
              <w:t>Judicial officers (as expressed per 100 000 population)</w:t>
            </w:r>
          </w:p>
        </w:tc>
      </w:tr>
      <w:tr w:rsidR="00016770" w:rsidTr="00016770">
        <w:tc>
          <w:tcPr>
            <w:tcW w:w="922" w:type="pct"/>
          </w:tcPr>
          <w:p w:rsidR="00016770" w:rsidRPr="00C744E0" w:rsidRDefault="00016770" w:rsidP="00016770">
            <w:pPr>
              <w:pStyle w:val="TableBodyText"/>
              <w:jc w:val="left"/>
              <w:rPr>
                <w:b/>
              </w:rPr>
            </w:pPr>
            <w:r w:rsidRPr="00C744E0">
              <w:rPr>
                <w:b/>
              </w:rPr>
              <w:t>Measure (computation)</w:t>
            </w:r>
          </w:p>
        </w:tc>
        <w:tc>
          <w:tcPr>
            <w:tcW w:w="4078" w:type="pct"/>
          </w:tcPr>
          <w:p w:rsidR="007B6817" w:rsidRDefault="007B6817" w:rsidP="00406582">
            <w:pPr>
              <w:pStyle w:val="TableBodyText"/>
              <w:jc w:val="both"/>
            </w:pPr>
            <w:r>
              <w:t>‘Judicial officers’ are officers who can make enforceable orders of the court. This can include judges, associate judges, magistrates, coroners and judicial registrars. The number of judicial officers is expressed in full time equivalent units and, where judicial officers have both judicial and non-judicial work, refers to the proportion of time allocated to judicial work. The number of judicial officers is also presented in comparison to the population.</w:t>
            </w:r>
          </w:p>
          <w:p w:rsidR="007B6817" w:rsidRDefault="007B6817" w:rsidP="00406582">
            <w:pPr>
              <w:pStyle w:val="TableBodyText"/>
              <w:jc w:val="both"/>
            </w:pPr>
            <w:r>
              <w:rPr>
                <w:u w:val="single"/>
              </w:rPr>
              <w:t>Numerator</w:t>
            </w:r>
            <w:r>
              <w:t xml:space="preserve"> is defined as:</w:t>
            </w:r>
          </w:p>
          <w:p w:rsidR="007B6817" w:rsidRDefault="007B6817" w:rsidP="00406582">
            <w:pPr>
              <w:pStyle w:val="TableBullet"/>
              <w:numPr>
                <w:ilvl w:val="0"/>
                <w:numId w:val="42"/>
              </w:numPr>
              <w:spacing w:line="220" w:lineRule="exact"/>
              <w:jc w:val="both"/>
            </w:pPr>
            <w:r>
              <w:t>Number of full time equivalent judicial officers</w:t>
            </w:r>
          </w:p>
          <w:p w:rsidR="007B6817" w:rsidRPr="005D4651" w:rsidRDefault="007B6817" w:rsidP="00406582">
            <w:pPr>
              <w:pStyle w:val="TableBodyText"/>
              <w:jc w:val="both"/>
            </w:pPr>
            <w:r>
              <w:rPr>
                <w:u w:val="single"/>
              </w:rPr>
              <w:t>Denominator</w:t>
            </w:r>
            <w:r>
              <w:t xml:space="preserve"> is defined as:</w:t>
            </w:r>
          </w:p>
          <w:p w:rsidR="007B6817" w:rsidRPr="008F7404" w:rsidRDefault="007B6817" w:rsidP="00406582">
            <w:pPr>
              <w:pStyle w:val="TableBullet"/>
              <w:numPr>
                <w:ilvl w:val="0"/>
                <w:numId w:val="42"/>
              </w:numPr>
              <w:spacing w:line="220" w:lineRule="exact"/>
              <w:jc w:val="both"/>
            </w:pPr>
            <w:r>
              <w:t>Estimated residential population in jurisdiction as at 31 December</w:t>
            </w:r>
          </w:p>
          <w:p w:rsidR="00016770" w:rsidRPr="00B96E3E" w:rsidRDefault="007B6817" w:rsidP="00406582">
            <w:pPr>
              <w:pStyle w:val="TableBodyText"/>
              <w:jc w:val="both"/>
            </w:pPr>
            <w:r>
              <w:t>Expressed as rate: calculation is 100 000 x (Numerator / Denominator)</w:t>
            </w:r>
          </w:p>
        </w:tc>
      </w:tr>
      <w:tr w:rsidR="00016770" w:rsidTr="00016770">
        <w:tc>
          <w:tcPr>
            <w:tcW w:w="922" w:type="pct"/>
          </w:tcPr>
          <w:p w:rsidR="00016770" w:rsidRPr="00C744E0" w:rsidRDefault="00016770" w:rsidP="00016770">
            <w:pPr>
              <w:pStyle w:val="TableBodyText"/>
              <w:jc w:val="left"/>
              <w:rPr>
                <w:b/>
              </w:rPr>
            </w:pPr>
            <w:r w:rsidRPr="00C744E0">
              <w:rPr>
                <w:b/>
              </w:rPr>
              <w:t>Data source/s</w:t>
            </w:r>
          </w:p>
        </w:tc>
        <w:tc>
          <w:tcPr>
            <w:tcW w:w="4078" w:type="pct"/>
          </w:tcPr>
          <w:p w:rsidR="007B6817" w:rsidRPr="005267AF" w:rsidRDefault="007B6817" w:rsidP="00406582">
            <w:pPr>
              <w:pStyle w:val="TableBodyText"/>
              <w:jc w:val="both"/>
              <w:rPr>
                <w:u w:val="single"/>
              </w:rPr>
            </w:pPr>
            <w:r>
              <w:rPr>
                <w:u w:val="single"/>
              </w:rPr>
              <w:t>Numerator</w:t>
            </w:r>
          </w:p>
          <w:p w:rsidR="007B6817" w:rsidRDefault="007B6817" w:rsidP="00406582">
            <w:pPr>
              <w:pStyle w:val="TableBodyText"/>
              <w:jc w:val="both"/>
            </w:pPr>
            <w:r>
              <w:t>Judicial officers data</w:t>
            </w:r>
            <w:r w:rsidRPr="00C34F8E">
              <w:t xml:space="preserve"> are sourced from</w:t>
            </w:r>
            <w:r>
              <w:t xml:space="preserve"> administrative data collected by</w:t>
            </w:r>
            <w:r w:rsidRPr="00C34F8E">
              <w:t xml:space="preserve"> </w:t>
            </w:r>
            <w:r>
              <w:t>Australian, State and Territory court</w:t>
            </w:r>
            <w:r w:rsidR="0001275F">
              <w:t>s</w:t>
            </w:r>
            <w:r>
              <w:t xml:space="preserve"> authorities and departments.</w:t>
            </w:r>
          </w:p>
          <w:p w:rsidR="007B6817" w:rsidRDefault="007B6817" w:rsidP="00406582">
            <w:pPr>
              <w:pStyle w:val="TableBodyText"/>
              <w:jc w:val="both"/>
              <w:rPr>
                <w:u w:val="single"/>
              </w:rPr>
            </w:pPr>
            <w:r>
              <w:rPr>
                <w:u w:val="single"/>
              </w:rPr>
              <w:t>Denominator</w:t>
            </w:r>
          </w:p>
          <w:p w:rsidR="00016770" w:rsidRPr="00B96E3E" w:rsidRDefault="007B6817" w:rsidP="000716D9">
            <w:pPr>
              <w:pStyle w:val="TableBodyText"/>
              <w:jc w:val="both"/>
            </w:pPr>
            <w:r>
              <w:t>ABS (Austr</w:t>
            </w:r>
            <w:r w:rsidR="000716D9">
              <w:t>alian Bureau of Statistics) (unpublished) 2013</w:t>
            </w:r>
            <w:r>
              <w:t xml:space="preserve"> and previous years, </w:t>
            </w:r>
            <w:r>
              <w:rPr>
                <w:i/>
              </w:rPr>
              <w:t>Australian Demog</w:t>
            </w:r>
            <w:r w:rsidR="004F5DC6">
              <w:rPr>
                <w:i/>
              </w:rPr>
              <w:t>raphic Statistic</w:t>
            </w:r>
            <w:r w:rsidR="000716D9">
              <w:rPr>
                <w:i/>
              </w:rPr>
              <w:t>s</w:t>
            </w:r>
            <w:r>
              <w:t xml:space="preserve">, Cat no. 3101.0, </w:t>
            </w:r>
            <w:smartTag w:uri="urn:schemas-microsoft-com:office:smarttags" w:element="place">
              <w:smartTag w:uri="urn:schemas-microsoft-com:office:smarttags" w:element="City">
                <w:r>
                  <w:t>Canberra</w:t>
                </w:r>
              </w:smartTag>
            </w:smartTag>
            <w:r>
              <w:t xml:space="preserve">. For more detail about the population data used in the Report see </w:t>
            </w:r>
            <w:proofErr w:type="spellStart"/>
            <w:r>
              <w:t>RoGS</w:t>
            </w:r>
            <w:proofErr w:type="spellEnd"/>
            <w:r>
              <w:t xml:space="preserve"> Attachment Tabl</w:t>
            </w:r>
            <w:r w:rsidR="000716D9">
              <w:t xml:space="preserve">e </w:t>
            </w:r>
            <w:proofErr w:type="spellStart"/>
            <w:r>
              <w:t>2</w:t>
            </w:r>
            <w:r w:rsidR="000716D9">
              <w:t>A</w:t>
            </w:r>
            <w:proofErr w:type="spellEnd"/>
            <w:r w:rsidR="000716D9">
              <w:t xml:space="preserve"> statistical context</w:t>
            </w:r>
            <w:r>
              <w:t>)</w:t>
            </w:r>
          </w:p>
        </w:tc>
      </w:tr>
      <w:tr w:rsidR="00016770" w:rsidTr="00016770">
        <w:tc>
          <w:tcPr>
            <w:tcW w:w="5000" w:type="pct"/>
            <w:gridSpan w:val="2"/>
          </w:tcPr>
          <w:p w:rsidR="00016770" w:rsidRDefault="00016770" w:rsidP="00016770">
            <w:pPr>
              <w:pStyle w:val="TableBodyText"/>
              <w:jc w:val="both"/>
              <w:rPr>
                <w:b/>
                <w:u w:val="single"/>
              </w:rPr>
            </w:pPr>
          </w:p>
          <w:p w:rsidR="00016770" w:rsidRPr="00C744E0" w:rsidRDefault="00016770" w:rsidP="00016770">
            <w:pPr>
              <w:pStyle w:val="TableBodyText"/>
              <w:jc w:val="both"/>
              <w:rPr>
                <w:b/>
                <w:u w:val="single"/>
              </w:rPr>
            </w:pPr>
            <w:r w:rsidRPr="00C744E0">
              <w:rPr>
                <w:b/>
                <w:u w:val="single"/>
              </w:rPr>
              <w:t>Data Quality Framework Dimensions</w:t>
            </w:r>
          </w:p>
        </w:tc>
      </w:tr>
      <w:tr w:rsidR="00016770" w:rsidTr="00016770">
        <w:tc>
          <w:tcPr>
            <w:tcW w:w="922" w:type="pct"/>
          </w:tcPr>
          <w:p w:rsidR="00016770" w:rsidRPr="00C744E0" w:rsidRDefault="00016770" w:rsidP="00016770">
            <w:pPr>
              <w:pStyle w:val="TableBodyText"/>
              <w:jc w:val="left"/>
              <w:rPr>
                <w:b/>
              </w:rPr>
            </w:pPr>
            <w:r w:rsidRPr="00C744E0">
              <w:rPr>
                <w:b/>
              </w:rPr>
              <w:t>Institutional environment</w:t>
            </w:r>
          </w:p>
        </w:tc>
        <w:tc>
          <w:tcPr>
            <w:tcW w:w="4078" w:type="pct"/>
          </w:tcPr>
          <w:p w:rsidR="00406582" w:rsidRPr="00FA2F8F" w:rsidRDefault="00406582" w:rsidP="00406582">
            <w:pPr>
              <w:pStyle w:val="TableBodyText"/>
              <w:jc w:val="both"/>
              <w:rPr>
                <w:rFonts w:cs="Arial"/>
              </w:rPr>
            </w:pPr>
            <w:r>
              <w:rPr>
                <w:rFonts w:cs="Arial"/>
                <w:u w:val="single"/>
              </w:rPr>
              <w:t>Numerator</w:t>
            </w:r>
            <w:r>
              <w:rPr>
                <w:rFonts w:cs="Arial"/>
              </w:rPr>
              <w:t xml:space="preserve"> — Number of FTE judicial officers</w:t>
            </w:r>
          </w:p>
          <w:p w:rsidR="00406582" w:rsidRDefault="00406582" w:rsidP="00406582">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sidR="0001275F">
              <w:rPr>
                <w:rFonts w:cs="Arial"/>
              </w:rPr>
              <w:t>authority</w:t>
            </w:r>
            <w:r>
              <w:rPr>
                <w:rFonts w:cs="Arial"/>
              </w:rPr>
              <w:t xml:space="preserve">.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406582" w:rsidRDefault="00406582" w:rsidP="00406582">
            <w:pPr>
              <w:pStyle w:val="TableBodyText"/>
              <w:jc w:val="both"/>
              <w:rPr>
                <w:rFonts w:cs="Arial"/>
              </w:rPr>
            </w:pPr>
            <w:r>
              <w:rPr>
                <w:rFonts w:cs="Arial"/>
              </w:rPr>
              <w:t>The data are requested an</w:t>
            </w:r>
            <w:r w:rsidR="001E1B06">
              <w:rPr>
                <w:rFonts w:cs="Arial"/>
              </w:rPr>
              <w:t xml:space="preserve">d submitted in accordance with </w:t>
            </w:r>
            <w:r>
              <w:rPr>
                <w:rFonts w:cs="Arial"/>
              </w:rPr>
              <w:t xml:space="preserve">the </w:t>
            </w:r>
            <w:r w:rsidRPr="00997DC6">
              <w:rPr>
                <w:color w:val="000000"/>
              </w:rPr>
              <w:t>authority</w:t>
            </w:r>
            <w:r>
              <w:rPr>
                <w:rFonts w:cs="Arial"/>
              </w:rPr>
              <w:t xml:space="preserve"> of the terms of reference of the Review of Government Service Provision.</w:t>
            </w:r>
          </w:p>
          <w:p w:rsidR="00406582" w:rsidRPr="00C34F8E" w:rsidRDefault="00406582" w:rsidP="00406582">
            <w:pPr>
              <w:pStyle w:val="TableBodyText"/>
              <w:jc w:val="both"/>
              <w:rPr>
                <w:rFonts w:cs="Arial"/>
              </w:rPr>
            </w:pPr>
          </w:p>
          <w:p w:rsidR="00406582" w:rsidRPr="00FA2F8F" w:rsidRDefault="00406582" w:rsidP="00406582">
            <w:pPr>
              <w:pStyle w:val="TableBodyText"/>
              <w:jc w:val="both"/>
            </w:pPr>
            <w:r w:rsidRPr="00EF61C2">
              <w:rPr>
                <w:u w:val="single"/>
              </w:rPr>
              <w:t>Denominator</w:t>
            </w:r>
            <w:r>
              <w:t xml:space="preserve"> — Estimated residential population</w:t>
            </w:r>
          </w:p>
          <w:p w:rsidR="00406582" w:rsidRPr="00EF61C2" w:rsidRDefault="00406582" w:rsidP="00406582">
            <w:pPr>
              <w:pStyle w:val="TableBodyText"/>
              <w:jc w:val="both"/>
              <w:rPr>
                <w:i/>
                <w:color w:val="000000"/>
              </w:rPr>
            </w:pPr>
            <w:r>
              <w:rPr>
                <w:color w:val="000000"/>
              </w:rPr>
              <w:t xml:space="preserve">For information on the institutional environment of the ABS, including the legislative obligations of the ABS, financial and government arrangements, and mechanisms for scrutiny of ABS operations, see </w:t>
            </w:r>
            <w:r w:rsidRPr="00EF61C2">
              <w:rPr>
                <w:i/>
                <w:color w:val="000000"/>
              </w:rPr>
              <w:t>ABS Institutional Environment.</w:t>
            </w:r>
          </w:p>
          <w:p w:rsidR="00016770" w:rsidRPr="00062F62" w:rsidRDefault="00406582" w:rsidP="00406582">
            <w:pPr>
              <w:pStyle w:val="TableBodyText"/>
              <w:keepNext w:val="0"/>
              <w:jc w:val="both"/>
              <w:rPr>
                <w:rFonts w:cs="Arial"/>
              </w:rPr>
            </w:pPr>
            <w:r>
              <w:rPr>
                <w:color w:val="000000"/>
              </w:rPr>
              <w:t>The</w:t>
            </w:r>
            <w:r w:rsidRPr="00F309D0">
              <w:rPr>
                <w:color w:val="000000"/>
              </w:rPr>
              <w:t xml:space="preserve"> calculations </w:t>
            </w:r>
            <w:r>
              <w:rPr>
                <w:color w:val="000000"/>
              </w:rPr>
              <w:t xml:space="preserve">associated with the use of ABS data are </w:t>
            </w:r>
            <w:r w:rsidRPr="00F309D0">
              <w:rPr>
                <w:color w:val="000000"/>
              </w:rPr>
              <w:t>applie</w:t>
            </w:r>
            <w:r>
              <w:rPr>
                <w:color w:val="000000"/>
              </w:rPr>
              <w:t>d by the Report on Government Services Secretariat.</w:t>
            </w:r>
          </w:p>
        </w:tc>
      </w:tr>
      <w:tr w:rsidR="00016770" w:rsidTr="00016770">
        <w:tc>
          <w:tcPr>
            <w:tcW w:w="922" w:type="pct"/>
          </w:tcPr>
          <w:p w:rsidR="00016770" w:rsidRPr="00C744E0" w:rsidRDefault="00016770" w:rsidP="00016770">
            <w:pPr>
              <w:pStyle w:val="TableBodyText"/>
              <w:jc w:val="left"/>
              <w:rPr>
                <w:b/>
              </w:rPr>
            </w:pPr>
            <w:r w:rsidRPr="00C744E0">
              <w:rPr>
                <w:b/>
              </w:rPr>
              <w:t>Relevance</w:t>
            </w:r>
          </w:p>
        </w:tc>
        <w:tc>
          <w:tcPr>
            <w:tcW w:w="4078" w:type="pct"/>
          </w:tcPr>
          <w:p w:rsidR="00406582" w:rsidRDefault="00406582" w:rsidP="00406582">
            <w:pPr>
              <w:pStyle w:val="TableBullet"/>
              <w:numPr>
                <w:ilvl w:val="0"/>
                <w:numId w:val="0"/>
              </w:numPr>
              <w:jc w:val="both"/>
            </w:pPr>
            <w:r w:rsidRPr="00971799">
              <w:t>‘Judicial officers’</w:t>
            </w:r>
            <w:r>
              <w:t>, as expressed per 100 000 population, is an indicator that represents the availability of resources to provide judicial services.</w:t>
            </w:r>
          </w:p>
          <w:p w:rsidR="00406582" w:rsidRPr="00971799" w:rsidRDefault="00406582" w:rsidP="00406582">
            <w:pPr>
              <w:pStyle w:val="TableBullet"/>
              <w:numPr>
                <w:ilvl w:val="0"/>
                <w:numId w:val="0"/>
              </w:numPr>
              <w:jc w:val="both"/>
            </w:pPr>
          </w:p>
          <w:p w:rsidR="00406582" w:rsidRDefault="00406582" w:rsidP="00406582">
            <w:pPr>
              <w:pStyle w:val="TableBullet"/>
              <w:numPr>
                <w:ilvl w:val="0"/>
                <w:numId w:val="0"/>
              </w:numPr>
              <w:jc w:val="both"/>
            </w:pPr>
            <w:r>
              <w:rPr>
                <w:u w:val="single"/>
              </w:rPr>
              <w:t>Numerator</w:t>
            </w:r>
            <w:r>
              <w:t xml:space="preserve"> — Number of FTE judicial officers</w:t>
            </w:r>
          </w:p>
          <w:p w:rsidR="00406582" w:rsidRDefault="00406582" w:rsidP="00406582">
            <w:pPr>
              <w:pStyle w:val="TableBodyText"/>
              <w:keepNext w:val="0"/>
              <w:jc w:val="both"/>
            </w:pPr>
            <w:r>
              <w:rPr>
                <w:u w:val="single"/>
              </w:rPr>
              <w:t>Denominator</w:t>
            </w:r>
            <w:r>
              <w:t xml:space="preserve"> — Estimated residential population</w:t>
            </w:r>
          </w:p>
          <w:p w:rsidR="00406582" w:rsidRDefault="00406582" w:rsidP="00406582">
            <w:pPr>
              <w:pStyle w:val="TableBullet"/>
              <w:numPr>
                <w:ilvl w:val="0"/>
                <w:numId w:val="0"/>
              </w:numPr>
              <w:jc w:val="both"/>
            </w:pPr>
          </w:p>
          <w:p w:rsidR="00016770" w:rsidRPr="00B96E3E" w:rsidRDefault="00406582" w:rsidP="00406582">
            <w:pPr>
              <w:pStyle w:val="TableBodyText"/>
              <w:ind w:left="0" w:firstLine="6"/>
              <w:jc w:val="both"/>
            </w:pPr>
            <w:r w:rsidRPr="00EE1308">
              <w:t xml:space="preserve">This indicator </w:t>
            </w:r>
            <w:r>
              <w:t xml:space="preserve">seeks to reflect the availability of judicial officers to the community, by relating the number of judicial officers to the size of the jurisdictional population. </w:t>
            </w:r>
            <w:r w:rsidRPr="00EE1308">
              <w:t>However</w:t>
            </w:r>
            <w:r>
              <w:t xml:space="preserve"> geographical and other</w:t>
            </w:r>
            <w:r w:rsidRPr="00EE1308">
              <w:t xml:space="preserve"> factors such as remoteness of populations and workload, which are not represented in the </w:t>
            </w:r>
            <w:r w:rsidRPr="00EE1308">
              <w:lastRenderedPageBreak/>
              <w:t xml:space="preserve">indicator, need to be considered when comparing results.  </w:t>
            </w:r>
          </w:p>
        </w:tc>
      </w:tr>
      <w:tr w:rsidR="00016770" w:rsidTr="00016770">
        <w:tc>
          <w:tcPr>
            <w:tcW w:w="922" w:type="pct"/>
          </w:tcPr>
          <w:p w:rsidR="00016770" w:rsidRPr="00C744E0" w:rsidRDefault="00016770" w:rsidP="00016770">
            <w:pPr>
              <w:pStyle w:val="TableBodyText"/>
              <w:jc w:val="both"/>
              <w:rPr>
                <w:b/>
              </w:rPr>
            </w:pPr>
            <w:r w:rsidRPr="00C744E0">
              <w:rPr>
                <w:b/>
              </w:rPr>
              <w:lastRenderedPageBreak/>
              <w:t>Timeliness</w:t>
            </w:r>
          </w:p>
        </w:tc>
        <w:tc>
          <w:tcPr>
            <w:tcW w:w="4078" w:type="pct"/>
          </w:tcPr>
          <w:p w:rsidR="00406582" w:rsidRDefault="00406582" w:rsidP="00406582">
            <w:pPr>
              <w:pStyle w:val="TableBodyText"/>
              <w:keepNext w:val="0"/>
              <w:tabs>
                <w:tab w:val="left" w:pos="369"/>
              </w:tabs>
              <w:ind w:left="369" w:hanging="363"/>
              <w:jc w:val="both"/>
            </w:pPr>
            <w:r w:rsidRPr="00952528">
              <w:rPr>
                <w:u w:val="single"/>
              </w:rPr>
              <w:t>Numerator</w:t>
            </w:r>
            <w:r>
              <w:t xml:space="preserve"> — Number of FTE judicial officers</w:t>
            </w:r>
          </w:p>
          <w:p w:rsidR="00406582" w:rsidRDefault="00406582" w:rsidP="00406582">
            <w:pPr>
              <w:pStyle w:val="TableBodyText"/>
              <w:keepNext w:val="0"/>
              <w:jc w:val="both"/>
            </w:pPr>
            <w:r>
              <w:t>The reference period f</w:t>
            </w:r>
            <w:r w:rsidR="00333779">
              <w:t xml:space="preserve">or judicial officers is the </w:t>
            </w:r>
            <w:r w:rsidR="004223F4">
              <w:t>2012-13</w:t>
            </w:r>
            <w:r>
              <w:t xml:space="preserve"> financial year. Dat</w:t>
            </w:r>
            <w:r w:rsidR="004223F4">
              <w:t>a are provided in September 2013</w:t>
            </w:r>
            <w:r>
              <w:t>,</w:t>
            </w:r>
            <w:r w:rsidR="004223F4">
              <w:t xml:space="preserve"> for publication in January 2014</w:t>
            </w:r>
            <w:r>
              <w:t>.</w:t>
            </w:r>
          </w:p>
          <w:p w:rsidR="00406582" w:rsidRDefault="00406582" w:rsidP="00406582">
            <w:pPr>
              <w:pStyle w:val="TableBodyText"/>
              <w:keepNext w:val="0"/>
              <w:jc w:val="both"/>
            </w:pPr>
            <w:r>
              <w:t>Data can be revised retrospectively up to 5 years later.</w:t>
            </w:r>
          </w:p>
          <w:p w:rsidR="00406582" w:rsidRDefault="00406582" w:rsidP="00406582">
            <w:pPr>
              <w:pStyle w:val="TableBodyText"/>
              <w:keepNext w:val="0"/>
              <w:jc w:val="both"/>
            </w:pPr>
          </w:p>
          <w:p w:rsidR="00406582" w:rsidRDefault="00406582" w:rsidP="00406582">
            <w:pPr>
              <w:pStyle w:val="TableBodyText"/>
              <w:keepNext w:val="0"/>
              <w:jc w:val="both"/>
            </w:pPr>
            <w:r>
              <w:rPr>
                <w:u w:val="single"/>
              </w:rPr>
              <w:t>Denominator</w:t>
            </w:r>
            <w:r>
              <w:t xml:space="preserve"> — Estimated residential population</w:t>
            </w:r>
          </w:p>
          <w:p w:rsidR="00016770" w:rsidRPr="009F199D" w:rsidRDefault="00406582" w:rsidP="00406582">
            <w:pPr>
              <w:pStyle w:val="TableBodyText"/>
              <w:keepNext w:val="0"/>
              <w:jc w:val="both"/>
            </w:pPr>
            <w:r>
              <w:t>The reference period for population data is the financial year midpoint (31 December) estimate.</w:t>
            </w:r>
          </w:p>
        </w:tc>
      </w:tr>
      <w:tr w:rsidR="00406582" w:rsidTr="00016770">
        <w:tc>
          <w:tcPr>
            <w:tcW w:w="922" w:type="pct"/>
          </w:tcPr>
          <w:p w:rsidR="00406582" w:rsidRPr="00C744E0" w:rsidRDefault="00406582" w:rsidP="00016770">
            <w:pPr>
              <w:pStyle w:val="TableBodyText"/>
              <w:jc w:val="left"/>
              <w:rPr>
                <w:b/>
              </w:rPr>
            </w:pPr>
            <w:r w:rsidRPr="00C744E0">
              <w:rPr>
                <w:b/>
              </w:rPr>
              <w:t>Accuracy</w:t>
            </w:r>
          </w:p>
        </w:tc>
        <w:tc>
          <w:tcPr>
            <w:tcW w:w="4078" w:type="pct"/>
          </w:tcPr>
          <w:p w:rsidR="00406582" w:rsidRDefault="00406582" w:rsidP="00406582">
            <w:pPr>
              <w:pStyle w:val="TableBodyText"/>
              <w:keepNext w:val="0"/>
              <w:tabs>
                <w:tab w:val="left" w:pos="369"/>
              </w:tabs>
              <w:ind w:left="369" w:hanging="363"/>
              <w:jc w:val="both"/>
            </w:pPr>
            <w:r>
              <w:rPr>
                <w:u w:val="single"/>
              </w:rPr>
              <w:t>Numerator</w:t>
            </w:r>
            <w:r>
              <w:t xml:space="preserve"> — Number of FTE judicial officers</w:t>
            </w:r>
          </w:p>
          <w:p w:rsidR="00406582" w:rsidRPr="00FC7487" w:rsidRDefault="00406582" w:rsidP="00406582">
            <w:pPr>
              <w:pStyle w:val="TableBullet"/>
              <w:keepNext w:val="0"/>
              <w:numPr>
                <w:ilvl w:val="0"/>
                <w:numId w:val="0"/>
              </w:numPr>
              <w:jc w:val="both"/>
            </w:pPr>
            <w:r w:rsidRPr="00FC7487">
              <w:t xml:space="preserve">The identification of judicial officer numbers </w:t>
            </w:r>
            <w:r>
              <w:t xml:space="preserve">is done using </w:t>
            </w:r>
            <w:r w:rsidRPr="00FC7487">
              <w:t>data in payroll and human re</w:t>
            </w:r>
            <w:r>
              <w:t>s</w:t>
            </w:r>
            <w:r w:rsidRPr="00FC7487">
              <w:t>ource management systems.</w:t>
            </w:r>
            <w:r>
              <w:t xml:space="preserve"> This is mostly electronic with some manual data counting. </w:t>
            </w:r>
            <w:r w:rsidRPr="00FC7487">
              <w:t xml:space="preserve">This is then adjusted to meet the </w:t>
            </w:r>
            <w:proofErr w:type="spellStart"/>
            <w:r>
              <w:t>RoGS</w:t>
            </w:r>
            <w:proofErr w:type="spellEnd"/>
            <w:r>
              <w:t xml:space="preserve"> </w:t>
            </w:r>
            <w:r w:rsidRPr="00FC7487">
              <w:t>data collection rules.</w:t>
            </w:r>
          </w:p>
          <w:p w:rsidR="00406582" w:rsidRDefault="00406582" w:rsidP="00406582">
            <w:pPr>
              <w:pStyle w:val="TableBullet"/>
              <w:keepNext w:val="0"/>
              <w:numPr>
                <w:ilvl w:val="0"/>
                <w:numId w:val="0"/>
              </w:numPr>
              <w:jc w:val="both"/>
            </w:pPr>
            <w:r>
              <w:t xml:space="preserve">The data provided are consistent with </w:t>
            </w:r>
            <w:proofErr w:type="spellStart"/>
            <w:r>
              <w:t>RoGS</w:t>
            </w:r>
            <w:proofErr w:type="spellEnd"/>
            <w:r>
              <w:t xml:space="preserve"> counting rules and the requested data reported are for all court levels in each jurisdiction. In order to meet the needs of the </w:t>
            </w:r>
            <w:proofErr w:type="spellStart"/>
            <w:r>
              <w:t>RoGS</w:t>
            </w:r>
            <w:proofErr w:type="spellEnd"/>
            <w:r>
              <w:t xml:space="preserve">, </w:t>
            </w:r>
            <w:proofErr w:type="spellStart"/>
            <w:r>
              <w:t>costings</w:t>
            </w:r>
            <w:proofErr w:type="spellEnd"/>
            <w:r>
              <w:t xml:space="preserve"> and resourcing are apportioned across civil and criminal categories. This is mostly done on activity based costing approaches and the use of estimations. This may affect accuracy.</w:t>
            </w:r>
          </w:p>
          <w:p w:rsidR="00406582" w:rsidRPr="00CF5FA0" w:rsidRDefault="00406582" w:rsidP="0001275F">
            <w:pPr>
              <w:pStyle w:val="TableBullet"/>
              <w:keepNext w:val="0"/>
              <w:numPr>
                <w:ilvl w:val="0"/>
                <w:numId w:val="0"/>
              </w:numPr>
              <w:jc w:val="both"/>
            </w:pPr>
            <w:r w:rsidRPr="00CF5FA0">
              <w:t xml:space="preserve">The </w:t>
            </w:r>
            <w:r>
              <w:t xml:space="preserve">data come </w:t>
            </w:r>
            <w:r w:rsidRPr="00CF5FA0">
              <w:t>from payroll and human re</w:t>
            </w:r>
            <w:r>
              <w:t>s</w:t>
            </w:r>
            <w:r w:rsidRPr="00CF5FA0">
              <w:t>ource management systems, which are subject to the normal legislative financial and administrative controls and reconciliation and validation processes</w:t>
            </w:r>
            <w:r>
              <w:t xml:space="preserve"> to ensure accuracy. Preparation of the data for the </w:t>
            </w:r>
            <w:proofErr w:type="spellStart"/>
            <w:r>
              <w:t>RoGS</w:t>
            </w:r>
            <w:proofErr w:type="spellEnd"/>
            <w:r>
              <w:t xml:space="preserve"> by court authorities also undergoes checking and verification procedures, including investigation of significant variances with previous years.</w:t>
            </w:r>
          </w:p>
        </w:tc>
      </w:tr>
      <w:tr w:rsidR="00406582" w:rsidTr="00016770">
        <w:tc>
          <w:tcPr>
            <w:tcW w:w="922" w:type="pct"/>
          </w:tcPr>
          <w:p w:rsidR="00406582" w:rsidRPr="002162BE" w:rsidRDefault="00406582" w:rsidP="002162BE">
            <w:pPr>
              <w:pStyle w:val="TableBodyText"/>
              <w:jc w:val="left"/>
              <w:rPr>
                <w:b/>
              </w:rPr>
            </w:pPr>
            <w:r w:rsidRPr="002162BE">
              <w:rPr>
                <w:b/>
              </w:rPr>
              <w:t>Coherence</w:t>
            </w:r>
          </w:p>
        </w:tc>
        <w:tc>
          <w:tcPr>
            <w:tcW w:w="4078" w:type="pct"/>
          </w:tcPr>
          <w:p w:rsidR="00406582" w:rsidRDefault="00406582" w:rsidP="00406582">
            <w:pPr>
              <w:pStyle w:val="TableBodyText"/>
              <w:keepNext w:val="0"/>
              <w:tabs>
                <w:tab w:val="left" w:pos="369"/>
              </w:tabs>
              <w:ind w:left="369" w:hanging="363"/>
              <w:jc w:val="both"/>
            </w:pPr>
            <w:r>
              <w:rPr>
                <w:u w:val="single"/>
              </w:rPr>
              <w:t>Numerator</w:t>
            </w:r>
            <w:r>
              <w:t xml:space="preserve"> — Number of FTE judicial officers</w:t>
            </w:r>
          </w:p>
          <w:p w:rsidR="00406582" w:rsidRDefault="00406582" w:rsidP="00406582">
            <w:pPr>
              <w:pStyle w:val="TableBodyText"/>
              <w:keepNext w:val="0"/>
              <w:ind w:left="0" w:firstLine="6"/>
              <w:jc w:val="both"/>
            </w:pPr>
            <w:r>
              <w:t>F</w:t>
            </w:r>
            <w:r w:rsidRPr="00206536">
              <w:t xml:space="preserve">or </w:t>
            </w:r>
            <w:r>
              <w:t>the last five years the data have</w:t>
            </w:r>
            <w:r w:rsidRPr="00206536">
              <w:t xml:space="preserve"> been counted and reported </w:t>
            </w:r>
            <w:r>
              <w:t xml:space="preserve">relatively </w:t>
            </w:r>
            <w:r w:rsidRPr="00206536">
              <w:t>consistently</w:t>
            </w:r>
            <w:r>
              <w:t xml:space="preserve"> and </w:t>
            </w:r>
            <w:r w:rsidRPr="00206536">
              <w:t xml:space="preserve">no </w:t>
            </w:r>
            <w:r>
              <w:t xml:space="preserve">significant </w:t>
            </w:r>
            <w:r w:rsidRPr="00206536">
              <w:t xml:space="preserve">factors </w:t>
            </w:r>
            <w:r>
              <w:t>have been identified which</w:t>
            </w:r>
            <w:r w:rsidRPr="00206536">
              <w:t xml:space="preserve"> have prevented or affected the consistent compilation of time series data</w:t>
            </w:r>
            <w:r>
              <w:t>. Minor exceptions to this are as follows.</w:t>
            </w:r>
          </w:p>
          <w:p w:rsidR="00406582" w:rsidRDefault="00406582" w:rsidP="00406582">
            <w:pPr>
              <w:pStyle w:val="TableBodyText"/>
              <w:keepNext w:val="0"/>
              <w:numPr>
                <w:ilvl w:val="0"/>
                <w:numId w:val="42"/>
              </w:numPr>
              <w:jc w:val="both"/>
            </w:pPr>
            <w:r>
              <w:t xml:space="preserve">The apportionment of judicial officers between civil and criminal in </w:t>
            </w:r>
            <w:smartTag w:uri="urn:schemas-microsoft-com:office:smarttags" w:element="State">
              <w:smartTag w:uri="urn:schemas-microsoft-com:office:smarttags" w:element="place">
                <w:r>
                  <w:t>Victoria</w:t>
                </w:r>
              </w:smartTag>
            </w:smartTag>
            <w:r>
              <w:t xml:space="preserve"> is done on estimates;</w:t>
            </w:r>
          </w:p>
          <w:p w:rsidR="00406582" w:rsidRDefault="00406582" w:rsidP="00406582">
            <w:pPr>
              <w:pStyle w:val="TableBodyText"/>
              <w:keepNext w:val="0"/>
              <w:numPr>
                <w:ilvl w:val="0"/>
                <w:numId w:val="42"/>
              </w:numPr>
              <w:jc w:val="both"/>
            </w:pPr>
            <w:r w:rsidRPr="00206536">
              <w:t xml:space="preserve">In </w:t>
            </w:r>
            <w:r>
              <w:t xml:space="preserve">the </w:t>
            </w:r>
            <w:r w:rsidR="00101759">
              <w:t xml:space="preserve">2011 report WA </w:t>
            </w:r>
            <w:r w:rsidRPr="00206536">
              <w:t>changed the basis of apportionment between civil and crimina</w:t>
            </w:r>
            <w:r>
              <w:t>l functions from previous years;</w:t>
            </w:r>
          </w:p>
          <w:p w:rsidR="00406582" w:rsidRDefault="00406582" w:rsidP="00406582">
            <w:pPr>
              <w:pStyle w:val="TableBodyText"/>
              <w:keepNext w:val="0"/>
              <w:numPr>
                <w:ilvl w:val="0"/>
                <w:numId w:val="42"/>
              </w:numPr>
              <w:jc w:val="both"/>
            </w:pPr>
            <w:r>
              <w:t xml:space="preserve">Difficulties in apportionment of </w:t>
            </w:r>
            <w:r w:rsidR="00102E46">
              <w:t>some federal magistrates’ time</w:t>
            </w:r>
            <w:r>
              <w:t xml:space="preserve"> between the Federal Magistrates’ Co</w:t>
            </w:r>
            <w:r w:rsidR="00102E46">
              <w:t>urt and the Federal Court of Australia;</w:t>
            </w:r>
          </w:p>
          <w:p w:rsidR="00102E46" w:rsidRPr="00206536" w:rsidRDefault="00102E46" w:rsidP="00406582">
            <w:pPr>
              <w:pStyle w:val="TableBodyText"/>
              <w:keepNext w:val="0"/>
              <w:numPr>
                <w:ilvl w:val="0"/>
                <w:numId w:val="42"/>
              </w:numPr>
              <w:jc w:val="both"/>
            </w:pPr>
            <w:r>
              <w:t>During 2009 the Federal Magistrates’ Court changed its HR management system which may have resulted in slight changes to FTE calculations.</w:t>
            </w:r>
          </w:p>
          <w:p w:rsidR="00406582" w:rsidRPr="00CD04F1" w:rsidRDefault="00406582" w:rsidP="00406582">
            <w:pPr>
              <w:pStyle w:val="TableBodyText"/>
              <w:jc w:val="both"/>
            </w:pPr>
            <w:r w:rsidRPr="00D84159">
              <w:t xml:space="preserve">In some </w:t>
            </w:r>
            <w:r>
              <w:t>jurisdictions</w:t>
            </w:r>
            <w:r w:rsidRPr="00D84159">
              <w:t xml:space="preserve"> there is an alignment with other publications</w:t>
            </w:r>
            <w:r>
              <w:t xml:space="preserve">, e.g. annual reports, in relation to judicial officer numbers. </w:t>
            </w:r>
            <w:r w:rsidRPr="00D84159">
              <w:t xml:space="preserve">In the </w:t>
            </w:r>
            <w:r>
              <w:t>other jurisdictions</w:t>
            </w:r>
            <w:r w:rsidRPr="00D84159">
              <w:t xml:space="preserve"> there are differences due to the FTE approach and exclusions set </w:t>
            </w:r>
            <w:r>
              <w:t>out i</w:t>
            </w:r>
            <w:r w:rsidRPr="00D84159">
              <w:t xml:space="preserve">n the </w:t>
            </w:r>
            <w:proofErr w:type="spellStart"/>
            <w:r w:rsidRPr="00D84159">
              <w:t>ROGS</w:t>
            </w:r>
            <w:proofErr w:type="spellEnd"/>
            <w:r w:rsidRPr="00D84159">
              <w:t xml:space="preserve"> counting rules.</w:t>
            </w:r>
          </w:p>
        </w:tc>
      </w:tr>
      <w:tr w:rsidR="00406582" w:rsidTr="00016770">
        <w:tc>
          <w:tcPr>
            <w:tcW w:w="922" w:type="pct"/>
          </w:tcPr>
          <w:p w:rsidR="00406582" w:rsidRPr="00C744E0" w:rsidRDefault="00406582" w:rsidP="00016770">
            <w:pPr>
              <w:pStyle w:val="TableBodyText"/>
              <w:jc w:val="left"/>
              <w:rPr>
                <w:b/>
              </w:rPr>
            </w:pPr>
            <w:r w:rsidRPr="00C744E0">
              <w:rPr>
                <w:b/>
              </w:rPr>
              <w:t>Accessibility</w:t>
            </w:r>
          </w:p>
        </w:tc>
        <w:tc>
          <w:tcPr>
            <w:tcW w:w="4078" w:type="pct"/>
          </w:tcPr>
          <w:p w:rsidR="00406582" w:rsidRDefault="00406582" w:rsidP="009770CC">
            <w:pPr>
              <w:pStyle w:val="TableBodyText"/>
              <w:keepNext w:val="0"/>
              <w:tabs>
                <w:tab w:val="left" w:pos="369"/>
              </w:tabs>
              <w:ind w:left="369" w:hanging="363"/>
              <w:jc w:val="both"/>
            </w:pPr>
            <w:r>
              <w:rPr>
                <w:u w:val="single"/>
              </w:rPr>
              <w:t>Numerator</w:t>
            </w:r>
            <w:r>
              <w:t xml:space="preserve"> — Number of FTE judicial officers</w:t>
            </w:r>
          </w:p>
          <w:p w:rsidR="00406582" w:rsidRDefault="00406582" w:rsidP="009770CC">
            <w:pPr>
              <w:pStyle w:val="TableBodyText"/>
              <w:keepNext w:val="0"/>
              <w:jc w:val="both"/>
            </w:pPr>
            <w:r>
              <w:t xml:space="preserve">Data on judicial officers are supplied for the </w:t>
            </w:r>
            <w:proofErr w:type="spellStart"/>
            <w:r>
              <w:t>RoGS</w:t>
            </w:r>
            <w:proofErr w:type="spellEnd"/>
            <w:r>
              <w:t xml:space="preserve"> according to the specific </w:t>
            </w:r>
            <w:proofErr w:type="spellStart"/>
            <w:r>
              <w:t>RoGS</w:t>
            </w:r>
            <w:proofErr w:type="spellEnd"/>
            <w:r>
              <w:t xml:space="preserve"> counting rules. O</w:t>
            </w:r>
            <w:r w:rsidRPr="00427A31">
              <w:t xml:space="preserve">ther data on </w:t>
            </w:r>
            <w:r>
              <w:t>judicial officers</w:t>
            </w:r>
            <w:r w:rsidRPr="00427A31">
              <w:t xml:space="preserve"> can be accessed through annual reports and court websites wi</w:t>
            </w:r>
            <w:r>
              <w:t>thin most jurisdictions</w:t>
            </w:r>
            <w:r w:rsidRPr="00D84159">
              <w:t xml:space="preserve"> </w:t>
            </w:r>
            <w:r>
              <w:t>and i</w:t>
            </w:r>
            <w:r w:rsidRPr="00D84159">
              <w:t xml:space="preserve">n </w:t>
            </w:r>
            <w:r>
              <w:t>some</w:t>
            </w:r>
            <w:r w:rsidRPr="00D84159">
              <w:t xml:space="preserve"> </w:t>
            </w:r>
            <w:r>
              <w:t>jurisdictions</w:t>
            </w:r>
            <w:r w:rsidRPr="00D84159">
              <w:t xml:space="preserve"> there is an alignment with other publications</w:t>
            </w:r>
            <w:r>
              <w:t xml:space="preserve">, e.g. annual reports. However, some data obtained from these other sources in the other jurisdictions may not align with the </w:t>
            </w:r>
            <w:proofErr w:type="spellStart"/>
            <w:r>
              <w:t>RoGS</w:t>
            </w:r>
            <w:proofErr w:type="spellEnd"/>
            <w:r>
              <w:t xml:space="preserve"> due to the specific </w:t>
            </w:r>
            <w:proofErr w:type="spellStart"/>
            <w:r>
              <w:t>RoGS</w:t>
            </w:r>
            <w:proofErr w:type="spellEnd"/>
            <w:r>
              <w:t xml:space="preserve"> counting rules.</w:t>
            </w:r>
          </w:p>
          <w:p w:rsidR="00406582" w:rsidRDefault="00406582" w:rsidP="009770CC">
            <w:pPr>
              <w:pStyle w:val="TableBullet"/>
              <w:keepNext w:val="0"/>
              <w:keepLines w:val="0"/>
              <w:numPr>
                <w:ilvl w:val="0"/>
                <w:numId w:val="0"/>
              </w:numPr>
              <w:jc w:val="both"/>
            </w:pPr>
            <w:r>
              <w:t>Also, whil</w:t>
            </w:r>
            <w:r w:rsidRPr="00427A31">
              <w:t xml:space="preserve">e courts in most </w:t>
            </w:r>
            <w:r>
              <w:t>jurisdictions</w:t>
            </w:r>
            <w:r w:rsidRPr="00427A31">
              <w:t xml:space="preserve"> make </w:t>
            </w:r>
            <w:r>
              <w:t xml:space="preserve">information available as to who holds a commission as a judge or master and which officers of the court are registrars, the information is not necessarily designed to provide a FTE number that can be matched to the number reported in </w:t>
            </w:r>
            <w:proofErr w:type="spellStart"/>
            <w:r>
              <w:t>RoGS</w:t>
            </w:r>
            <w:proofErr w:type="spellEnd"/>
            <w:r>
              <w:t xml:space="preserve">. </w:t>
            </w:r>
          </w:p>
          <w:p w:rsidR="009A51B7" w:rsidRPr="001A7053" w:rsidRDefault="009A51B7" w:rsidP="009770CC">
            <w:pPr>
              <w:pStyle w:val="TableBullet"/>
              <w:keepNext w:val="0"/>
              <w:keepLines w:val="0"/>
              <w:numPr>
                <w:ilvl w:val="0"/>
                <w:numId w:val="0"/>
              </w:numPr>
              <w:jc w:val="both"/>
            </w:pPr>
          </w:p>
        </w:tc>
      </w:tr>
      <w:tr w:rsidR="00406582" w:rsidTr="00016770">
        <w:tc>
          <w:tcPr>
            <w:tcW w:w="922" w:type="pct"/>
          </w:tcPr>
          <w:p w:rsidR="00406582" w:rsidRPr="00C744E0" w:rsidRDefault="00406582" w:rsidP="00016770">
            <w:pPr>
              <w:pStyle w:val="TableBodyText"/>
              <w:jc w:val="left"/>
              <w:rPr>
                <w:b/>
              </w:rPr>
            </w:pPr>
            <w:r w:rsidRPr="00C744E0">
              <w:rPr>
                <w:b/>
              </w:rPr>
              <w:lastRenderedPageBreak/>
              <w:t>Interpretability</w:t>
            </w:r>
          </w:p>
        </w:tc>
        <w:tc>
          <w:tcPr>
            <w:tcW w:w="4078" w:type="pct"/>
          </w:tcPr>
          <w:p w:rsidR="00406582" w:rsidRDefault="00406582" w:rsidP="009770CC">
            <w:pPr>
              <w:pStyle w:val="TableBodyText"/>
              <w:keepNext w:val="0"/>
              <w:tabs>
                <w:tab w:val="left" w:pos="369"/>
              </w:tabs>
              <w:ind w:left="369" w:hanging="363"/>
              <w:jc w:val="both"/>
            </w:pPr>
            <w:r>
              <w:rPr>
                <w:u w:val="single"/>
              </w:rPr>
              <w:t>Numerator</w:t>
            </w:r>
            <w:r>
              <w:t xml:space="preserve"> — Number of FTE judicial officers</w:t>
            </w:r>
          </w:p>
          <w:p w:rsidR="00406582" w:rsidRPr="00406582" w:rsidRDefault="00406582" w:rsidP="009770CC">
            <w:pPr>
              <w:pStyle w:val="TableBodyText"/>
              <w:keepNext w:val="0"/>
              <w:jc w:val="both"/>
              <w:rPr>
                <w:rFonts w:ascii="Helvetica" w:hAnsi="Helvetica"/>
                <w:lang w:val="en"/>
              </w:rPr>
            </w:pPr>
            <w:r>
              <w:rPr>
                <w:rFonts w:ascii="Helvetica" w:hAnsi="Helvetica"/>
                <w:lang w:val="en"/>
              </w:rPr>
              <w:t>Contextual information for judicial officers data are prov</w:t>
            </w:r>
            <w:r w:rsidR="0001275F">
              <w:rPr>
                <w:rFonts w:ascii="Helvetica" w:hAnsi="Helvetica"/>
                <w:lang w:val="en"/>
              </w:rPr>
              <w:t>ided in the Courts</w:t>
            </w:r>
            <w:r>
              <w:rPr>
                <w:rFonts w:ascii="Helvetica" w:hAnsi="Helvetica"/>
                <w:lang w:val="en"/>
              </w:rPr>
              <w:t xml:space="preserve"> chapter and attachment tables.</w:t>
            </w:r>
          </w:p>
        </w:tc>
      </w:tr>
      <w:tr w:rsidR="00406582" w:rsidTr="00016770">
        <w:tc>
          <w:tcPr>
            <w:tcW w:w="5000" w:type="pct"/>
            <w:gridSpan w:val="2"/>
            <w:shd w:val="clear" w:color="auto" w:fill="auto"/>
          </w:tcPr>
          <w:p w:rsidR="00406582" w:rsidRDefault="00406582" w:rsidP="00016770">
            <w:pPr>
              <w:pStyle w:val="TableBodyText"/>
              <w:jc w:val="left"/>
              <w:rPr>
                <w:b/>
                <w:u w:val="single"/>
              </w:rPr>
            </w:pPr>
          </w:p>
          <w:p w:rsidR="00406582" w:rsidRPr="00C744E0" w:rsidRDefault="00406582" w:rsidP="00016770">
            <w:pPr>
              <w:pStyle w:val="TableBodyText"/>
              <w:jc w:val="left"/>
              <w:rPr>
                <w:b/>
                <w:u w:val="single"/>
              </w:rPr>
            </w:pPr>
            <w:r w:rsidRPr="00C744E0">
              <w:rPr>
                <w:b/>
                <w:u w:val="single"/>
              </w:rPr>
              <w:t>Data Gaps/Issues Analysis</w:t>
            </w:r>
          </w:p>
        </w:tc>
      </w:tr>
      <w:tr w:rsidR="00406582" w:rsidTr="00016770">
        <w:tc>
          <w:tcPr>
            <w:tcW w:w="922" w:type="pct"/>
            <w:shd w:val="clear" w:color="auto" w:fill="auto"/>
          </w:tcPr>
          <w:p w:rsidR="00406582" w:rsidRPr="00C744E0" w:rsidRDefault="00406582" w:rsidP="00016770">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406582" w:rsidRDefault="00406582" w:rsidP="00406582">
            <w:pPr>
              <w:pStyle w:val="TableBodyText"/>
              <w:jc w:val="both"/>
            </w:pPr>
            <w:r w:rsidRPr="00B96E3E">
              <w:t xml:space="preserve">The Steering Committee notes the following key data gaps/issues: </w:t>
            </w:r>
          </w:p>
          <w:p w:rsidR="00406582" w:rsidRDefault="00406582" w:rsidP="00406582">
            <w:pPr>
              <w:pStyle w:val="TableBullet"/>
              <w:tabs>
                <w:tab w:val="left" w:pos="170"/>
              </w:tabs>
              <w:ind w:left="176"/>
              <w:jc w:val="both"/>
            </w:pPr>
            <w:r>
              <w:t>Jurisdictions may need to apportion or estimate FTE judicial staff numbers between criminal and civil levels of the magistrates, children’s, district/county and supreme courts. This may affect accuracy and comparability of data.</w:t>
            </w:r>
          </w:p>
          <w:p w:rsidR="00406582" w:rsidRPr="00B96E3E" w:rsidRDefault="00406582" w:rsidP="00406582">
            <w:pPr>
              <w:pStyle w:val="TableBullet"/>
              <w:tabs>
                <w:tab w:val="left" w:pos="170"/>
              </w:tabs>
              <w:ind w:left="176"/>
              <w:jc w:val="both"/>
            </w:pPr>
            <w:r>
              <w:t xml:space="preserve">Not all jurisdictions calculate judicial officer FTEs in the same way for purposes of </w:t>
            </w:r>
            <w:proofErr w:type="spellStart"/>
            <w:r>
              <w:t>RoGS</w:t>
            </w:r>
            <w:proofErr w:type="spellEnd"/>
            <w:r>
              <w:t xml:space="preserve"> data collection. This may affect comparability of data.</w:t>
            </w:r>
          </w:p>
        </w:tc>
      </w:tr>
    </w:tbl>
    <w:p w:rsidR="009B18A0" w:rsidRDefault="009B18A0" w:rsidP="00016770">
      <w:pPr>
        <w:pStyle w:val="Heading3"/>
        <w:spacing w:before="120"/>
      </w:pPr>
    </w:p>
    <w:p w:rsidR="000F287A" w:rsidRPr="00016770" w:rsidRDefault="000F287A" w:rsidP="000F287A">
      <w:pPr>
        <w:pStyle w:val="Heading3"/>
        <w:spacing w:before="120"/>
      </w:pPr>
      <w:r>
        <w:br w:type="page"/>
      </w:r>
      <w:bookmarkStart w:id="11" w:name="_Toc338344190"/>
      <w:r>
        <w:lastRenderedPageBreak/>
        <w:t>Backlog</w:t>
      </w:r>
      <w:bookmarkEnd w:id="11"/>
    </w:p>
    <w:p w:rsidR="000F287A" w:rsidRPr="00101653" w:rsidRDefault="000F287A" w:rsidP="000F287A">
      <w:pPr>
        <w:pStyle w:val="Box"/>
      </w:pPr>
      <w:r w:rsidRPr="00016770">
        <w:t>Data quality information for this indicator has been drafted by the Secretariat in consultation with the Court</w:t>
      </w:r>
      <w:r w:rsidR="0001275F">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0F287A" w:rsidTr="00610CD4">
        <w:tc>
          <w:tcPr>
            <w:tcW w:w="5000" w:type="pct"/>
            <w:gridSpan w:val="2"/>
          </w:tcPr>
          <w:p w:rsidR="000F287A" w:rsidRDefault="000F287A" w:rsidP="00610CD4">
            <w:pPr>
              <w:pStyle w:val="TableBodyText"/>
              <w:jc w:val="both"/>
              <w:rPr>
                <w:b/>
                <w:u w:val="single"/>
              </w:rPr>
            </w:pPr>
          </w:p>
          <w:p w:rsidR="000F287A" w:rsidRDefault="000F287A" w:rsidP="00610CD4">
            <w:pPr>
              <w:pStyle w:val="TableBodyText"/>
              <w:jc w:val="both"/>
            </w:pPr>
            <w:r w:rsidRPr="007D0BFD">
              <w:rPr>
                <w:b/>
                <w:u w:val="single"/>
              </w:rPr>
              <w:t>Indicator definition and description</w:t>
            </w:r>
            <w:r>
              <w:rPr>
                <w:rFonts w:cs="Arial"/>
                <w:b/>
                <w:sz w:val="22"/>
                <w:szCs w:val="22"/>
                <w:u w:val="single"/>
              </w:rPr>
              <w:t xml:space="preserve"> </w:t>
            </w:r>
          </w:p>
        </w:tc>
      </w:tr>
      <w:tr w:rsidR="000F287A" w:rsidTr="00610CD4">
        <w:tc>
          <w:tcPr>
            <w:tcW w:w="922" w:type="pct"/>
          </w:tcPr>
          <w:p w:rsidR="000F287A" w:rsidRPr="00C744E0" w:rsidRDefault="000F287A" w:rsidP="00610CD4">
            <w:pPr>
              <w:pStyle w:val="TableBodyText"/>
              <w:jc w:val="left"/>
              <w:rPr>
                <w:b/>
              </w:rPr>
            </w:pPr>
            <w:r w:rsidRPr="00C744E0">
              <w:rPr>
                <w:b/>
              </w:rPr>
              <w:t>Element</w:t>
            </w:r>
          </w:p>
        </w:tc>
        <w:tc>
          <w:tcPr>
            <w:tcW w:w="4078" w:type="pct"/>
          </w:tcPr>
          <w:p w:rsidR="000F287A" w:rsidRPr="00A1569C" w:rsidRDefault="0001275F" w:rsidP="00610CD4">
            <w:pPr>
              <w:pStyle w:val="TableBodyText"/>
              <w:jc w:val="both"/>
            </w:pPr>
            <w:r>
              <w:t>Courts</w:t>
            </w:r>
            <w:r w:rsidR="000F287A">
              <w:t xml:space="preserve"> Effectiveness – Access – Timeliness</w:t>
            </w:r>
          </w:p>
        </w:tc>
      </w:tr>
      <w:tr w:rsidR="000F287A" w:rsidTr="00610CD4">
        <w:tc>
          <w:tcPr>
            <w:tcW w:w="922" w:type="pct"/>
          </w:tcPr>
          <w:p w:rsidR="000F287A" w:rsidRPr="00C744E0" w:rsidRDefault="000F287A" w:rsidP="00610CD4">
            <w:pPr>
              <w:pStyle w:val="TableBodyText"/>
              <w:jc w:val="left"/>
              <w:rPr>
                <w:b/>
              </w:rPr>
            </w:pPr>
            <w:r w:rsidRPr="00C744E0">
              <w:rPr>
                <w:b/>
              </w:rPr>
              <w:t>Indicator</w:t>
            </w:r>
          </w:p>
        </w:tc>
        <w:tc>
          <w:tcPr>
            <w:tcW w:w="4078" w:type="pct"/>
          </w:tcPr>
          <w:p w:rsidR="000F287A" w:rsidRPr="00E17A32" w:rsidRDefault="000F287A" w:rsidP="00610CD4">
            <w:pPr>
              <w:pStyle w:val="TableBodyText"/>
              <w:jc w:val="both"/>
            </w:pPr>
            <w:r>
              <w:t>Backlog</w:t>
            </w:r>
          </w:p>
        </w:tc>
      </w:tr>
      <w:tr w:rsidR="000F287A" w:rsidTr="00610CD4">
        <w:tc>
          <w:tcPr>
            <w:tcW w:w="922" w:type="pct"/>
          </w:tcPr>
          <w:p w:rsidR="000F287A" w:rsidRPr="00C744E0" w:rsidRDefault="000F287A" w:rsidP="00610CD4">
            <w:pPr>
              <w:pStyle w:val="TableBodyText"/>
              <w:jc w:val="left"/>
              <w:rPr>
                <w:b/>
              </w:rPr>
            </w:pPr>
            <w:r w:rsidRPr="00C744E0">
              <w:rPr>
                <w:b/>
              </w:rPr>
              <w:t>Measure (computation)</w:t>
            </w:r>
          </w:p>
        </w:tc>
        <w:tc>
          <w:tcPr>
            <w:tcW w:w="4078" w:type="pct"/>
          </w:tcPr>
          <w:p w:rsidR="000F287A" w:rsidRDefault="000F287A" w:rsidP="00610CD4">
            <w:pPr>
              <w:pStyle w:val="TableBodyText"/>
              <w:jc w:val="both"/>
            </w:pPr>
            <w:r>
              <w:t>‘</w:t>
            </w:r>
            <w:r w:rsidR="00C14E02">
              <w:t>Backlog</w:t>
            </w:r>
            <w:r>
              <w:t>’</w:t>
            </w:r>
            <w:r w:rsidR="00C14E02">
              <w:t xml:space="preserve"> measures the age of a court’s pending caseload against nominated time standards</w:t>
            </w:r>
            <w:r>
              <w:t>.</w:t>
            </w:r>
            <w:r w:rsidR="00C14E02">
              <w:t xml:space="preserve"> The number of cases in the nominated age category is expressed as a percentage of the total pending caseload. It is derived by dividing the number of cases that have been pending for a nominated period (numerator) by the total pending caseload for the year (denominator).</w:t>
            </w:r>
          </w:p>
          <w:p w:rsidR="00192BE6" w:rsidRDefault="00192BE6" w:rsidP="00610CD4">
            <w:pPr>
              <w:pStyle w:val="TableBodyText"/>
              <w:jc w:val="both"/>
            </w:pPr>
            <w:r>
              <w:t xml:space="preserve">In calculating this measure for this report, some matters are excluded, </w:t>
            </w:r>
            <w:proofErr w:type="spellStart"/>
            <w:r>
              <w:t>eg</w:t>
            </w:r>
            <w:proofErr w:type="spellEnd"/>
            <w:r>
              <w:t>. civil cases affected by deeming rules and matters that are inactive due to the issue of bench warrants that have not been executed.</w:t>
            </w:r>
          </w:p>
          <w:p w:rsidR="000F287A" w:rsidRDefault="000F287A" w:rsidP="00610CD4">
            <w:pPr>
              <w:pStyle w:val="TableBodyText"/>
              <w:jc w:val="both"/>
            </w:pPr>
            <w:r>
              <w:rPr>
                <w:u w:val="single"/>
              </w:rPr>
              <w:t>Numerator</w:t>
            </w:r>
            <w:r>
              <w:t xml:space="preserve"> is defined as:</w:t>
            </w:r>
          </w:p>
          <w:p w:rsidR="00192BE6" w:rsidRPr="005A5147" w:rsidRDefault="000F287A" w:rsidP="00192BE6">
            <w:pPr>
              <w:pStyle w:val="TableBodyText"/>
              <w:numPr>
                <w:ilvl w:val="0"/>
                <w:numId w:val="42"/>
              </w:numPr>
              <w:jc w:val="left"/>
            </w:pPr>
            <w:r>
              <w:t>Numbe</w:t>
            </w:r>
            <w:r w:rsidR="00192BE6">
              <w:t>r</w:t>
            </w:r>
            <w:r>
              <w:t xml:space="preserve"> </w:t>
            </w:r>
            <w:r w:rsidR="00192BE6" w:rsidRPr="005A5147">
              <w:t>of cases pending longer than 12 months in a financial year (Higher Courts, Federal Court, family courts &amp; Coroners Courts)</w:t>
            </w:r>
          </w:p>
          <w:p w:rsidR="00192BE6" w:rsidRPr="005A5147" w:rsidRDefault="00192BE6" w:rsidP="00192BE6">
            <w:pPr>
              <w:pStyle w:val="TableBodyText"/>
              <w:numPr>
                <w:ilvl w:val="0"/>
                <w:numId w:val="42"/>
              </w:numPr>
              <w:jc w:val="left"/>
            </w:pPr>
            <w:r w:rsidRPr="005A5147">
              <w:t>Number of cases pending longer than 24 months in a financial year (Higher Courts, Federal Court, family courts &amp; Coroners Courts)</w:t>
            </w:r>
          </w:p>
          <w:p w:rsidR="00192BE6" w:rsidRPr="005A5147" w:rsidRDefault="00192BE6" w:rsidP="00192BE6">
            <w:pPr>
              <w:pStyle w:val="TableBodyText"/>
              <w:numPr>
                <w:ilvl w:val="0"/>
                <w:numId w:val="42"/>
              </w:numPr>
              <w:jc w:val="left"/>
            </w:pPr>
            <w:r w:rsidRPr="005A5147">
              <w:t>Number of cases pending longer than 6 months in a financial year (Federal Magistrates' Court, magistrates’ courts and children’s courts)</w:t>
            </w:r>
          </w:p>
          <w:p w:rsidR="00192BE6" w:rsidRPr="005A5147" w:rsidRDefault="00192BE6" w:rsidP="00192BE6">
            <w:pPr>
              <w:pStyle w:val="TableBodyText"/>
              <w:numPr>
                <w:ilvl w:val="0"/>
                <w:numId w:val="42"/>
              </w:numPr>
              <w:jc w:val="left"/>
            </w:pPr>
            <w:r w:rsidRPr="005A5147">
              <w:t>Number of cases pending longer than 12 months in a financial year (Federal Magistrates' Court, magistrates’ courts and children’s courts)</w:t>
            </w:r>
          </w:p>
          <w:p w:rsidR="000F287A" w:rsidRDefault="000F287A" w:rsidP="00610CD4">
            <w:pPr>
              <w:pStyle w:val="TableBullet"/>
              <w:numPr>
                <w:ilvl w:val="0"/>
                <w:numId w:val="42"/>
              </w:numPr>
              <w:spacing w:line="220" w:lineRule="exact"/>
              <w:jc w:val="both"/>
            </w:pPr>
          </w:p>
          <w:p w:rsidR="000F287A" w:rsidRPr="005D4651" w:rsidRDefault="000F287A" w:rsidP="00610CD4">
            <w:pPr>
              <w:pStyle w:val="TableBodyText"/>
              <w:jc w:val="both"/>
            </w:pPr>
            <w:r>
              <w:rPr>
                <w:u w:val="single"/>
              </w:rPr>
              <w:t>Denominator</w:t>
            </w:r>
            <w:r>
              <w:t xml:space="preserve"> is defined as:</w:t>
            </w:r>
          </w:p>
          <w:p w:rsidR="000F287A" w:rsidRPr="00B96E3E" w:rsidRDefault="00192BE6" w:rsidP="00192BE6">
            <w:pPr>
              <w:pStyle w:val="TableBullet"/>
              <w:numPr>
                <w:ilvl w:val="0"/>
                <w:numId w:val="42"/>
              </w:numPr>
              <w:spacing w:line="220" w:lineRule="exact"/>
              <w:jc w:val="both"/>
            </w:pPr>
            <w:r>
              <w:t>To</w:t>
            </w:r>
            <w:r w:rsidR="00E15DC0">
              <w:t>tal number of</w:t>
            </w:r>
            <w:r>
              <w:t xml:space="preserve"> cases</w:t>
            </w:r>
            <w:r w:rsidR="00E15DC0">
              <w:t xml:space="preserve"> pending</w:t>
            </w:r>
            <w:r>
              <w:t xml:space="preserve"> in a financial year</w:t>
            </w:r>
          </w:p>
        </w:tc>
      </w:tr>
      <w:tr w:rsidR="000F287A" w:rsidTr="00610CD4">
        <w:tc>
          <w:tcPr>
            <w:tcW w:w="922" w:type="pct"/>
          </w:tcPr>
          <w:p w:rsidR="000F287A" w:rsidRPr="00C744E0" w:rsidRDefault="000F287A" w:rsidP="00610CD4">
            <w:pPr>
              <w:pStyle w:val="TableBodyText"/>
              <w:jc w:val="left"/>
              <w:rPr>
                <w:b/>
              </w:rPr>
            </w:pPr>
            <w:r w:rsidRPr="00C744E0">
              <w:rPr>
                <w:b/>
              </w:rPr>
              <w:t>Data source/s</w:t>
            </w:r>
          </w:p>
        </w:tc>
        <w:tc>
          <w:tcPr>
            <w:tcW w:w="4078" w:type="pct"/>
          </w:tcPr>
          <w:p w:rsidR="000F287A" w:rsidRPr="00B96E3E" w:rsidRDefault="00B51173" w:rsidP="009B2DA8">
            <w:pPr>
              <w:pStyle w:val="TableBodyText"/>
              <w:jc w:val="both"/>
            </w:pPr>
            <w:r>
              <w:t>Backlog</w:t>
            </w:r>
            <w:r w:rsidR="000F287A">
              <w:t xml:space="preserve"> data</w:t>
            </w:r>
            <w:r w:rsidR="000F287A" w:rsidRPr="00C34F8E">
              <w:t xml:space="preserve"> are sourced from</w:t>
            </w:r>
            <w:r w:rsidR="000F287A">
              <w:t xml:space="preserve"> administrative data collected by</w:t>
            </w:r>
            <w:r w:rsidR="000F287A" w:rsidRPr="00C34F8E">
              <w:t xml:space="preserve"> </w:t>
            </w:r>
            <w:r w:rsidR="000F287A">
              <w:t xml:space="preserve">Australian, State and Territory court </w:t>
            </w:r>
            <w:r w:rsidR="002E7D2B">
              <w:t>authorities and departments.</w:t>
            </w:r>
          </w:p>
        </w:tc>
      </w:tr>
      <w:tr w:rsidR="000F287A" w:rsidTr="00610CD4">
        <w:tc>
          <w:tcPr>
            <w:tcW w:w="5000" w:type="pct"/>
            <w:gridSpan w:val="2"/>
          </w:tcPr>
          <w:p w:rsidR="000F287A" w:rsidRDefault="000F287A" w:rsidP="00610CD4">
            <w:pPr>
              <w:pStyle w:val="TableBodyText"/>
              <w:jc w:val="both"/>
              <w:rPr>
                <w:b/>
                <w:u w:val="single"/>
              </w:rPr>
            </w:pPr>
          </w:p>
          <w:p w:rsidR="000F287A" w:rsidRPr="00C744E0" w:rsidRDefault="000F287A" w:rsidP="00610CD4">
            <w:pPr>
              <w:pStyle w:val="TableBodyText"/>
              <w:jc w:val="both"/>
              <w:rPr>
                <w:b/>
                <w:u w:val="single"/>
              </w:rPr>
            </w:pPr>
            <w:r w:rsidRPr="00C744E0">
              <w:rPr>
                <w:b/>
                <w:u w:val="single"/>
              </w:rPr>
              <w:t>Data Quality Framework Dimensions</w:t>
            </w:r>
          </w:p>
        </w:tc>
      </w:tr>
      <w:tr w:rsidR="000F287A" w:rsidTr="00610CD4">
        <w:tc>
          <w:tcPr>
            <w:tcW w:w="922" w:type="pct"/>
          </w:tcPr>
          <w:p w:rsidR="000F287A" w:rsidRPr="00C744E0" w:rsidRDefault="000F287A" w:rsidP="00610CD4">
            <w:pPr>
              <w:pStyle w:val="TableBodyText"/>
              <w:jc w:val="left"/>
              <w:rPr>
                <w:b/>
              </w:rPr>
            </w:pPr>
            <w:r w:rsidRPr="00C744E0">
              <w:rPr>
                <w:b/>
              </w:rPr>
              <w:t>Institutional environment</w:t>
            </w:r>
          </w:p>
        </w:tc>
        <w:tc>
          <w:tcPr>
            <w:tcW w:w="4078" w:type="pct"/>
          </w:tcPr>
          <w:p w:rsidR="000F287A" w:rsidRPr="00FA2F8F" w:rsidRDefault="000F287A" w:rsidP="00610CD4">
            <w:pPr>
              <w:pStyle w:val="TableBodyText"/>
              <w:jc w:val="both"/>
              <w:rPr>
                <w:rFonts w:cs="Arial"/>
              </w:rPr>
            </w:pPr>
            <w:r>
              <w:rPr>
                <w:rFonts w:cs="Arial"/>
                <w:u w:val="single"/>
              </w:rPr>
              <w:t>Numerator</w:t>
            </w:r>
            <w:r>
              <w:rPr>
                <w:rFonts w:cs="Arial"/>
              </w:rPr>
              <w:t xml:space="preserve"> —</w:t>
            </w:r>
            <w:r w:rsidR="00E15DC0">
              <w:rPr>
                <w:rFonts w:cs="Arial"/>
              </w:rPr>
              <w:t xml:space="preserve"> Number of cases pending longer than a nominated period in a financial year</w:t>
            </w:r>
          </w:p>
          <w:p w:rsidR="000F287A" w:rsidRDefault="000F287A" w:rsidP="00610CD4">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compi</w:t>
            </w:r>
            <w:r w:rsidR="009B2DA8">
              <w:rPr>
                <w:rFonts w:cs="Arial"/>
              </w:rPr>
              <w:t xml:space="preserve">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0F287A" w:rsidRDefault="000F287A" w:rsidP="00610CD4">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0F287A" w:rsidRPr="00C34F8E" w:rsidRDefault="000F287A" w:rsidP="00610CD4">
            <w:pPr>
              <w:pStyle w:val="TableBodyText"/>
              <w:jc w:val="both"/>
              <w:rPr>
                <w:rFonts w:cs="Arial"/>
              </w:rPr>
            </w:pPr>
          </w:p>
          <w:p w:rsidR="000F287A" w:rsidRPr="00FA2F8F" w:rsidRDefault="000F287A" w:rsidP="00610CD4">
            <w:pPr>
              <w:pStyle w:val="TableBodyText"/>
              <w:jc w:val="both"/>
            </w:pPr>
            <w:r w:rsidRPr="00EF61C2">
              <w:rPr>
                <w:u w:val="single"/>
              </w:rPr>
              <w:t>Denominator</w:t>
            </w:r>
            <w:r>
              <w:t xml:space="preserve"> — </w:t>
            </w:r>
            <w:r w:rsidR="00E15DC0">
              <w:t>Total number of cases pending in a financial year</w:t>
            </w:r>
          </w:p>
          <w:p w:rsidR="00E15DC0" w:rsidRDefault="00E15DC0" w:rsidP="00E15DC0">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0F287A" w:rsidRPr="00062F62" w:rsidRDefault="00E15DC0" w:rsidP="002E7D2B">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w:t>
            </w:r>
            <w:r w:rsidR="002E7D2B">
              <w:rPr>
                <w:rFonts w:cs="Arial"/>
              </w:rPr>
              <w:t>f Government Service Provision.</w:t>
            </w:r>
          </w:p>
        </w:tc>
      </w:tr>
      <w:tr w:rsidR="000F287A" w:rsidTr="00610CD4">
        <w:tc>
          <w:tcPr>
            <w:tcW w:w="922" w:type="pct"/>
          </w:tcPr>
          <w:p w:rsidR="000F287A" w:rsidRPr="00C744E0" w:rsidRDefault="000F287A" w:rsidP="00610CD4">
            <w:pPr>
              <w:pStyle w:val="TableBodyText"/>
              <w:jc w:val="left"/>
              <w:rPr>
                <w:b/>
              </w:rPr>
            </w:pPr>
            <w:r w:rsidRPr="00C744E0">
              <w:rPr>
                <w:b/>
              </w:rPr>
              <w:t>Relevance</w:t>
            </w:r>
          </w:p>
        </w:tc>
        <w:tc>
          <w:tcPr>
            <w:tcW w:w="4078" w:type="pct"/>
          </w:tcPr>
          <w:p w:rsidR="000F287A" w:rsidRPr="00971799" w:rsidRDefault="00DD184D" w:rsidP="00610CD4">
            <w:pPr>
              <w:pStyle w:val="TableBullet"/>
              <w:numPr>
                <w:ilvl w:val="0"/>
                <w:numId w:val="0"/>
              </w:numPr>
              <w:jc w:val="both"/>
            </w:pPr>
            <w:r>
              <w:t>‘Backlog’ is intended to be an indicator of governments’ achievement against the objective of processing matters in an expeditious and timely manner.</w:t>
            </w:r>
          </w:p>
          <w:p w:rsidR="00CA1E8E" w:rsidRDefault="00CA1E8E" w:rsidP="00CA1E8E">
            <w:pPr>
              <w:pStyle w:val="TableBodyText"/>
              <w:ind w:left="0" w:firstLine="6"/>
              <w:jc w:val="left"/>
            </w:pPr>
            <w:r>
              <w:t>However t</w:t>
            </w:r>
            <w:r w:rsidRPr="00F20BEC">
              <w:t xml:space="preserve">ime taken to process cases is not necessarily </w:t>
            </w:r>
            <w:r w:rsidR="009B2DA8">
              <w:t xml:space="preserve">due to </w:t>
            </w:r>
            <w:r w:rsidRPr="00F20BEC">
              <w:t>court delay. Some delays are caused by factors other than those related to the workload of the court</w:t>
            </w:r>
            <w:r>
              <w:t>.  These factors will vary across jurisdictions and can include any or all of the following:</w:t>
            </w:r>
          </w:p>
          <w:p w:rsidR="00CA1E8E" w:rsidRDefault="00CA1E8E" w:rsidP="00CA1E8E">
            <w:pPr>
              <w:pStyle w:val="TableBodyText"/>
              <w:numPr>
                <w:ilvl w:val="0"/>
                <w:numId w:val="44"/>
              </w:numPr>
              <w:jc w:val="left"/>
            </w:pPr>
            <w:r w:rsidRPr="00B02272">
              <w:t>parties' refusal of the first available hearing date in favour of a later date</w:t>
            </w:r>
          </w:p>
          <w:p w:rsidR="00CA1E8E" w:rsidRDefault="00CA1E8E" w:rsidP="00CA1E8E">
            <w:pPr>
              <w:pStyle w:val="TableBodyText"/>
              <w:numPr>
                <w:ilvl w:val="0"/>
                <w:numId w:val="44"/>
              </w:numPr>
              <w:jc w:val="left"/>
            </w:pPr>
            <w:r w:rsidRPr="00B02272">
              <w:lastRenderedPageBreak/>
              <w:t>referral of cases to diversionary programs, or to alternative dispute resolution lengthen</w:t>
            </w:r>
            <w:r>
              <w:t>ing</w:t>
            </w:r>
            <w:r w:rsidRPr="00B02272">
              <w:t xml:space="preserve"> the duration of a case but offer</w:t>
            </w:r>
            <w:r>
              <w:t>ing</w:t>
            </w:r>
            <w:r w:rsidRPr="00B02272">
              <w:t xml:space="preserve"> better quality and more cost-effective outcomes for parties and the community</w:t>
            </w:r>
          </w:p>
          <w:p w:rsidR="00CA1E8E" w:rsidRDefault="00CA1E8E" w:rsidP="00CA1E8E">
            <w:pPr>
              <w:pStyle w:val="TableBodyText"/>
              <w:numPr>
                <w:ilvl w:val="0"/>
                <w:numId w:val="44"/>
              </w:numPr>
              <w:jc w:val="left"/>
            </w:pPr>
            <w:r w:rsidRPr="00B02272">
              <w:t>time taken to process interlocutory appeals in appellate courts</w:t>
            </w:r>
          </w:p>
          <w:p w:rsidR="00CA1E8E" w:rsidRDefault="00CA1E8E" w:rsidP="00CA1E8E">
            <w:pPr>
              <w:pStyle w:val="TableBodyText"/>
              <w:numPr>
                <w:ilvl w:val="0"/>
                <w:numId w:val="44"/>
              </w:numPr>
              <w:jc w:val="left"/>
            </w:pPr>
            <w:r w:rsidRPr="00B02272">
              <w:t>time taken to ensure that interlocutory or pre-trial issues are resolved s</w:t>
            </w:r>
            <w:r>
              <w:t>o that a fair outcome ensues</w:t>
            </w:r>
          </w:p>
          <w:p w:rsidR="00CA1E8E" w:rsidRDefault="00CA1E8E" w:rsidP="00CA1E8E">
            <w:pPr>
              <w:pStyle w:val="TableBodyText"/>
              <w:numPr>
                <w:ilvl w:val="0"/>
                <w:numId w:val="44"/>
              </w:numPr>
              <w:jc w:val="left"/>
            </w:pPr>
            <w:r w:rsidRPr="00F20BEC">
              <w:t>a witness being unavailable</w:t>
            </w:r>
          </w:p>
          <w:p w:rsidR="00CA1E8E" w:rsidRPr="00EE4F92" w:rsidRDefault="00CA1E8E" w:rsidP="002E7D2B">
            <w:pPr>
              <w:pStyle w:val="TableBodyText"/>
              <w:numPr>
                <w:ilvl w:val="0"/>
                <w:numId w:val="44"/>
              </w:numPr>
              <w:jc w:val="left"/>
            </w:pPr>
            <w:r w:rsidRPr="00EE4F92">
              <w:t>delay</w:t>
            </w:r>
            <w:r>
              <w:t>s</w:t>
            </w:r>
            <w:r w:rsidRPr="00EE4F92">
              <w:t xml:space="preserve"> in the finalisation of post mortem reports </w:t>
            </w:r>
            <w:r>
              <w:t xml:space="preserve">for Coroner’s Court in jurisdictions where post mortems are undertaken by agencies </w:t>
            </w:r>
            <w:r w:rsidR="002E7D2B">
              <w:t>outside the court jurisdiction.</w:t>
            </w:r>
          </w:p>
          <w:p w:rsidR="000F287A" w:rsidRPr="00B96E3E" w:rsidRDefault="00CA1E8E" w:rsidP="00034BFB">
            <w:pPr>
              <w:pStyle w:val="TableBodyText"/>
              <w:ind w:left="0" w:firstLine="6"/>
              <w:jc w:val="left"/>
            </w:pPr>
            <w:r w:rsidRPr="00F20BEC">
              <w:t xml:space="preserve">For further information on the backlog indicator refer to </w:t>
            </w:r>
            <w:smartTag w:uri="urn:schemas-microsoft-com:office:smarttags" w:element="address">
              <w:smartTag w:uri="urn:schemas-microsoft-com:office:smarttags" w:element="Street">
                <w:r w:rsidRPr="00F20BEC">
                  <w:t>Box</w:t>
                </w:r>
              </w:smartTag>
              <w:r w:rsidR="009C452B">
                <w:t xml:space="preserve"> 7.9</w:t>
              </w:r>
            </w:smartTag>
            <w:r>
              <w:t xml:space="preserve">, </w:t>
            </w:r>
            <w:smartTag w:uri="urn:schemas-microsoft-com:office:smarttags" w:element="address">
              <w:smartTag w:uri="urn:schemas-microsoft-com:office:smarttags" w:element="Street">
                <w:r>
                  <w:t>B</w:t>
                </w:r>
                <w:r w:rsidRPr="00F20BEC">
                  <w:t>ox</w:t>
                </w:r>
              </w:smartTag>
              <w:r w:rsidR="009C452B">
                <w:t xml:space="preserve"> 7.10</w:t>
              </w:r>
            </w:smartTag>
            <w:r>
              <w:t xml:space="preserve">, and </w:t>
            </w:r>
            <w:smartTag w:uri="urn:schemas-microsoft-com:office:smarttags" w:element="address">
              <w:smartTag w:uri="urn:schemas-microsoft-com:office:smarttags" w:element="Street">
                <w:r>
                  <w:t>Box</w:t>
                </w:r>
              </w:smartTag>
              <w:r w:rsidR="009C452B">
                <w:t xml:space="preserve"> 7.11</w:t>
              </w:r>
            </w:smartTag>
            <w:r w:rsidRPr="00F20BEC">
              <w:t xml:space="preserve"> </w:t>
            </w:r>
            <w:r>
              <w:t xml:space="preserve">in chapter 7 </w:t>
            </w:r>
            <w:r w:rsidRPr="00F20BEC">
              <w:t>of the Report.</w:t>
            </w:r>
          </w:p>
        </w:tc>
      </w:tr>
      <w:tr w:rsidR="000F287A" w:rsidTr="00610CD4">
        <w:tc>
          <w:tcPr>
            <w:tcW w:w="922" w:type="pct"/>
          </w:tcPr>
          <w:p w:rsidR="000F287A" w:rsidRPr="00C744E0" w:rsidRDefault="000F287A" w:rsidP="00610CD4">
            <w:pPr>
              <w:pStyle w:val="TableBodyText"/>
              <w:jc w:val="both"/>
              <w:rPr>
                <w:b/>
              </w:rPr>
            </w:pPr>
            <w:r w:rsidRPr="00C744E0">
              <w:rPr>
                <w:b/>
              </w:rPr>
              <w:lastRenderedPageBreak/>
              <w:t>Timeliness</w:t>
            </w:r>
          </w:p>
        </w:tc>
        <w:tc>
          <w:tcPr>
            <w:tcW w:w="4078" w:type="pct"/>
          </w:tcPr>
          <w:p w:rsidR="000F287A" w:rsidRDefault="000F287A" w:rsidP="00610CD4">
            <w:pPr>
              <w:pStyle w:val="TableBodyText"/>
              <w:keepNext w:val="0"/>
              <w:jc w:val="both"/>
            </w:pPr>
            <w:r>
              <w:t xml:space="preserve">The reference period for </w:t>
            </w:r>
            <w:r w:rsidR="00D96DB7">
              <w:t xml:space="preserve">cases pending data </w:t>
            </w:r>
            <w:r w:rsidR="0009623A">
              <w:t>is the 2012-13</w:t>
            </w:r>
            <w:r>
              <w:t xml:space="preserve"> financial year. Dat</w:t>
            </w:r>
            <w:r w:rsidR="0009623A">
              <w:t>a are provided in September 2013</w:t>
            </w:r>
            <w:r>
              <w:t>,</w:t>
            </w:r>
            <w:r w:rsidR="0009623A">
              <w:t xml:space="preserve"> for publication in January 2014</w:t>
            </w:r>
            <w:r>
              <w:t>.</w:t>
            </w:r>
          </w:p>
          <w:p w:rsidR="000F287A" w:rsidRPr="009F199D" w:rsidRDefault="000F287A" w:rsidP="00D96DB7">
            <w:pPr>
              <w:pStyle w:val="TableBodyText"/>
              <w:keepNext w:val="0"/>
              <w:jc w:val="both"/>
            </w:pPr>
            <w:r>
              <w:t xml:space="preserve">Data can be revised retrospectively up to 5 </w:t>
            </w:r>
            <w:r w:rsidR="00D96DB7">
              <w:t>years later.</w:t>
            </w:r>
          </w:p>
        </w:tc>
      </w:tr>
      <w:tr w:rsidR="000F287A" w:rsidTr="00610CD4">
        <w:tc>
          <w:tcPr>
            <w:tcW w:w="922" w:type="pct"/>
          </w:tcPr>
          <w:p w:rsidR="000F287A" w:rsidRPr="00C744E0" w:rsidRDefault="000F287A" w:rsidP="00610CD4">
            <w:pPr>
              <w:pStyle w:val="TableBodyText"/>
              <w:jc w:val="left"/>
              <w:rPr>
                <w:b/>
              </w:rPr>
            </w:pPr>
            <w:r w:rsidRPr="00C744E0">
              <w:rPr>
                <w:b/>
              </w:rPr>
              <w:t>Accuracy</w:t>
            </w:r>
          </w:p>
        </w:tc>
        <w:tc>
          <w:tcPr>
            <w:tcW w:w="4078" w:type="pct"/>
          </w:tcPr>
          <w:p w:rsidR="00F962B8" w:rsidRDefault="00F962B8" w:rsidP="00F962B8">
            <w:pPr>
              <w:pStyle w:val="TableBullet"/>
              <w:numPr>
                <w:ilvl w:val="0"/>
                <w:numId w:val="0"/>
              </w:numPr>
              <w:spacing w:line="220" w:lineRule="exact"/>
              <w:ind w:left="6"/>
            </w:pPr>
            <w:r>
              <w:t>The identification of cases pending longer than a nominated period is done using electronic case management reporting systems except for the following:</w:t>
            </w:r>
          </w:p>
          <w:p w:rsidR="000F287A" w:rsidRPr="00FC7487" w:rsidRDefault="00F962B8" w:rsidP="00F962B8">
            <w:pPr>
              <w:pStyle w:val="TableBullet"/>
              <w:keepNext w:val="0"/>
              <w:numPr>
                <w:ilvl w:val="0"/>
                <w:numId w:val="42"/>
              </w:numPr>
              <w:jc w:val="both"/>
            </w:pPr>
            <w:r>
              <w:t>In the Supreme Court of New South Wales m</w:t>
            </w:r>
            <w:r w:rsidRPr="00F60CB9">
              <w:t>anually maintained data is used for</w:t>
            </w:r>
            <w:r>
              <w:t xml:space="preserve"> the majority of civil appeal</w:t>
            </w:r>
            <w:r w:rsidRPr="00F60CB9">
              <w:t xml:space="preserve"> and all of criminal appeal and criminal non-appeal. A small proportion of the civil appeal data comes from </w:t>
            </w:r>
            <w:r>
              <w:t>an</w:t>
            </w:r>
            <w:r w:rsidRPr="00F60CB9">
              <w:t xml:space="preserve"> electronic system </w:t>
            </w:r>
            <w:r>
              <w:t xml:space="preserve">but </w:t>
            </w:r>
            <w:r w:rsidRPr="00F60CB9">
              <w:t xml:space="preserve">for the 2009-2010 collection the </w:t>
            </w:r>
            <w:r>
              <w:t xml:space="preserve">NSW </w:t>
            </w:r>
            <w:r w:rsidRPr="00F60CB9">
              <w:t>electronic system was unable to provide</w:t>
            </w:r>
            <w:r>
              <w:t xml:space="preserve"> civil non-appeal data </w:t>
            </w:r>
            <w:r w:rsidRPr="00F60CB9">
              <w:t xml:space="preserve">so an estimate was given </w:t>
            </w:r>
            <w:r>
              <w:t>for 2009-10</w:t>
            </w:r>
            <w:r w:rsidR="000F287A" w:rsidRPr="00FC7487">
              <w:t>.</w:t>
            </w:r>
          </w:p>
          <w:p w:rsidR="000F287A" w:rsidRDefault="000F287A" w:rsidP="00610CD4">
            <w:pPr>
              <w:pStyle w:val="TableBullet"/>
              <w:keepNext w:val="0"/>
              <w:numPr>
                <w:ilvl w:val="0"/>
                <w:numId w:val="0"/>
              </w:numPr>
              <w:jc w:val="both"/>
            </w:pPr>
            <w:r>
              <w:t xml:space="preserve">The data provided are consistent with </w:t>
            </w:r>
            <w:proofErr w:type="spellStart"/>
            <w:r>
              <w:t>RoGS</w:t>
            </w:r>
            <w:proofErr w:type="spellEnd"/>
            <w:r>
              <w:t xml:space="preserve"> counting </w:t>
            </w:r>
            <w:r w:rsidR="00F962B8">
              <w:t xml:space="preserve">rules, </w:t>
            </w:r>
            <w:proofErr w:type="spellStart"/>
            <w:r w:rsidR="00F962B8">
              <w:t>eg</w:t>
            </w:r>
            <w:proofErr w:type="spellEnd"/>
            <w:r w:rsidR="00F962B8">
              <w:t>. rules relating to deeming, warrants, bail matters, consolidations etc. and are reported</w:t>
            </w:r>
            <w:r w:rsidR="005E7E29">
              <w:t xml:space="preserve"> in a consistent manner</w:t>
            </w:r>
            <w:r w:rsidR="00F962B8">
              <w:t xml:space="preserve"> for all court levels in each jurisdiction, except the Supreme Court of NSW in 2009-10</w:t>
            </w:r>
            <w:r w:rsidR="005E7E29">
              <w:t xml:space="preserve"> (NSW civil children’s courts are unable to provide pending or backlog data)</w:t>
            </w:r>
            <w:r w:rsidR="00F962B8">
              <w:t>.</w:t>
            </w:r>
          </w:p>
          <w:p w:rsidR="00F962B8" w:rsidRPr="00CF5FA0" w:rsidRDefault="00F962B8" w:rsidP="00610CD4">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tc>
      </w:tr>
      <w:tr w:rsidR="000F287A" w:rsidTr="00610CD4">
        <w:tc>
          <w:tcPr>
            <w:tcW w:w="922" w:type="pct"/>
          </w:tcPr>
          <w:p w:rsidR="000F287A" w:rsidRPr="002162BE" w:rsidRDefault="000F287A" w:rsidP="00610CD4">
            <w:pPr>
              <w:pStyle w:val="TableBodyText"/>
              <w:jc w:val="left"/>
              <w:rPr>
                <w:b/>
              </w:rPr>
            </w:pPr>
            <w:r w:rsidRPr="002162BE">
              <w:rPr>
                <w:b/>
              </w:rPr>
              <w:t>Coherence</w:t>
            </w:r>
          </w:p>
        </w:tc>
        <w:tc>
          <w:tcPr>
            <w:tcW w:w="4078" w:type="pct"/>
          </w:tcPr>
          <w:p w:rsidR="000F287A" w:rsidRDefault="000F287A" w:rsidP="00610CD4">
            <w:pPr>
              <w:pStyle w:val="TableBodyText"/>
              <w:keepNext w:val="0"/>
              <w:ind w:left="0" w:firstLine="6"/>
              <w:jc w:val="both"/>
            </w:pPr>
            <w:r>
              <w:t>F</w:t>
            </w:r>
            <w:r w:rsidRPr="00206536">
              <w:t xml:space="preserve">or </w:t>
            </w:r>
            <w:r w:rsidR="00CE3B5B">
              <w:t>the last five years backlog</w:t>
            </w:r>
            <w:r>
              <w:t xml:space="preserve"> data have</w:t>
            </w:r>
            <w:r w:rsidRPr="00206536">
              <w:t xml:space="preserve"> been counted and reported </w:t>
            </w:r>
            <w:r>
              <w:t xml:space="preserve">relatively </w:t>
            </w:r>
            <w:r w:rsidRPr="00206536">
              <w:t>consistently</w:t>
            </w:r>
            <w:r>
              <w:t xml:space="preserve"> </w:t>
            </w:r>
            <w:r w:rsidR="00496F93">
              <w:t>with the following exceptions:</w:t>
            </w:r>
          </w:p>
          <w:p w:rsidR="00496F93" w:rsidRDefault="00496F93" w:rsidP="00496F93">
            <w:pPr>
              <w:pStyle w:val="TableBullet"/>
              <w:numPr>
                <w:ilvl w:val="0"/>
                <w:numId w:val="42"/>
              </w:numPr>
              <w:tabs>
                <w:tab w:val="left" w:pos="170"/>
              </w:tabs>
            </w:pPr>
            <w:r>
              <w:tab/>
              <w:t xml:space="preserve">In the Federal Court pending bankruptcy matters are now excluded from </w:t>
            </w:r>
            <w:proofErr w:type="spellStart"/>
            <w:r>
              <w:t>ROGS</w:t>
            </w:r>
            <w:proofErr w:type="spellEnd"/>
            <w:r>
              <w:t xml:space="preserve"> data.  </w:t>
            </w:r>
            <w:r w:rsidR="00CE3B5B">
              <w:t>Data from</w:t>
            </w:r>
            <w:r w:rsidR="00DE5F34">
              <w:t xml:space="preserve"> 2008-09</w:t>
            </w:r>
            <w:r>
              <w:t xml:space="preserve"> have been retrospectively adjusted to exclude these matters in the 2012 report.</w:t>
            </w:r>
          </w:p>
          <w:p w:rsidR="00496F93" w:rsidRPr="00E222B4" w:rsidRDefault="00897974" w:rsidP="00897974">
            <w:pPr>
              <w:pStyle w:val="TableBodyText"/>
              <w:keepNext w:val="0"/>
              <w:numPr>
                <w:ilvl w:val="0"/>
                <w:numId w:val="42"/>
              </w:numPr>
              <w:jc w:val="both"/>
            </w:pPr>
            <w:r>
              <w:t xml:space="preserve">In </w:t>
            </w:r>
            <w:smartTag w:uri="urn:schemas-microsoft-com:office:smarttags" w:element="place">
              <w:smartTag w:uri="urn:schemas-microsoft-com:office:smarttags" w:element="State">
                <w:r>
                  <w:t>South Australia</w:t>
                </w:r>
              </w:smartTag>
            </w:smartTag>
            <w:r>
              <w:t xml:space="preserve"> changes in legislation (e.g. offences </w:t>
            </w:r>
            <w:r w:rsidR="00095E5B">
              <w:t>moving from a court process to a</w:t>
            </w:r>
            <w:r>
              <w:t>n infringement process) have impacted on numbers from 2008-09 onwards.</w:t>
            </w:r>
          </w:p>
          <w:p w:rsidR="00496F93" w:rsidRDefault="00800960" w:rsidP="00496F93">
            <w:pPr>
              <w:pStyle w:val="TableBullet"/>
              <w:numPr>
                <w:ilvl w:val="0"/>
                <w:numId w:val="42"/>
              </w:numPr>
              <w:tabs>
                <w:tab w:val="left" w:pos="170"/>
              </w:tabs>
            </w:pPr>
            <w:r>
              <w:tab/>
            </w:r>
            <w:r w:rsidR="00496F93">
              <w:t>From 2007-08 c</w:t>
            </w:r>
            <w:r w:rsidR="00496F93" w:rsidRPr="00DB19B2">
              <w:t xml:space="preserve">hanges to legislation </w:t>
            </w:r>
            <w:r w:rsidR="00496F93">
              <w:t xml:space="preserve">in </w:t>
            </w:r>
            <w:smartTag w:uri="urn:schemas-microsoft-com:office:smarttags" w:element="place">
              <w:smartTag w:uri="urn:schemas-microsoft-com:office:smarttags" w:element="State">
                <w:r w:rsidR="00496F93">
                  <w:t>Tasmania</w:t>
                </w:r>
              </w:smartTag>
            </w:smartTag>
            <w:r w:rsidR="00496F93">
              <w:t xml:space="preserve">’s courts </w:t>
            </w:r>
            <w:r w:rsidR="00496F93" w:rsidRPr="00DB19B2">
              <w:t>have seen a significant number of minor traffic matters (infringement notices) no longer dealt with by the court. These are now enforced by the Monetary Penalties Enforc</w:t>
            </w:r>
            <w:r w:rsidR="00496F93">
              <w:t>e</w:t>
            </w:r>
            <w:r w:rsidR="00496F93" w:rsidRPr="00DB19B2">
              <w:t>ment Service</w:t>
            </w:r>
            <w:r w:rsidR="00496F93">
              <w:t xml:space="preserve"> and are excluded from the data from 2007-08</w:t>
            </w:r>
            <w:r w:rsidR="00496F93" w:rsidRPr="00DB19B2">
              <w:t>.</w:t>
            </w:r>
          </w:p>
          <w:p w:rsidR="00496F93" w:rsidRDefault="00800960" w:rsidP="00496F93">
            <w:pPr>
              <w:pStyle w:val="TableBullet"/>
              <w:numPr>
                <w:ilvl w:val="0"/>
                <w:numId w:val="42"/>
              </w:numPr>
              <w:tabs>
                <w:tab w:val="left" w:pos="170"/>
              </w:tabs>
            </w:pPr>
            <w:r>
              <w:tab/>
            </w:r>
            <w:r w:rsidR="00496F93" w:rsidRPr="00DB19B2">
              <w:t xml:space="preserve">From 2007-08 </w:t>
            </w:r>
            <w:smartTag w:uri="urn:schemas-microsoft-com:office:smarttags" w:element="State">
              <w:smartTag w:uri="urn:schemas-microsoft-com:office:smarttags" w:element="place">
                <w:r w:rsidR="00496F93" w:rsidRPr="00DB19B2">
                  <w:t>W</w:t>
                </w:r>
                <w:r w:rsidR="00496F93">
                  <w:t xml:space="preserve">estern </w:t>
                </w:r>
                <w:r w:rsidR="00496F93" w:rsidRPr="00DB19B2">
                  <w:t>A</w:t>
                </w:r>
                <w:r w:rsidR="00496F93">
                  <w:t>ustralia</w:t>
                </w:r>
              </w:smartTag>
            </w:smartTag>
            <w:r w:rsidR="00496F93">
              <w:t>’s</w:t>
            </w:r>
            <w:r w:rsidR="00496F93" w:rsidRPr="00DB19B2">
              <w:t xml:space="preserve"> Supreme Court criminal appeals include Single Judge of Appeal (</w:t>
            </w:r>
            <w:proofErr w:type="spellStart"/>
            <w:r w:rsidR="00496F93" w:rsidRPr="00DB19B2">
              <w:t>SJA</w:t>
            </w:r>
            <w:proofErr w:type="spellEnd"/>
            <w:r w:rsidR="00496F93" w:rsidRPr="00DB19B2">
              <w:t>) matters. Prior to 2007-08 these appeals were included in the WA Supre</w:t>
            </w:r>
            <w:r w:rsidR="00496F93">
              <w:t>me Court data for civil appeals.</w:t>
            </w:r>
          </w:p>
          <w:p w:rsidR="000F287A" w:rsidRDefault="00800960" w:rsidP="005E2F78">
            <w:pPr>
              <w:pStyle w:val="TableBullet"/>
              <w:numPr>
                <w:ilvl w:val="0"/>
                <w:numId w:val="42"/>
              </w:numPr>
              <w:tabs>
                <w:tab w:val="left" w:pos="170"/>
              </w:tabs>
            </w:pPr>
            <w:r>
              <w:tab/>
            </w:r>
            <w:r w:rsidR="00496F93">
              <w:t>S</w:t>
            </w:r>
            <w:r w:rsidR="00496F93" w:rsidRPr="00DB19B2">
              <w:t>ystem-based data was unavailable for 2009-2010</w:t>
            </w:r>
            <w:r w:rsidR="00496F93">
              <w:t xml:space="preserve"> f</w:t>
            </w:r>
            <w:r w:rsidR="00496F93" w:rsidRPr="00DB19B2">
              <w:t xml:space="preserve">or </w:t>
            </w:r>
            <w:smartTag w:uri="urn:schemas-microsoft-com:office:smarttags" w:element="State">
              <w:smartTag w:uri="urn:schemas-microsoft-com:office:smarttags" w:element="place">
                <w:r w:rsidR="00496F93">
                  <w:t>New South Wales</w:t>
                </w:r>
              </w:smartTag>
            </w:smartTag>
            <w:r w:rsidR="00496F93">
              <w:t xml:space="preserve"> </w:t>
            </w:r>
            <w:r w:rsidR="00496F93" w:rsidRPr="00DB19B2">
              <w:t>civil appeal data</w:t>
            </w:r>
            <w:r w:rsidR="00496F93">
              <w:t>.  A</w:t>
            </w:r>
            <w:r w:rsidR="00496F93" w:rsidRPr="00DB19B2">
              <w:t xml:space="preserve"> manual count was used and continues to be used </w:t>
            </w:r>
            <w:r w:rsidR="00496F93">
              <w:t xml:space="preserve">until </w:t>
            </w:r>
            <w:r w:rsidR="00496F93" w:rsidRPr="00DB19B2">
              <w:t xml:space="preserve">system data </w:t>
            </w:r>
            <w:r w:rsidR="006B5F7E">
              <w:t>are</w:t>
            </w:r>
            <w:r w:rsidR="00496F93" w:rsidRPr="00DB19B2">
              <w:t xml:space="preserve"> restored. For civil non-appeal, </w:t>
            </w:r>
            <w:smartTag w:uri="urn:schemas-microsoft-com:office:smarttags" w:element="State">
              <w:smartTag w:uri="urn:schemas-microsoft-com:office:smarttags" w:element="place">
                <w:r w:rsidR="00496F93">
                  <w:t>New South Wales</w:t>
                </w:r>
              </w:smartTag>
            </w:smartTag>
            <w:r w:rsidR="00496F93">
              <w:t xml:space="preserve"> </w:t>
            </w:r>
            <w:r w:rsidR="00496F93" w:rsidRPr="00DB19B2">
              <w:t>ha</w:t>
            </w:r>
            <w:r w:rsidR="00496F93">
              <w:t>s</w:t>
            </w:r>
            <w:r w:rsidR="00496F93" w:rsidRPr="00DB19B2">
              <w:t xml:space="preserve"> changed from one electronic system to another - the new system was unable to provide </w:t>
            </w:r>
            <w:r w:rsidR="00496F93">
              <w:t xml:space="preserve">pending caseload </w:t>
            </w:r>
            <w:r w:rsidR="00496F93" w:rsidRPr="00DB19B2">
              <w:t>data for 2009-2010 and so an estimate was used that</w:t>
            </w:r>
            <w:r w:rsidR="006B5F7E">
              <w:t xml:space="preserve"> year.</w:t>
            </w:r>
          </w:p>
          <w:p w:rsidR="00CA243A" w:rsidRDefault="00CA243A" w:rsidP="00CA243A">
            <w:pPr>
              <w:pStyle w:val="TableBullet"/>
              <w:numPr>
                <w:ilvl w:val="0"/>
                <w:numId w:val="0"/>
              </w:numPr>
              <w:tabs>
                <w:tab w:val="left" w:pos="170"/>
              </w:tabs>
              <w:ind w:left="346"/>
            </w:pPr>
          </w:p>
          <w:p w:rsidR="00CA243A" w:rsidRPr="00206536" w:rsidRDefault="00CA243A" w:rsidP="00CA243A">
            <w:pPr>
              <w:pStyle w:val="TableBullet"/>
              <w:numPr>
                <w:ilvl w:val="0"/>
                <w:numId w:val="0"/>
              </w:numPr>
              <w:tabs>
                <w:tab w:val="left" w:pos="170"/>
              </w:tabs>
              <w:ind w:left="346"/>
            </w:pPr>
          </w:p>
          <w:p w:rsidR="000F287A" w:rsidRPr="00CD04F1" w:rsidRDefault="00496F93" w:rsidP="00610CD4">
            <w:pPr>
              <w:pStyle w:val="TableBodyText"/>
              <w:jc w:val="both"/>
            </w:pPr>
            <w:r>
              <w:lastRenderedPageBreak/>
              <w:t>In most</w:t>
            </w:r>
            <w:r w:rsidR="000F287A" w:rsidRPr="00D84159">
              <w:t xml:space="preserve"> </w:t>
            </w:r>
            <w:r w:rsidR="000F287A">
              <w:t>jurisdictions</w:t>
            </w:r>
            <w:r w:rsidR="000F287A" w:rsidRPr="00D84159">
              <w:t xml:space="preserve"> there is an alignment with other publications</w:t>
            </w:r>
            <w:r w:rsidR="00800960">
              <w:t xml:space="preserve">, </w:t>
            </w:r>
            <w:proofErr w:type="spellStart"/>
            <w:r w:rsidR="00800960">
              <w:t>e</w:t>
            </w:r>
            <w:r w:rsidR="000F287A">
              <w:t>g</w:t>
            </w:r>
            <w:proofErr w:type="spellEnd"/>
            <w:r w:rsidR="000F287A">
              <w:t xml:space="preserve">. annual reports, </w:t>
            </w:r>
            <w:r>
              <w:t>while</w:t>
            </w:r>
            <w:r w:rsidR="000F287A">
              <w:t xml:space="preserve"> </w:t>
            </w:r>
            <w:r>
              <w:t>i</w:t>
            </w:r>
            <w:r w:rsidR="000F287A" w:rsidRPr="00D84159">
              <w:t xml:space="preserve">n </w:t>
            </w:r>
            <w:r w:rsidR="000F287A">
              <w:t>other jurisdictions</w:t>
            </w:r>
            <w:r w:rsidR="000F287A" w:rsidRPr="00D84159">
              <w:t xml:space="preserve"> there are differences due to the </w:t>
            </w:r>
            <w:proofErr w:type="spellStart"/>
            <w:r w:rsidR="000F287A" w:rsidRPr="00D84159">
              <w:t>ROGS</w:t>
            </w:r>
            <w:proofErr w:type="spellEnd"/>
            <w:r w:rsidR="000F287A" w:rsidRPr="00D84159">
              <w:t xml:space="preserve"> counting rules</w:t>
            </w:r>
            <w:r>
              <w:t xml:space="preserve"> in relation to exclusions</w:t>
            </w:r>
            <w:r w:rsidR="000F287A" w:rsidRPr="00D84159">
              <w:t>.</w:t>
            </w:r>
          </w:p>
        </w:tc>
      </w:tr>
      <w:tr w:rsidR="000F287A" w:rsidTr="00610CD4">
        <w:tc>
          <w:tcPr>
            <w:tcW w:w="922" w:type="pct"/>
          </w:tcPr>
          <w:p w:rsidR="000F287A" w:rsidRPr="00C744E0" w:rsidRDefault="000F287A" w:rsidP="00610CD4">
            <w:pPr>
              <w:pStyle w:val="TableBodyText"/>
              <w:jc w:val="left"/>
              <w:rPr>
                <w:b/>
              </w:rPr>
            </w:pPr>
            <w:r w:rsidRPr="00C744E0">
              <w:rPr>
                <w:b/>
              </w:rPr>
              <w:lastRenderedPageBreak/>
              <w:t>Accessibility</w:t>
            </w:r>
          </w:p>
        </w:tc>
        <w:tc>
          <w:tcPr>
            <w:tcW w:w="4078" w:type="pct"/>
          </w:tcPr>
          <w:p w:rsidR="000F287A" w:rsidRPr="001A7053" w:rsidRDefault="001C6CF8" w:rsidP="001C6CF8">
            <w:pPr>
              <w:pStyle w:val="TableBodyText"/>
              <w:keepNext w:val="0"/>
              <w:jc w:val="left"/>
            </w:pPr>
            <w:r>
              <w:t xml:space="preserve">Pending caseload data are provided for the Report on Government Services according to the specific </w:t>
            </w:r>
            <w:proofErr w:type="spellStart"/>
            <w:r>
              <w:t>RoGS</w:t>
            </w:r>
            <w:proofErr w:type="spellEnd"/>
            <w:r>
              <w:t xml:space="preserve"> counting rules. Other data on pending cases is available through court annual reports, court websites, on application from the Chief Jurisdictional Officer in the relevant state, territory or federal jurisdiction. Pending case data for the </w:t>
            </w:r>
            <w:smartTag w:uri="urn:schemas-microsoft-com:office:smarttags" w:element="State">
              <w:smartTag w:uri="urn:schemas-microsoft-com:office:smarttags" w:element="place">
                <w:r>
                  <w:t>Australian Capital Territory</w:t>
                </w:r>
              </w:smartTag>
            </w:smartTag>
            <w:r>
              <w:t xml:space="preserve"> courts can also be found in the </w:t>
            </w:r>
            <w:r w:rsidRPr="00B05873">
              <w:t>Justice &amp; Community Safety Directorate's Annual Report</w:t>
            </w:r>
            <w:r>
              <w:t>.</w:t>
            </w:r>
          </w:p>
        </w:tc>
      </w:tr>
      <w:tr w:rsidR="000F287A" w:rsidTr="00610CD4">
        <w:tc>
          <w:tcPr>
            <w:tcW w:w="922" w:type="pct"/>
          </w:tcPr>
          <w:p w:rsidR="000F287A" w:rsidRPr="00C744E0" w:rsidRDefault="000F287A" w:rsidP="00610CD4">
            <w:pPr>
              <w:pStyle w:val="TableBodyText"/>
              <w:jc w:val="left"/>
              <w:rPr>
                <w:b/>
              </w:rPr>
            </w:pPr>
            <w:r w:rsidRPr="00C744E0">
              <w:rPr>
                <w:b/>
              </w:rPr>
              <w:t>Interpretability</w:t>
            </w:r>
          </w:p>
        </w:tc>
        <w:tc>
          <w:tcPr>
            <w:tcW w:w="4078" w:type="pct"/>
          </w:tcPr>
          <w:p w:rsidR="000F287A" w:rsidRDefault="000F287A" w:rsidP="00610CD4">
            <w:pPr>
              <w:pStyle w:val="TableBodyText"/>
              <w:keepNext w:val="0"/>
              <w:tabs>
                <w:tab w:val="left" w:pos="369"/>
              </w:tabs>
              <w:ind w:left="369" w:hanging="363"/>
              <w:jc w:val="both"/>
            </w:pPr>
            <w:r>
              <w:rPr>
                <w:u w:val="single"/>
              </w:rPr>
              <w:t>Numerator</w:t>
            </w:r>
            <w:r>
              <w:t xml:space="preserve"> — Number of </w:t>
            </w:r>
            <w:r w:rsidR="00C94442">
              <w:t>cases pending longer than a nominated period in a financial year</w:t>
            </w:r>
          </w:p>
          <w:p w:rsidR="00C94442" w:rsidRDefault="00C94442" w:rsidP="005E2F78">
            <w:pPr>
              <w:pStyle w:val="TableBodyText"/>
              <w:keepNext w:val="0"/>
              <w:ind w:left="32" w:hanging="26"/>
              <w:jc w:val="left"/>
            </w:pPr>
            <w:r>
              <w:t>B</w:t>
            </w:r>
            <w:r w:rsidRPr="00A06FC4">
              <w:t>acklogs can be caused by factors not associated with th</w:t>
            </w:r>
            <w:r>
              <w:t>e</w:t>
            </w:r>
            <w:r w:rsidRPr="00A06FC4">
              <w:t xml:space="preserve"> performance of the court</w:t>
            </w:r>
            <w:r>
              <w:t xml:space="preserve"> as detailed previously under “Relevance”</w:t>
            </w:r>
            <w:r w:rsidRPr="00A06FC4">
              <w:t xml:space="preserve">. Additionally, </w:t>
            </w:r>
            <w:r>
              <w:t>c</w:t>
            </w:r>
            <w:r w:rsidRPr="00A06FC4">
              <w:t xml:space="preserve">omparisons over time </w:t>
            </w:r>
            <w:r>
              <w:t xml:space="preserve">and between courts </w:t>
            </w:r>
            <w:r w:rsidRPr="00A06FC4">
              <w:t>must take</w:t>
            </w:r>
            <w:r>
              <w:t xml:space="preserve"> into</w:t>
            </w:r>
            <w:r w:rsidRPr="00A06FC4">
              <w:t xml:space="preserve"> </w:t>
            </w:r>
            <w:r>
              <w:t xml:space="preserve">consideration the impact of </w:t>
            </w:r>
            <w:r w:rsidRPr="00A06FC4">
              <w:t>an increase/decrease in t</w:t>
            </w:r>
            <w:r>
              <w:t>he number of complex cases or</w:t>
            </w:r>
            <w:r w:rsidRPr="00A06FC4">
              <w:t xml:space="preserve"> cases that typically take longer to finalise, or alternatively an increase/decrease in the number of undefended or typically straightforward cases that are quickly finalised</w:t>
            </w:r>
            <w:r>
              <w:t>. T</w:t>
            </w:r>
            <w:r w:rsidRPr="00A06FC4">
              <w:t xml:space="preserve">hese will eventually alter the composition of the pending caseload and hence the age profile of that caseload (as measured by the backlog indicator) over time. </w:t>
            </w:r>
          </w:p>
          <w:p w:rsidR="000F287A" w:rsidRPr="00292C41" w:rsidRDefault="00C94442" w:rsidP="00292C41">
            <w:pPr>
              <w:pStyle w:val="TableBodyText"/>
              <w:ind w:left="0" w:firstLine="6"/>
              <w:jc w:val="left"/>
            </w:pPr>
            <w:r w:rsidRPr="00F20BEC">
              <w:t xml:space="preserve">For further information on the backlog indicator refer to </w:t>
            </w:r>
            <w:smartTag w:uri="urn:schemas-microsoft-com:office:smarttags" w:element="address">
              <w:smartTag w:uri="urn:schemas-microsoft-com:office:smarttags" w:element="Street">
                <w:r w:rsidRPr="00F20BEC">
                  <w:t>Box</w:t>
                </w:r>
              </w:smartTag>
              <w:r w:rsidR="00F31A71">
                <w:t xml:space="preserve"> 7.9</w:t>
              </w:r>
            </w:smartTag>
            <w:r>
              <w:t xml:space="preserve">, </w:t>
            </w:r>
            <w:smartTag w:uri="urn:schemas-microsoft-com:office:smarttags" w:element="address">
              <w:smartTag w:uri="urn:schemas-microsoft-com:office:smarttags" w:element="Street">
                <w:r>
                  <w:t>B</w:t>
                </w:r>
                <w:r w:rsidRPr="00F20BEC">
                  <w:t>ox</w:t>
                </w:r>
              </w:smartTag>
              <w:r w:rsidR="00F31A71">
                <w:t xml:space="preserve"> 7.10</w:t>
              </w:r>
            </w:smartTag>
            <w:r>
              <w:t xml:space="preserve">, and </w:t>
            </w:r>
            <w:smartTag w:uri="urn:schemas-microsoft-com:office:smarttags" w:element="address">
              <w:smartTag w:uri="urn:schemas-microsoft-com:office:smarttags" w:element="Street">
                <w:r>
                  <w:t>Box</w:t>
                </w:r>
              </w:smartTag>
              <w:r w:rsidR="00F31A71">
                <w:t xml:space="preserve"> 7.11</w:t>
              </w:r>
            </w:smartTag>
            <w:r w:rsidRPr="00F20BEC">
              <w:t xml:space="preserve"> </w:t>
            </w:r>
            <w:r>
              <w:t xml:space="preserve">in chapter 7 </w:t>
            </w:r>
            <w:r w:rsidRPr="00F20BEC">
              <w:t>of the Report.</w:t>
            </w:r>
          </w:p>
        </w:tc>
      </w:tr>
      <w:tr w:rsidR="000F287A" w:rsidTr="00610CD4">
        <w:tc>
          <w:tcPr>
            <w:tcW w:w="5000" w:type="pct"/>
            <w:gridSpan w:val="2"/>
            <w:shd w:val="clear" w:color="auto" w:fill="auto"/>
          </w:tcPr>
          <w:p w:rsidR="000F287A" w:rsidRDefault="000F287A" w:rsidP="00610CD4">
            <w:pPr>
              <w:pStyle w:val="TableBodyText"/>
              <w:jc w:val="left"/>
              <w:rPr>
                <w:b/>
                <w:u w:val="single"/>
              </w:rPr>
            </w:pPr>
          </w:p>
          <w:p w:rsidR="000F287A" w:rsidRPr="00C744E0" w:rsidRDefault="000F287A" w:rsidP="00610CD4">
            <w:pPr>
              <w:pStyle w:val="TableBodyText"/>
              <w:jc w:val="left"/>
              <w:rPr>
                <w:b/>
                <w:u w:val="single"/>
              </w:rPr>
            </w:pPr>
            <w:r w:rsidRPr="00C744E0">
              <w:rPr>
                <w:b/>
                <w:u w:val="single"/>
              </w:rPr>
              <w:t>Data Gaps/Issues Analysis</w:t>
            </w:r>
          </w:p>
        </w:tc>
      </w:tr>
      <w:tr w:rsidR="000F287A" w:rsidTr="00610CD4">
        <w:tc>
          <w:tcPr>
            <w:tcW w:w="922" w:type="pct"/>
            <w:shd w:val="clear" w:color="auto" w:fill="auto"/>
          </w:tcPr>
          <w:p w:rsidR="000F287A" w:rsidRPr="00C744E0" w:rsidRDefault="000F287A" w:rsidP="00610CD4">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0F287A" w:rsidRDefault="000F287A" w:rsidP="00610CD4">
            <w:pPr>
              <w:pStyle w:val="TableBodyText"/>
              <w:jc w:val="both"/>
            </w:pPr>
            <w:r w:rsidRPr="00B96E3E">
              <w:t xml:space="preserve">The Steering Committee notes the following key data gaps/issues: </w:t>
            </w:r>
          </w:p>
          <w:p w:rsidR="000F287A" w:rsidRPr="00B96E3E" w:rsidRDefault="00A57C86" w:rsidP="00CF55B3">
            <w:pPr>
              <w:pStyle w:val="TableBullet"/>
              <w:tabs>
                <w:tab w:val="left" w:pos="170"/>
              </w:tabs>
              <w:ind w:left="176"/>
              <w:jc w:val="both"/>
            </w:pPr>
            <w:r>
              <w:t xml:space="preserve">Due to limitations of the data management system, </w:t>
            </w:r>
            <w:r w:rsidR="00092B50">
              <w:t>NSW has been</w:t>
            </w:r>
            <w:r>
              <w:t xml:space="preserve"> unable to provide</w:t>
            </w:r>
            <w:r w:rsidR="00C9214D">
              <w:t xml:space="preserve"> pending caseload or backlog data</w:t>
            </w:r>
            <w:r w:rsidR="00092B50">
              <w:t xml:space="preserve"> for the civil Children’s courts. It is hoped that this situation may be rectified for future reports.</w:t>
            </w:r>
            <w:r w:rsidR="00C9214D">
              <w:t xml:space="preserve"> </w:t>
            </w:r>
            <w:r>
              <w:t xml:space="preserve"> </w:t>
            </w:r>
          </w:p>
        </w:tc>
      </w:tr>
    </w:tbl>
    <w:p w:rsidR="009875C5" w:rsidRDefault="009875C5" w:rsidP="000F287A">
      <w:pPr>
        <w:pStyle w:val="BodyText"/>
      </w:pPr>
    </w:p>
    <w:p w:rsidR="009875C5" w:rsidRPr="00016770" w:rsidRDefault="009875C5" w:rsidP="009875C5">
      <w:pPr>
        <w:pStyle w:val="Heading3"/>
        <w:spacing w:before="120"/>
      </w:pPr>
      <w:r>
        <w:br w:type="page"/>
      </w:r>
      <w:bookmarkStart w:id="12" w:name="_Toc338344191"/>
      <w:r>
        <w:lastRenderedPageBreak/>
        <w:t>Attendance</w:t>
      </w:r>
      <w:bookmarkEnd w:id="12"/>
    </w:p>
    <w:p w:rsidR="009875C5" w:rsidRPr="00101653" w:rsidRDefault="009875C5" w:rsidP="009875C5">
      <w:pPr>
        <w:pStyle w:val="Box"/>
      </w:pPr>
      <w:r w:rsidRPr="00016770">
        <w:t>Data quality information for this indicator has been drafted by the Secretariat in consultation with the Court</w:t>
      </w:r>
      <w:r w:rsidR="00043DAC">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7C7A64" w:rsidTr="00610CD4">
        <w:tc>
          <w:tcPr>
            <w:tcW w:w="5000" w:type="pct"/>
            <w:gridSpan w:val="2"/>
          </w:tcPr>
          <w:p w:rsidR="007C7A64" w:rsidRDefault="007C7A64" w:rsidP="00610CD4">
            <w:pPr>
              <w:pStyle w:val="TableBodyText"/>
              <w:jc w:val="both"/>
              <w:rPr>
                <w:b/>
                <w:u w:val="single"/>
              </w:rPr>
            </w:pPr>
          </w:p>
          <w:p w:rsidR="007C7A64" w:rsidRDefault="007C7A64" w:rsidP="00610CD4">
            <w:pPr>
              <w:pStyle w:val="TableBodyText"/>
              <w:jc w:val="both"/>
            </w:pPr>
            <w:r w:rsidRPr="007D0BFD">
              <w:rPr>
                <w:b/>
                <w:u w:val="single"/>
              </w:rPr>
              <w:t>Indicator definition and description</w:t>
            </w:r>
            <w:r>
              <w:rPr>
                <w:rFonts w:cs="Arial"/>
                <w:b/>
                <w:sz w:val="22"/>
                <w:szCs w:val="22"/>
                <w:u w:val="single"/>
              </w:rPr>
              <w:t xml:space="preserve"> </w:t>
            </w:r>
          </w:p>
        </w:tc>
      </w:tr>
      <w:tr w:rsidR="007C7A64" w:rsidTr="00610CD4">
        <w:tc>
          <w:tcPr>
            <w:tcW w:w="922" w:type="pct"/>
          </w:tcPr>
          <w:p w:rsidR="007C7A64" w:rsidRPr="00C744E0" w:rsidRDefault="007C7A64" w:rsidP="00610CD4">
            <w:pPr>
              <w:pStyle w:val="TableBodyText"/>
              <w:jc w:val="left"/>
              <w:rPr>
                <w:b/>
              </w:rPr>
            </w:pPr>
            <w:r w:rsidRPr="00C744E0">
              <w:rPr>
                <w:b/>
              </w:rPr>
              <w:t>Element</w:t>
            </w:r>
          </w:p>
        </w:tc>
        <w:tc>
          <w:tcPr>
            <w:tcW w:w="4078" w:type="pct"/>
          </w:tcPr>
          <w:p w:rsidR="007C7A64" w:rsidRPr="00A1569C" w:rsidRDefault="007C7A64" w:rsidP="00043DAC">
            <w:pPr>
              <w:pStyle w:val="TableBodyText"/>
              <w:jc w:val="both"/>
            </w:pPr>
            <w:r>
              <w:t>Court</w:t>
            </w:r>
            <w:r w:rsidR="00043DAC">
              <w:t>s</w:t>
            </w:r>
            <w:r>
              <w:t xml:space="preserve"> Efficiency – Inputs per unit of output – Attendance</w:t>
            </w:r>
          </w:p>
        </w:tc>
      </w:tr>
      <w:tr w:rsidR="007C7A64" w:rsidTr="00610CD4">
        <w:tc>
          <w:tcPr>
            <w:tcW w:w="922" w:type="pct"/>
          </w:tcPr>
          <w:p w:rsidR="007C7A64" w:rsidRPr="00C744E0" w:rsidRDefault="007C7A64" w:rsidP="00610CD4">
            <w:pPr>
              <w:pStyle w:val="TableBodyText"/>
              <w:jc w:val="left"/>
              <w:rPr>
                <w:b/>
              </w:rPr>
            </w:pPr>
            <w:r w:rsidRPr="00C744E0">
              <w:rPr>
                <w:b/>
              </w:rPr>
              <w:t>Indicator</w:t>
            </w:r>
          </w:p>
        </w:tc>
        <w:tc>
          <w:tcPr>
            <w:tcW w:w="4078" w:type="pct"/>
          </w:tcPr>
          <w:p w:rsidR="007C7A64" w:rsidRPr="00E17A32" w:rsidRDefault="007C7A64" w:rsidP="00610CD4">
            <w:pPr>
              <w:pStyle w:val="TableBodyText"/>
              <w:jc w:val="both"/>
            </w:pPr>
            <w:r>
              <w:t>Attendance indicator</w:t>
            </w:r>
          </w:p>
        </w:tc>
      </w:tr>
      <w:tr w:rsidR="007C7A64" w:rsidTr="00610CD4">
        <w:tc>
          <w:tcPr>
            <w:tcW w:w="922" w:type="pct"/>
          </w:tcPr>
          <w:p w:rsidR="007C7A64" w:rsidRPr="00C744E0" w:rsidRDefault="007C7A64" w:rsidP="00610CD4">
            <w:pPr>
              <w:pStyle w:val="TableBodyText"/>
              <w:jc w:val="left"/>
              <w:rPr>
                <w:b/>
              </w:rPr>
            </w:pPr>
            <w:r w:rsidRPr="00C744E0">
              <w:rPr>
                <w:b/>
              </w:rPr>
              <w:t>Measure (computation)</w:t>
            </w:r>
          </w:p>
        </w:tc>
        <w:tc>
          <w:tcPr>
            <w:tcW w:w="4078" w:type="pct"/>
          </w:tcPr>
          <w:p w:rsidR="007C7A64" w:rsidRDefault="007C7A64" w:rsidP="00610CD4">
            <w:pPr>
              <w:pStyle w:val="TableBodyText"/>
              <w:jc w:val="both"/>
            </w:pPr>
            <w:r>
              <w:t>The ‘attendance indicator’ is defined as the average number of attendances recorded for those cases that were finalised in a financial year.</w:t>
            </w:r>
            <w:r w:rsidR="00E179EA">
              <w:t xml:space="preserve"> The number of attendances is the number of times that parties or their representatives are required to be present in court to be heard by a judicial officer or mediator/arbitrator where binding orders can be made. The number includes appointments that are adjourned or rescheduled.</w:t>
            </w:r>
          </w:p>
          <w:p w:rsidR="007C7A64" w:rsidRDefault="007C7A64" w:rsidP="00610CD4">
            <w:pPr>
              <w:pStyle w:val="TableBodyText"/>
              <w:jc w:val="both"/>
            </w:pPr>
            <w:r>
              <w:rPr>
                <w:u w:val="single"/>
              </w:rPr>
              <w:t>Numerator</w:t>
            </w:r>
            <w:r>
              <w:t xml:space="preserve"> is defined as:</w:t>
            </w:r>
          </w:p>
          <w:p w:rsidR="007C7A64" w:rsidRPr="005A5147" w:rsidRDefault="00E179EA" w:rsidP="00610CD4">
            <w:pPr>
              <w:pStyle w:val="TableBodyText"/>
              <w:numPr>
                <w:ilvl w:val="0"/>
                <w:numId w:val="42"/>
              </w:numPr>
              <w:jc w:val="left"/>
            </w:pPr>
            <w:r>
              <w:t>Total number of attendances in a financial year</w:t>
            </w:r>
          </w:p>
          <w:p w:rsidR="007C7A64" w:rsidRDefault="007C7A64" w:rsidP="00E179EA">
            <w:pPr>
              <w:pStyle w:val="TableBullet"/>
              <w:numPr>
                <w:ilvl w:val="0"/>
                <w:numId w:val="0"/>
              </w:numPr>
              <w:spacing w:line="220" w:lineRule="exact"/>
              <w:ind w:left="6"/>
              <w:jc w:val="both"/>
            </w:pPr>
          </w:p>
          <w:p w:rsidR="007C7A64" w:rsidRPr="005D4651" w:rsidRDefault="007C7A64" w:rsidP="00610CD4">
            <w:pPr>
              <w:pStyle w:val="TableBodyText"/>
              <w:jc w:val="both"/>
            </w:pPr>
            <w:r>
              <w:rPr>
                <w:u w:val="single"/>
              </w:rPr>
              <w:t>Denominator</w:t>
            </w:r>
            <w:r>
              <w:t xml:space="preserve"> is defined as:</w:t>
            </w:r>
          </w:p>
          <w:p w:rsidR="007C7A64" w:rsidRPr="00B96E3E" w:rsidRDefault="00E179EA" w:rsidP="00610CD4">
            <w:pPr>
              <w:pStyle w:val="TableBullet"/>
              <w:numPr>
                <w:ilvl w:val="0"/>
                <w:numId w:val="42"/>
              </w:numPr>
              <w:spacing w:line="220" w:lineRule="exact"/>
              <w:jc w:val="both"/>
            </w:pPr>
            <w:r>
              <w:t>Total number of cases finalised</w:t>
            </w:r>
            <w:r w:rsidR="007C7A64">
              <w:t xml:space="preserve"> in a financial year</w:t>
            </w:r>
          </w:p>
        </w:tc>
      </w:tr>
      <w:tr w:rsidR="007C7A64" w:rsidTr="00610CD4">
        <w:tc>
          <w:tcPr>
            <w:tcW w:w="922" w:type="pct"/>
          </w:tcPr>
          <w:p w:rsidR="007C7A64" w:rsidRPr="00C744E0" w:rsidRDefault="007C7A64" w:rsidP="00610CD4">
            <w:pPr>
              <w:pStyle w:val="TableBodyText"/>
              <w:jc w:val="left"/>
              <w:rPr>
                <w:b/>
              </w:rPr>
            </w:pPr>
            <w:r w:rsidRPr="00C744E0">
              <w:rPr>
                <w:b/>
              </w:rPr>
              <w:t>Data source/s</w:t>
            </w:r>
          </w:p>
        </w:tc>
        <w:tc>
          <w:tcPr>
            <w:tcW w:w="4078" w:type="pct"/>
          </w:tcPr>
          <w:p w:rsidR="007C7A64" w:rsidRPr="00B96E3E" w:rsidRDefault="00E179EA" w:rsidP="00543B75">
            <w:pPr>
              <w:pStyle w:val="TableBodyText"/>
              <w:jc w:val="both"/>
            </w:pPr>
            <w:r>
              <w:t>Attendance and case finalisation</w:t>
            </w:r>
            <w:r w:rsidR="007C7A64">
              <w:t xml:space="preserve"> data</w:t>
            </w:r>
            <w:r w:rsidR="007C7A64" w:rsidRPr="00C34F8E">
              <w:t xml:space="preserve"> are sourced from</w:t>
            </w:r>
            <w:r w:rsidR="007C7A64">
              <w:t xml:space="preserve"> administrative data collected by</w:t>
            </w:r>
            <w:r w:rsidR="007C7A64" w:rsidRPr="00C34F8E">
              <w:t xml:space="preserve"> </w:t>
            </w:r>
            <w:r w:rsidR="007C7A64">
              <w:t xml:space="preserve">Australian, State and Territory court </w:t>
            </w:r>
            <w:r>
              <w:t>authorities and departments.</w:t>
            </w:r>
          </w:p>
        </w:tc>
      </w:tr>
      <w:tr w:rsidR="007C7A64" w:rsidTr="00610CD4">
        <w:tc>
          <w:tcPr>
            <w:tcW w:w="5000" w:type="pct"/>
            <w:gridSpan w:val="2"/>
          </w:tcPr>
          <w:p w:rsidR="007C7A64" w:rsidRDefault="007C7A64" w:rsidP="00610CD4">
            <w:pPr>
              <w:pStyle w:val="TableBodyText"/>
              <w:jc w:val="both"/>
              <w:rPr>
                <w:b/>
                <w:u w:val="single"/>
              </w:rPr>
            </w:pPr>
          </w:p>
          <w:p w:rsidR="007C7A64" w:rsidRPr="00C744E0" w:rsidRDefault="007C7A64" w:rsidP="00610CD4">
            <w:pPr>
              <w:pStyle w:val="TableBodyText"/>
              <w:jc w:val="both"/>
              <w:rPr>
                <w:b/>
                <w:u w:val="single"/>
              </w:rPr>
            </w:pPr>
            <w:r w:rsidRPr="00C744E0">
              <w:rPr>
                <w:b/>
                <w:u w:val="single"/>
              </w:rPr>
              <w:t>Data Quality Framework Dimensions</w:t>
            </w:r>
          </w:p>
        </w:tc>
      </w:tr>
      <w:tr w:rsidR="007C7A64" w:rsidTr="00610CD4">
        <w:tc>
          <w:tcPr>
            <w:tcW w:w="922" w:type="pct"/>
          </w:tcPr>
          <w:p w:rsidR="007C7A64" w:rsidRPr="00C744E0" w:rsidRDefault="007C7A64" w:rsidP="00610CD4">
            <w:pPr>
              <w:pStyle w:val="TableBodyText"/>
              <w:jc w:val="left"/>
              <w:rPr>
                <w:b/>
              </w:rPr>
            </w:pPr>
            <w:r w:rsidRPr="00C744E0">
              <w:rPr>
                <w:b/>
              </w:rPr>
              <w:t>Institutional environment</w:t>
            </w:r>
          </w:p>
        </w:tc>
        <w:tc>
          <w:tcPr>
            <w:tcW w:w="4078" w:type="pct"/>
          </w:tcPr>
          <w:p w:rsidR="007C7A64" w:rsidRPr="00FA2F8F" w:rsidRDefault="007C7A64" w:rsidP="00610CD4">
            <w:pPr>
              <w:pStyle w:val="TableBodyText"/>
              <w:jc w:val="both"/>
              <w:rPr>
                <w:rFonts w:cs="Arial"/>
              </w:rPr>
            </w:pPr>
            <w:r>
              <w:rPr>
                <w:rFonts w:cs="Arial"/>
                <w:u w:val="single"/>
              </w:rPr>
              <w:t>Numerator</w:t>
            </w:r>
            <w:r>
              <w:rPr>
                <w:rFonts w:cs="Arial"/>
              </w:rPr>
              <w:t xml:space="preserve"> — </w:t>
            </w:r>
            <w:r w:rsidR="001A41D0">
              <w:rPr>
                <w:rFonts w:cs="Arial"/>
              </w:rPr>
              <w:t>Total number of attendances in a financial year</w:t>
            </w:r>
          </w:p>
          <w:p w:rsidR="007C7A64" w:rsidRDefault="007C7A64" w:rsidP="00610CD4">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7C7A64" w:rsidRDefault="007C7A64" w:rsidP="00610CD4">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7C7A64" w:rsidRPr="00C34F8E" w:rsidRDefault="007C7A64" w:rsidP="00610CD4">
            <w:pPr>
              <w:pStyle w:val="TableBodyText"/>
              <w:jc w:val="both"/>
              <w:rPr>
                <w:rFonts w:cs="Arial"/>
              </w:rPr>
            </w:pPr>
          </w:p>
          <w:p w:rsidR="007C7A64" w:rsidRPr="00FA2F8F" w:rsidRDefault="007C7A64" w:rsidP="00610CD4">
            <w:pPr>
              <w:pStyle w:val="TableBodyText"/>
              <w:jc w:val="both"/>
            </w:pPr>
            <w:r w:rsidRPr="00EF61C2">
              <w:rPr>
                <w:u w:val="single"/>
              </w:rPr>
              <w:t>Denominator</w:t>
            </w:r>
            <w:r>
              <w:t xml:space="preserve"> — Total number of cases </w:t>
            </w:r>
            <w:r w:rsidR="001A41D0">
              <w:t>finalised</w:t>
            </w:r>
            <w:r>
              <w:t xml:space="preserve"> in a financial year</w:t>
            </w:r>
          </w:p>
          <w:p w:rsidR="007C7A64" w:rsidRDefault="007C7A64" w:rsidP="00610CD4">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7C7A64" w:rsidRDefault="007C7A64" w:rsidP="00610CD4">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7C7A64" w:rsidRPr="00062F62" w:rsidRDefault="007C7A64" w:rsidP="00610CD4">
            <w:pPr>
              <w:pStyle w:val="TableBodyText"/>
              <w:keepNext w:val="0"/>
              <w:jc w:val="both"/>
              <w:rPr>
                <w:rFonts w:cs="Arial"/>
              </w:rPr>
            </w:pPr>
          </w:p>
        </w:tc>
      </w:tr>
      <w:tr w:rsidR="007C7A64" w:rsidTr="00610CD4">
        <w:tc>
          <w:tcPr>
            <w:tcW w:w="922" w:type="pct"/>
          </w:tcPr>
          <w:p w:rsidR="007C7A64" w:rsidRPr="00C744E0" w:rsidRDefault="007C7A64" w:rsidP="00610CD4">
            <w:pPr>
              <w:pStyle w:val="TableBodyText"/>
              <w:jc w:val="left"/>
              <w:rPr>
                <w:b/>
              </w:rPr>
            </w:pPr>
            <w:r w:rsidRPr="00C744E0">
              <w:rPr>
                <w:b/>
              </w:rPr>
              <w:t>Relevance</w:t>
            </w:r>
          </w:p>
        </w:tc>
        <w:tc>
          <w:tcPr>
            <w:tcW w:w="4078" w:type="pct"/>
          </w:tcPr>
          <w:p w:rsidR="007C7A64" w:rsidRDefault="00565050" w:rsidP="00610CD4">
            <w:pPr>
              <w:pStyle w:val="TableBullet"/>
              <w:numPr>
                <w:ilvl w:val="0"/>
                <w:numId w:val="0"/>
              </w:numPr>
              <w:jc w:val="both"/>
            </w:pPr>
            <w:r>
              <w:t>‘Attendance</w:t>
            </w:r>
            <w:r w:rsidR="007C7A64">
              <w:t xml:space="preserve">’ is intended to be an indicator of governments’ achievement against the objective of </w:t>
            </w:r>
            <w:r w:rsidR="00543B75">
              <w:t xml:space="preserve">providing court </w:t>
            </w:r>
            <w:r>
              <w:t>services in an efficient manner</w:t>
            </w:r>
            <w:r w:rsidR="007C7A64">
              <w:t>.</w:t>
            </w:r>
            <w:r>
              <w:t xml:space="preserve"> However the results for this indicator may not relate to the performance of the courts as the number of attendances in a case can be influenced by many factors outside the control of the court, </w:t>
            </w:r>
            <w:proofErr w:type="spellStart"/>
            <w:r>
              <w:t>eg</w:t>
            </w:r>
            <w:proofErr w:type="spellEnd"/>
            <w:r>
              <w:t>. prosecution readiness, defence availability, nature of issues and offence, whethe</w:t>
            </w:r>
            <w:r w:rsidR="001640E2">
              <w:t>r a case is defended or undefend</w:t>
            </w:r>
            <w:r>
              <w:t>ed.</w:t>
            </w:r>
          </w:p>
          <w:p w:rsidR="007C7A64" w:rsidRPr="00B96E3E" w:rsidRDefault="007C7A64" w:rsidP="001640E2">
            <w:pPr>
              <w:pStyle w:val="TableBodyText"/>
              <w:ind w:left="0"/>
              <w:jc w:val="left"/>
            </w:pPr>
            <w:r w:rsidRPr="00F20BEC">
              <w:t>For fu</w:t>
            </w:r>
            <w:r w:rsidR="001640E2">
              <w:t>rther information on the attendance</w:t>
            </w:r>
            <w:r w:rsidRPr="00F20BEC">
              <w:t xml:space="preserve"> indicator refer to </w:t>
            </w:r>
            <w:smartTag w:uri="urn:schemas-microsoft-com:office:smarttags" w:element="address">
              <w:smartTag w:uri="urn:schemas-microsoft-com:office:smarttags" w:element="Street">
                <w:r w:rsidRPr="00F20BEC">
                  <w:t>Box</w:t>
                </w:r>
              </w:smartTag>
              <w:r w:rsidR="001640E2">
                <w:t xml:space="preserve"> 7.12</w:t>
              </w:r>
            </w:smartTag>
            <w:r w:rsidRPr="00F20BEC">
              <w:t xml:space="preserve"> </w:t>
            </w:r>
            <w:r>
              <w:t xml:space="preserve">in chapter 7 </w:t>
            </w:r>
            <w:r w:rsidRPr="00F20BEC">
              <w:t>of the Report.</w:t>
            </w:r>
          </w:p>
        </w:tc>
      </w:tr>
      <w:tr w:rsidR="007C7A64" w:rsidTr="00610CD4">
        <w:tc>
          <w:tcPr>
            <w:tcW w:w="922" w:type="pct"/>
          </w:tcPr>
          <w:p w:rsidR="007C7A64" w:rsidRPr="00C744E0" w:rsidRDefault="007C7A64" w:rsidP="00610CD4">
            <w:pPr>
              <w:pStyle w:val="TableBodyText"/>
              <w:jc w:val="both"/>
              <w:rPr>
                <w:b/>
              </w:rPr>
            </w:pPr>
            <w:r w:rsidRPr="00C744E0">
              <w:rPr>
                <w:b/>
              </w:rPr>
              <w:t>Timeliness</w:t>
            </w:r>
          </w:p>
        </w:tc>
        <w:tc>
          <w:tcPr>
            <w:tcW w:w="4078" w:type="pct"/>
          </w:tcPr>
          <w:p w:rsidR="007C7A64" w:rsidRDefault="007C7A64" w:rsidP="00610CD4">
            <w:pPr>
              <w:pStyle w:val="TableBodyText"/>
              <w:keepNext w:val="0"/>
              <w:jc w:val="both"/>
            </w:pPr>
            <w:r>
              <w:t>The re</w:t>
            </w:r>
            <w:r w:rsidR="001640E2">
              <w:t>ference period for attendance</w:t>
            </w:r>
            <w:r w:rsidR="00B01E41">
              <w:t xml:space="preserve"> and finalisation</w:t>
            </w:r>
            <w:r w:rsidR="001E117C">
              <w:t xml:space="preserve"> data is the 2012-13</w:t>
            </w:r>
            <w:r>
              <w:t xml:space="preserve"> financial year. Data are provided in Se</w:t>
            </w:r>
            <w:r w:rsidR="001E117C">
              <w:t>ptember 2013</w:t>
            </w:r>
            <w:r>
              <w:t>,</w:t>
            </w:r>
            <w:r w:rsidR="001E117C">
              <w:t xml:space="preserve"> for publication in January 2014</w:t>
            </w:r>
            <w:r>
              <w:t>.</w:t>
            </w:r>
          </w:p>
          <w:p w:rsidR="007C7A64" w:rsidRPr="009F199D" w:rsidRDefault="007C7A64" w:rsidP="00610CD4">
            <w:pPr>
              <w:pStyle w:val="TableBodyText"/>
              <w:keepNext w:val="0"/>
              <w:jc w:val="both"/>
            </w:pPr>
            <w:r>
              <w:t>Data can be revised retrospectively up to 5 years later.</w:t>
            </w:r>
          </w:p>
        </w:tc>
      </w:tr>
      <w:tr w:rsidR="007C7A64" w:rsidTr="00610CD4">
        <w:tc>
          <w:tcPr>
            <w:tcW w:w="922" w:type="pct"/>
          </w:tcPr>
          <w:p w:rsidR="007C7A64" w:rsidRPr="00C744E0" w:rsidRDefault="007C7A64" w:rsidP="00610CD4">
            <w:pPr>
              <w:pStyle w:val="TableBodyText"/>
              <w:jc w:val="left"/>
              <w:rPr>
                <w:b/>
              </w:rPr>
            </w:pPr>
            <w:r w:rsidRPr="00C744E0">
              <w:rPr>
                <w:b/>
              </w:rPr>
              <w:t>Accuracy</w:t>
            </w:r>
          </w:p>
        </w:tc>
        <w:tc>
          <w:tcPr>
            <w:tcW w:w="4078" w:type="pct"/>
          </w:tcPr>
          <w:p w:rsidR="00B5422F" w:rsidRPr="00B5422F" w:rsidRDefault="00B5422F" w:rsidP="00B5422F">
            <w:pPr>
              <w:pStyle w:val="TableBodyText"/>
              <w:jc w:val="both"/>
              <w:rPr>
                <w:rFonts w:cs="Arial"/>
              </w:rPr>
            </w:pPr>
            <w:r>
              <w:rPr>
                <w:u w:val="single"/>
              </w:rPr>
              <w:t>Numerator</w:t>
            </w:r>
            <w:r>
              <w:t xml:space="preserve"> — Total number of attendances in a financial year</w:t>
            </w:r>
          </w:p>
          <w:p w:rsidR="007C7A64" w:rsidRDefault="007C7A64" w:rsidP="00610CD4">
            <w:pPr>
              <w:pStyle w:val="TableBullet"/>
              <w:numPr>
                <w:ilvl w:val="0"/>
                <w:numId w:val="0"/>
              </w:numPr>
              <w:spacing w:line="220" w:lineRule="exact"/>
              <w:ind w:left="6"/>
            </w:pPr>
            <w:r>
              <w:t>Th</w:t>
            </w:r>
            <w:r w:rsidR="00B23193">
              <w:t>e identification of attendances</w:t>
            </w:r>
            <w:r>
              <w:t xml:space="preserve"> is done using electronic case management reporting systems except for the following:</w:t>
            </w:r>
          </w:p>
          <w:p w:rsidR="00B5422F" w:rsidRDefault="00B5422F" w:rsidP="00610CD4">
            <w:pPr>
              <w:pStyle w:val="TableBullet"/>
              <w:keepNext w:val="0"/>
              <w:numPr>
                <w:ilvl w:val="0"/>
                <w:numId w:val="42"/>
              </w:numPr>
              <w:jc w:val="both"/>
            </w:pPr>
            <w:r>
              <w:lastRenderedPageBreak/>
              <w:t xml:space="preserve">Attendance data are unavailable for reporting by </w:t>
            </w:r>
            <w:smartTag w:uri="urn:schemas-microsoft-com:office:smarttags" w:element="place">
              <w:smartTag w:uri="urn:schemas-microsoft-com:office:smarttags" w:element="State">
                <w:r>
                  <w:t>New South Wales</w:t>
                </w:r>
              </w:smartTag>
            </w:smartTag>
            <w:r>
              <w:t xml:space="preserve"> but are expected to be available upon completed implementation of a new electronic data management system</w:t>
            </w:r>
          </w:p>
          <w:p w:rsidR="001E117C" w:rsidRDefault="001E117C" w:rsidP="00610CD4">
            <w:pPr>
              <w:pStyle w:val="TableBullet"/>
              <w:keepNext w:val="0"/>
              <w:numPr>
                <w:ilvl w:val="0"/>
                <w:numId w:val="42"/>
              </w:numPr>
              <w:jc w:val="both"/>
            </w:pPr>
            <w:r>
              <w:t>Attendance data</w:t>
            </w:r>
            <w:r w:rsidR="000E04D3">
              <w:t xml:space="preserve"> for civil cases</w:t>
            </w:r>
            <w:r>
              <w:t xml:space="preserve"> are not available for the Tasmanian Supreme Court</w:t>
            </w:r>
          </w:p>
          <w:p w:rsidR="00B5422F" w:rsidRDefault="00B5422F" w:rsidP="00610CD4">
            <w:pPr>
              <w:pStyle w:val="TableBullet"/>
              <w:keepNext w:val="0"/>
              <w:numPr>
                <w:ilvl w:val="0"/>
                <w:numId w:val="42"/>
              </w:numPr>
              <w:jc w:val="both"/>
            </w:pPr>
            <w:r>
              <w:t>Attendances associated with appeal cases in the Queensland Supreme Court were not reported in 2009-10.</w:t>
            </w:r>
          </w:p>
          <w:p w:rsidR="00B5422F" w:rsidRDefault="00B5422F" w:rsidP="00B5422F">
            <w:pPr>
              <w:pStyle w:val="TableBullet"/>
              <w:keepNext w:val="0"/>
              <w:numPr>
                <w:ilvl w:val="0"/>
                <w:numId w:val="0"/>
              </w:numPr>
              <w:jc w:val="both"/>
            </w:pPr>
            <w:r>
              <w:t xml:space="preserve">The data provided are consistent with </w:t>
            </w:r>
            <w:proofErr w:type="spellStart"/>
            <w:r>
              <w:t>RoGS</w:t>
            </w:r>
            <w:proofErr w:type="spellEnd"/>
            <w:r>
              <w:t xml:space="preserve"> counting </w:t>
            </w:r>
            <w:r w:rsidR="00A0153F">
              <w:t xml:space="preserve">rules </w:t>
            </w:r>
            <w:r>
              <w:t xml:space="preserve">and are reported for all court levels in each jurisdiction, except currently for NSW </w:t>
            </w:r>
            <w:r w:rsidR="00174056">
              <w:t xml:space="preserve">children’s </w:t>
            </w:r>
            <w:r>
              <w:t>courts</w:t>
            </w:r>
            <w:r w:rsidR="00174056">
              <w:t xml:space="preserve"> and Tasmanian Supreme Court</w:t>
            </w:r>
            <w:r>
              <w:t>.</w:t>
            </w:r>
          </w:p>
          <w:p w:rsidR="00B5422F" w:rsidRDefault="00B5422F" w:rsidP="00B5422F">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p w:rsidR="00B5422F" w:rsidRDefault="00B5422F" w:rsidP="00B5422F">
            <w:pPr>
              <w:pStyle w:val="TableBodyText"/>
              <w:jc w:val="both"/>
              <w:rPr>
                <w:u w:val="single"/>
              </w:rPr>
            </w:pPr>
          </w:p>
          <w:p w:rsidR="00B5422F" w:rsidRPr="00FA2F8F" w:rsidRDefault="00B5422F" w:rsidP="00B5422F">
            <w:pPr>
              <w:pStyle w:val="TableBodyText"/>
              <w:jc w:val="both"/>
            </w:pPr>
            <w:r w:rsidRPr="00EF61C2">
              <w:rPr>
                <w:u w:val="single"/>
              </w:rPr>
              <w:t>Denominator</w:t>
            </w:r>
            <w:r>
              <w:t xml:space="preserve"> — Total number of cases finalised in a financial year</w:t>
            </w:r>
          </w:p>
          <w:p w:rsidR="00B5422F" w:rsidRDefault="00B5422F" w:rsidP="00B5422F">
            <w:pPr>
              <w:pStyle w:val="TableBullet"/>
              <w:numPr>
                <w:ilvl w:val="0"/>
                <w:numId w:val="0"/>
              </w:numPr>
              <w:spacing w:line="220" w:lineRule="exact"/>
              <w:ind w:left="6"/>
            </w:pPr>
            <w:r>
              <w:t>The identification of cases finalised is done using electronic case management reporting systems except for the following:</w:t>
            </w:r>
          </w:p>
          <w:p w:rsidR="007C7A64" w:rsidRPr="00FC7487" w:rsidRDefault="007C7A64" w:rsidP="00610CD4">
            <w:pPr>
              <w:pStyle w:val="TableBullet"/>
              <w:keepNext w:val="0"/>
              <w:numPr>
                <w:ilvl w:val="0"/>
                <w:numId w:val="42"/>
              </w:numPr>
              <w:jc w:val="both"/>
            </w:pPr>
            <w:r>
              <w:t>In the Supreme Court of New South Wales m</w:t>
            </w:r>
            <w:r w:rsidRPr="00F60CB9">
              <w:t>anually maintained data is used for</w:t>
            </w:r>
            <w:r>
              <w:t xml:space="preserve"> the majority of civil appeal</w:t>
            </w:r>
            <w:r w:rsidRPr="00F60CB9">
              <w:t xml:space="preserve"> and all of criminal appeal and criminal non-appeal. A small proportion of the civil appeal data comes from </w:t>
            </w:r>
            <w:r>
              <w:t>an</w:t>
            </w:r>
            <w:r w:rsidRPr="00F60CB9">
              <w:t xml:space="preserve"> electronic system </w:t>
            </w:r>
            <w:r>
              <w:t xml:space="preserve">but </w:t>
            </w:r>
            <w:r w:rsidRPr="00F60CB9">
              <w:t xml:space="preserve">for the 2009-2010 collection the </w:t>
            </w:r>
            <w:r>
              <w:t xml:space="preserve">NSW </w:t>
            </w:r>
            <w:r w:rsidRPr="00F60CB9">
              <w:t>electronic system was unable to provide</w:t>
            </w:r>
            <w:r>
              <w:t xml:space="preserve"> civil non-appeal data </w:t>
            </w:r>
            <w:r w:rsidRPr="00F60CB9">
              <w:t xml:space="preserve">so an estimate was given </w:t>
            </w:r>
            <w:r>
              <w:t>for 2009-10</w:t>
            </w:r>
            <w:r w:rsidRPr="00FC7487">
              <w:t>.</w:t>
            </w:r>
          </w:p>
          <w:p w:rsidR="007C7A64" w:rsidRDefault="007C7A64" w:rsidP="00610CD4">
            <w:pPr>
              <w:pStyle w:val="TableBullet"/>
              <w:keepNext w:val="0"/>
              <w:numPr>
                <w:ilvl w:val="0"/>
                <w:numId w:val="0"/>
              </w:numPr>
              <w:jc w:val="both"/>
            </w:pPr>
            <w:r>
              <w:t xml:space="preserve">The data provided are consistent with </w:t>
            </w:r>
            <w:proofErr w:type="spellStart"/>
            <w:r>
              <w:t>RoGS</w:t>
            </w:r>
            <w:proofErr w:type="spellEnd"/>
            <w:r>
              <w:t xml:space="preserve"> counting rules, </w:t>
            </w:r>
            <w:proofErr w:type="spellStart"/>
            <w:r>
              <w:t>eg</w:t>
            </w:r>
            <w:proofErr w:type="spellEnd"/>
            <w:r>
              <w:t>. rules relating to deeming, warrants, bail matters, consolidations etc. and are reported for all co</w:t>
            </w:r>
            <w:r w:rsidR="00DA36CD">
              <w:t>urt levels in each jurisdiction</w:t>
            </w:r>
            <w:r>
              <w:t>.</w:t>
            </w:r>
          </w:p>
          <w:p w:rsidR="007C7A64" w:rsidRPr="00CF5FA0" w:rsidRDefault="007C7A64" w:rsidP="00610CD4">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tc>
      </w:tr>
      <w:tr w:rsidR="007C7A64" w:rsidTr="00610CD4">
        <w:tc>
          <w:tcPr>
            <w:tcW w:w="922" w:type="pct"/>
          </w:tcPr>
          <w:p w:rsidR="007C7A64" w:rsidRPr="002162BE" w:rsidRDefault="007C7A64" w:rsidP="00610CD4">
            <w:pPr>
              <w:pStyle w:val="TableBodyText"/>
              <w:jc w:val="left"/>
              <w:rPr>
                <w:b/>
              </w:rPr>
            </w:pPr>
            <w:r w:rsidRPr="002162BE">
              <w:rPr>
                <w:b/>
              </w:rPr>
              <w:lastRenderedPageBreak/>
              <w:t>Coherence</w:t>
            </w:r>
          </w:p>
        </w:tc>
        <w:tc>
          <w:tcPr>
            <w:tcW w:w="4078" w:type="pct"/>
          </w:tcPr>
          <w:p w:rsidR="00B01E41" w:rsidRPr="00B5422F" w:rsidRDefault="00B01E41" w:rsidP="00B01E41">
            <w:pPr>
              <w:pStyle w:val="TableBodyText"/>
              <w:jc w:val="both"/>
              <w:rPr>
                <w:rFonts w:cs="Arial"/>
              </w:rPr>
            </w:pPr>
            <w:r>
              <w:rPr>
                <w:u w:val="single"/>
              </w:rPr>
              <w:t>Numerator</w:t>
            </w:r>
            <w:r>
              <w:t xml:space="preserve"> — Total number of attendances in a financial year</w:t>
            </w:r>
          </w:p>
          <w:p w:rsidR="007C7A64" w:rsidRDefault="007C7A64" w:rsidP="00610CD4">
            <w:pPr>
              <w:pStyle w:val="TableBodyText"/>
              <w:keepNext w:val="0"/>
              <w:ind w:left="0" w:firstLine="6"/>
              <w:jc w:val="both"/>
            </w:pPr>
            <w:r>
              <w:t>F</w:t>
            </w:r>
            <w:r w:rsidRPr="00206536">
              <w:t xml:space="preserve">or </w:t>
            </w:r>
            <w:r w:rsidR="001A6779">
              <w:t>the last five years attendance</w:t>
            </w:r>
            <w:r>
              <w:t xml:space="preserve"> data have</w:t>
            </w:r>
            <w:r w:rsidRPr="00206536">
              <w:t xml:space="preserve"> been counted and reported </w:t>
            </w:r>
            <w:r>
              <w:t xml:space="preserve">relatively </w:t>
            </w:r>
            <w:r w:rsidRPr="00206536">
              <w:t>consistently</w:t>
            </w:r>
            <w:r>
              <w:t xml:space="preserve"> with the following exceptions:</w:t>
            </w:r>
          </w:p>
          <w:p w:rsidR="007C7A64" w:rsidRDefault="001A6779" w:rsidP="00610CD4">
            <w:pPr>
              <w:pStyle w:val="TableBullet"/>
              <w:numPr>
                <w:ilvl w:val="0"/>
                <w:numId w:val="42"/>
              </w:numPr>
              <w:tabs>
                <w:tab w:val="left" w:pos="170"/>
              </w:tabs>
            </w:pPr>
            <w:r>
              <w:tab/>
              <w:t>In the Federal Court attendances associated with</w:t>
            </w:r>
            <w:r w:rsidR="007C7A64">
              <w:t xml:space="preserve"> bankruptcy matters are now excluded from </w:t>
            </w:r>
            <w:proofErr w:type="spellStart"/>
            <w:r w:rsidR="007C7A64">
              <w:t>ROGS</w:t>
            </w:r>
            <w:proofErr w:type="spellEnd"/>
            <w:r w:rsidR="007C7A64">
              <w:t xml:space="preserve"> data.  Data from 2007-08 have been retrospectively adjusted to exclude these matters in the 2012 report.</w:t>
            </w:r>
          </w:p>
          <w:p w:rsidR="001A6779" w:rsidRDefault="001A6779" w:rsidP="00610CD4">
            <w:pPr>
              <w:pStyle w:val="TableBullet"/>
              <w:numPr>
                <w:ilvl w:val="0"/>
                <w:numId w:val="42"/>
              </w:numPr>
              <w:tabs>
                <w:tab w:val="left" w:pos="170"/>
              </w:tabs>
            </w:pPr>
            <w:r>
              <w:tab/>
              <w:t>In the Queensland Supreme Court attendances for appeal cases were not reported for 2009-10.</w:t>
            </w:r>
          </w:p>
          <w:p w:rsidR="001A6779" w:rsidRDefault="001A6779" w:rsidP="00610CD4">
            <w:pPr>
              <w:pStyle w:val="TableBullet"/>
              <w:numPr>
                <w:ilvl w:val="0"/>
                <w:numId w:val="42"/>
              </w:numPr>
              <w:tabs>
                <w:tab w:val="left" w:pos="170"/>
              </w:tabs>
            </w:pPr>
            <w:r>
              <w:tab/>
              <w:t>Attendance data have been unavailable for reporting by NSW but are expected to be available upon completed implementation of a new electronic</w:t>
            </w:r>
            <w:r w:rsidR="007A4A18">
              <w:t xml:space="preserve"> data management</w:t>
            </w:r>
            <w:r>
              <w:t xml:space="preserve"> system.</w:t>
            </w:r>
          </w:p>
          <w:p w:rsidR="001A6779" w:rsidRDefault="001A6779" w:rsidP="001A6779">
            <w:pPr>
              <w:pStyle w:val="TableBullet"/>
              <w:numPr>
                <w:ilvl w:val="0"/>
                <w:numId w:val="0"/>
              </w:numPr>
              <w:tabs>
                <w:tab w:val="left" w:pos="170"/>
              </w:tabs>
              <w:ind w:left="6"/>
            </w:pPr>
            <w:r>
              <w:t xml:space="preserve">In most jurisdictions there is an alignment with other publications, </w:t>
            </w:r>
            <w:proofErr w:type="spellStart"/>
            <w:r>
              <w:t>eg</w:t>
            </w:r>
            <w:proofErr w:type="spellEnd"/>
            <w:r>
              <w:t>. annual reports</w:t>
            </w:r>
            <w:r w:rsidR="006E343A">
              <w:t xml:space="preserve">, while in other jurisdictions there are differences due to the </w:t>
            </w:r>
            <w:proofErr w:type="spellStart"/>
            <w:r w:rsidR="006E343A">
              <w:t>RoGS</w:t>
            </w:r>
            <w:proofErr w:type="spellEnd"/>
            <w:r w:rsidR="006E343A">
              <w:t xml:space="preserve"> counting rules in relation to exclusions</w:t>
            </w:r>
            <w:r w:rsidR="00862A64">
              <w:t xml:space="preserve"> or where data on attendances are</w:t>
            </w:r>
            <w:r w:rsidR="006E343A">
              <w:t xml:space="preserve"> not reported.</w:t>
            </w:r>
          </w:p>
          <w:p w:rsidR="00B01E41" w:rsidRDefault="00B01E41" w:rsidP="001A6779">
            <w:pPr>
              <w:pStyle w:val="TableBullet"/>
              <w:numPr>
                <w:ilvl w:val="0"/>
                <w:numId w:val="0"/>
              </w:numPr>
              <w:tabs>
                <w:tab w:val="left" w:pos="170"/>
              </w:tabs>
              <w:ind w:left="6"/>
            </w:pPr>
          </w:p>
          <w:p w:rsidR="00B01E41" w:rsidRDefault="00B01E41" w:rsidP="00B01E41">
            <w:pPr>
              <w:pStyle w:val="TableBodyText"/>
              <w:jc w:val="both"/>
            </w:pPr>
            <w:r w:rsidRPr="00EF61C2">
              <w:rPr>
                <w:u w:val="single"/>
              </w:rPr>
              <w:t>Denominator</w:t>
            </w:r>
            <w:r>
              <w:t xml:space="preserve"> — Total number of cases finalised in a financial year</w:t>
            </w:r>
          </w:p>
          <w:p w:rsidR="00B01E41" w:rsidRPr="00B01E41" w:rsidRDefault="00B01E41" w:rsidP="00B01E41">
            <w:pPr>
              <w:pStyle w:val="TableBodyText"/>
              <w:jc w:val="both"/>
            </w:pPr>
            <w:r>
              <w:t>For the last five years data have been collected, counted and reported relatively consistently with the following exceptions:</w:t>
            </w:r>
          </w:p>
          <w:p w:rsidR="00FC5287" w:rsidRDefault="00FC5287" w:rsidP="00FC5287">
            <w:pPr>
              <w:pStyle w:val="TableBullet"/>
              <w:numPr>
                <w:ilvl w:val="0"/>
                <w:numId w:val="42"/>
              </w:numPr>
              <w:tabs>
                <w:tab w:val="left" w:pos="170"/>
              </w:tabs>
            </w:pPr>
            <w:r>
              <w:tab/>
              <w:t xml:space="preserve">In the Federal Court bankruptcy matters are now excluded from </w:t>
            </w:r>
            <w:proofErr w:type="spellStart"/>
            <w:r>
              <w:t>ROGS</w:t>
            </w:r>
            <w:proofErr w:type="spellEnd"/>
            <w:r>
              <w:t xml:space="preserve"> data.  Data from 2007-08 have been retrospectively adjusted to exclude these matters in the 2012 report.</w:t>
            </w:r>
          </w:p>
          <w:p w:rsidR="00A048FF" w:rsidRDefault="00A048FF" w:rsidP="00A048FF">
            <w:pPr>
              <w:pStyle w:val="TableBodyText"/>
              <w:keepNext w:val="0"/>
              <w:numPr>
                <w:ilvl w:val="0"/>
                <w:numId w:val="42"/>
              </w:numPr>
              <w:jc w:val="both"/>
            </w:pPr>
            <w:r>
              <w:t xml:space="preserve">In </w:t>
            </w:r>
            <w:smartTag w:uri="urn:schemas-microsoft-com:office:smarttags" w:element="place">
              <w:smartTag w:uri="urn:schemas-microsoft-com:office:smarttags" w:element="State">
                <w:r>
                  <w:t>South Australia</w:t>
                </w:r>
              </w:smartTag>
            </w:smartTag>
            <w:r>
              <w:t xml:space="preserve"> changes in legislation (e.g. offences </w:t>
            </w:r>
            <w:r w:rsidR="00701D79">
              <w:t>moving from a court process to a</w:t>
            </w:r>
            <w:r>
              <w:t>n infringement process) have impacted on numbers from 2008-09 onwards.</w:t>
            </w:r>
          </w:p>
          <w:p w:rsidR="007C7A64" w:rsidRDefault="007C7A64" w:rsidP="00610CD4">
            <w:pPr>
              <w:pStyle w:val="TableBullet"/>
              <w:numPr>
                <w:ilvl w:val="0"/>
                <w:numId w:val="42"/>
              </w:numPr>
              <w:tabs>
                <w:tab w:val="left" w:pos="170"/>
              </w:tabs>
            </w:pPr>
            <w:r>
              <w:tab/>
            </w:r>
            <w:r>
              <w:tab/>
            </w:r>
            <w:r w:rsidRPr="00DB19B2">
              <w:t xml:space="preserve">From 2007-08 </w:t>
            </w:r>
            <w:smartTag w:uri="urn:schemas-microsoft-com:office:smarttags" w:element="State">
              <w:smartTag w:uri="urn:schemas-microsoft-com:office:smarttags" w:element="place">
                <w:r w:rsidRPr="00DB19B2">
                  <w:t>W</w:t>
                </w:r>
                <w:r>
                  <w:t xml:space="preserve">estern </w:t>
                </w:r>
                <w:r w:rsidRPr="00DB19B2">
                  <w:t>A</w:t>
                </w:r>
                <w:r>
                  <w:t>ustralia</w:t>
                </w:r>
              </w:smartTag>
            </w:smartTag>
            <w:r>
              <w:t>’s</w:t>
            </w:r>
            <w:r w:rsidRPr="00DB19B2">
              <w:t xml:space="preserve"> Supreme Court criminal appeals include Single Judge of Appeal (</w:t>
            </w:r>
            <w:proofErr w:type="spellStart"/>
            <w:r w:rsidRPr="00DB19B2">
              <w:t>SJA</w:t>
            </w:r>
            <w:proofErr w:type="spellEnd"/>
            <w:r w:rsidRPr="00DB19B2">
              <w:t>) matters. Prior to 2007-08 these appeals were included in the WA Supre</w:t>
            </w:r>
            <w:r>
              <w:t>me Court data for civil appeals.</w:t>
            </w:r>
          </w:p>
          <w:p w:rsidR="007C7A64" w:rsidRPr="00206536" w:rsidRDefault="007C7A64" w:rsidP="00FC5287">
            <w:pPr>
              <w:pStyle w:val="TableBullet"/>
              <w:numPr>
                <w:ilvl w:val="0"/>
                <w:numId w:val="42"/>
              </w:numPr>
              <w:tabs>
                <w:tab w:val="left" w:pos="170"/>
              </w:tabs>
            </w:pPr>
            <w:r>
              <w:tab/>
              <w:t>S</w:t>
            </w:r>
            <w:r w:rsidRPr="00DB19B2">
              <w:t>ystem-based data was unavailable for 2009-2010</w:t>
            </w:r>
            <w:r>
              <w:t xml:space="preserve"> f</w:t>
            </w:r>
            <w:r w:rsidRPr="00DB19B2">
              <w:t xml:space="preserve">or </w:t>
            </w:r>
            <w:smartTag w:uri="urn:schemas-microsoft-com:office:smarttags" w:element="place">
              <w:smartTag w:uri="urn:schemas-microsoft-com:office:smarttags" w:element="State">
                <w:r>
                  <w:t>New South Wales</w:t>
                </w:r>
              </w:smartTag>
            </w:smartTag>
            <w:r>
              <w:t xml:space="preserve"> </w:t>
            </w:r>
            <w:r w:rsidRPr="00DB19B2">
              <w:t>civil appeal data</w:t>
            </w:r>
            <w:r>
              <w:t>.  A</w:t>
            </w:r>
            <w:r w:rsidRPr="00DB19B2">
              <w:t xml:space="preserve"> manual count was used and continues to be used </w:t>
            </w:r>
            <w:r>
              <w:t xml:space="preserve">until </w:t>
            </w:r>
            <w:r w:rsidRPr="00DB19B2">
              <w:t xml:space="preserve">system data </w:t>
            </w:r>
            <w:r>
              <w:t>are</w:t>
            </w:r>
            <w:r w:rsidRPr="00DB19B2">
              <w:t xml:space="preserve"> restored. For civil non-appeal, </w:t>
            </w:r>
            <w:smartTag w:uri="urn:schemas-microsoft-com:office:smarttags" w:element="State">
              <w:smartTag w:uri="urn:schemas-microsoft-com:office:smarttags" w:element="place">
                <w:r>
                  <w:t>New South Wales</w:t>
                </w:r>
              </w:smartTag>
            </w:smartTag>
            <w:r>
              <w:t xml:space="preserve"> </w:t>
            </w:r>
            <w:r w:rsidRPr="00DB19B2">
              <w:t>ha</w:t>
            </w:r>
            <w:r>
              <w:t>s</w:t>
            </w:r>
            <w:r w:rsidRPr="00DB19B2">
              <w:t xml:space="preserve"> changed from one electronic system to another - the n</w:t>
            </w:r>
            <w:r w:rsidR="00FC5287">
              <w:t>ew system was unable to provide</w:t>
            </w:r>
            <w:r>
              <w:t xml:space="preserve"> </w:t>
            </w:r>
            <w:r w:rsidRPr="00DB19B2">
              <w:t>data for 2009-2010 and so an estimate was used that</w:t>
            </w:r>
            <w:r w:rsidR="00FC5287">
              <w:t xml:space="preserve"> year.</w:t>
            </w:r>
          </w:p>
          <w:p w:rsidR="007C7A64" w:rsidRPr="00CD04F1" w:rsidRDefault="007C7A64" w:rsidP="00610CD4">
            <w:pPr>
              <w:pStyle w:val="TableBodyText"/>
              <w:jc w:val="both"/>
            </w:pPr>
            <w:r>
              <w:t>In most</w:t>
            </w:r>
            <w:r w:rsidRPr="00D84159">
              <w:t xml:space="preserve"> </w:t>
            </w:r>
            <w:r>
              <w:t>jurisdictions</w:t>
            </w:r>
            <w:r w:rsidRPr="00D84159">
              <w:t xml:space="preserve"> there is an alignment with other publications</w:t>
            </w:r>
            <w:r>
              <w:t xml:space="preserve">, </w:t>
            </w:r>
            <w:proofErr w:type="spellStart"/>
            <w:r>
              <w:t>eg</w:t>
            </w:r>
            <w:proofErr w:type="spellEnd"/>
            <w:r>
              <w:t>. annual reports, while i</w:t>
            </w:r>
            <w:r w:rsidRPr="00D84159">
              <w:t xml:space="preserve">n </w:t>
            </w:r>
            <w:r>
              <w:t>other jurisdictions</w:t>
            </w:r>
            <w:r w:rsidRPr="00D84159">
              <w:t xml:space="preserve"> there are differences due to the </w:t>
            </w:r>
            <w:proofErr w:type="spellStart"/>
            <w:r w:rsidRPr="00D84159">
              <w:t>ROGS</w:t>
            </w:r>
            <w:proofErr w:type="spellEnd"/>
            <w:r w:rsidRPr="00D84159">
              <w:t xml:space="preserve"> counting rules</w:t>
            </w:r>
            <w:r>
              <w:t xml:space="preserve"> in relation to exclusions</w:t>
            </w:r>
            <w:r w:rsidR="00FC5287">
              <w:t xml:space="preserve"> and differing definitions</w:t>
            </w:r>
            <w:r w:rsidRPr="00D84159">
              <w:t>.</w:t>
            </w:r>
            <w:r w:rsidR="00E74300">
              <w:t xml:space="preserve"> Finalisatio</w:t>
            </w:r>
            <w:r w:rsidR="00AE6FBC">
              <w:t>n counting rules</w:t>
            </w:r>
            <w:r w:rsidR="00E74300">
              <w:t xml:space="preserve"> for civil courts in this report also inc</w:t>
            </w:r>
            <w:r w:rsidR="00B83878">
              <w:t>lude</w:t>
            </w:r>
            <w:r w:rsidR="00AE6FBC">
              <w:t xml:space="preserve"> a “deeming rule”</w:t>
            </w:r>
            <w:r w:rsidR="00E74300">
              <w:t xml:space="preserve"> </w:t>
            </w:r>
            <w:r w:rsidR="00B83878">
              <w:t xml:space="preserve">which means that </w:t>
            </w:r>
            <w:proofErr w:type="spellStart"/>
            <w:r w:rsidR="00B83878">
              <w:t>RoGS</w:t>
            </w:r>
            <w:proofErr w:type="spellEnd"/>
            <w:r w:rsidR="00B83878">
              <w:t xml:space="preserve"> finalisation data are unlikely to match the court’s own published data. </w:t>
            </w:r>
          </w:p>
        </w:tc>
      </w:tr>
      <w:tr w:rsidR="007C7A64" w:rsidTr="00610CD4">
        <w:tc>
          <w:tcPr>
            <w:tcW w:w="922" w:type="pct"/>
          </w:tcPr>
          <w:p w:rsidR="007C7A64" w:rsidRPr="00C744E0" w:rsidRDefault="007C7A64" w:rsidP="00610CD4">
            <w:pPr>
              <w:pStyle w:val="TableBodyText"/>
              <w:jc w:val="left"/>
              <w:rPr>
                <w:b/>
              </w:rPr>
            </w:pPr>
            <w:r w:rsidRPr="00C744E0">
              <w:rPr>
                <w:b/>
              </w:rPr>
              <w:t>Accessibility</w:t>
            </w:r>
          </w:p>
        </w:tc>
        <w:tc>
          <w:tcPr>
            <w:tcW w:w="4078" w:type="pct"/>
          </w:tcPr>
          <w:p w:rsidR="007C7A64" w:rsidRPr="001A7053" w:rsidRDefault="00853680" w:rsidP="00610CD4">
            <w:pPr>
              <w:pStyle w:val="TableBodyText"/>
              <w:keepNext w:val="0"/>
              <w:jc w:val="left"/>
            </w:pPr>
            <w:r>
              <w:t>Attendance and finalisation data</w:t>
            </w:r>
            <w:r w:rsidR="007C7A64">
              <w:t xml:space="preserve"> are provided for the Report on Government Services according to the specific </w:t>
            </w:r>
            <w:proofErr w:type="spellStart"/>
            <w:r w:rsidR="007C7A64">
              <w:t>RoGS</w:t>
            </w:r>
            <w:proofErr w:type="spellEnd"/>
            <w:r w:rsidR="007C7A64">
              <w:t xml:space="preserve"> counting ru</w:t>
            </w:r>
            <w:r>
              <w:t>les. Other data on attendances and finalisations may be</w:t>
            </w:r>
            <w:r w:rsidR="007C7A64">
              <w:t xml:space="preserve"> available through court annual reports, court websites, on application from the Chief Jurisdictional Officer in the relevant state, territory or fe</w:t>
            </w:r>
            <w:r>
              <w:t>deral jurisdiction. Attendance</w:t>
            </w:r>
            <w:r w:rsidR="007C7A64">
              <w:t xml:space="preserve"> data for the </w:t>
            </w:r>
            <w:smartTag w:uri="urn:schemas-microsoft-com:office:smarttags" w:element="State">
              <w:smartTag w:uri="urn:schemas-microsoft-com:office:smarttags" w:element="place">
                <w:r w:rsidR="007C7A64">
                  <w:t>Australian Capital Territory</w:t>
                </w:r>
              </w:smartTag>
            </w:smartTag>
            <w:r w:rsidR="007C7A64">
              <w:t xml:space="preserve"> courts can also be found in the </w:t>
            </w:r>
            <w:r w:rsidR="007C7A64" w:rsidRPr="00B05873">
              <w:t>Justice &amp; Community Safety Directorate's Annual Report</w:t>
            </w:r>
            <w:r w:rsidR="007C7A64">
              <w:t>.</w:t>
            </w:r>
            <w:r w:rsidR="000202F7">
              <w:t xml:space="preserve"> </w:t>
            </w:r>
          </w:p>
        </w:tc>
      </w:tr>
      <w:tr w:rsidR="007C7A64" w:rsidTr="00610CD4">
        <w:tc>
          <w:tcPr>
            <w:tcW w:w="922" w:type="pct"/>
          </w:tcPr>
          <w:p w:rsidR="007C7A64" w:rsidRPr="00C744E0" w:rsidRDefault="007C7A64" w:rsidP="00610CD4">
            <w:pPr>
              <w:pStyle w:val="TableBodyText"/>
              <w:jc w:val="left"/>
              <w:rPr>
                <w:b/>
              </w:rPr>
            </w:pPr>
            <w:r w:rsidRPr="00C744E0">
              <w:rPr>
                <w:b/>
              </w:rPr>
              <w:t>Interpretability</w:t>
            </w:r>
          </w:p>
        </w:tc>
        <w:tc>
          <w:tcPr>
            <w:tcW w:w="4078" w:type="pct"/>
          </w:tcPr>
          <w:p w:rsidR="004A3096" w:rsidRPr="004A3096" w:rsidRDefault="004A3096" w:rsidP="004A3096">
            <w:pPr>
              <w:pStyle w:val="TableBodyText"/>
              <w:jc w:val="both"/>
              <w:rPr>
                <w:rFonts w:cs="Arial"/>
              </w:rPr>
            </w:pPr>
            <w:r>
              <w:rPr>
                <w:u w:val="single"/>
              </w:rPr>
              <w:t>Numerator</w:t>
            </w:r>
            <w:r>
              <w:t xml:space="preserve"> — Total number of attendances in a financial year</w:t>
            </w:r>
          </w:p>
          <w:p w:rsidR="007C7A64" w:rsidRDefault="00726BFF" w:rsidP="00610CD4">
            <w:pPr>
              <w:pStyle w:val="TableBodyText"/>
              <w:keepNext w:val="0"/>
              <w:ind w:left="32" w:hanging="26"/>
              <w:jc w:val="left"/>
            </w:pPr>
            <w:r>
              <w:t>Fewer attendances may suggest a more efficient process. However, this should be balanced</w:t>
            </w:r>
            <w:r w:rsidR="004A3096">
              <w:t xml:space="preserve"> against the likelihood that the number of attendances will increase if rehabilitation or diversionary programs are used, or if intensive case management is used. Both of these paths are believed to improve the quality of outcomes</w:t>
            </w:r>
            <w:r w:rsidR="007C7A64" w:rsidRPr="00A06FC4">
              <w:t>.</w:t>
            </w:r>
            <w:r w:rsidR="004A3096">
              <w:t xml:space="preserve"> </w:t>
            </w:r>
          </w:p>
          <w:p w:rsidR="000E04D3" w:rsidRDefault="000E04D3" w:rsidP="004A3096">
            <w:pPr>
              <w:pStyle w:val="TableBodyText"/>
              <w:jc w:val="both"/>
              <w:rPr>
                <w:u w:val="single"/>
              </w:rPr>
            </w:pPr>
          </w:p>
          <w:p w:rsidR="004A3096" w:rsidRDefault="004A3096" w:rsidP="004A3096">
            <w:pPr>
              <w:pStyle w:val="TableBodyText"/>
              <w:jc w:val="both"/>
            </w:pPr>
            <w:r w:rsidRPr="00EF61C2">
              <w:rPr>
                <w:u w:val="single"/>
              </w:rPr>
              <w:lastRenderedPageBreak/>
              <w:t>Denominator</w:t>
            </w:r>
            <w:r>
              <w:t xml:space="preserve"> — Total number of cases finalised in a financial year</w:t>
            </w:r>
          </w:p>
          <w:p w:rsidR="004A3096" w:rsidRDefault="004A3096" w:rsidP="004A3096">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7C7A64" w:rsidRPr="00292C41" w:rsidRDefault="007C7A64" w:rsidP="00610CD4">
            <w:pPr>
              <w:pStyle w:val="TableBodyText"/>
              <w:ind w:left="0" w:firstLine="6"/>
              <w:jc w:val="left"/>
            </w:pPr>
            <w:r w:rsidRPr="00F20BEC">
              <w:t>For fu</w:t>
            </w:r>
            <w:r w:rsidR="007A4A18">
              <w:t xml:space="preserve">rther information on the attendance indicator refer to </w:t>
            </w:r>
            <w:smartTag w:uri="urn:schemas-microsoft-com:office:smarttags" w:element="address">
              <w:smartTag w:uri="urn:schemas-microsoft-com:office:smarttags" w:element="Street">
                <w:r>
                  <w:t>Box</w:t>
                </w:r>
              </w:smartTag>
              <w:r w:rsidR="007A4A18">
                <w:t xml:space="preserve"> 7.12</w:t>
              </w:r>
            </w:smartTag>
            <w:r w:rsidRPr="00F20BEC">
              <w:t xml:space="preserve"> </w:t>
            </w:r>
            <w:r>
              <w:t xml:space="preserve">in chapter 7 </w:t>
            </w:r>
            <w:r w:rsidRPr="00F20BEC">
              <w:t>of the Report.</w:t>
            </w:r>
          </w:p>
        </w:tc>
      </w:tr>
      <w:tr w:rsidR="007C7A64" w:rsidTr="00610CD4">
        <w:tc>
          <w:tcPr>
            <w:tcW w:w="5000" w:type="pct"/>
            <w:gridSpan w:val="2"/>
            <w:shd w:val="clear" w:color="auto" w:fill="auto"/>
          </w:tcPr>
          <w:p w:rsidR="007C7A64" w:rsidRDefault="007C7A64" w:rsidP="00610CD4">
            <w:pPr>
              <w:pStyle w:val="TableBodyText"/>
              <w:jc w:val="left"/>
              <w:rPr>
                <w:b/>
                <w:u w:val="single"/>
              </w:rPr>
            </w:pPr>
          </w:p>
          <w:p w:rsidR="007C7A64" w:rsidRPr="00C744E0" w:rsidRDefault="007C7A64" w:rsidP="00610CD4">
            <w:pPr>
              <w:pStyle w:val="TableBodyText"/>
              <w:jc w:val="left"/>
              <w:rPr>
                <w:b/>
                <w:u w:val="single"/>
              </w:rPr>
            </w:pPr>
            <w:r w:rsidRPr="00C744E0">
              <w:rPr>
                <w:b/>
                <w:u w:val="single"/>
              </w:rPr>
              <w:t>Data Gaps/Issues Analysis</w:t>
            </w:r>
          </w:p>
        </w:tc>
      </w:tr>
      <w:tr w:rsidR="007C7A64" w:rsidTr="00610CD4">
        <w:tc>
          <w:tcPr>
            <w:tcW w:w="922" w:type="pct"/>
            <w:shd w:val="clear" w:color="auto" w:fill="auto"/>
          </w:tcPr>
          <w:p w:rsidR="007C7A64" w:rsidRPr="00C744E0" w:rsidRDefault="007C7A64" w:rsidP="00610CD4">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7C7A64" w:rsidRDefault="007C7A64" w:rsidP="00610CD4">
            <w:pPr>
              <w:pStyle w:val="TableBodyText"/>
              <w:jc w:val="both"/>
            </w:pPr>
            <w:r w:rsidRPr="00B96E3E">
              <w:t xml:space="preserve">The Steering Committee notes the following key data gaps/issues: </w:t>
            </w:r>
          </w:p>
          <w:p w:rsidR="007C7A64" w:rsidRPr="00B96E3E" w:rsidRDefault="007C7A64" w:rsidP="00610CD4">
            <w:pPr>
              <w:pStyle w:val="TableBullet"/>
              <w:tabs>
                <w:tab w:val="left" w:pos="170"/>
              </w:tabs>
              <w:ind w:left="176"/>
              <w:jc w:val="both"/>
            </w:pPr>
            <w:r>
              <w:t>Due to limitations of the data management system, NSW has</w:t>
            </w:r>
            <w:r w:rsidR="007A4A18">
              <w:t xml:space="preserve"> to date</w:t>
            </w:r>
            <w:r>
              <w:t xml:space="preserve"> been unable to provide </w:t>
            </w:r>
            <w:r w:rsidR="0044003C">
              <w:t>attendance data.</w:t>
            </w:r>
            <w:r>
              <w:t xml:space="preserve"> It is hoped that this situation may be rectified for future reports</w:t>
            </w:r>
            <w:r w:rsidR="007A4A18">
              <w:t>, upon completed implementation of a new electronic data management system</w:t>
            </w:r>
            <w:r w:rsidR="000542F4">
              <w:t xml:space="preserve">. </w:t>
            </w:r>
            <w:smartTag w:uri="urn:schemas-microsoft-com:office:smarttags" w:element="State">
              <w:smartTag w:uri="urn:schemas-microsoft-com:office:smarttags" w:element="place">
                <w:r w:rsidR="000542F4">
                  <w:t>Tasmania</w:t>
                </w:r>
              </w:smartTag>
            </w:smartTag>
            <w:r w:rsidR="000542F4">
              <w:t xml:space="preserve"> is unable to provide data for Supreme Court civil cases.</w:t>
            </w:r>
          </w:p>
        </w:tc>
      </w:tr>
    </w:tbl>
    <w:p w:rsidR="000F287A" w:rsidRDefault="000F287A" w:rsidP="000F287A">
      <w:pPr>
        <w:pStyle w:val="BodyText"/>
      </w:pPr>
    </w:p>
    <w:p w:rsidR="00B325D0" w:rsidRPr="00016770" w:rsidRDefault="00E47988" w:rsidP="00B325D0">
      <w:pPr>
        <w:pStyle w:val="Heading3"/>
        <w:spacing w:before="120"/>
      </w:pPr>
      <w:r>
        <w:br w:type="page"/>
      </w:r>
      <w:bookmarkStart w:id="13" w:name="_Toc338344192"/>
      <w:r w:rsidR="00B325D0">
        <w:lastRenderedPageBreak/>
        <w:t>Clearance</w:t>
      </w:r>
      <w:bookmarkEnd w:id="13"/>
    </w:p>
    <w:p w:rsidR="00B325D0" w:rsidRPr="00101653" w:rsidRDefault="00B325D0" w:rsidP="00B325D0">
      <w:pPr>
        <w:pStyle w:val="Box"/>
      </w:pPr>
      <w:r w:rsidRPr="00016770">
        <w:t>Data quality information for this indicator has been drafted by the Secretariat in consultation with the Court</w:t>
      </w:r>
      <w:r w:rsidR="00543B75">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B325D0" w:rsidTr="00853692">
        <w:tc>
          <w:tcPr>
            <w:tcW w:w="5000" w:type="pct"/>
            <w:gridSpan w:val="2"/>
          </w:tcPr>
          <w:p w:rsidR="00B325D0" w:rsidRDefault="00B325D0" w:rsidP="00853692">
            <w:pPr>
              <w:pStyle w:val="TableBodyText"/>
              <w:jc w:val="both"/>
              <w:rPr>
                <w:b/>
                <w:u w:val="single"/>
              </w:rPr>
            </w:pPr>
          </w:p>
          <w:p w:rsidR="00B325D0" w:rsidRDefault="00B325D0" w:rsidP="00853692">
            <w:pPr>
              <w:pStyle w:val="TableBodyText"/>
              <w:jc w:val="both"/>
            </w:pPr>
            <w:r w:rsidRPr="007D0BFD">
              <w:rPr>
                <w:b/>
                <w:u w:val="single"/>
              </w:rPr>
              <w:t>Indicator definition and description</w:t>
            </w:r>
            <w:r>
              <w:rPr>
                <w:rFonts w:cs="Arial"/>
                <w:b/>
                <w:sz w:val="22"/>
                <w:szCs w:val="22"/>
                <w:u w:val="single"/>
              </w:rPr>
              <w:t xml:space="preserve"> </w:t>
            </w:r>
          </w:p>
        </w:tc>
      </w:tr>
      <w:tr w:rsidR="00B325D0" w:rsidTr="00853692">
        <w:tc>
          <w:tcPr>
            <w:tcW w:w="922" w:type="pct"/>
          </w:tcPr>
          <w:p w:rsidR="00B325D0" w:rsidRPr="00C744E0" w:rsidRDefault="00B325D0" w:rsidP="00853692">
            <w:pPr>
              <w:pStyle w:val="TableBodyText"/>
              <w:jc w:val="left"/>
              <w:rPr>
                <w:b/>
              </w:rPr>
            </w:pPr>
            <w:r w:rsidRPr="00C744E0">
              <w:rPr>
                <w:b/>
              </w:rPr>
              <w:t>Element</w:t>
            </w:r>
          </w:p>
        </w:tc>
        <w:tc>
          <w:tcPr>
            <w:tcW w:w="4078" w:type="pct"/>
          </w:tcPr>
          <w:p w:rsidR="00B325D0" w:rsidRPr="00A1569C" w:rsidRDefault="00B325D0" w:rsidP="00543B75">
            <w:pPr>
              <w:pStyle w:val="TableBodyText"/>
              <w:jc w:val="both"/>
            </w:pPr>
            <w:r>
              <w:t>Court</w:t>
            </w:r>
            <w:r w:rsidR="00543B75">
              <w:t>s</w:t>
            </w:r>
            <w:r>
              <w:t xml:space="preserve"> Efficiency – Inputs</w:t>
            </w:r>
            <w:r w:rsidR="00327C28">
              <w:t xml:space="preserve"> per unit of output – Clearance</w:t>
            </w:r>
          </w:p>
        </w:tc>
      </w:tr>
      <w:tr w:rsidR="00B325D0" w:rsidTr="00853692">
        <w:tc>
          <w:tcPr>
            <w:tcW w:w="922" w:type="pct"/>
          </w:tcPr>
          <w:p w:rsidR="00B325D0" w:rsidRPr="00C744E0" w:rsidRDefault="00B325D0" w:rsidP="00853692">
            <w:pPr>
              <w:pStyle w:val="TableBodyText"/>
              <w:jc w:val="left"/>
              <w:rPr>
                <w:b/>
              </w:rPr>
            </w:pPr>
            <w:r w:rsidRPr="00C744E0">
              <w:rPr>
                <w:b/>
              </w:rPr>
              <w:t>Indicator</w:t>
            </w:r>
          </w:p>
        </w:tc>
        <w:tc>
          <w:tcPr>
            <w:tcW w:w="4078" w:type="pct"/>
          </w:tcPr>
          <w:p w:rsidR="00B325D0" w:rsidRPr="00E17A32" w:rsidRDefault="00327C28" w:rsidP="00853692">
            <w:pPr>
              <w:pStyle w:val="TableBodyText"/>
              <w:jc w:val="both"/>
            </w:pPr>
            <w:r>
              <w:t>Clearance</w:t>
            </w:r>
            <w:r w:rsidR="00B325D0">
              <w:t xml:space="preserve"> indicator</w:t>
            </w:r>
          </w:p>
        </w:tc>
      </w:tr>
      <w:tr w:rsidR="00B325D0" w:rsidTr="00853692">
        <w:tc>
          <w:tcPr>
            <w:tcW w:w="922" w:type="pct"/>
          </w:tcPr>
          <w:p w:rsidR="00B325D0" w:rsidRPr="00C744E0" w:rsidRDefault="00B325D0" w:rsidP="00853692">
            <w:pPr>
              <w:pStyle w:val="TableBodyText"/>
              <w:jc w:val="left"/>
              <w:rPr>
                <w:b/>
              </w:rPr>
            </w:pPr>
            <w:r w:rsidRPr="00C744E0">
              <w:rPr>
                <w:b/>
              </w:rPr>
              <w:t>Measure (computation)</w:t>
            </w:r>
          </w:p>
        </w:tc>
        <w:tc>
          <w:tcPr>
            <w:tcW w:w="4078" w:type="pct"/>
          </w:tcPr>
          <w:p w:rsidR="00B325D0" w:rsidRDefault="00327C28" w:rsidP="00853692">
            <w:pPr>
              <w:pStyle w:val="TableBodyText"/>
              <w:jc w:val="both"/>
            </w:pPr>
            <w:r>
              <w:t>The ‘clearance</w:t>
            </w:r>
            <w:r w:rsidR="00B325D0">
              <w:t xml:space="preserve"> indicator’ is </w:t>
            </w:r>
            <w:r>
              <w:t xml:space="preserve">measured by dividing the number of finalisations in the reporting period by the number of </w:t>
            </w:r>
            <w:proofErr w:type="spellStart"/>
            <w:r>
              <w:t>lodgments</w:t>
            </w:r>
            <w:proofErr w:type="spellEnd"/>
            <w:r>
              <w:t xml:space="preserve"> in the same period. It indicates whether the volume</w:t>
            </w:r>
            <w:r w:rsidR="00D85FBD">
              <w:t xml:space="preserve"> of case finalisations has matched the number of case </w:t>
            </w:r>
            <w:proofErr w:type="spellStart"/>
            <w:r w:rsidR="00D85FBD">
              <w:t>lodgments</w:t>
            </w:r>
            <w:proofErr w:type="spellEnd"/>
            <w:r w:rsidR="00D85FBD">
              <w:t xml:space="preserve"> during the reporting period. It can also indicate whether a court’s pending caseload would have increased or decreased over that period.</w:t>
            </w:r>
          </w:p>
          <w:p w:rsidR="00B325D0" w:rsidRDefault="00B325D0" w:rsidP="00853692">
            <w:pPr>
              <w:pStyle w:val="TableBodyText"/>
              <w:jc w:val="both"/>
            </w:pPr>
            <w:r>
              <w:rPr>
                <w:u w:val="single"/>
              </w:rPr>
              <w:t>Numerator</w:t>
            </w:r>
            <w:r>
              <w:t xml:space="preserve"> is defined as:</w:t>
            </w:r>
          </w:p>
          <w:p w:rsidR="00B325D0" w:rsidRPr="005A5147" w:rsidRDefault="00D85FBD" w:rsidP="00853692">
            <w:pPr>
              <w:pStyle w:val="TableBodyText"/>
              <w:numPr>
                <w:ilvl w:val="0"/>
                <w:numId w:val="42"/>
              </w:numPr>
              <w:jc w:val="left"/>
            </w:pPr>
            <w:r>
              <w:t>Total number of cases finalised</w:t>
            </w:r>
            <w:r w:rsidR="00B325D0">
              <w:t xml:space="preserve"> in a financial year</w:t>
            </w:r>
          </w:p>
          <w:p w:rsidR="00B325D0" w:rsidRDefault="00B325D0" w:rsidP="00853692">
            <w:pPr>
              <w:pStyle w:val="TableBullet"/>
              <w:numPr>
                <w:ilvl w:val="0"/>
                <w:numId w:val="0"/>
              </w:numPr>
              <w:spacing w:line="220" w:lineRule="exact"/>
              <w:ind w:left="6"/>
              <w:jc w:val="both"/>
            </w:pPr>
          </w:p>
          <w:p w:rsidR="00B325D0" w:rsidRPr="005D4651" w:rsidRDefault="00B325D0" w:rsidP="00853692">
            <w:pPr>
              <w:pStyle w:val="TableBodyText"/>
              <w:jc w:val="both"/>
            </w:pPr>
            <w:r>
              <w:rPr>
                <w:u w:val="single"/>
              </w:rPr>
              <w:t>Denominator</w:t>
            </w:r>
            <w:r>
              <w:t xml:space="preserve"> is defined as:</w:t>
            </w:r>
          </w:p>
          <w:p w:rsidR="00B325D0" w:rsidRPr="00B96E3E" w:rsidRDefault="00D85FBD" w:rsidP="00853692">
            <w:pPr>
              <w:pStyle w:val="TableBullet"/>
              <w:numPr>
                <w:ilvl w:val="0"/>
                <w:numId w:val="42"/>
              </w:numPr>
              <w:spacing w:line="220" w:lineRule="exact"/>
              <w:jc w:val="both"/>
            </w:pPr>
            <w:r>
              <w:t>Total number of cases lodged</w:t>
            </w:r>
            <w:r w:rsidR="00B325D0">
              <w:t xml:space="preserve"> in a financial year</w:t>
            </w:r>
          </w:p>
        </w:tc>
      </w:tr>
      <w:tr w:rsidR="00B325D0" w:rsidTr="00853692">
        <w:tc>
          <w:tcPr>
            <w:tcW w:w="922" w:type="pct"/>
          </w:tcPr>
          <w:p w:rsidR="00B325D0" w:rsidRPr="00C744E0" w:rsidRDefault="00B325D0" w:rsidP="00853692">
            <w:pPr>
              <w:pStyle w:val="TableBodyText"/>
              <w:jc w:val="left"/>
              <w:rPr>
                <w:b/>
              </w:rPr>
            </w:pPr>
            <w:r w:rsidRPr="00C744E0">
              <w:rPr>
                <w:b/>
              </w:rPr>
              <w:t>Data source/s</w:t>
            </w:r>
          </w:p>
        </w:tc>
        <w:tc>
          <w:tcPr>
            <w:tcW w:w="4078" w:type="pct"/>
          </w:tcPr>
          <w:p w:rsidR="00B325D0" w:rsidRPr="00B96E3E" w:rsidRDefault="00D85FBD" w:rsidP="00543B75">
            <w:pPr>
              <w:pStyle w:val="TableBodyText"/>
              <w:jc w:val="both"/>
            </w:pPr>
            <w:proofErr w:type="spellStart"/>
            <w:r>
              <w:t>Lodgment</w:t>
            </w:r>
            <w:proofErr w:type="spellEnd"/>
            <w:r w:rsidR="00B325D0">
              <w:t xml:space="preserve"> and case finalisation data</w:t>
            </w:r>
            <w:r w:rsidR="00B325D0" w:rsidRPr="00C34F8E">
              <w:t xml:space="preserve"> are sourced from</w:t>
            </w:r>
            <w:r w:rsidR="00B325D0">
              <w:t xml:space="preserve"> administrative data collected by</w:t>
            </w:r>
            <w:r w:rsidR="00B325D0" w:rsidRPr="00C34F8E">
              <w:t xml:space="preserve"> </w:t>
            </w:r>
            <w:r w:rsidR="00B325D0">
              <w:t>Australian, State and Territory court authorities and departments.</w:t>
            </w:r>
          </w:p>
        </w:tc>
      </w:tr>
      <w:tr w:rsidR="00B325D0" w:rsidTr="00853692">
        <w:tc>
          <w:tcPr>
            <w:tcW w:w="5000" w:type="pct"/>
            <w:gridSpan w:val="2"/>
          </w:tcPr>
          <w:p w:rsidR="00B325D0" w:rsidRDefault="00B325D0" w:rsidP="00853692">
            <w:pPr>
              <w:pStyle w:val="TableBodyText"/>
              <w:jc w:val="both"/>
              <w:rPr>
                <w:b/>
                <w:u w:val="single"/>
              </w:rPr>
            </w:pPr>
          </w:p>
          <w:p w:rsidR="00B325D0" w:rsidRPr="00C744E0" w:rsidRDefault="00B325D0" w:rsidP="00853692">
            <w:pPr>
              <w:pStyle w:val="TableBodyText"/>
              <w:jc w:val="both"/>
              <w:rPr>
                <w:b/>
                <w:u w:val="single"/>
              </w:rPr>
            </w:pPr>
            <w:r w:rsidRPr="00C744E0">
              <w:rPr>
                <w:b/>
                <w:u w:val="single"/>
              </w:rPr>
              <w:t>Data Quality Framework Dimensions</w:t>
            </w:r>
          </w:p>
        </w:tc>
      </w:tr>
      <w:tr w:rsidR="00B325D0" w:rsidTr="00853692">
        <w:tc>
          <w:tcPr>
            <w:tcW w:w="922" w:type="pct"/>
          </w:tcPr>
          <w:p w:rsidR="00B325D0" w:rsidRPr="00C744E0" w:rsidRDefault="00B325D0" w:rsidP="00853692">
            <w:pPr>
              <w:pStyle w:val="TableBodyText"/>
              <w:jc w:val="left"/>
              <w:rPr>
                <w:b/>
              </w:rPr>
            </w:pPr>
            <w:r w:rsidRPr="00C744E0">
              <w:rPr>
                <w:b/>
              </w:rPr>
              <w:t>Institutional environment</w:t>
            </w:r>
          </w:p>
        </w:tc>
        <w:tc>
          <w:tcPr>
            <w:tcW w:w="4078" w:type="pct"/>
          </w:tcPr>
          <w:p w:rsidR="00B325D0" w:rsidRPr="00FA2F8F" w:rsidRDefault="00B325D0" w:rsidP="00853692">
            <w:pPr>
              <w:pStyle w:val="TableBodyText"/>
              <w:jc w:val="both"/>
              <w:rPr>
                <w:rFonts w:cs="Arial"/>
              </w:rPr>
            </w:pPr>
            <w:r>
              <w:rPr>
                <w:rFonts w:cs="Arial"/>
                <w:u w:val="single"/>
              </w:rPr>
              <w:t>Numerator</w:t>
            </w:r>
            <w:r w:rsidR="004A3386">
              <w:rPr>
                <w:rFonts w:cs="Arial"/>
              </w:rPr>
              <w:t xml:space="preserve"> — Total number of cases finalised</w:t>
            </w:r>
            <w:r>
              <w:rPr>
                <w:rFonts w:cs="Arial"/>
              </w:rPr>
              <w:t xml:space="preserve"> in a financial year</w:t>
            </w:r>
          </w:p>
          <w:p w:rsidR="00B325D0" w:rsidRDefault="00B325D0" w:rsidP="00853692">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B325D0" w:rsidRDefault="00B325D0" w:rsidP="00853692">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B325D0" w:rsidRPr="00C34F8E" w:rsidRDefault="00B325D0" w:rsidP="00853692">
            <w:pPr>
              <w:pStyle w:val="TableBodyText"/>
              <w:jc w:val="both"/>
              <w:rPr>
                <w:rFonts w:cs="Arial"/>
              </w:rPr>
            </w:pPr>
          </w:p>
          <w:p w:rsidR="00B325D0" w:rsidRPr="00FA2F8F" w:rsidRDefault="00B325D0" w:rsidP="00853692">
            <w:pPr>
              <w:pStyle w:val="TableBodyText"/>
              <w:jc w:val="both"/>
            </w:pPr>
            <w:r w:rsidRPr="00EF61C2">
              <w:rPr>
                <w:u w:val="single"/>
              </w:rPr>
              <w:t>Denominator</w:t>
            </w:r>
            <w:r>
              <w:t xml:space="preserve"> —</w:t>
            </w:r>
            <w:r w:rsidR="002A321D">
              <w:t xml:space="preserve"> Total number of cases lodged</w:t>
            </w:r>
            <w:r>
              <w:t xml:space="preserve"> in a financial year</w:t>
            </w:r>
          </w:p>
          <w:p w:rsidR="00B325D0" w:rsidRDefault="00B325D0" w:rsidP="00853692">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B325D0" w:rsidRDefault="00B325D0" w:rsidP="00853692">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B325D0" w:rsidRPr="00062F62" w:rsidRDefault="00B325D0" w:rsidP="00853692">
            <w:pPr>
              <w:pStyle w:val="TableBodyText"/>
              <w:keepNext w:val="0"/>
              <w:jc w:val="both"/>
              <w:rPr>
                <w:rFonts w:cs="Arial"/>
              </w:rPr>
            </w:pPr>
          </w:p>
        </w:tc>
      </w:tr>
      <w:tr w:rsidR="00B325D0" w:rsidTr="00853692">
        <w:tc>
          <w:tcPr>
            <w:tcW w:w="922" w:type="pct"/>
          </w:tcPr>
          <w:p w:rsidR="00B325D0" w:rsidRPr="00C744E0" w:rsidRDefault="00B325D0" w:rsidP="00853692">
            <w:pPr>
              <w:pStyle w:val="TableBodyText"/>
              <w:jc w:val="left"/>
              <w:rPr>
                <w:b/>
              </w:rPr>
            </w:pPr>
            <w:r w:rsidRPr="00C744E0">
              <w:rPr>
                <w:b/>
              </w:rPr>
              <w:t>Relevance</w:t>
            </w:r>
          </w:p>
        </w:tc>
        <w:tc>
          <w:tcPr>
            <w:tcW w:w="4078" w:type="pct"/>
          </w:tcPr>
          <w:p w:rsidR="00B325D0" w:rsidRDefault="004A3386" w:rsidP="00853692">
            <w:pPr>
              <w:pStyle w:val="TableBullet"/>
              <w:numPr>
                <w:ilvl w:val="0"/>
                <w:numId w:val="0"/>
              </w:numPr>
              <w:jc w:val="both"/>
            </w:pPr>
            <w:r>
              <w:t>‘Clearance</w:t>
            </w:r>
            <w:r w:rsidR="00B325D0">
              <w:t xml:space="preserve">’ is intended to be an indicator of governments’ achievement against the objective of providing court services in an efficient manner. </w:t>
            </w:r>
            <w:r>
              <w:t xml:space="preserve">However variations in the rate over time do not necessarily relate to the performance of the court. The clearance indicator can be affected by external factors outside of the court system which cause changes in </w:t>
            </w:r>
            <w:proofErr w:type="spellStart"/>
            <w:r>
              <w:t>lodgment</w:t>
            </w:r>
            <w:proofErr w:type="spellEnd"/>
            <w:r>
              <w:t xml:space="preserve"> rates, as well as by changes in a court’s case management practices.</w:t>
            </w:r>
          </w:p>
          <w:p w:rsidR="00B325D0" w:rsidRPr="00B96E3E" w:rsidRDefault="00B325D0" w:rsidP="00853692">
            <w:pPr>
              <w:pStyle w:val="TableBodyText"/>
              <w:ind w:left="0"/>
              <w:jc w:val="left"/>
            </w:pPr>
            <w:r w:rsidRPr="00F20BEC">
              <w:t>For fu</w:t>
            </w:r>
            <w:r>
              <w:t>rth</w:t>
            </w:r>
            <w:r w:rsidR="005B1714">
              <w:t>er information on the clearance</w:t>
            </w:r>
            <w:r w:rsidRPr="00F20BEC">
              <w:t xml:space="preserve"> indicator refer to </w:t>
            </w:r>
            <w:smartTag w:uri="urn:schemas-microsoft-com:office:smarttags" w:element="address">
              <w:smartTag w:uri="urn:schemas-microsoft-com:office:smarttags" w:element="Street">
                <w:r w:rsidRPr="00F20BEC">
                  <w:t>Box</w:t>
                </w:r>
              </w:smartTag>
              <w:r w:rsidR="005B1714">
                <w:t xml:space="preserve"> 7.13</w:t>
              </w:r>
            </w:smartTag>
            <w:r w:rsidRPr="00F20BEC">
              <w:t xml:space="preserve"> </w:t>
            </w:r>
            <w:r>
              <w:t xml:space="preserve">in chapter 7 </w:t>
            </w:r>
            <w:r w:rsidRPr="00F20BEC">
              <w:t>of the Report.</w:t>
            </w:r>
          </w:p>
        </w:tc>
      </w:tr>
      <w:tr w:rsidR="00B325D0" w:rsidTr="00853692">
        <w:tc>
          <w:tcPr>
            <w:tcW w:w="922" w:type="pct"/>
          </w:tcPr>
          <w:p w:rsidR="00B325D0" w:rsidRPr="00C744E0" w:rsidRDefault="00B325D0" w:rsidP="00853692">
            <w:pPr>
              <w:pStyle w:val="TableBodyText"/>
              <w:jc w:val="both"/>
              <w:rPr>
                <w:b/>
              </w:rPr>
            </w:pPr>
            <w:r w:rsidRPr="00C744E0">
              <w:rPr>
                <w:b/>
              </w:rPr>
              <w:t>Timeliness</w:t>
            </w:r>
          </w:p>
        </w:tc>
        <w:tc>
          <w:tcPr>
            <w:tcW w:w="4078" w:type="pct"/>
          </w:tcPr>
          <w:p w:rsidR="00B325D0" w:rsidRDefault="00B325D0" w:rsidP="00853692">
            <w:pPr>
              <w:pStyle w:val="TableBodyText"/>
              <w:keepNext w:val="0"/>
              <w:jc w:val="both"/>
            </w:pPr>
            <w:r>
              <w:t>The</w:t>
            </w:r>
            <w:r w:rsidR="002A321D">
              <w:t xml:space="preserve"> reference period for case </w:t>
            </w:r>
            <w:proofErr w:type="spellStart"/>
            <w:r w:rsidR="002A321D">
              <w:t>lodgment</w:t>
            </w:r>
            <w:proofErr w:type="spellEnd"/>
            <w:r>
              <w:t xml:space="preserve"> a</w:t>
            </w:r>
            <w:r w:rsidR="009A61A0">
              <w:t>nd finalisation data is the 2012-13</w:t>
            </w:r>
            <w:r>
              <w:t xml:space="preserve"> financial year. Dat</w:t>
            </w:r>
            <w:r w:rsidR="009A61A0">
              <w:t>a are provided in September 2013</w:t>
            </w:r>
            <w:r>
              <w:t>, f</w:t>
            </w:r>
            <w:r w:rsidR="009A61A0">
              <w:t>or publication in January 2014</w:t>
            </w:r>
            <w:r>
              <w:t>.</w:t>
            </w:r>
          </w:p>
          <w:p w:rsidR="00B325D0" w:rsidRPr="009F199D" w:rsidRDefault="00B325D0" w:rsidP="00853692">
            <w:pPr>
              <w:pStyle w:val="TableBodyText"/>
              <w:keepNext w:val="0"/>
              <w:jc w:val="both"/>
            </w:pPr>
            <w:r>
              <w:t>Data can be revised retrospectively up to 5 years later.</w:t>
            </w:r>
          </w:p>
        </w:tc>
      </w:tr>
      <w:tr w:rsidR="00593391" w:rsidTr="00853692">
        <w:tc>
          <w:tcPr>
            <w:tcW w:w="922" w:type="pct"/>
          </w:tcPr>
          <w:p w:rsidR="00593391" w:rsidRPr="00C744E0" w:rsidRDefault="00593391" w:rsidP="00593391">
            <w:pPr>
              <w:pStyle w:val="TableBodyText"/>
              <w:keepNext w:val="0"/>
              <w:ind w:left="0"/>
              <w:jc w:val="left"/>
              <w:rPr>
                <w:b/>
              </w:rPr>
            </w:pPr>
          </w:p>
        </w:tc>
        <w:tc>
          <w:tcPr>
            <w:tcW w:w="4078" w:type="pct"/>
          </w:tcPr>
          <w:p w:rsidR="00593391" w:rsidRDefault="00593391" w:rsidP="00AD1868">
            <w:pPr>
              <w:pStyle w:val="TableBullet"/>
              <w:keepNext w:val="0"/>
              <w:numPr>
                <w:ilvl w:val="0"/>
                <w:numId w:val="0"/>
              </w:numPr>
              <w:spacing w:line="220" w:lineRule="exact"/>
              <w:ind w:left="6"/>
            </w:pPr>
          </w:p>
        </w:tc>
      </w:tr>
      <w:tr w:rsidR="00B325D0" w:rsidTr="00853692">
        <w:tc>
          <w:tcPr>
            <w:tcW w:w="922" w:type="pct"/>
          </w:tcPr>
          <w:p w:rsidR="00B325D0" w:rsidRPr="00C744E0" w:rsidRDefault="00B325D0" w:rsidP="00593391">
            <w:pPr>
              <w:pStyle w:val="TableBodyText"/>
              <w:keepNext w:val="0"/>
              <w:ind w:left="0"/>
              <w:jc w:val="left"/>
              <w:rPr>
                <w:b/>
              </w:rPr>
            </w:pPr>
            <w:r w:rsidRPr="00C744E0">
              <w:rPr>
                <w:b/>
              </w:rPr>
              <w:t>Accuracy</w:t>
            </w:r>
          </w:p>
        </w:tc>
        <w:tc>
          <w:tcPr>
            <w:tcW w:w="4078" w:type="pct"/>
          </w:tcPr>
          <w:p w:rsidR="00B325D0" w:rsidRDefault="002A321D" w:rsidP="00AD1868">
            <w:pPr>
              <w:pStyle w:val="TableBullet"/>
              <w:keepNext w:val="0"/>
              <w:numPr>
                <w:ilvl w:val="0"/>
                <w:numId w:val="0"/>
              </w:numPr>
              <w:spacing w:line="220" w:lineRule="exact"/>
              <w:ind w:left="6"/>
            </w:pPr>
            <w:r>
              <w:t xml:space="preserve">The identification of </w:t>
            </w:r>
            <w:proofErr w:type="spellStart"/>
            <w:r w:rsidR="00346FD6">
              <w:t>lodgment</w:t>
            </w:r>
            <w:proofErr w:type="spellEnd"/>
            <w:r>
              <w:t xml:space="preserve"> and finalisation data</w:t>
            </w:r>
            <w:r w:rsidR="00B325D0">
              <w:t xml:space="preserve"> is done using electronic case management reporting systems except for the following:</w:t>
            </w:r>
          </w:p>
          <w:p w:rsidR="00B325D0" w:rsidRDefault="002A321D" w:rsidP="00AD1868">
            <w:pPr>
              <w:pStyle w:val="TableBullet"/>
              <w:keepNext w:val="0"/>
              <w:numPr>
                <w:ilvl w:val="0"/>
                <w:numId w:val="42"/>
              </w:numPr>
              <w:jc w:val="both"/>
            </w:pPr>
            <w:r>
              <w:t xml:space="preserve">In the Supreme Court of New South Wales manually maintained data are used for the majority of civil appeal, and all criminal appeal and non-appeal </w:t>
            </w:r>
            <w:r>
              <w:lastRenderedPageBreak/>
              <w:t>cases</w:t>
            </w:r>
            <w:r w:rsidR="00B325D0">
              <w:t>.</w:t>
            </w:r>
            <w:r>
              <w:t xml:space="preserve"> A small proportion of the civil appeal data is</w:t>
            </w:r>
            <w:r w:rsidR="00AD1868">
              <w:t xml:space="preserve"> derived electronically but </w:t>
            </w:r>
            <w:r>
              <w:t>for the 2009-10 collection the NSW electronic system was unable to provide civil non-appeal data so an estimate was given for 2009-10.</w:t>
            </w:r>
          </w:p>
          <w:p w:rsidR="00B325D0" w:rsidRDefault="00B325D0" w:rsidP="00AD1868">
            <w:pPr>
              <w:pStyle w:val="TableBullet"/>
              <w:keepNext w:val="0"/>
              <w:numPr>
                <w:ilvl w:val="0"/>
                <w:numId w:val="0"/>
              </w:numPr>
              <w:jc w:val="both"/>
            </w:pPr>
            <w:r>
              <w:t xml:space="preserve">The data provided are consistent with </w:t>
            </w:r>
            <w:proofErr w:type="spellStart"/>
            <w:r>
              <w:t>RoGS</w:t>
            </w:r>
            <w:proofErr w:type="spellEnd"/>
            <w:r>
              <w:t xml:space="preserve"> counting rules and are reported for all court </w:t>
            </w:r>
            <w:r w:rsidR="00985529">
              <w:t>levels in each jurisdiction.</w:t>
            </w:r>
          </w:p>
          <w:p w:rsidR="00B325D0" w:rsidRPr="00CF5FA0" w:rsidRDefault="00B325D0" w:rsidP="00AD1868">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tc>
      </w:tr>
      <w:tr w:rsidR="00B325D0" w:rsidTr="00853692">
        <w:tc>
          <w:tcPr>
            <w:tcW w:w="922" w:type="pct"/>
          </w:tcPr>
          <w:p w:rsidR="00B325D0" w:rsidRPr="002162BE" w:rsidRDefault="00B325D0" w:rsidP="00AD1868">
            <w:pPr>
              <w:pStyle w:val="TableBodyText"/>
              <w:keepNext w:val="0"/>
              <w:jc w:val="left"/>
              <w:rPr>
                <w:b/>
              </w:rPr>
            </w:pPr>
            <w:r w:rsidRPr="002162BE">
              <w:rPr>
                <w:b/>
              </w:rPr>
              <w:lastRenderedPageBreak/>
              <w:t>Coherence</w:t>
            </w:r>
          </w:p>
        </w:tc>
        <w:tc>
          <w:tcPr>
            <w:tcW w:w="4078" w:type="pct"/>
          </w:tcPr>
          <w:p w:rsidR="00B325D0" w:rsidRPr="00B01E41" w:rsidRDefault="00B325D0" w:rsidP="00AD1868">
            <w:pPr>
              <w:pStyle w:val="TableBodyText"/>
              <w:keepNext w:val="0"/>
              <w:jc w:val="both"/>
            </w:pPr>
            <w:r>
              <w:t xml:space="preserve">For the last five years </w:t>
            </w:r>
            <w:proofErr w:type="spellStart"/>
            <w:r w:rsidR="00376B9D">
              <w:t>lodg</w:t>
            </w:r>
            <w:r w:rsidR="00EA06AA">
              <w:t>ment</w:t>
            </w:r>
            <w:proofErr w:type="spellEnd"/>
            <w:r w:rsidR="00EA06AA">
              <w:t xml:space="preserve"> and finalisation </w:t>
            </w:r>
            <w:r>
              <w:t>data have been collected, counted and reported relatively consistently with the following exceptions:</w:t>
            </w:r>
          </w:p>
          <w:p w:rsidR="00B325D0" w:rsidRDefault="00B325D0" w:rsidP="00AD1868">
            <w:pPr>
              <w:pStyle w:val="TableBullet"/>
              <w:keepNext w:val="0"/>
              <w:numPr>
                <w:ilvl w:val="0"/>
                <w:numId w:val="42"/>
              </w:numPr>
              <w:tabs>
                <w:tab w:val="left" w:pos="170"/>
              </w:tabs>
            </w:pPr>
            <w:r>
              <w:tab/>
              <w:t xml:space="preserve">In the Federal Court bankruptcy matters are now excluded from </w:t>
            </w:r>
            <w:proofErr w:type="spellStart"/>
            <w:r>
              <w:t>ROGS</w:t>
            </w:r>
            <w:proofErr w:type="spellEnd"/>
            <w:r>
              <w:t xml:space="preserve"> data.  Data from 2007-08 have been retrospectively adjusted to exclude these matters in the 2012 report.</w:t>
            </w:r>
          </w:p>
          <w:p w:rsidR="00B325D0" w:rsidRDefault="00297E80" w:rsidP="00297E80">
            <w:pPr>
              <w:pStyle w:val="TableBodyText"/>
              <w:keepNext w:val="0"/>
              <w:numPr>
                <w:ilvl w:val="0"/>
                <w:numId w:val="42"/>
              </w:numPr>
              <w:jc w:val="both"/>
            </w:pPr>
            <w:r>
              <w:t xml:space="preserve">In </w:t>
            </w:r>
            <w:smartTag w:uri="urn:schemas-microsoft-com:office:smarttags" w:element="place">
              <w:smartTag w:uri="urn:schemas-microsoft-com:office:smarttags" w:element="State">
                <w:r>
                  <w:t>South Australia</w:t>
                </w:r>
              </w:smartTag>
            </w:smartTag>
            <w:r>
              <w:t xml:space="preserve"> changes in legislation (e.g. offences moving from a court process to an infringement process) have impacted on numbers from 2008-09 onwards.</w:t>
            </w:r>
          </w:p>
          <w:p w:rsidR="00EA06AA" w:rsidRPr="00E222B4" w:rsidRDefault="00EA06AA" w:rsidP="00AD1868">
            <w:pPr>
              <w:pStyle w:val="TableBullet"/>
              <w:keepNext w:val="0"/>
              <w:numPr>
                <w:ilvl w:val="0"/>
                <w:numId w:val="42"/>
              </w:numPr>
              <w:tabs>
                <w:tab w:val="left" w:pos="170"/>
              </w:tabs>
            </w:pPr>
            <w:r>
              <w:tab/>
              <w:t xml:space="preserve">Changes to legislation in 2008 in </w:t>
            </w:r>
            <w:smartTag w:uri="urn:schemas-microsoft-com:office:smarttags" w:element="place">
              <w:smartTag w:uri="urn:schemas-microsoft-com:office:smarttags" w:element="State">
                <w:r>
                  <w:t>Tasmania</w:t>
                </w:r>
              </w:smartTag>
            </w:smartTag>
            <w:r>
              <w:t>’s courts mean that a substantial number of minor traffic matters (infringement notices) are no longer dealt with by the court. These are now enforced by the Monetary Penalties Enforcement Service and are excluded from the data.</w:t>
            </w:r>
          </w:p>
          <w:p w:rsidR="00B325D0" w:rsidRDefault="00B325D0" w:rsidP="00AD1868">
            <w:pPr>
              <w:pStyle w:val="TableBullet"/>
              <w:keepNext w:val="0"/>
              <w:numPr>
                <w:ilvl w:val="0"/>
                <w:numId w:val="42"/>
              </w:numPr>
              <w:tabs>
                <w:tab w:val="left" w:pos="170"/>
              </w:tabs>
            </w:pPr>
            <w:r>
              <w:tab/>
            </w:r>
            <w:r>
              <w:tab/>
            </w:r>
            <w:r w:rsidRPr="00DB19B2">
              <w:t xml:space="preserve">From 2007-08 </w:t>
            </w:r>
            <w:smartTag w:uri="urn:schemas-microsoft-com:office:smarttags" w:element="place">
              <w:smartTag w:uri="urn:schemas-microsoft-com:office:smarttags" w:element="State">
                <w:r w:rsidRPr="00DB19B2">
                  <w:t>W</w:t>
                </w:r>
                <w:r>
                  <w:t xml:space="preserve">estern </w:t>
                </w:r>
                <w:r w:rsidRPr="00DB19B2">
                  <w:t>A</w:t>
                </w:r>
                <w:r>
                  <w:t>ustralia</w:t>
                </w:r>
              </w:smartTag>
            </w:smartTag>
            <w:r>
              <w:t>’s</w:t>
            </w:r>
            <w:r w:rsidRPr="00DB19B2">
              <w:t xml:space="preserve"> Supreme Court criminal appeals include Single Judge of Appeal (</w:t>
            </w:r>
            <w:proofErr w:type="spellStart"/>
            <w:r w:rsidRPr="00DB19B2">
              <w:t>SJA</w:t>
            </w:r>
            <w:proofErr w:type="spellEnd"/>
            <w:r w:rsidRPr="00DB19B2">
              <w:t>) matters. Prior to 2007-08 these appeals were included in the WA Supre</w:t>
            </w:r>
            <w:r>
              <w:t>me Court data for civil appeals.</w:t>
            </w:r>
          </w:p>
          <w:p w:rsidR="00825D8C" w:rsidRPr="00206536" w:rsidRDefault="00B325D0" w:rsidP="00825D8C">
            <w:pPr>
              <w:pStyle w:val="TableBullet"/>
              <w:numPr>
                <w:ilvl w:val="0"/>
                <w:numId w:val="42"/>
              </w:numPr>
              <w:tabs>
                <w:tab w:val="left" w:pos="170"/>
              </w:tabs>
            </w:pPr>
            <w:r>
              <w:tab/>
              <w:t>S</w:t>
            </w:r>
            <w:r w:rsidRPr="00DB19B2">
              <w:t>ystem-based data was unavailable for 2009-2010</w:t>
            </w:r>
            <w:r>
              <w:t xml:space="preserve"> f</w:t>
            </w:r>
            <w:r w:rsidRPr="00DB19B2">
              <w:t xml:space="preserve">or </w:t>
            </w:r>
            <w:smartTag w:uri="urn:schemas-microsoft-com:office:smarttags" w:element="State">
              <w:smartTag w:uri="urn:schemas-microsoft-com:office:smarttags" w:element="place">
                <w:r>
                  <w:t>New South Wales</w:t>
                </w:r>
              </w:smartTag>
            </w:smartTag>
            <w:r>
              <w:t xml:space="preserve"> </w:t>
            </w:r>
            <w:r w:rsidR="00EA06AA">
              <w:t>civil</w:t>
            </w:r>
            <w:r w:rsidR="00825D8C">
              <w:t xml:space="preserve"> appeal</w:t>
            </w:r>
            <w:r w:rsidR="00EA06AA">
              <w:t xml:space="preserve"> </w:t>
            </w:r>
            <w:r w:rsidRPr="00DB19B2">
              <w:t>data</w:t>
            </w:r>
            <w:r>
              <w:t>.  A</w:t>
            </w:r>
            <w:r w:rsidRPr="00DB19B2">
              <w:t xml:space="preserve"> manual count was used and continues to be used </w:t>
            </w:r>
            <w:r>
              <w:t xml:space="preserve">until </w:t>
            </w:r>
            <w:r w:rsidRPr="00DB19B2">
              <w:t xml:space="preserve">system data </w:t>
            </w:r>
            <w:r>
              <w:t>are</w:t>
            </w:r>
            <w:r w:rsidRPr="00DB19B2">
              <w:t xml:space="preserve"> restored. </w:t>
            </w:r>
            <w:r w:rsidR="00825D8C" w:rsidRPr="00DB19B2">
              <w:t xml:space="preserve">For civil non-appeal, </w:t>
            </w:r>
            <w:smartTag w:uri="urn:schemas-microsoft-com:office:smarttags" w:element="place">
              <w:smartTag w:uri="urn:schemas-microsoft-com:office:smarttags" w:element="State">
                <w:r w:rsidR="00825D8C">
                  <w:t>New South Wales</w:t>
                </w:r>
              </w:smartTag>
            </w:smartTag>
            <w:r w:rsidR="00825D8C">
              <w:t xml:space="preserve"> </w:t>
            </w:r>
            <w:r w:rsidR="00825D8C" w:rsidRPr="00DB19B2">
              <w:t>ha</w:t>
            </w:r>
            <w:r w:rsidR="00825D8C">
              <w:t>s</w:t>
            </w:r>
            <w:r w:rsidR="00825D8C" w:rsidRPr="00DB19B2">
              <w:t xml:space="preserve"> changed from one electronic system to another - the n</w:t>
            </w:r>
            <w:r w:rsidR="00825D8C">
              <w:t xml:space="preserve">ew system was unable to provide </w:t>
            </w:r>
            <w:r w:rsidR="00825D8C" w:rsidRPr="00DB19B2">
              <w:t>data for 2009-2010 and so an estimate was used that</w:t>
            </w:r>
            <w:r w:rsidR="00825D8C">
              <w:t xml:space="preserve"> year.</w:t>
            </w:r>
          </w:p>
          <w:p w:rsidR="00B325D0" w:rsidRPr="00CD04F1" w:rsidRDefault="00B325D0" w:rsidP="00AD1868">
            <w:pPr>
              <w:pStyle w:val="TableBodyText"/>
              <w:keepNext w:val="0"/>
              <w:jc w:val="both"/>
            </w:pPr>
            <w:r>
              <w:t>In most</w:t>
            </w:r>
            <w:r w:rsidRPr="00D84159">
              <w:t xml:space="preserve"> </w:t>
            </w:r>
            <w:r>
              <w:t>jurisdictions</w:t>
            </w:r>
            <w:r w:rsidRPr="00D84159">
              <w:t xml:space="preserve"> there is an alignment with other publications</w:t>
            </w:r>
            <w:r>
              <w:t xml:space="preserve">, </w:t>
            </w:r>
            <w:proofErr w:type="spellStart"/>
            <w:r>
              <w:t>eg</w:t>
            </w:r>
            <w:proofErr w:type="spellEnd"/>
            <w:r>
              <w:t>. annual reports, while i</w:t>
            </w:r>
            <w:r w:rsidRPr="00D84159">
              <w:t xml:space="preserve">n </w:t>
            </w:r>
            <w:r>
              <w:t>other jurisdictions</w:t>
            </w:r>
            <w:r w:rsidRPr="00D84159">
              <w:t xml:space="preserve"> there are differences due to the </w:t>
            </w:r>
            <w:proofErr w:type="spellStart"/>
            <w:r w:rsidRPr="00D84159">
              <w:t>ROGS</w:t>
            </w:r>
            <w:proofErr w:type="spellEnd"/>
            <w:r w:rsidRPr="00D84159">
              <w:t xml:space="preserve"> counting rules</w:t>
            </w:r>
            <w:r>
              <w:t xml:space="preserve"> in relation to exclusions and differing definitions</w:t>
            </w:r>
            <w:r w:rsidRPr="00D84159">
              <w:t>.</w:t>
            </w:r>
            <w:r>
              <w:t xml:space="preserve"> Finalisation counting rules for civil courts in this report also include a “deeming rule” which means that </w:t>
            </w:r>
            <w:proofErr w:type="spellStart"/>
            <w:r>
              <w:t>RoGS</w:t>
            </w:r>
            <w:proofErr w:type="spellEnd"/>
            <w:r>
              <w:t xml:space="preserve"> finalisation data are unlikely to match the court’s own published data. </w:t>
            </w:r>
          </w:p>
        </w:tc>
      </w:tr>
      <w:tr w:rsidR="00B325D0" w:rsidTr="00853692">
        <w:tc>
          <w:tcPr>
            <w:tcW w:w="922" w:type="pct"/>
          </w:tcPr>
          <w:p w:rsidR="00B325D0" w:rsidRPr="00C744E0" w:rsidRDefault="00B325D0" w:rsidP="00825D8C">
            <w:pPr>
              <w:pStyle w:val="TableBodyText"/>
              <w:keepNext w:val="0"/>
              <w:jc w:val="left"/>
              <w:rPr>
                <w:b/>
              </w:rPr>
            </w:pPr>
            <w:r w:rsidRPr="00C744E0">
              <w:rPr>
                <w:b/>
              </w:rPr>
              <w:t>Accessibility</w:t>
            </w:r>
          </w:p>
        </w:tc>
        <w:tc>
          <w:tcPr>
            <w:tcW w:w="4078" w:type="pct"/>
          </w:tcPr>
          <w:p w:rsidR="00B325D0" w:rsidRPr="001A7053" w:rsidRDefault="00CC42B6" w:rsidP="00825D8C">
            <w:pPr>
              <w:pStyle w:val="TableBodyText"/>
              <w:keepNext w:val="0"/>
              <w:jc w:val="left"/>
            </w:pPr>
            <w:proofErr w:type="spellStart"/>
            <w:r>
              <w:t>Lodgment</w:t>
            </w:r>
            <w:proofErr w:type="spellEnd"/>
            <w:r w:rsidR="00B325D0">
              <w:t xml:space="preserve"> and finalisation data are provided for the Report on Government Services according to the specific </w:t>
            </w:r>
            <w:proofErr w:type="spellStart"/>
            <w:r w:rsidR="00B325D0">
              <w:t>RoGS</w:t>
            </w:r>
            <w:proofErr w:type="spellEnd"/>
            <w:r w:rsidR="00B325D0">
              <w:t xml:space="preserve"> counting </w:t>
            </w:r>
            <w:r>
              <w:t xml:space="preserve">rules. Other data on </w:t>
            </w:r>
            <w:proofErr w:type="spellStart"/>
            <w:r>
              <w:t>lodgments</w:t>
            </w:r>
            <w:proofErr w:type="spellEnd"/>
            <w:r w:rsidR="00B325D0">
              <w:t xml:space="preserve"> and finalisations may be available through court annual reports, court websites, on application from the Chief Jurisdictional Officer in the relevant state, territory or federal jurisdiction. </w:t>
            </w:r>
          </w:p>
        </w:tc>
      </w:tr>
      <w:tr w:rsidR="00B325D0" w:rsidTr="00853692">
        <w:tc>
          <w:tcPr>
            <w:tcW w:w="922" w:type="pct"/>
          </w:tcPr>
          <w:p w:rsidR="00B325D0" w:rsidRPr="00C744E0" w:rsidRDefault="00B325D0" w:rsidP="00853692">
            <w:pPr>
              <w:pStyle w:val="TableBodyText"/>
              <w:jc w:val="left"/>
              <w:rPr>
                <w:b/>
              </w:rPr>
            </w:pPr>
            <w:r w:rsidRPr="00C744E0">
              <w:rPr>
                <w:b/>
              </w:rPr>
              <w:lastRenderedPageBreak/>
              <w:t>Interpretability</w:t>
            </w:r>
          </w:p>
        </w:tc>
        <w:tc>
          <w:tcPr>
            <w:tcW w:w="4078" w:type="pct"/>
          </w:tcPr>
          <w:p w:rsidR="00A10BF8" w:rsidRDefault="00A10BF8" w:rsidP="00853692">
            <w:pPr>
              <w:pStyle w:val="TableBodyText"/>
              <w:keepNext w:val="0"/>
              <w:ind w:left="32" w:hanging="26"/>
              <w:jc w:val="left"/>
            </w:pPr>
            <w:r>
              <w:t xml:space="preserve">The clearance indicator should be interpreted alongside </w:t>
            </w:r>
            <w:proofErr w:type="spellStart"/>
            <w:r>
              <w:t>lodgment</w:t>
            </w:r>
            <w:proofErr w:type="spellEnd"/>
            <w:r>
              <w:t xml:space="preserve"> and finalisation data and the backlog indicator. Trends over time should also be considered. The clearance indicator can be affected by external factors outside of the court system such as complexity of cases, capacity to handle workload, changes in </w:t>
            </w:r>
            <w:proofErr w:type="spellStart"/>
            <w:r w:rsidR="00346FD6">
              <w:t>lodgment</w:t>
            </w:r>
            <w:proofErr w:type="spellEnd"/>
            <w:r>
              <w:t xml:space="preserve"> rates, as well as changes in a court’s case management practices. </w:t>
            </w:r>
          </w:p>
          <w:p w:rsidR="00B325D0" w:rsidRDefault="00B325D0" w:rsidP="00853692">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CE2293" w:rsidRDefault="00CE2293" w:rsidP="00853692">
            <w:pPr>
              <w:pStyle w:val="TableBodyText"/>
              <w:keepNext w:val="0"/>
              <w:ind w:left="32" w:hanging="26"/>
              <w:jc w:val="left"/>
            </w:pPr>
            <w:r>
              <w:t>The usual interpretation is that a clearance rate of 100% or more is good.</w:t>
            </w:r>
            <w:r w:rsidR="006D4850">
              <w:t xml:space="preserve"> The rate at which cases are lodged is as much responsible for the clearance indicator results as is the finalisation rate. Any surge in </w:t>
            </w:r>
            <w:proofErr w:type="spellStart"/>
            <w:r w:rsidR="006D4850">
              <w:t>lodgments</w:t>
            </w:r>
            <w:proofErr w:type="spellEnd"/>
            <w:r w:rsidR="006D4850">
              <w:t xml:space="preserve"> during the final months of the reporting period will worsen the clearance rate result because those cases are unlikely to be ready for finalisation before the reporting period closes. That surge in </w:t>
            </w:r>
            <w:proofErr w:type="spellStart"/>
            <w:r w:rsidR="006D4850">
              <w:t>lodgments</w:t>
            </w:r>
            <w:proofErr w:type="spellEnd"/>
            <w:r w:rsidR="006D4850">
              <w:t xml:space="preserve"> may well produce a surge in finalisations in the following year, </w:t>
            </w:r>
            <w:r w:rsidR="00590388">
              <w:t>which then favourably impact the next reporting period as finalisations – these fluctuations may or may not reflect efficiency.</w:t>
            </w:r>
            <w:r w:rsidR="006D4850">
              <w:t xml:space="preserve"> </w:t>
            </w:r>
          </w:p>
          <w:p w:rsidR="00B325D0" w:rsidRPr="00292C41" w:rsidRDefault="00B325D0" w:rsidP="00853692">
            <w:pPr>
              <w:pStyle w:val="TableBodyText"/>
              <w:ind w:left="0" w:firstLine="6"/>
              <w:jc w:val="left"/>
            </w:pPr>
            <w:r w:rsidRPr="00F20BEC">
              <w:t>For fu</w:t>
            </w:r>
            <w:r>
              <w:t xml:space="preserve">rther information </w:t>
            </w:r>
            <w:r w:rsidR="00590388">
              <w:t>on the clearance</w:t>
            </w:r>
            <w:r>
              <w:t xml:space="preserve"> indicator refer to </w:t>
            </w:r>
            <w:smartTag w:uri="urn:schemas-microsoft-com:office:smarttags" w:element="address">
              <w:smartTag w:uri="urn:schemas-microsoft-com:office:smarttags" w:element="Street">
                <w:r>
                  <w:t>Box</w:t>
                </w:r>
              </w:smartTag>
              <w:r w:rsidR="00590388">
                <w:t xml:space="preserve"> 7.13</w:t>
              </w:r>
            </w:smartTag>
            <w:r w:rsidRPr="00F20BEC">
              <w:t xml:space="preserve"> </w:t>
            </w:r>
            <w:r>
              <w:t xml:space="preserve">in chapter 7 </w:t>
            </w:r>
            <w:r w:rsidRPr="00F20BEC">
              <w:t>of the Report.</w:t>
            </w:r>
          </w:p>
        </w:tc>
      </w:tr>
      <w:tr w:rsidR="00B325D0" w:rsidTr="00853692">
        <w:tc>
          <w:tcPr>
            <w:tcW w:w="5000" w:type="pct"/>
            <w:gridSpan w:val="2"/>
            <w:shd w:val="clear" w:color="auto" w:fill="auto"/>
          </w:tcPr>
          <w:p w:rsidR="00B325D0" w:rsidRDefault="00B325D0" w:rsidP="00853692">
            <w:pPr>
              <w:pStyle w:val="TableBodyText"/>
              <w:jc w:val="left"/>
              <w:rPr>
                <w:b/>
                <w:u w:val="single"/>
              </w:rPr>
            </w:pPr>
          </w:p>
          <w:p w:rsidR="00B325D0" w:rsidRPr="00C744E0" w:rsidRDefault="00B325D0" w:rsidP="00853692">
            <w:pPr>
              <w:pStyle w:val="TableBodyText"/>
              <w:jc w:val="left"/>
              <w:rPr>
                <w:b/>
                <w:u w:val="single"/>
              </w:rPr>
            </w:pPr>
            <w:r w:rsidRPr="00C744E0">
              <w:rPr>
                <w:b/>
                <w:u w:val="single"/>
              </w:rPr>
              <w:t>Data Gaps/Issues Analysis</w:t>
            </w:r>
          </w:p>
        </w:tc>
      </w:tr>
      <w:tr w:rsidR="00B325D0" w:rsidTr="00853692">
        <w:tc>
          <w:tcPr>
            <w:tcW w:w="922" w:type="pct"/>
            <w:shd w:val="clear" w:color="auto" w:fill="auto"/>
          </w:tcPr>
          <w:p w:rsidR="00B325D0" w:rsidRPr="00C744E0" w:rsidRDefault="00B325D0" w:rsidP="00853692">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B325D0" w:rsidRDefault="00B325D0" w:rsidP="00853692">
            <w:pPr>
              <w:pStyle w:val="TableBodyText"/>
              <w:jc w:val="both"/>
            </w:pPr>
            <w:r w:rsidRPr="00B96E3E">
              <w:t xml:space="preserve">The Steering Committee notes the following key data gaps/issues: </w:t>
            </w:r>
          </w:p>
          <w:p w:rsidR="00B325D0" w:rsidRPr="00B96E3E" w:rsidRDefault="00593391" w:rsidP="00853692">
            <w:pPr>
              <w:pStyle w:val="TableBullet"/>
              <w:tabs>
                <w:tab w:val="left" w:pos="170"/>
              </w:tabs>
              <w:ind w:left="176"/>
              <w:jc w:val="both"/>
            </w:pPr>
            <w:r>
              <w:t xml:space="preserve">As noted under ‘Interpretability’ </w:t>
            </w:r>
          </w:p>
        </w:tc>
      </w:tr>
    </w:tbl>
    <w:p w:rsidR="00A652F1" w:rsidRDefault="00A652F1" w:rsidP="00BA573C">
      <w:pPr>
        <w:pStyle w:val="Heading3"/>
        <w:spacing w:before="120"/>
      </w:pPr>
    </w:p>
    <w:p w:rsidR="00A652F1" w:rsidRPr="00016770" w:rsidRDefault="00A652F1" w:rsidP="00A652F1">
      <w:pPr>
        <w:pStyle w:val="Heading3"/>
        <w:spacing w:before="120"/>
      </w:pPr>
      <w:r>
        <w:br w:type="page"/>
      </w:r>
      <w:bookmarkStart w:id="14" w:name="_Toc338344193"/>
      <w:r>
        <w:lastRenderedPageBreak/>
        <w:t>Judicial officers per 100 finalisations</w:t>
      </w:r>
      <w:bookmarkEnd w:id="14"/>
    </w:p>
    <w:p w:rsidR="00A652F1" w:rsidRPr="00101653" w:rsidRDefault="00A652F1" w:rsidP="00A652F1">
      <w:pPr>
        <w:pStyle w:val="Box"/>
      </w:pPr>
      <w:r w:rsidRPr="00016770">
        <w:t>Data quality information for this indicator has been drafted by the Secretariat in consultation with the Court</w:t>
      </w:r>
      <w:r>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A652F1" w:rsidTr="00F86A7F">
        <w:tc>
          <w:tcPr>
            <w:tcW w:w="5000" w:type="pct"/>
            <w:gridSpan w:val="2"/>
          </w:tcPr>
          <w:p w:rsidR="00A652F1" w:rsidRDefault="00A652F1" w:rsidP="00F86A7F">
            <w:pPr>
              <w:pStyle w:val="TableBodyText"/>
              <w:jc w:val="both"/>
              <w:rPr>
                <w:b/>
                <w:u w:val="single"/>
              </w:rPr>
            </w:pPr>
          </w:p>
          <w:p w:rsidR="00A652F1" w:rsidRDefault="00A652F1" w:rsidP="00F86A7F">
            <w:pPr>
              <w:pStyle w:val="TableBodyText"/>
              <w:jc w:val="both"/>
            </w:pPr>
            <w:r w:rsidRPr="007D0BFD">
              <w:rPr>
                <w:b/>
                <w:u w:val="single"/>
              </w:rPr>
              <w:t>Indicator definition and description</w:t>
            </w:r>
            <w:r>
              <w:rPr>
                <w:rFonts w:cs="Arial"/>
                <w:b/>
                <w:sz w:val="22"/>
                <w:szCs w:val="22"/>
                <w:u w:val="single"/>
              </w:rPr>
              <w:t xml:space="preserve"> </w:t>
            </w:r>
          </w:p>
        </w:tc>
      </w:tr>
      <w:tr w:rsidR="00A652F1" w:rsidTr="00F86A7F">
        <w:tc>
          <w:tcPr>
            <w:tcW w:w="922" w:type="pct"/>
          </w:tcPr>
          <w:p w:rsidR="00A652F1" w:rsidRPr="00C744E0" w:rsidRDefault="00A652F1" w:rsidP="00F86A7F">
            <w:pPr>
              <w:pStyle w:val="TableBodyText"/>
              <w:jc w:val="left"/>
              <w:rPr>
                <w:b/>
              </w:rPr>
            </w:pPr>
            <w:r w:rsidRPr="00C744E0">
              <w:rPr>
                <w:b/>
              </w:rPr>
              <w:t>Element</w:t>
            </w:r>
          </w:p>
        </w:tc>
        <w:tc>
          <w:tcPr>
            <w:tcW w:w="4078" w:type="pct"/>
          </w:tcPr>
          <w:p w:rsidR="00A652F1" w:rsidRPr="00A1569C" w:rsidRDefault="00514D33" w:rsidP="00F86A7F">
            <w:pPr>
              <w:pStyle w:val="TableBodyText"/>
              <w:jc w:val="both"/>
            </w:pPr>
            <w:r>
              <w:t>Courts</w:t>
            </w:r>
            <w:r w:rsidR="00A652F1">
              <w:t xml:space="preserve"> Efficiency – Input</w:t>
            </w:r>
            <w:r>
              <w:t>s per unit of output – Judicial officers</w:t>
            </w:r>
            <w:r w:rsidR="00A652F1">
              <w:t xml:space="preserve"> per finalisation</w:t>
            </w:r>
          </w:p>
        </w:tc>
      </w:tr>
      <w:tr w:rsidR="00A652F1" w:rsidTr="00F86A7F">
        <w:tc>
          <w:tcPr>
            <w:tcW w:w="922" w:type="pct"/>
          </w:tcPr>
          <w:p w:rsidR="00A652F1" w:rsidRPr="00C744E0" w:rsidRDefault="00A652F1" w:rsidP="00F86A7F">
            <w:pPr>
              <w:pStyle w:val="TableBodyText"/>
              <w:jc w:val="left"/>
              <w:rPr>
                <w:b/>
              </w:rPr>
            </w:pPr>
            <w:r w:rsidRPr="00C744E0">
              <w:rPr>
                <w:b/>
              </w:rPr>
              <w:t>Indicator</w:t>
            </w:r>
          </w:p>
        </w:tc>
        <w:tc>
          <w:tcPr>
            <w:tcW w:w="4078" w:type="pct"/>
          </w:tcPr>
          <w:p w:rsidR="00A652F1" w:rsidRPr="00E17A32" w:rsidRDefault="00514D33" w:rsidP="00F86A7F">
            <w:pPr>
              <w:pStyle w:val="TableBodyText"/>
              <w:jc w:val="both"/>
            </w:pPr>
            <w:r>
              <w:t>Judicial officers</w:t>
            </w:r>
            <w:r w:rsidR="00A652F1">
              <w:t xml:space="preserve"> per</w:t>
            </w:r>
            <w:r>
              <w:t xml:space="preserve"> 100</w:t>
            </w:r>
            <w:r w:rsidR="00A652F1">
              <w:t xml:space="preserve"> finalisation</w:t>
            </w:r>
            <w:r>
              <w:t>s</w:t>
            </w:r>
          </w:p>
        </w:tc>
      </w:tr>
      <w:tr w:rsidR="00A652F1" w:rsidTr="00F86A7F">
        <w:tc>
          <w:tcPr>
            <w:tcW w:w="922" w:type="pct"/>
          </w:tcPr>
          <w:p w:rsidR="00A652F1" w:rsidRPr="00C744E0" w:rsidRDefault="00A652F1" w:rsidP="00F86A7F">
            <w:pPr>
              <w:pStyle w:val="TableBodyText"/>
              <w:jc w:val="left"/>
              <w:rPr>
                <w:b/>
              </w:rPr>
            </w:pPr>
            <w:r w:rsidRPr="00C744E0">
              <w:rPr>
                <w:b/>
              </w:rPr>
              <w:t>Measure (computation)</w:t>
            </w:r>
          </w:p>
        </w:tc>
        <w:tc>
          <w:tcPr>
            <w:tcW w:w="4078" w:type="pct"/>
          </w:tcPr>
          <w:p w:rsidR="00A652F1" w:rsidRDefault="00A1758B" w:rsidP="00F86A7F">
            <w:pPr>
              <w:pStyle w:val="TableBodyText"/>
              <w:jc w:val="both"/>
            </w:pPr>
            <w:r>
              <w:t>‘Judicial officers</w:t>
            </w:r>
            <w:r w:rsidR="00A652F1">
              <w:t xml:space="preserve"> per</w:t>
            </w:r>
            <w:r>
              <w:t xml:space="preserve"> 100</w:t>
            </w:r>
            <w:r w:rsidR="00A652F1">
              <w:t xml:space="preserve"> finalisation</w:t>
            </w:r>
            <w:r>
              <w:t>s</w:t>
            </w:r>
            <w:r w:rsidR="00A652F1">
              <w:t xml:space="preserve">’ is measured by dividing the </w:t>
            </w:r>
            <w:r>
              <w:t xml:space="preserve">number of </w:t>
            </w:r>
            <w:r w:rsidR="00A652F1">
              <w:t xml:space="preserve">total </w:t>
            </w:r>
            <w:r>
              <w:t>FTE judicial officers</w:t>
            </w:r>
            <w:r w:rsidR="00A652F1">
              <w:t xml:space="preserve"> within each court</w:t>
            </w:r>
            <w:r>
              <w:t xml:space="preserve"> level</w:t>
            </w:r>
            <w:r w:rsidR="00A652F1">
              <w:t xml:space="preserve"> for the financial year by the total number of finalisations for the same period</w:t>
            </w:r>
            <w:r w:rsidR="004B7222">
              <w:t xml:space="preserve"> and multiplying this number by 100</w:t>
            </w:r>
            <w:r w:rsidR="00A652F1">
              <w:t xml:space="preserve">. </w:t>
            </w:r>
          </w:p>
          <w:p w:rsidR="00A652F1" w:rsidRDefault="00A652F1" w:rsidP="00F86A7F">
            <w:pPr>
              <w:pStyle w:val="TableBodyText"/>
              <w:jc w:val="both"/>
            </w:pPr>
            <w:r>
              <w:rPr>
                <w:u w:val="single"/>
              </w:rPr>
              <w:t>Numerator</w:t>
            </w:r>
            <w:r>
              <w:t xml:space="preserve"> is defined as:</w:t>
            </w:r>
          </w:p>
          <w:p w:rsidR="00A652F1" w:rsidRPr="005A5147" w:rsidRDefault="000C42C9" w:rsidP="00F86A7F">
            <w:pPr>
              <w:pStyle w:val="TableBodyText"/>
              <w:numPr>
                <w:ilvl w:val="0"/>
                <w:numId w:val="42"/>
              </w:numPr>
              <w:jc w:val="left"/>
            </w:pPr>
            <w:r>
              <w:t>Number of full time equivalent judicial officers</w:t>
            </w:r>
          </w:p>
          <w:p w:rsidR="00A652F1" w:rsidRPr="005D4651" w:rsidRDefault="00A652F1" w:rsidP="00F86A7F">
            <w:pPr>
              <w:pStyle w:val="TableBodyText"/>
              <w:jc w:val="both"/>
            </w:pPr>
            <w:r>
              <w:rPr>
                <w:u w:val="single"/>
              </w:rPr>
              <w:t>Denominator</w:t>
            </w:r>
            <w:r>
              <w:t xml:space="preserve"> is defined as:</w:t>
            </w:r>
          </w:p>
          <w:p w:rsidR="00A652F1" w:rsidRPr="00B96E3E" w:rsidRDefault="00A652F1" w:rsidP="00F86A7F">
            <w:pPr>
              <w:pStyle w:val="TableBullet"/>
              <w:numPr>
                <w:ilvl w:val="0"/>
                <w:numId w:val="42"/>
              </w:numPr>
              <w:spacing w:line="220" w:lineRule="exact"/>
              <w:jc w:val="both"/>
            </w:pPr>
            <w:r>
              <w:t>Total number of cases finalised in a financial year</w:t>
            </w:r>
            <w:r w:rsidR="004B7222">
              <w:t>.</w:t>
            </w:r>
          </w:p>
        </w:tc>
      </w:tr>
      <w:tr w:rsidR="00A652F1" w:rsidTr="00F86A7F">
        <w:tc>
          <w:tcPr>
            <w:tcW w:w="922" w:type="pct"/>
          </w:tcPr>
          <w:p w:rsidR="00A652F1" w:rsidRPr="00C744E0" w:rsidRDefault="00A652F1" w:rsidP="00F86A7F">
            <w:pPr>
              <w:pStyle w:val="TableBodyText"/>
              <w:jc w:val="left"/>
              <w:rPr>
                <w:b/>
              </w:rPr>
            </w:pPr>
            <w:r w:rsidRPr="00C744E0">
              <w:rPr>
                <w:b/>
              </w:rPr>
              <w:t>Data source/s</w:t>
            </w:r>
          </w:p>
        </w:tc>
        <w:tc>
          <w:tcPr>
            <w:tcW w:w="4078" w:type="pct"/>
          </w:tcPr>
          <w:p w:rsidR="00A652F1" w:rsidRPr="00B96E3E" w:rsidRDefault="000C42C9" w:rsidP="003815E2">
            <w:pPr>
              <w:pStyle w:val="TableBodyText"/>
              <w:jc w:val="both"/>
            </w:pPr>
            <w:r>
              <w:t>Judicial officers data</w:t>
            </w:r>
            <w:r w:rsidR="00460766">
              <w:t xml:space="preserve"> and case finalisation data</w:t>
            </w:r>
            <w:r w:rsidRPr="00C34F8E">
              <w:t xml:space="preserve"> are sourced from</w:t>
            </w:r>
            <w:r>
              <w:t xml:space="preserve"> administrative data collected by</w:t>
            </w:r>
            <w:r w:rsidRPr="00C34F8E">
              <w:t xml:space="preserve"> </w:t>
            </w:r>
            <w:r>
              <w:t>Australian, State and Territory court authorities and departments.</w:t>
            </w:r>
            <w:r w:rsidR="00460766">
              <w:t xml:space="preserve"> </w:t>
            </w:r>
          </w:p>
        </w:tc>
      </w:tr>
      <w:tr w:rsidR="00A652F1" w:rsidTr="00F86A7F">
        <w:tc>
          <w:tcPr>
            <w:tcW w:w="5000" w:type="pct"/>
            <w:gridSpan w:val="2"/>
          </w:tcPr>
          <w:p w:rsidR="00A652F1" w:rsidRDefault="00A652F1" w:rsidP="00F86A7F">
            <w:pPr>
              <w:pStyle w:val="TableBodyText"/>
              <w:jc w:val="both"/>
              <w:rPr>
                <w:b/>
                <w:u w:val="single"/>
              </w:rPr>
            </w:pPr>
          </w:p>
          <w:p w:rsidR="00A652F1" w:rsidRPr="00C744E0" w:rsidRDefault="00A652F1" w:rsidP="00F86A7F">
            <w:pPr>
              <w:pStyle w:val="TableBodyText"/>
              <w:jc w:val="both"/>
              <w:rPr>
                <w:b/>
                <w:u w:val="single"/>
              </w:rPr>
            </w:pPr>
            <w:r w:rsidRPr="00C744E0">
              <w:rPr>
                <w:b/>
                <w:u w:val="single"/>
              </w:rPr>
              <w:t>Data Quality Framework Dimensions</w:t>
            </w:r>
          </w:p>
        </w:tc>
      </w:tr>
      <w:tr w:rsidR="00A652F1" w:rsidTr="00F86A7F">
        <w:tc>
          <w:tcPr>
            <w:tcW w:w="922" w:type="pct"/>
          </w:tcPr>
          <w:p w:rsidR="00A652F1" w:rsidRPr="00C744E0" w:rsidRDefault="00A652F1" w:rsidP="00F86A7F">
            <w:pPr>
              <w:pStyle w:val="TableBodyText"/>
              <w:jc w:val="left"/>
              <w:rPr>
                <w:b/>
              </w:rPr>
            </w:pPr>
            <w:r w:rsidRPr="00C744E0">
              <w:rPr>
                <w:b/>
              </w:rPr>
              <w:t>Institutional environment</w:t>
            </w:r>
          </w:p>
        </w:tc>
        <w:tc>
          <w:tcPr>
            <w:tcW w:w="4078" w:type="pct"/>
          </w:tcPr>
          <w:p w:rsidR="00F86A7F" w:rsidRPr="00FA2F8F" w:rsidRDefault="00F86A7F" w:rsidP="00F86A7F">
            <w:pPr>
              <w:pStyle w:val="TableBodyText"/>
              <w:jc w:val="both"/>
              <w:rPr>
                <w:rFonts w:cs="Arial"/>
              </w:rPr>
            </w:pPr>
            <w:r>
              <w:rPr>
                <w:rFonts w:cs="Arial"/>
                <w:u w:val="single"/>
              </w:rPr>
              <w:t>Numerator</w:t>
            </w:r>
            <w:r>
              <w:rPr>
                <w:rFonts w:cs="Arial"/>
              </w:rPr>
              <w:t xml:space="preserve"> — Number of FTE judicial officers</w:t>
            </w:r>
          </w:p>
          <w:p w:rsidR="00F86A7F" w:rsidRDefault="00F86A7F" w:rsidP="00F86A7F">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F86A7F" w:rsidRDefault="00F86A7F" w:rsidP="00F86A7F">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A652F1" w:rsidRPr="00C34F8E" w:rsidRDefault="00A652F1" w:rsidP="00F86A7F">
            <w:pPr>
              <w:pStyle w:val="TableBodyText"/>
              <w:jc w:val="both"/>
              <w:rPr>
                <w:rFonts w:cs="Arial"/>
              </w:rPr>
            </w:pPr>
          </w:p>
          <w:p w:rsidR="00A652F1" w:rsidRPr="00FA2F8F" w:rsidRDefault="00A652F1" w:rsidP="00F86A7F">
            <w:pPr>
              <w:pStyle w:val="TableBodyText"/>
              <w:jc w:val="both"/>
            </w:pPr>
            <w:r w:rsidRPr="00EF61C2">
              <w:rPr>
                <w:u w:val="single"/>
              </w:rPr>
              <w:t>Denominator</w:t>
            </w:r>
            <w:r>
              <w:t xml:space="preserve"> — Total number of cases finalised in a financial year</w:t>
            </w:r>
          </w:p>
          <w:p w:rsidR="00A652F1" w:rsidRDefault="00A652F1" w:rsidP="00F86A7F">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A652F1" w:rsidRDefault="00A652F1" w:rsidP="00F86A7F">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A652F1" w:rsidRPr="00062F62" w:rsidRDefault="00A652F1" w:rsidP="00F86A7F">
            <w:pPr>
              <w:pStyle w:val="TableBodyText"/>
              <w:keepNext w:val="0"/>
              <w:jc w:val="both"/>
              <w:rPr>
                <w:rFonts w:cs="Arial"/>
              </w:rPr>
            </w:pPr>
          </w:p>
        </w:tc>
      </w:tr>
      <w:tr w:rsidR="00A652F1" w:rsidTr="00F86A7F">
        <w:tc>
          <w:tcPr>
            <w:tcW w:w="922" w:type="pct"/>
          </w:tcPr>
          <w:p w:rsidR="00A652F1" w:rsidRPr="00C744E0" w:rsidRDefault="00A652F1" w:rsidP="00F86A7F">
            <w:pPr>
              <w:pStyle w:val="TableBodyText"/>
              <w:jc w:val="left"/>
              <w:rPr>
                <w:b/>
              </w:rPr>
            </w:pPr>
            <w:r w:rsidRPr="00C744E0">
              <w:rPr>
                <w:b/>
              </w:rPr>
              <w:t>Relevance</w:t>
            </w:r>
          </w:p>
        </w:tc>
        <w:tc>
          <w:tcPr>
            <w:tcW w:w="4078" w:type="pct"/>
          </w:tcPr>
          <w:p w:rsidR="00A652F1" w:rsidRDefault="00ED5EA6" w:rsidP="00F86A7F">
            <w:pPr>
              <w:pStyle w:val="TableBullet"/>
              <w:numPr>
                <w:ilvl w:val="0"/>
                <w:numId w:val="0"/>
              </w:numPr>
              <w:jc w:val="both"/>
            </w:pPr>
            <w:r>
              <w:t xml:space="preserve">‘Judicial officers </w:t>
            </w:r>
            <w:r w:rsidR="00A652F1">
              <w:t>per</w:t>
            </w:r>
            <w:r>
              <w:t xml:space="preserve"> 100</w:t>
            </w:r>
            <w:r w:rsidR="00A652F1">
              <w:t xml:space="preserve"> finalisation</w:t>
            </w:r>
            <w:r>
              <w:t>s</w:t>
            </w:r>
            <w:r w:rsidR="00A652F1">
              <w:t xml:space="preserve">’ is an indicator of governments’ achievement against the objective of providing court services in an efficient manner. </w:t>
            </w:r>
          </w:p>
          <w:p w:rsidR="00A652F1" w:rsidRPr="00B96E3E" w:rsidRDefault="00A652F1" w:rsidP="00493D0C">
            <w:pPr>
              <w:pStyle w:val="TableBodyText"/>
              <w:ind w:left="0"/>
              <w:jc w:val="left"/>
            </w:pPr>
            <w:r w:rsidRPr="00F20BEC">
              <w:t>For fu</w:t>
            </w:r>
            <w:r>
              <w:t>rther information on th</w:t>
            </w:r>
            <w:r w:rsidR="00493D0C">
              <w:t>is</w:t>
            </w:r>
            <w:r w:rsidRPr="00F20BEC">
              <w:t xml:space="preserve"> indicator refer to Box</w:t>
            </w:r>
            <w:r w:rsidR="00493D0C">
              <w:t>es 7.7 and</w:t>
            </w:r>
            <w:r>
              <w:t xml:space="preserve"> 7.14</w:t>
            </w:r>
            <w:r w:rsidRPr="00F20BEC">
              <w:t xml:space="preserve"> </w:t>
            </w:r>
            <w:r>
              <w:t xml:space="preserve">in </w:t>
            </w:r>
            <w:r w:rsidR="00493D0C">
              <w:t>C</w:t>
            </w:r>
            <w:r>
              <w:t xml:space="preserve">hapter 7 </w:t>
            </w:r>
            <w:r w:rsidRPr="00F20BEC">
              <w:t>of the Report.</w:t>
            </w:r>
          </w:p>
        </w:tc>
      </w:tr>
      <w:tr w:rsidR="00A652F1" w:rsidTr="00F86A7F">
        <w:tc>
          <w:tcPr>
            <w:tcW w:w="922" w:type="pct"/>
          </w:tcPr>
          <w:p w:rsidR="00A652F1" w:rsidRPr="00C744E0" w:rsidRDefault="00A652F1" w:rsidP="00F86A7F">
            <w:pPr>
              <w:pStyle w:val="TableBodyText"/>
              <w:jc w:val="both"/>
              <w:rPr>
                <w:b/>
              </w:rPr>
            </w:pPr>
            <w:r w:rsidRPr="00C744E0">
              <w:rPr>
                <w:b/>
              </w:rPr>
              <w:t>Timeliness</w:t>
            </w:r>
          </w:p>
        </w:tc>
        <w:tc>
          <w:tcPr>
            <w:tcW w:w="4078" w:type="pct"/>
          </w:tcPr>
          <w:p w:rsidR="00A652F1" w:rsidRDefault="00A652F1" w:rsidP="00F86A7F">
            <w:pPr>
              <w:pStyle w:val="TableBodyText"/>
              <w:keepNext w:val="0"/>
              <w:jc w:val="both"/>
            </w:pPr>
            <w:r>
              <w:t xml:space="preserve">The reference period for </w:t>
            </w:r>
            <w:r w:rsidR="00493D0C">
              <w:t>judicial officers</w:t>
            </w:r>
            <w:r>
              <w:t xml:space="preserve"> a</w:t>
            </w:r>
            <w:r w:rsidR="00776B66">
              <w:t>nd finalisation data is the 2012-13</w:t>
            </w:r>
            <w:r>
              <w:t xml:space="preserve"> financial year. Dat</w:t>
            </w:r>
            <w:r w:rsidR="00776B66">
              <w:t>a are provided in September 2013</w:t>
            </w:r>
            <w:r>
              <w:t>,</w:t>
            </w:r>
            <w:r w:rsidR="00776B66">
              <w:t xml:space="preserve"> for publication in January 2014</w:t>
            </w:r>
            <w:r>
              <w:t>.</w:t>
            </w:r>
          </w:p>
          <w:p w:rsidR="00A652F1" w:rsidRPr="009F199D" w:rsidRDefault="00A652F1" w:rsidP="00F86A7F">
            <w:pPr>
              <w:pStyle w:val="TableBodyText"/>
              <w:keepNext w:val="0"/>
              <w:jc w:val="both"/>
            </w:pPr>
            <w:r>
              <w:t>Data can be revised retrospectively up to 5 years later.</w:t>
            </w:r>
          </w:p>
        </w:tc>
      </w:tr>
      <w:tr w:rsidR="00A652F1" w:rsidTr="00F86A7F">
        <w:tc>
          <w:tcPr>
            <w:tcW w:w="922" w:type="pct"/>
          </w:tcPr>
          <w:p w:rsidR="00A652F1" w:rsidRPr="00C744E0" w:rsidRDefault="00A652F1" w:rsidP="00F86A7F">
            <w:pPr>
              <w:pStyle w:val="TableBodyText"/>
              <w:keepNext w:val="0"/>
              <w:jc w:val="left"/>
              <w:rPr>
                <w:b/>
              </w:rPr>
            </w:pPr>
            <w:r w:rsidRPr="00C744E0">
              <w:rPr>
                <w:b/>
              </w:rPr>
              <w:t>Accuracy</w:t>
            </w:r>
          </w:p>
        </w:tc>
        <w:tc>
          <w:tcPr>
            <w:tcW w:w="4078" w:type="pct"/>
          </w:tcPr>
          <w:p w:rsidR="00A652F1" w:rsidRPr="00FA2F8F" w:rsidRDefault="00A652F1" w:rsidP="00F86A7F">
            <w:pPr>
              <w:pStyle w:val="TableBodyText"/>
              <w:jc w:val="both"/>
              <w:rPr>
                <w:rFonts w:cs="Arial"/>
              </w:rPr>
            </w:pPr>
            <w:r>
              <w:rPr>
                <w:rFonts w:cs="Arial"/>
                <w:u w:val="single"/>
              </w:rPr>
              <w:t>Numerator</w:t>
            </w:r>
            <w:r>
              <w:rPr>
                <w:rFonts w:cs="Arial"/>
              </w:rPr>
              <w:t xml:space="preserve"> — </w:t>
            </w:r>
            <w:r w:rsidR="00395424">
              <w:rPr>
                <w:rFonts w:cs="Arial"/>
              </w:rPr>
              <w:t>FTE Judicial officers</w:t>
            </w:r>
          </w:p>
          <w:p w:rsidR="00395424" w:rsidRPr="00FC7487" w:rsidRDefault="00395424" w:rsidP="00395424">
            <w:pPr>
              <w:pStyle w:val="TableBullet"/>
              <w:keepNext w:val="0"/>
              <w:numPr>
                <w:ilvl w:val="0"/>
                <w:numId w:val="0"/>
              </w:numPr>
              <w:jc w:val="both"/>
            </w:pPr>
            <w:r w:rsidRPr="00FC7487">
              <w:t xml:space="preserve">The identification of judicial officer numbers </w:t>
            </w:r>
            <w:r>
              <w:t xml:space="preserve">is done using </w:t>
            </w:r>
            <w:r w:rsidRPr="00FC7487">
              <w:t>data in payroll and human re</w:t>
            </w:r>
            <w:r>
              <w:t>s</w:t>
            </w:r>
            <w:r w:rsidRPr="00FC7487">
              <w:t>ource management systems.</w:t>
            </w:r>
            <w:r>
              <w:t xml:space="preserve"> This is mostly electronic with some manual data counting. </w:t>
            </w:r>
            <w:r w:rsidRPr="00FC7487">
              <w:t xml:space="preserve">This is then adjusted to meet the </w:t>
            </w:r>
            <w:proofErr w:type="spellStart"/>
            <w:r>
              <w:t>RoGS</w:t>
            </w:r>
            <w:proofErr w:type="spellEnd"/>
            <w:r>
              <w:t xml:space="preserve"> </w:t>
            </w:r>
            <w:r w:rsidRPr="00FC7487">
              <w:t>data collection rules.</w:t>
            </w:r>
          </w:p>
          <w:p w:rsidR="00395424" w:rsidRDefault="00395424" w:rsidP="00395424">
            <w:pPr>
              <w:pStyle w:val="TableBullet"/>
              <w:keepNext w:val="0"/>
              <w:numPr>
                <w:ilvl w:val="0"/>
                <w:numId w:val="0"/>
              </w:numPr>
              <w:jc w:val="both"/>
            </w:pPr>
            <w:r>
              <w:t xml:space="preserve">The data provided are consistent with </w:t>
            </w:r>
            <w:proofErr w:type="spellStart"/>
            <w:r>
              <w:t>RoGS</w:t>
            </w:r>
            <w:proofErr w:type="spellEnd"/>
            <w:r>
              <w:t xml:space="preserve"> counting rules and the requested data reported are for all court levels in each jurisdiction. In order to meet the needs of the </w:t>
            </w:r>
            <w:proofErr w:type="spellStart"/>
            <w:r>
              <w:t>RoGS</w:t>
            </w:r>
            <w:proofErr w:type="spellEnd"/>
            <w:r>
              <w:t xml:space="preserve">, </w:t>
            </w:r>
            <w:proofErr w:type="spellStart"/>
            <w:r>
              <w:t>costings</w:t>
            </w:r>
            <w:proofErr w:type="spellEnd"/>
            <w:r>
              <w:t xml:space="preserve"> and resourcing are apportioned across civil and criminal categories. This is mostly done on activity based costing approaches </w:t>
            </w:r>
            <w:r>
              <w:lastRenderedPageBreak/>
              <w:t>and the use of estimations. This may affect accuracy.</w:t>
            </w:r>
          </w:p>
          <w:p w:rsidR="00A652F1" w:rsidRDefault="00395424" w:rsidP="00395424">
            <w:pPr>
              <w:pStyle w:val="TableBullet"/>
              <w:keepNext w:val="0"/>
              <w:numPr>
                <w:ilvl w:val="0"/>
                <w:numId w:val="0"/>
              </w:numPr>
              <w:spacing w:line="220" w:lineRule="exact"/>
              <w:ind w:left="6"/>
            </w:pPr>
            <w:r w:rsidRPr="00CF5FA0">
              <w:t xml:space="preserve">The </w:t>
            </w:r>
            <w:r>
              <w:t xml:space="preserve">data come </w:t>
            </w:r>
            <w:r w:rsidRPr="00CF5FA0">
              <w:t>from payroll and human re</w:t>
            </w:r>
            <w:r>
              <w:t>s</w:t>
            </w:r>
            <w:r w:rsidRPr="00CF5FA0">
              <w:t>ource management systems, which are subject to the normal legislative financial and administrative controls and reconciliation and validation processes</w:t>
            </w:r>
            <w:r>
              <w:t xml:space="preserve"> to ensure accuracy. Preparation of the data for the </w:t>
            </w:r>
            <w:proofErr w:type="spellStart"/>
            <w:r>
              <w:t>RoGS</w:t>
            </w:r>
            <w:proofErr w:type="spellEnd"/>
            <w:r>
              <w:t xml:space="preserve"> by court authorities also undergoes checking and verification procedures, including investigation of significant variances with previous years.</w:t>
            </w:r>
          </w:p>
          <w:p w:rsidR="00A652F1" w:rsidRDefault="00A652F1" w:rsidP="00F86A7F">
            <w:pPr>
              <w:pStyle w:val="TableBodyText"/>
              <w:jc w:val="both"/>
              <w:rPr>
                <w:u w:val="single"/>
              </w:rPr>
            </w:pPr>
          </w:p>
          <w:p w:rsidR="00A652F1" w:rsidRPr="00FA2F8F" w:rsidRDefault="00A652F1" w:rsidP="00F86A7F">
            <w:pPr>
              <w:pStyle w:val="TableBodyText"/>
              <w:jc w:val="both"/>
            </w:pPr>
            <w:r w:rsidRPr="00EF61C2">
              <w:rPr>
                <w:u w:val="single"/>
              </w:rPr>
              <w:t>Denominator</w:t>
            </w:r>
            <w:r>
              <w:t xml:space="preserve"> — Total number of cases finalised in a financial year</w:t>
            </w:r>
          </w:p>
          <w:p w:rsidR="00A652F1" w:rsidRDefault="00A652F1" w:rsidP="00F86A7F">
            <w:pPr>
              <w:pStyle w:val="TableBullet"/>
              <w:keepNext w:val="0"/>
              <w:numPr>
                <w:ilvl w:val="0"/>
                <w:numId w:val="0"/>
              </w:numPr>
              <w:spacing w:line="220" w:lineRule="exact"/>
              <w:ind w:left="6"/>
            </w:pPr>
          </w:p>
          <w:p w:rsidR="00A652F1" w:rsidRDefault="00A652F1" w:rsidP="00F86A7F">
            <w:pPr>
              <w:pStyle w:val="TableBullet"/>
              <w:keepNext w:val="0"/>
              <w:numPr>
                <w:ilvl w:val="0"/>
                <w:numId w:val="0"/>
              </w:numPr>
              <w:spacing w:line="220" w:lineRule="exact"/>
              <w:ind w:left="6"/>
            </w:pPr>
            <w:r>
              <w:t>The identification of cases finalised is done using electronic case management reporting systems except for the following:</w:t>
            </w:r>
          </w:p>
          <w:p w:rsidR="00A652F1" w:rsidRDefault="00A652F1" w:rsidP="00F86A7F">
            <w:pPr>
              <w:pStyle w:val="TableBullet"/>
              <w:keepNext w:val="0"/>
              <w:numPr>
                <w:ilvl w:val="0"/>
                <w:numId w:val="42"/>
              </w:numPr>
              <w:jc w:val="both"/>
            </w:pPr>
            <w:r>
              <w:t>In the Supreme Court of New South Wales manually maintained data are used for the majority of civil appeal, and all criminal appeal and non-appeal cases.</w:t>
            </w:r>
          </w:p>
          <w:p w:rsidR="00A652F1" w:rsidRDefault="00A652F1" w:rsidP="00F86A7F">
            <w:pPr>
              <w:pStyle w:val="TableBullet"/>
              <w:keepNext w:val="0"/>
              <w:numPr>
                <w:ilvl w:val="0"/>
                <w:numId w:val="0"/>
              </w:numPr>
              <w:jc w:val="both"/>
            </w:pPr>
            <w:r>
              <w:t xml:space="preserve">The data provided are consistent with </w:t>
            </w:r>
            <w:proofErr w:type="spellStart"/>
            <w:r>
              <w:t>RoGS</w:t>
            </w:r>
            <w:proofErr w:type="spellEnd"/>
            <w:r>
              <w:t xml:space="preserve"> counting rules and are reported for all court levels in each jurisdiction.</w:t>
            </w:r>
          </w:p>
          <w:p w:rsidR="00A652F1" w:rsidRPr="00CF5FA0" w:rsidRDefault="00A652F1" w:rsidP="00F86A7F">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tc>
      </w:tr>
      <w:tr w:rsidR="00A652F1" w:rsidTr="00F86A7F">
        <w:tc>
          <w:tcPr>
            <w:tcW w:w="922" w:type="pct"/>
          </w:tcPr>
          <w:p w:rsidR="00A652F1" w:rsidRPr="002162BE" w:rsidRDefault="00A652F1" w:rsidP="00F86A7F">
            <w:pPr>
              <w:pStyle w:val="TableBodyText"/>
              <w:keepNext w:val="0"/>
              <w:jc w:val="left"/>
              <w:rPr>
                <w:b/>
              </w:rPr>
            </w:pPr>
            <w:r w:rsidRPr="002162BE">
              <w:rPr>
                <w:b/>
              </w:rPr>
              <w:lastRenderedPageBreak/>
              <w:t>Coherence</w:t>
            </w:r>
          </w:p>
        </w:tc>
        <w:tc>
          <w:tcPr>
            <w:tcW w:w="4078" w:type="pct"/>
          </w:tcPr>
          <w:p w:rsidR="00A652F1" w:rsidRPr="00FA2F8F" w:rsidRDefault="00A652F1" w:rsidP="00F86A7F">
            <w:pPr>
              <w:pStyle w:val="TableBodyText"/>
              <w:jc w:val="both"/>
              <w:rPr>
                <w:rFonts w:cs="Arial"/>
              </w:rPr>
            </w:pPr>
            <w:r>
              <w:rPr>
                <w:rFonts w:cs="Arial"/>
                <w:u w:val="single"/>
              </w:rPr>
              <w:t>Numerator</w:t>
            </w:r>
            <w:r>
              <w:rPr>
                <w:rFonts w:cs="Arial"/>
              </w:rPr>
              <w:t xml:space="preserve"> — </w:t>
            </w:r>
            <w:r w:rsidR="00B862DC">
              <w:rPr>
                <w:rFonts w:cs="Arial"/>
              </w:rPr>
              <w:t>Number of FTE judicial officers</w:t>
            </w:r>
          </w:p>
          <w:p w:rsidR="00A652F1" w:rsidRDefault="00A652F1" w:rsidP="00F86A7F">
            <w:pPr>
              <w:pStyle w:val="TableBodyText"/>
              <w:keepNext w:val="0"/>
              <w:jc w:val="both"/>
            </w:pPr>
          </w:p>
          <w:p w:rsidR="00B862DC" w:rsidRDefault="00B862DC" w:rsidP="00B862DC">
            <w:pPr>
              <w:pStyle w:val="TableBodyText"/>
              <w:keepNext w:val="0"/>
              <w:ind w:left="0" w:firstLine="6"/>
              <w:jc w:val="both"/>
            </w:pPr>
            <w:r>
              <w:t>F</w:t>
            </w:r>
            <w:r w:rsidRPr="00206536">
              <w:t xml:space="preserve">or </w:t>
            </w:r>
            <w:r>
              <w:t>the last five years the data have</w:t>
            </w:r>
            <w:r w:rsidRPr="00206536">
              <w:t xml:space="preserve"> been counted and reported </w:t>
            </w:r>
            <w:r>
              <w:t xml:space="preserve">relatively </w:t>
            </w:r>
            <w:r w:rsidRPr="00206536">
              <w:t>consistently</w:t>
            </w:r>
            <w:r>
              <w:t xml:space="preserve"> and </w:t>
            </w:r>
            <w:r w:rsidRPr="00206536">
              <w:t xml:space="preserve">no </w:t>
            </w:r>
            <w:r>
              <w:t xml:space="preserve">significant </w:t>
            </w:r>
            <w:r w:rsidRPr="00206536">
              <w:t xml:space="preserve">factors </w:t>
            </w:r>
            <w:r>
              <w:t>have been identified which</w:t>
            </w:r>
            <w:r w:rsidRPr="00206536">
              <w:t xml:space="preserve"> have prevented or affected the consistent compilation of time series data</w:t>
            </w:r>
            <w:r>
              <w:t>. Minor exceptions to this are as follows.</w:t>
            </w:r>
          </w:p>
          <w:p w:rsidR="00B862DC" w:rsidRDefault="00B862DC" w:rsidP="00B862DC">
            <w:pPr>
              <w:pStyle w:val="TableBodyText"/>
              <w:keepNext w:val="0"/>
              <w:numPr>
                <w:ilvl w:val="0"/>
                <w:numId w:val="42"/>
              </w:numPr>
              <w:jc w:val="both"/>
            </w:pPr>
            <w:r>
              <w:t xml:space="preserve">The apportionment of judicial officers between civil and criminal in </w:t>
            </w:r>
            <w:smartTag w:uri="urn:schemas-microsoft-com:office:smarttags" w:element="State">
              <w:smartTag w:uri="urn:schemas-microsoft-com:office:smarttags" w:element="place">
                <w:r>
                  <w:t>Victoria</w:t>
                </w:r>
              </w:smartTag>
            </w:smartTag>
            <w:r>
              <w:t xml:space="preserve"> is done on estimates;</w:t>
            </w:r>
          </w:p>
          <w:p w:rsidR="00B862DC" w:rsidRDefault="00B862DC" w:rsidP="00B862DC">
            <w:pPr>
              <w:pStyle w:val="TableBodyText"/>
              <w:keepNext w:val="0"/>
              <w:numPr>
                <w:ilvl w:val="0"/>
                <w:numId w:val="42"/>
              </w:numPr>
              <w:jc w:val="both"/>
            </w:pPr>
            <w:r w:rsidRPr="00206536">
              <w:t xml:space="preserve">In </w:t>
            </w:r>
            <w:r>
              <w:t xml:space="preserve">the 2011 report WA </w:t>
            </w:r>
            <w:r w:rsidRPr="00206536">
              <w:t>changed the basis of apportionment between civil and crimina</w:t>
            </w:r>
            <w:r>
              <w:t>l functions from previous years;</w:t>
            </w:r>
          </w:p>
          <w:p w:rsidR="00B862DC" w:rsidRDefault="00B862DC" w:rsidP="00B862DC">
            <w:pPr>
              <w:pStyle w:val="TableBodyText"/>
              <w:keepNext w:val="0"/>
              <w:numPr>
                <w:ilvl w:val="0"/>
                <w:numId w:val="42"/>
              </w:numPr>
              <w:jc w:val="both"/>
            </w:pPr>
            <w:r>
              <w:t>Difficulties in apportionment of some federal magistrates’ time between the Federal Magistrates’ Court and the Federal Court of Australia;</w:t>
            </w:r>
          </w:p>
          <w:p w:rsidR="00B862DC" w:rsidRPr="00206536" w:rsidRDefault="00B862DC" w:rsidP="00B862DC">
            <w:pPr>
              <w:pStyle w:val="TableBodyText"/>
              <w:keepNext w:val="0"/>
              <w:numPr>
                <w:ilvl w:val="0"/>
                <w:numId w:val="42"/>
              </w:numPr>
              <w:jc w:val="both"/>
            </w:pPr>
            <w:r>
              <w:t>During 2009 the Federal Magistrates’ Court changed its HR management system which may have resulted in slight changes to FTE calculations.</w:t>
            </w:r>
          </w:p>
          <w:p w:rsidR="00A652F1" w:rsidRDefault="00B862DC" w:rsidP="00B862DC">
            <w:pPr>
              <w:pStyle w:val="TableBullet"/>
              <w:keepNext w:val="0"/>
              <w:numPr>
                <w:ilvl w:val="0"/>
                <w:numId w:val="0"/>
              </w:numPr>
              <w:tabs>
                <w:tab w:val="left" w:pos="359"/>
              </w:tabs>
              <w:ind w:left="-1" w:firstLine="1"/>
            </w:pPr>
            <w:r w:rsidRPr="00D84159">
              <w:t xml:space="preserve">In some </w:t>
            </w:r>
            <w:r>
              <w:t>jurisdictions</w:t>
            </w:r>
            <w:r w:rsidRPr="00D84159">
              <w:t xml:space="preserve"> there is an alignment with other publications</w:t>
            </w:r>
            <w:r>
              <w:t xml:space="preserve">, e.g. annual reports, in relation to judicial officer numbers. </w:t>
            </w:r>
            <w:r w:rsidRPr="00D84159">
              <w:t xml:space="preserve">In the </w:t>
            </w:r>
            <w:r>
              <w:t>other jurisdictions</w:t>
            </w:r>
            <w:r w:rsidRPr="00D84159">
              <w:t xml:space="preserve"> there are differences due to the FTE approach and exclusions set </w:t>
            </w:r>
            <w:r>
              <w:t>out i</w:t>
            </w:r>
            <w:r w:rsidRPr="00D84159">
              <w:t xml:space="preserve">n the </w:t>
            </w:r>
            <w:proofErr w:type="spellStart"/>
            <w:r w:rsidRPr="00D84159">
              <w:t>ROGS</w:t>
            </w:r>
            <w:proofErr w:type="spellEnd"/>
            <w:r w:rsidRPr="00D84159">
              <w:t xml:space="preserve"> counting rules.</w:t>
            </w:r>
          </w:p>
          <w:p w:rsidR="00B862DC" w:rsidRDefault="00B862DC" w:rsidP="00B862DC">
            <w:pPr>
              <w:pStyle w:val="TableBullet"/>
              <w:keepNext w:val="0"/>
              <w:numPr>
                <w:ilvl w:val="0"/>
                <w:numId w:val="0"/>
              </w:numPr>
              <w:tabs>
                <w:tab w:val="left" w:pos="359"/>
              </w:tabs>
              <w:ind w:left="-1" w:firstLine="1"/>
            </w:pPr>
          </w:p>
          <w:p w:rsidR="00A652F1" w:rsidRPr="00FA2F8F" w:rsidRDefault="00A652F1" w:rsidP="00F86A7F">
            <w:pPr>
              <w:pStyle w:val="TableBodyText"/>
              <w:jc w:val="both"/>
            </w:pPr>
            <w:r w:rsidRPr="00EF61C2">
              <w:rPr>
                <w:u w:val="single"/>
              </w:rPr>
              <w:t>Denominator</w:t>
            </w:r>
            <w:r>
              <w:t xml:space="preserve"> — Total number of cases finalised in a financial year</w:t>
            </w:r>
          </w:p>
          <w:p w:rsidR="00A652F1" w:rsidRDefault="00A652F1" w:rsidP="00F86A7F">
            <w:pPr>
              <w:pStyle w:val="TableBodyText"/>
              <w:keepNext w:val="0"/>
              <w:jc w:val="both"/>
            </w:pPr>
          </w:p>
          <w:p w:rsidR="00A652F1" w:rsidRDefault="00A652F1" w:rsidP="00F86A7F">
            <w:pPr>
              <w:pStyle w:val="TableBodyText"/>
              <w:keepNext w:val="0"/>
              <w:jc w:val="both"/>
            </w:pPr>
            <w:r>
              <w:t>For the last five years data have been collected, counted and reported relatively consistently with the following exceptions:</w:t>
            </w:r>
          </w:p>
          <w:p w:rsidR="00A652F1" w:rsidRDefault="00A652F1" w:rsidP="00F86A7F">
            <w:pPr>
              <w:pStyle w:val="TableBullet"/>
              <w:keepNext w:val="0"/>
              <w:numPr>
                <w:ilvl w:val="0"/>
                <w:numId w:val="42"/>
              </w:numPr>
              <w:tabs>
                <w:tab w:val="left" w:pos="170"/>
              </w:tabs>
            </w:pPr>
            <w:r>
              <w:tab/>
              <w:t>In the Federal Court bankruptcy matters ar</w:t>
            </w:r>
            <w:r w:rsidR="00886146">
              <w:t xml:space="preserve">e now excluded from </w:t>
            </w:r>
            <w:proofErr w:type="spellStart"/>
            <w:r w:rsidR="00886146">
              <w:t>ROGS</w:t>
            </w:r>
            <w:proofErr w:type="spellEnd"/>
            <w:r w:rsidR="00886146">
              <w:t xml:space="preserve"> data. </w:t>
            </w:r>
            <w:r>
              <w:t>Data from 2007-08 have been retrospectively adjusted to exclude these matters</w:t>
            </w:r>
            <w:r w:rsidR="00886146">
              <w:t>.</w:t>
            </w:r>
            <w:r>
              <w:t xml:space="preserve"> </w:t>
            </w:r>
          </w:p>
          <w:p w:rsidR="00A652F1" w:rsidRDefault="00A652F1" w:rsidP="00F86A7F">
            <w:pPr>
              <w:pStyle w:val="TableBullet"/>
              <w:keepNext w:val="0"/>
              <w:numPr>
                <w:ilvl w:val="0"/>
                <w:numId w:val="42"/>
              </w:numPr>
              <w:tabs>
                <w:tab w:val="left" w:pos="170"/>
              </w:tabs>
            </w:pPr>
            <w:r>
              <w:tab/>
            </w:r>
            <w:r w:rsidRPr="00E222B4">
              <w:t xml:space="preserve">In </w:t>
            </w:r>
            <w:smartTag w:uri="urn:schemas-microsoft-com:office:smarttags" w:element="place">
              <w:smartTag w:uri="urn:schemas-microsoft-com:office:smarttags" w:element="State">
                <w:r w:rsidRPr="00E222B4">
                  <w:t>South Australia</w:t>
                </w:r>
              </w:smartTag>
            </w:smartTag>
            <w:r w:rsidRPr="00E222B4">
              <w:t xml:space="preserve"> changes in legislation </w:t>
            </w:r>
            <w:r>
              <w:t>(</w:t>
            </w:r>
            <w:proofErr w:type="spellStart"/>
            <w:r>
              <w:t>e</w:t>
            </w:r>
            <w:r w:rsidRPr="00E222B4">
              <w:t>g</w:t>
            </w:r>
            <w:proofErr w:type="spellEnd"/>
            <w:r w:rsidRPr="00E222B4">
              <w:t>. offences moving from a Court process to an infringement process</w:t>
            </w:r>
            <w:r>
              <w:t>)</w:t>
            </w:r>
            <w:r w:rsidRPr="00E222B4">
              <w:t xml:space="preserve"> have </w:t>
            </w:r>
            <w:r>
              <w:t>impacted on numbers from 2008-09 onwards</w:t>
            </w:r>
            <w:r w:rsidRPr="00E222B4">
              <w:t>.</w:t>
            </w:r>
            <w:r>
              <w:t xml:space="preserve"> A ‘one number’ system introduced into the Magistrates court has also enabled a more accurate count of </w:t>
            </w:r>
            <w:proofErr w:type="spellStart"/>
            <w:r>
              <w:t>lodgment</w:t>
            </w:r>
            <w:proofErr w:type="spellEnd"/>
            <w:r>
              <w:t xml:space="preserve"> and finalisation data when cases are transferred within the one court level.</w:t>
            </w:r>
          </w:p>
          <w:p w:rsidR="00A652F1" w:rsidRPr="00E222B4" w:rsidRDefault="00A652F1" w:rsidP="00F86A7F">
            <w:pPr>
              <w:pStyle w:val="TableBullet"/>
              <w:keepNext w:val="0"/>
              <w:numPr>
                <w:ilvl w:val="0"/>
                <w:numId w:val="42"/>
              </w:numPr>
              <w:tabs>
                <w:tab w:val="left" w:pos="170"/>
              </w:tabs>
            </w:pPr>
            <w:r>
              <w:tab/>
              <w:t xml:space="preserve">Changes to legislation in 2008 in </w:t>
            </w:r>
            <w:smartTag w:uri="urn:schemas-microsoft-com:office:smarttags" w:element="place">
              <w:smartTag w:uri="urn:schemas-microsoft-com:office:smarttags" w:element="State">
                <w:r>
                  <w:t>Tasmania</w:t>
                </w:r>
              </w:smartTag>
            </w:smartTag>
            <w:r>
              <w:t>’s courts mean that a substantial number of minor traffic matters (infringement notices) are no longer dealt with by the court. These are now enforced by the Monetary Penalties Enforcement Service and are excluded from the data.</w:t>
            </w:r>
          </w:p>
          <w:p w:rsidR="00A652F1" w:rsidRDefault="00A652F1" w:rsidP="00F86A7F">
            <w:pPr>
              <w:pStyle w:val="TableBullet"/>
              <w:keepNext w:val="0"/>
              <w:numPr>
                <w:ilvl w:val="0"/>
                <w:numId w:val="42"/>
              </w:numPr>
              <w:tabs>
                <w:tab w:val="left" w:pos="170"/>
              </w:tabs>
            </w:pPr>
            <w:r>
              <w:lastRenderedPageBreak/>
              <w:tab/>
            </w:r>
            <w:r>
              <w:tab/>
            </w:r>
            <w:r w:rsidRPr="00DB19B2">
              <w:t xml:space="preserve">From 2007-08 </w:t>
            </w:r>
            <w:smartTag w:uri="urn:schemas-microsoft-com:office:smarttags" w:element="place">
              <w:smartTag w:uri="urn:schemas-microsoft-com:office:smarttags" w:element="State">
                <w:r w:rsidRPr="00DB19B2">
                  <w:t>W</w:t>
                </w:r>
                <w:r>
                  <w:t xml:space="preserve">estern </w:t>
                </w:r>
                <w:r w:rsidRPr="00DB19B2">
                  <w:t>A</w:t>
                </w:r>
                <w:r>
                  <w:t>ustralia</w:t>
                </w:r>
              </w:smartTag>
            </w:smartTag>
            <w:r>
              <w:t>’s</w:t>
            </w:r>
            <w:r w:rsidRPr="00DB19B2">
              <w:t xml:space="preserve"> Supreme Court criminal appeals include Single Judge of Appeal (</w:t>
            </w:r>
            <w:proofErr w:type="spellStart"/>
            <w:r w:rsidRPr="00DB19B2">
              <w:t>SJA</w:t>
            </w:r>
            <w:proofErr w:type="spellEnd"/>
            <w:r w:rsidRPr="00DB19B2">
              <w:t>) matters. Prior to 2007-08 these appeals were included in the WA Supre</w:t>
            </w:r>
            <w:r>
              <w:t>me Court data for civil appeals.</w:t>
            </w:r>
          </w:p>
          <w:p w:rsidR="00A652F1" w:rsidRPr="00206536" w:rsidRDefault="00A652F1" w:rsidP="00F86A7F">
            <w:pPr>
              <w:pStyle w:val="TableBullet"/>
              <w:numPr>
                <w:ilvl w:val="0"/>
                <w:numId w:val="42"/>
              </w:numPr>
              <w:tabs>
                <w:tab w:val="left" w:pos="170"/>
              </w:tabs>
            </w:pPr>
            <w:r>
              <w:tab/>
              <w:t>S</w:t>
            </w:r>
            <w:r w:rsidRPr="00DB19B2">
              <w:t>ystem-based data was unavailable for 2009-2010</w:t>
            </w:r>
            <w:r>
              <w:t xml:space="preserve"> f</w:t>
            </w:r>
            <w:r w:rsidRPr="00DB19B2">
              <w:t xml:space="preserve">or </w:t>
            </w:r>
            <w:smartTag w:uri="urn:schemas-microsoft-com:office:smarttags" w:element="place">
              <w:smartTag w:uri="urn:schemas-microsoft-com:office:smarttags" w:element="State">
                <w:r>
                  <w:t>New South Wales</w:t>
                </w:r>
              </w:smartTag>
            </w:smartTag>
            <w:r>
              <w:t xml:space="preserve"> civil appeal </w:t>
            </w:r>
            <w:r w:rsidRPr="00DB19B2">
              <w:t>data</w:t>
            </w:r>
            <w:r>
              <w:t>.  A</w:t>
            </w:r>
            <w:r w:rsidRPr="00DB19B2">
              <w:t xml:space="preserve"> manual count was used and continues to be used </w:t>
            </w:r>
            <w:r>
              <w:t xml:space="preserve">until </w:t>
            </w:r>
            <w:r w:rsidRPr="00DB19B2">
              <w:t xml:space="preserve">system data </w:t>
            </w:r>
            <w:r>
              <w:t>are</w:t>
            </w:r>
            <w:r w:rsidRPr="00DB19B2">
              <w:t xml:space="preserve"> restored. For civil non-appeal, </w:t>
            </w:r>
            <w:smartTag w:uri="urn:schemas-microsoft-com:office:smarttags" w:element="place">
              <w:smartTag w:uri="urn:schemas-microsoft-com:office:smarttags" w:element="State">
                <w:r>
                  <w:t>New South Wales</w:t>
                </w:r>
              </w:smartTag>
            </w:smartTag>
            <w:r>
              <w:t xml:space="preserve"> </w:t>
            </w:r>
            <w:r w:rsidRPr="00DB19B2">
              <w:t>ha</w:t>
            </w:r>
            <w:r>
              <w:t>s</w:t>
            </w:r>
            <w:r w:rsidRPr="00DB19B2">
              <w:t xml:space="preserve"> changed from one electronic system to another - the n</w:t>
            </w:r>
            <w:r>
              <w:t xml:space="preserve">ew system was unable to provide </w:t>
            </w:r>
            <w:r w:rsidRPr="00DB19B2">
              <w:t>data for 2009-2010 and so an estimate was used that</w:t>
            </w:r>
            <w:r>
              <w:t xml:space="preserve"> year.</w:t>
            </w:r>
          </w:p>
          <w:p w:rsidR="00A652F1" w:rsidRPr="00CD04F1" w:rsidRDefault="00A652F1" w:rsidP="00F86A7F">
            <w:pPr>
              <w:pStyle w:val="TableBodyText"/>
              <w:keepNext w:val="0"/>
              <w:jc w:val="both"/>
            </w:pPr>
            <w:r>
              <w:t>In most</w:t>
            </w:r>
            <w:r w:rsidRPr="00D84159">
              <w:t xml:space="preserve"> </w:t>
            </w:r>
            <w:r>
              <w:t>jurisdictions</w:t>
            </w:r>
            <w:r w:rsidRPr="00D84159">
              <w:t xml:space="preserve"> there is an alignment with other publications</w:t>
            </w:r>
            <w:r>
              <w:t xml:space="preserve">, </w:t>
            </w:r>
            <w:proofErr w:type="spellStart"/>
            <w:r>
              <w:t>eg</w:t>
            </w:r>
            <w:proofErr w:type="spellEnd"/>
            <w:r>
              <w:t>. annual reports, while i</w:t>
            </w:r>
            <w:r w:rsidRPr="00D84159">
              <w:t xml:space="preserve">n </w:t>
            </w:r>
            <w:r>
              <w:t>other jurisdictions</w:t>
            </w:r>
            <w:r w:rsidRPr="00D84159">
              <w:t xml:space="preserve"> there are differences due to the </w:t>
            </w:r>
            <w:proofErr w:type="spellStart"/>
            <w:r w:rsidRPr="00D84159">
              <w:t>ROGS</w:t>
            </w:r>
            <w:proofErr w:type="spellEnd"/>
            <w:r w:rsidRPr="00D84159">
              <w:t xml:space="preserve"> counting rules</w:t>
            </w:r>
            <w:r>
              <w:t xml:space="preserve"> in relation to exclusions and differing definitions</w:t>
            </w:r>
            <w:r w:rsidRPr="00D84159">
              <w:t>.</w:t>
            </w:r>
            <w:r>
              <w:t xml:space="preserve"> Finalisation counting rules for civil courts in this report also include a “deeming rule” which means that </w:t>
            </w:r>
            <w:proofErr w:type="spellStart"/>
            <w:r>
              <w:t>RoGS</w:t>
            </w:r>
            <w:proofErr w:type="spellEnd"/>
            <w:r>
              <w:t xml:space="preserve"> finalisation data are unlikely to match the court’s own published data. </w:t>
            </w:r>
          </w:p>
        </w:tc>
      </w:tr>
      <w:tr w:rsidR="00A652F1" w:rsidTr="00F86A7F">
        <w:tc>
          <w:tcPr>
            <w:tcW w:w="922" w:type="pct"/>
          </w:tcPr>
          <w:p w:rsidR="00A652F1" w:rsidRPr="00C744E0" w:rsidRDefault="00A652F1" w:rsidP="00F86A7F">
            <w:pPr>
              <w:pStyle w:val="TableBodyText"/>
              <w:keepNext w:val="0"/>
              <w:jc w:val="left"/>
              <w:rPr>
                <w:b/>
              </w:rPr>
            </w:pPr>
            <w:r w:rsidRPr="00C744E0">
              <w:rPr>
                <w:b/>
              </w:rPr>
              <w:lastRenderedPageBreak/>
              <w:t>Accessibility</w:t>
            </w:r>
          </w:p>
        </w:tc>
        <w:tc>
          <w:tcPr>
            <w:tcW w:w="4078" w:type="pct"/>
          </w:tcPr>
          <w:p w:rsidR="008404AF" w:rsidRDefault="008404AF" w:rsidP="008404AF">
            <w:pPr>
              <w:pStyle w:val="TableBodyText"/>
              <w:keepNext w:val="0"/>
              <w:jc w:val="both"/>
            </w:pPr>
            <w:r>
              <w:t xml:space="preserve">Data on judicial officers are supplied for the </w:t>
            </w:r>
            <w:proofErr w:type="spellStart"/>
            <w:r>
              <w:t>RoGS</w:t>
            </w:r>
            <w:proofErr w:type="spellEnd"/>
            <w:r>
              <w:t xml:space="preserve"> according to the specific </w:t>
            </w:r>
            <w:proofErr w:type="spellStart"/>
            <w:r>
              <w:t>RoGS</w:t>
            </w:r>
            <w:proofErr w:type="spellEnd"/>
            <w:r>
              <w:t xml:space="preserve"> counting rules. O</w:t>
            </w:r>
            <w:r w:rsidRPr="00427A31">
              <w:t xml:space="preserve">ther data on </w:t>
            </w:r>
            <w:r>
              <w:t>judicial officers</w:t>
            </w:r>
            <w:r w:rsidRPr="00427A31">
              <w:t xml:space="preserve"> can be accessed through annual reports and court websites wi</w:t>
            </w:r>
            <w:r>
              <w:t>thin most jurisdictions</w:t>
            </w:r>
            <w:r w:rsidRPr="00D84159">
              <w:t xml:space="preserve"> </w:t>
            </w:r>
            <w:r>
              <w:t>and i</w:t>
            </w:r>
            <w:r w:rsidRPr="00D84159">
              <w:t xml:space="preserve">n </w:t>
            </w:r>
            <w:r>
              <w:t>some</w:t>
            </w:r>
            <w:r w:rsidRPr="00D84159">
              <w:t xml:space="preserve"> </w:t>
            </w:r>
            <w:r>
              <w:t>jurisdictions</w:t>
            </w:r>
            <w:r w:rsidRPr="00D84159">
              <w:t xml:space="preserve"> there is an alignment with other publications</w:t>
            </w:r>
            <w:r>
              <w:t xml:space="preserve">, e.g. annual reports. However, some data obtained from these other sources in the other jurisdictions may not align with the </w:t>
            </w:r>
            <w:proofErr w:type="spellStart"/>
            <w:r>
              <w:t>RoGS</w:t>
            </w:r>
            <w:proofErr w:type="spellEnd"/>
            <w:r>
              <w:t xml:space="preserve"> due to the specific </w:t>
            </w:r>
            <w:proofErr w:type="spellStart"/>
            <w:r>
              <w:t>RoGS</w:t>
            </w:r>
            <w:proofErr w:type="spellEnd"/>
            <w:r>
              <w:t xml:space="preserve"> counting rules.</w:t>
            </w:r>
          </w:p>
          <w:p w:rsidR="00A652F1" w:rsidRPr="001A7053" w:rsidRDefault="008404AF" w:rsidP="008404AF">
            <w:pPr>
              <w:pStyle w:val="TableBodyText"/>
              <w:keepNext w:val="0"/>
              <w:jc w:val="left"/>
            </w:pPr>
            <w:r>
              <w:t>Also, whil</w:t>
            </w:r>
            <w:r w:rsidRPr="00427A31">
              <w:t xml:space="preserve">e courts in most </w:t>
            </w:r>
            <w:r>
              <w:t>jurisdictions</w:t>
            </w:r>
            <w:r w:rsidRPr="00427A31">
              <w:t xml:space="preserve"> make </w:t>
            </w:r>
            <w:r>
              <w:t xml:space="preserve">information available as to who holds a commission as a judge or master and which officers of the court are registrars, the information is not necessarily designed to provide a FTE number that can be matched to the number reported in </w:t>
            </w:r>
            <w:proofErr w:type="spellStart"/>
            <w:r>
              <w:t>RoGS</w:t>
            </w:r>
            <w:proofErr w:type="spellEnd"/>
            <w:r>
              <w:t>.</w:t>
            </w:r>
          </w:p>
        </w:tc>
      </w:tr>
      <w:tr w:rsidR="00A652F1" w:rsidTr="00F86A7F">
        <w:tc>
          <w:tcPr>
            <w:tcW w:w="922" w:type="pct"/>
          </w:tcPr>
          <w:p w:rsidR="00A652F1" w:rsidRPr="00C744E0" w:rsidRDefault="00A652F1" w:rsidP="00F86A7F">
            <w:pPr>
              <w:pStyle w:val="TableBodyText"/>
              <w:jc w:val="left"/>
              <w:rPr>
                <w:b/>
              </w:rPr>
            </w:pPr>
            <w:r w:rsidRPr="00C744E0">
              <w:rPr>
                <w:b/>
              </w:rPr>
              <w:t>Interpretability</w:t>
            </w:r>
          </w:p>
        </w:tc>
        <w:tc>
          <w:tcPr>
            <w:tcW w:w="4078" w:type="pct"/>
          </w:tcPr>
          <w:p w:rsidR="003B2C6C" w:rsidRDefault="003B2C6C" w:rsidP="003B2C6C">
            <w:pPr>
              <w:pStyle w:val="TableBodyText"/>
              <w:keepNext w:val="0"/>
              <w:tabs>
                <w:tab w:val="left" w:pos="369"/>
              </w:tabs>
              <w:ind w:left="369" w:hanging="363"/>
              <w:jc w:val="both"/>
            </w:pPr>
            <w:r>
              <w:rPr>
                <w:u w:val="single"/>
              </w:rPr>
              <w:t>Numerator</w:t>
            </w:r>
            <w:r>
              <w:t xml:space="preserve"> — Number of FTE judicial officers</w:t>
            </w:r>
          </w:p>
          <w:p w:rsidR="00A652F1" w:rsidRDefault="003B2C6C" w:rsidP="003B2C6C">
            <w:pPr>
              <w:pStyle w:val="TableBodyText"/>
              <w:keepNext w:val="0"/>
              <w:ind w:left="32" w:hanging="26"/>
              <w:jc w:val="left"/>
              <w:rPr>
                <w:rFonts w:ascii="Helvetica" w:hAnsi="Helvetica"/>
                <w:lang w:val="en"/>
              </w:rPr>
            </w:pPr>
            <w:r>
              <w:rPr>
                <w:rFonts w:ascii="Helvetica" w:hAnsi="Helvetica"/>
                <w:lang w:val="en"/>
              </w:rPr>
              <w:t>Contextual information for judicial officers data are provided in the Court</w:t>
            </w:r>
            <w:r w:rsidR="00FB0FCD">
              <w:rPr>
                <w:rFonts w:ascii="Helvetica" w:hAnsi="Helvetica"/>
                <w:lang w:val="en"/>
              </w:rPr>
              <w:t>s</w:t>
            </w:r>
            <w:r>
              <w:rPr>
                <w:rFonts w:ascii="Helvetica" w:hAnsi="Helvetica"/>
                <w:lang w:val="en"/>
              </w:rPr>
              <w:t xml:space="preserve"> chapter and attachment tables.</w:t>
            </w:r>
          </w:p>
          <w:p w:rsidR="003B2C6C" w:rsidRPr="003B2C6C" w:rsidRDefault="003B2C6C" w:rsidP="003B2C6C">
            <w:pPr>
              <w:pStyle w:val="TableBodyText"/>
              <w:keepNext w:val="0"/>
              <w:ind w:left="32" w:hanging="26"/>
              <w:jc w:val="left"/>
            </w:pPr>
            <w:r>
              <w:rPr>
                <w:rFonts w:ascii="Helvetica" w:hAnsi="Helvetica"/>
                <w:u w:val="single"/>
                <w:lang w:val="en"/>
              </w:rPr>
              <w:t>Denominator</w:t>
            </w:r>
            <w:r>
              <w:rPr>
                <w:rFonts w:ascii="Helvetica" w:hAnsi="Helvetica"/>
                <w:lang w:val="en"/>
              </w:rPr>
              <w:t xml:space="preserve"> — Total number of cases </w:t>
            </w:r>
            <w:proofErr w:type="spellStart"/>
            <w:r>
              <w:rPr>
                <w:rFonts w:ascii="Helvetica" w:hAnsi="Helvetica"/>
                <w:lang w:val="en"/>
              </w:rPr>
              <w:t>finalised</w:t>
            </w:r>
            <w:proofErr w:type="spellEnd"/>
            <w:r>
              <w:rPr>
                <w:rFonts w:ascii="Helvetica" w:hAnsi="Helvetica"/>
                <w:lang w:val="en"/>
              </w:rPr>
              <w:t xml:space="preserve"> in a financial year</w:t>
            </w:r>
          </w:p>
          <w:p w:rsidR="00A652F1" w:rsidRDefault="00A652F1" w:rsidP="00F86A7F">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A652F1" w:rsidRPr="00292C41" w:rsidRDefault="00A652F1" w:rsidP="00F86A7F">
            <w:pPr>
              <w:pStyle w:val="TableBodyText"/>
              <w:ind w:left="0" w:firstLine="6"/>
              <w:jc w:val="left"/>
            </w:pPr>
          </w:p>
        </w:tc>
      </w:tr>
      <w:tr w:rsidR="00A652F1" w:rsidTr="00F86A7F">
        <w:tc>
          <w:tcPr>
            <w:tcW w:w="5000" w:type="pct"/>
            <w:gridSpan w:val="2"/>
            <w:shd w:val="clear" w:color="auto" w:fill="auto"/>
          </w:tcPr>
          <w:p w:rsidR="00A652F1" w:rsidRDefault="00A652F1" w:rsidP="00F86A7F">
            <w:pPr>
              <w:pStyle w:val="TableBodyText"/>
              <w:jc w:val="left"/>
              <w:rPr>
                <w:b/>
                <w:u w:val="single"/>
              </w:rPr>
            </w:pPr>
          </w:p>
          <w:p w:rsidR="00A652F1" w:rsidRPr="00C744E0" w:rsidRDefault="00A652F1" w:rsidP="00F86A7F">
            <w:pPr>
              <w:pStyle w:val="TableBodyText"/>
              <w:jc w:val="left"/>
              <w:rPr>
                <w:b/>
                <w:u w:val="single"/>
              </w:rPr>
            </w:pPr>
            <w:r w:rsidRPr="00C744E0">
              <w:rPr>
                <w:b/>
                <w:u w:val="single"/>
              </w:rPr>
              <w:t>Data Gaps/Issues Analysis</w:t>
            </w:r>
          </w:p>
        </w:tc>
      </w:tr>
      <w:tr w:rsidR="00A652F1" w:rsidTr="00F86A7F">
        <w:tc>
          <w:tcPr>
            <w:tcW w:w="922" w:type="pct"/>
            <w:shd w:val="clear" w:color="auto" w:fill="auto"/>
          </w:tcPr>
          <w:p w:rsidR="00A652F1" w:rsidRPr="00C744E0" w:rsidRDefault="00A652F1" w:rsidP="00F86A7F">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AD7D6A" w:rsidRDefault="00AD7D6A" w:rsidP="00AD7D6A">
            <w:pPr>
              <w:pStyle w:val="TableBodyText"/>
              <w:jc w:val="both"/>
            </w:pPr>
            <w:r w:rsidRPr="00B96E3E">
              <w:t xml:space="preserve">The Steering Committee notes the following key data gaps/issues: </w:t>
            </w:r>
          </w:p>
          <w:p w:rsidR="00AD7D6A" w:rsidRDefault="00AD7D6A" w:rsidP="00AD7D6A">
            <w:pPr>
              <w:pStyle w:val="TableBullet"/>
              <w:tabs>
                <w:tab w:val="left" w:pos="170"/>
              </w:tabs>
              <w:ind w:left="176"/>
              <w:jc w:val="both"/>
            </w:pPr>
            <w:r>
              <w:t>Jurisdictions may need to apportion or estimate FTE judicial staff numbers between criminal and civil levels of the magistrates, children’s, district/county and supreme courts. This may affect accuracy and comparability of data.</w:t>
            </w:r>
          </w:p>
          <w:p w:rsidR="00A652F1" w:rsidRDefault="00AD7D6A" w:rsidP="00AD7D6A">
            <w:pPr>
              <w:pStyle w:val="TableBullet"/>
              <w:tabs>
                <w:tab w:val="left" w:pos="170"/>
              </w:tabs>
              <w:ind w:left="176"/>
              <w:jc w:val="both"/>
            </w:pPr>
            <w:r>
              <w:t xml:space="preserve">Not all jurisdictions calculate judicial officer FTEs in the same way for purposes of </w:t>
            </w:r>
            <w:proofErr w:type="spellStart"/>
            <w:r>
              <w:t>RoGS</w:t>
            </w:r>
            <w:proofErr w:type="spellEnd"/>
            <w:r>
              <w:t xml:space="preserve"> data collection. This may affect comparability of data.</w:t>
            </w:r>
          </w:p>
          <w:p w:rsidR="005000AB" w:rsidRPr="00B96E3E" w:rsidRDefault="005000AB" w:rsidP="00AD7D6A">
            <w:pPr>
              <w:pStyle w:val="TableBullet"/>
              <w:tabs>
                <w:tab w:val="left" w:pos="170"/>
              </w:tabs>
              <w:ind w:left="176"/>
              <w:jc w:val="both"/>
            </w:pPr>
            <w:r>
              <w:t>The deeming rule can complicate the counting of finalisations.</w:t>
            </w:r>
          </w:p>
        </w:tc>
      </w:tr>
    </w:tbl>
    <w:p w:rsidR="00A652F1" w:rsidRDefault="00A652F1" w:rsidP="00A652F1">
      <w:pPr>
        <w:pStyle w:val="BodyText"/>
      </w:pPr>
    </w:p>
    <w:p w:rsidR="0032006C" w:rsidRPr="00016770" w:rsidRDefault="0032006C" w:rsidP="0032006C">
      <w:pPr>
        <w:pStyle w:val="Heading3"/>
        <w:spacing w:before="120"/>
      </w:pPr>
      <w:r>
        <w:br w:type="page"/>
      </w:r>
      <w:bookmarkStart w:id="15" w:name="_Toc338344194"/>
      <w:r>
        <w:lastRenderedPageBreak/>
        <w:t>Full time equivalent (FTE) staff per 100 finalisations</w:t>
      </w:r>
      <w:bookmarkEnd w:id="15"/>
    </w:p>
    <w:p w:rsidR="0032006C" w:rsidRPr="00101653" w:rsidRDefault="0032006C" w:rsidP="0032006C">
      <w:pPr>
        <w:pStyle w:val="Box"/>
      </w:pPr>
      <w:r w:rsidRPr="00016770">
        <w:t>Data quality information for this indicator has been drafted by the Secretariat in consultation with the Court</w:t>
      </w:r>
      <w:r>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32006C" w:rsidTr="00B31FC6">
        <w:tc>
          <w:tcPr>
            <w:tcW w:w="5000" w:type="pct"/>
            <w:gridSpan w:val="2"/>
          </w:tcPr>
          <w:p w:rsidR="0032006C" w:rsidRDefault="0032006C" w:rsidP="00B31FC6">
            <w:pPr>
              <w:pStyle w:val="TableBodyText"/>
              <w:jc w:val="both"/>
              <w:rPr>
                <w:b/>
                <w:u w:val="single"/>
              </w:rPr>
            </w:pPr>
          </w:p>
          <w:p w:rsidR="0032006C" w:rsidRDefault="0032006C" w:rsidP="00B31FC6">
            <w:pPr>
              <w:pStyle w:val="TableBodyText"/>
              <w:jc w:val="both"/>
            </w:pPr>
            <w:r w:rsidRPr="007D0BFD">
              <w:rPr>
                <w:b/>
                <w:u w:val="single"/>
              </w:rPr>
              <w:t>Indicator definition and description</w:t>
            </w:r>
            <w:r>
              <w:rPr>
                <w:rFonts w:cs="Arial"/>
                <w:b/>
                <w:sz w:val="22"/>
                <w:szCs w:val="22"/>
                <w:u w:val="single"/>
              </w:rPr>
              <w:t xml:space="preserve"> </w:t>
            </w:r>
          </w:p>
        </w:tc>
      </w:tr>
      <w:tr w:rsidR="0032006C" w:rsidTr="00B31FC6">
        <w:tc>
          <w:tcPr>
            <w:tcW w:w="922" w:type="pct"/>
          </w:tcPr>
          <w:p w:rsidR="0032006C" w:rsidRPr="00C744E0" w:rsidRDefault="0032006C" w:rsidP="00B31FC6">
            <w:pPr>
              <w:pStyle w:val="TableBodyText"/>
              <w:jc w:val="left"/>
              <w:rPr>
                <w:b/>
              </w:rPr>
            </w:pPr>
            <w:r w:rsidRPr="00C744E0">
              <w:rPr>
                <w:b/>
              </w:rPr>
              <w:t>Element</w:t>
            </w:r>
          </w:p>
        </w:tc>
        <w:tc>
          <w:tcPr>
            <w:tcW w:w="4078" w:type="pct"/>
          </w:tcPr>
          <w:p w:rsidR="0032006C" w:rsidRPr="00A1569C" w:rsidRDefault="0032006C" w:rsidP="00B31FC6">
            <w:pPr>
              <w:pStyle w:val="TableBodyText"/>
              <w:jc w:val="both"/>
            </w:pPr>
            <w:r>
              <w:t xml:space="preserve">Courts Efficiency – Inputs per unit of output – </w:t>
            </w:r>
            <w:r w:rsidR="00B31FC6">
              <w:t>FTE staff</w:t>
            </w:r>
            <w:r>
              <w:t xml:space="preserve"> per</w:t>
            </w:r>
            <w:r w:rsidR="00B31FC6">
              <w:t xml:space="preserve"> </w:t>
            </w:r>
            <w:r>
              <w:t>finalisation</w:t>
            </w:r>
          </w:p>
        </w:tc>
      </w:tr>
      <w:tr w:rsidR="0032006C" w:rsidTr="00B31FC6">
        <w:tc>
          <w:tcPr>
            <w:tcW w:w="922" w:type="pct"/>
          </w:tcPr>
          <w:p w:rsidR="0032006C" w:rsidRPr="00C744E0" w:rsidRDefault="0032006C" w:rsidP="00B31FC6">
            <w:pPr>
              <w:pStyle w:val="TableBodyText"/>
              <w:jc w:val="left"/>
              <w:rPr>
                <w:b/>
              </w:rPr>
            </w:pPr>
            <w:r w:rsidRPr="00C744E0">
              <w:rPr>
                <w:b/>
              </w:rPr>
              <w:t>Indicator</w:t>
            </w:r>
          </w:p>
        </w:tc>
        <w:tc>
          <w:tcPr>
            <w:tcW w:w="4078" w:type="pct"/>
          </w:tcPr>
          <w:p w:rsidR="0032006C" w:rsidRPr="00E17A32" w:rsidRDefault="00B31FC6" w:rsidP="00B31FC6">
            <w:pPr>
              <w:pStyle w:val="TableBodyText"/>
              <w:jc w:val="both"/>
            </w:pPr>
            <w:r>
              <w:t>Full time equivalent staff</w:t>
            </w:r>
            <w:r w:rsidR="0032006C">
              <w:t xml:space="preserve"> per 100 finalisations</w:t>
            </w:r>
          </w:p>
        </w:tc>
      </w:tr>
      <w:tr w:rsidR="0032006C" w:rsidTr="00B31FC6">
        <w:tc>
          <w:tcPr>
            <w:tcW w:w="922" w:type="pct"/>
          </w:tcPr>
          <w:p w:rsidR="0032006C" w:rsidRPr="00C744E0" w:rsidRDefault="0032006C" w:rsidP="00B31FC6">
            <w:pPr>
              <w:pStyle w:val="TableBodyText"/>
              <w:jc w:val="left"/>
              <w:rPr>
                <w:b/>
              </w:rPr>
            </w:pPr>
            <w:r w:rsidRPr="00C744E0">
              <w:rPr>
                <w:b/>
              </w:rPr>
              <w:t>Measure (computation)</w:t>
            </w:r>
          </w:p>
        </w:tc>
        <w:tc>
          <w:tcPr>
            <w:tcW w:w="4078" w:type="pct"/>
          </w:tcPr>
          <w:p w:rsidR="0032006C" w:rsidRDefault="0032006C" w:rsidP="00B31FC6">
            <w:pPr>
              <w:pStyle w:val="TableBodyText"/>
              <w:jc w:val="both"/>
            </w:pPr>
            <w:r>
              <w:t>‘</w:t>
            </w:r>
            <w:r w:rsidR="00B31FC6">
              <w:t>FTE staff</w:t>
            </w:r>
            <w:r>
              <w:t xml:space="preserve"> per 100 finalisations’ is measured by dividing the</w:t>
            </w:r>
            <w:r w:rsidR="000E31CA">
              <w:t xml:space="preserve"> total</w:t>
            </w:r>
            <w:r>
              <w:t xml:space="preserve"> number of </w:t>
            </w:r>
            <w:r w:rsidR="00B31FC6">
              <w:t>FTE staff</w:t>
            </w:r>
            <w:r w:rsidR="000E31CA">
              <w:t xml:space="preserve"> (including judicial officers)</w:t>
            </w:r>
            <w:r>
              <w:t xml:space="preserve"> within each court level by the total number of f</w:t>
            </w:r>
            <w:r w:rsidR="00B31FC6">
              <w:t>inalisations in the financial year</w:t>
            </w:r>
            <w:r>
              <w:t xml:space="preserve"> and multiplying this number by 100. </w:t>
            </w:r>
          </w:p>
          <w:p w:rsidR="0032006C" w:rsidRDefault="0032006C" w:rsidP="00B31FC6">
            <w:pPr>
              <w:pStyle w:val="TableBodyText"/>
              <w:jc w:val="both"/>
            </w:pPr>
            <w:r>
              <w:rPr>
                <w:u w:val="single"/>
              </w:rPr>
              <w:t>Numerator</w:t>
            </w:r>
            <w:r>
              <w:t xml:space="preserve"> is defined as:</w:t>
            </w:r>
          </w:p>
          <w:p w:rsidR="0032006C" w:rsidRPr="005A5147" w:rsidRDefault="0032006C" w:rsidP="00B31FC6">
            <w:pPr>
              <w:pStyle w:val="TableBodyText"/>
              <w:numPr>
                <w:ilvl w:val="0"/>
                <w:numId w:val="42"/>
              </w:numPr>
              <w:jc w:val="left"/>
            </w:pPr>
            <w:r>
              <w:t xml:space="preserve">Number of full time equivalent </w:t>
            </w:r>
            <w:r w:rsidR="00B31FC6">
              <w:t>staff employed by courts or umbrella authorities</w:t>
            </w:r>
          </w:p>
          <w:p w:rsidR="0032006C" w:rsidRPr="005D4651" w:rsidRDefault="0032006C" w:rsidP="00B31FC6">
            <w:pPr>
              <w:pStyle w:val="TableBodyText"/>
              <w:jc w:val="both"/>
            </w:pPr>
            <w:r>
              <w:rPr>
                <w:u w:val="single"/>
              </w:rPr>
              <w:t>Denominator</w:t>
            </w:r>
            <w:r>
              <w:t xml:space="preserve"> is defined as:</w:t>
            </w:r>
          </w:p>
          <w:p w:rsidR="0032006C" w:rsidRPr="00B96E3E" w:rsidRDefault="0032006C" w:rsidP="00B31FC6">
            <w:pPr>
              <w:pStyle w:val="TableBullet"/>
              <w:numPr>
                <w:ilvl w:val="0"/>
                <w:numId w:val="42"/>
              </w:numPr>
              <w:spacing w:line="220" w:lineRule="exact"/>
              <w:jc w:val="both"/>
            </w:pPr>
            <w:r>
              <w:t>Total number of cases finalised in a financial year.</w:t>
            </w:r>
          </w:p>
        </w:tc>
      </w:tr>
      <w:tr w:rsidR="0032006C" w:rsidTr="00B31FC6">
        <w:tc>
          <w:tcPr>
            <w:tcW w:w="922" w:type="pct"/>
          </w:tcPr>
          <w:p w:rsidR="0032006C" w:rsidRPr="00C744E0" w:rsidRDefault="0032006C" w:rsidP="00B31FC6">
            <w:pPr>
              <w:pStyle w:val="TableBodyText"/>
              <w:jc w:val="left"/>
              <w:rPr>
                <w:b/>
              </w:rPr>
            </w:pPr>
            <w:r w:rsidRPr="00C744E0">
              <w:rPr>
                <w:b/>
              </w:rPr>
              <w:t>Data source/s</w:t>
            </w:r>
          </w:p>
        </w:tc>
        <w:tc>
          <w:tcPr>
            <w:tcW w:w="4078" w:type="pct"/>
          </w:tcPr>
          <w:p w:rsidR="0032006C" w:rsidRPr="00B96E3E" w:rsidRDefault="00876E0E" w:rsidP="00FB0FCD">
            <w:pPr>
              <w:pStyle w:val="TableBodyText"/>
              <w:jc w:val="both"/>
            </w:pPr>
            <w:r>
              <w:t>FTE staff</w:t>
            </w:r>
            <w:r w:rsidR="0032006C">
              <w:t xml:space="preserve"> data and case finalisation data</w:t>
            </w:r>
            <w:r w:rsidR="0032006C" w:rsidRPr="00C34F8E">
              <w:t xml:space="preserve"> are sourced from</w:t>
            </w:r>
            <w:r w:rsidR="0032006C">
              <w:t xml:space="preserve"> administrative data collected by</w:t>
            </w:r>
            <w:r w:rsidR="0032006C" w:rsidRPr="00C34F8E">
              <w:t xml:space="preserve"> </w:t>
            </w:r>
            <w:r w:rsidR="0032006C">
              <w:t>Austral</w:t>
            </w:r>
            <w:r w:rsidR="00FB0FCD">
              <w:t>ian, State and Territory court</w:t>
            </w:r>
            <w:r w:rsidR="0032006C">
              <w:t xml:space="preserve"> authorities and departments. </w:t>
            </w:r>
          </w:p>
        </w:tc>
      </w:tr>
      <w:tr w:rsidR="0032006C" w:rsidTr="00B31FC6">
        <w:tc>
          <w:tcPr>
            <w:tcW w:w="5000" w:type="pct"/>
            <w:gridSpan w:val="2"/>
          </w:tcPr>
          <w:p w:rsidR="0032006C" w:rsidRDefault="0032006C" w:rsidP="00B31FC6">
            <w:pPr>
              <w:pStyle w:val="TableBodyText"/>
              <w:jc w:val="both"/>
              <w:rPr>
                <w:b/>
                <w:u w:val="single"/>
              </w:rPr>
            </w:pPr>
          </w:p>
          <w:p w:rsidR="0032006C" w:rsidRPr="00C744E0" w:rsidRDefault="0032006C" w:rsidP="00B31FC6">
            <w:pPr>
              <w:pStyle w:val="TableBodyText"/>
              <w:jc w:val="both"/>
              <w:rPr>
                <w:b/>
                <w:u w:val="single"/>
              </w:rPr>
            </w:pPr>
            <w:r w:rsidRPr="00C744E0">
              <w:rPr>
                <w:b/>
                <w:u w:val="single"/>
              </w:rPr>
              <w:t>Data Quality Framework Dimensions</w:t>
            </w:r>
          </w:p>
        </w:tc>
      </w:tr>
      <w:tr w:rsidR="0032006C" w:rsidTr="00B31FC6">
        <w:tc>
          <w:tcPr>
            <w:tcW w:w="922" w:type="pct"/>
          </w:tcPr>
          <w:p w:rsidR="0032006C" w:rsidRPr="00C744E0" w:rsidRDefault="0032006C" w:rsidP="00B31FC6">
            <w:pPr>
              <w:pStyle w:val="TableBodyText"/>
              <w:jc w:val="left"/>
              <w:rPr>
                <w:b/>
              </w:rPr>
            </w:pPr>
            <w:r w:rsidRPr="00C744E0">
              <w:rPr>
                <w:b/>
              </w:rPr>
              <w:t>Institutional environment</w:t>
            </w:r>
          </w:p>
        </w:tc>
        <w:tc>
          <w:tcPr>
            <w:tcW w:w="4078" w:type="pct"/>
          </w:tcPr>
          <w:p w:rsidR="0032006C" w:rsidRPr="00FA2F8F" w:rsidRDefault="0032006C" w:rsidP="00B31FC6">
            <w:pPr>
              <w:pStyle w:val="TableBodyText"/>
              <w:jc w:val="both"/>
              <w:rPr>
                <w:rFonts w:cs="Arial"/>
              </w:rPr>
            </w:pPr>
            <w:r>
              <w:rPr>
                <w:rFonts w:cs="Arial"/>
                <w:u w:val="single"/>
              </w:rPr>
              <w:t>Numerator</w:t>
            </w:r>
            <w:r>
              <w:rPr>
                <w:rFonts w:cs="Arial"/>
              </w:rPr>
              <w:t xml:space="preserve"> —</w:t>
            </w:r>
            <w:r w:rsidR="00876E0E">
              <w:rPr>
                <w:rFonts w:cs="Arial"/>
              </w:rPr>
              <w:t xml:space="preserve"> </w:t>
            </w:r>
            <w:r w:rsidR="000E31CA">
              <w:rPr>
                <w:rFonts w:cs="Arial"/>
              </w:rPr>
              <w:t>Total n</w:t>
            </w:r>
            <w:r w:rsidR="00876E0E">
              <w:rPr>
                <w:rFonts w:cs="Arial"/>
              </w:rPr>
              <w:t>um</w:t>
            </w:r>
            <w:r w:rsidR="000E31CA">
              <w:rPr>
                <w:rFonts w:cs="Arial"/>
              </w:rPr>
              <w:t>ber of FTE</w:t>
            </w:r>
            <w:r w:rsidR="00876E0E">
              <w:rPr>
                <w:rFonts w:cs="Arial"/>
              </w:rPr>
              <w:t xml:space="preserve"> staff</w:t>
            </w:r>
          </w:p>
          <w:p w:rsidR="0032006C" w:rsidRDefault="0032006C" w:rsidP="00B31FC6">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32006C" w:rsidRDefault="0032006C" w:rsidP="00B31FC6">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32006C" w:rsidRPr="00C34F8E" w:rsidRDefault="0032006C" w:rsidP="00B31FC6">
            <w:pPr>
              <w:pStyle w:val="TableBodyText"/>
              <w:jc w:val="both"/>
              <w:rPr>
                <w:rFonts w:cs="Arial"/>
              </w:rPr>
            </w:pPr>
          </w:p>
          <w:p w:rsidR="0032006C" w:rsidRPr="00FA2F8F" w:rsidRDefault="0032006C" w:rsidP="00B31FC6">
            <w:pPr>
              <w:pStyle w:val="TableBodyText"/>
              <w:jc w:val="both"/>
            </w:pPr>
            <w:r w:rsidRPr="00EF61C2">
              <w:rPr>
                <w:u w:val="single"/>
              </w:rPr>
              <w:t>Denominator</w:t>
            </w:r>
            <w:r>
              <w:t xml:space="preserve"> — Total number of cases finalised in a financial year</w:t>
            </w:r>
          </w:p>
          <w:p w:rsidR="0032006C" w:rsidRDefault="0032006C" w:rsidP="00B31FC6">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32006C" w:rsidRDefault="0032006C" w:rsidP="00B31FC6">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32006C" w:rsidRPr="00062F62" w:rsidRDefault="0032006C" w:rsidP="00B31FC6">
            <w:pPr>
              <w:pStyle w:val="TableBodyText"/>
              <w:keepNext w:val="0"/>
              <w:jc w:val="both"/>
              <w:rPr>
                <w:rFonts w:cs="Arial"/>
              </w:rPr>
            </w:pPr>
          </w:p>
        </w:tc>
      </w:tr>
      <w:tr w:rsidR="0032006C" w:rsidTr="00B31FC6">
        <w:tc>
          <w:tcPr>
            <w:tcW w:w="922" w:type="pct"/>
          </w:tcPr>
          <w:p w:rsidR="0032006C" w:rsidRPr="00C744E0" w:rsidRDefault="0032006C" w:rsidP="00B31FC6">
            <w:pPr>
              <w:pStyle w:val="TableBodyText"/>
              <w:jc w:val="left"/>
              <w:rPr>
                <w:b/>
              </w:rPr>
            </w:pPr>
            <w:r w:rsidRPr="00C744E0">
              <w:rPr>
                <w:b/>
              </w:rPr>
              <w:t>Relevance</w:t>
            </w:r>
          </w:p>
        </w:tc>
        <w:tc>
          <w:tcPr>
            <w:tcW w:w="4078" w:type="pct"/>
          </w:tcPr>
          <w:p w:rsidR="0032006C" w:rsidRDefault="00876E0E" w:rsidP="00B31FC6">
            <w:pPr>
              <w:pStyle w:val="TableBullet"/>
              <w:numPr>
                <w:ilvl w:val="0"/>
                <w:numId w:val="0"/>
              </w:numPr>
              <w:jc w:val="both"/>
            </w:pPr>
            <w:r>
              <w:t>‘Total FTE staff</w:t>
            </w:r>
            <w:r w:rsidR="0032006C">
              <w:t xml:space="preserve"> per 100 finalisations’ is an indicator of governments’ achievement against the objective of providing court services in an efficient manner. </w:t>
            </w:r>
          </w:p>
          <w:p w:rsidR="0032006C" w:rsidRPr="00B96E3E" w:rsidRDefault="0032006C" w:rsidP="005B3662">
            <w:pPr>
              <w:pStyle w:val="TableBodyText"/>
              <w:ind w:left="0"/>
              <w:jc w:val="left"/>
            </w:pPr>
            <w:r w:rsidRPr="00F20BEC">
              <w:t>For fu</w:t>
            </w:r>
            <w:r>
              <w:t>rther information on this</w:t>
            </w:r>
            <w:r w:rsidRPr="00F20BEC">
              <w:t xml:space="preserve"> indicator refer to </w:t>
            </w:r>
            <w:r w:rsidR="004712E3">
              <w:t xml:space="preserve">Box </w:t>
            </w:r>
            <w:r>
              <w:t>7.1</w:t>
            </w:r>
            <w:r w:rsidR="005B3662">
              <w:t>5</w:t>
            </w:r>
            <w:r w:rsidRPr="00F20BEC">
              <w:t xml:space="preserve"> </w:t>
            </w:r>
            <w:r>
              <w:t xml:space="preserve">in Chapter 7 </w:t>
            </w:r>
            <w:r w:rsidRPr="00F20BEC">
              <w:t>of the Report.</w:t>
            </w:r>
          </w:p>
        </w:tc>
      </w:tr>
      <w:tr w:rsidR="0032006C" w:rsidTr="00B31FC6">
        <w:tc>
          <w:tcPr>
            <w:tcW w:w="922" w:type="pct"/>
          </w:tcPr>
          <w:p w:rsidR="0032006C" w:rsidRPr="00C744E0" w:rsidRDefault="0032006C" w:rsidP="00B31FC6">
            <w:pPr>
              <w:pStyle w:val="TableBodyText"/>
              <w:jc w:val="both"/>
              <w:rPr>
                <w:b/>
              </w:rPr>
            </w:pPr>
            <w:r w:rsidRPr="00C744E0">
              <w:rPr>
                <w:b/>
              </w:rPr>
              <w:t>Timeliness</w:t>
            </w:r>
          </w:p>
        </w:tc>
        <w:tc>
          <w:tcPr>
            <w:tcW w:w="4078" w:type="pct"/>
          </w:tcPr>
          <w:p w:rsidR="0032006C" w:rsidRDefault="0032006C" w:rsidP="00B31FC6">
            <w:pPr>
              <w:pStyle w:val="TableBodyText"/>
              <w:keepNext w:val="0"/>
              <w:jc w:val="both"/>
            </w:pPr>
            <w:r>
              <w:t xml:space="preserve">The reference period for </w:t>
            </w:r>
            <w:r w:rsidR="005B3662">
              <w:t>total FTE staff</w:t>
            </w:r>
            <w:r>
              <w:t xml:space="preserve"> a</w:t>
            </w:r>
            <w:r w:rsidR="004712E3">
              <w:t>nd finalisation data is the 2012-13</w:t>
            </w:r>
            <w:r>
              <w:t xml:space="preserve"> financial year. Dat</w:t>
            </w:r>
            <w:r w:rsidR="004712E3">
              <w:t>a are provided in September 2013</w:t>
            </w:r>
            <w:r>
              <w:t>,</w:t>
            </w:r>
            <w:r w:rsidR="004712E3">
              <w:t xml:space="preserve"> for publication in January 2014</w:t>
            </w:r>
            <w:r>
              <w:t>.</w:t>
            </w:r>
          </w:p>
          <w:p w:rsidR="0032006C" w:rsidRPr="009F199D" w:rsidRDefault="0032006C" w:rsidP="00B31FC6">
            <w:pPr>
              <w:pStyle w:val="TableBodyText"/>
              <w:keepNext w:val="0"/>
              <w:jc w:val="both"/>
            </w:pPr>
            <w:r>
              <w:t>Data can be revised retrospectively up to 5 years later.</w:t>
            </w:r>
          </w:p>
        </w:tc>
      </w:tr>
      <w:tr w:rsidR="0032006C" w:rsidTr="00B31FC6">
        <w:tc>
          <w:tcPr>
            <w:tcW w:w="922" w:type="pct"/>
          </w:tcPr>
          <w:p w:rsidR="0032006C" w:rsidRPr="00C744E0" w:rsidRDefault="0032006C" w:rsidP="00B31FC6">
            <w:pPr>
              <w:pStyle w:val="TableBodyText"/>
              <w:keepNext w:val="0"/>
              <w:jc w:val="left"/>
              <w:rPr>
                <w:b/>
              </w:rPr>
            </w:pPr>
            <w:r w:rsidRPr="00C744E0">
              <w:rPr>
                <w:b/>
              </w:rPr>
              <w:t>Accuracy</w:t>
            </w:r>
          </w:p>
        </w:tc>
        <w:tc>
          <w:tcPr>
            <w:tcW w:w="4078" w:type="pct"/>
          </w:tcPr>
          <w:p w:rsidR="0032006C" w:rsidRPr="00FA2F8F" w:rsidRDefault="0032006C" w:rsidP="00B31FC6">
            <w:pPr>
              <w:pStyle w:val="TableBodyText"/>
              <w:jc w:val="both"/>
              <w:rPr>
                <w:rFonts w:cs="Arial"/>
              </w:rPr>
            </w:pPr>
            <w:r>
              <w:rPr>
                <w:rFonts w:cs="Arial"/>
                <w:u w:val="single"/>
              </w:rPr>
              <w:t>Numerator</w:t>
            </w:r>
            <w:r>
              <w:rPr>
                <w:rFonts w:cs="Arial"/>
              </w:rPr>
              <w:t xml:space="preserve"> — </w:t>
            </w:r>
            <w:r w:rsidR="005B3662">
              <w:rPr>
                <w:rFonts w:cs="Arial"/>
              </w:rPr>
              <w:t xml:space="preserve">Total </w:t>
            </w:r>
            <w:r>
              <w:rPr>
                <w:rFonts w:cs="Arial"/>
              </w:rPr>
              <w:t xml:space="preserve">FTE </w:t>
            </w:r>
            <w:r w:rsidR="005B3662">
              <w:rPr>
                <w:rFonts w:cs="Arial"/>
              </w:rPr>
              <w:t>staff</w:t>
            </w:r>
          </w:p>
          <w:p w:rsidR="0032006C" w:rsidRPr="00FC7487" w:rsidRDefault="0032006C" w:rsidP="00B31FC6">
            <w:pPr>
              <w:pStyle w:val="TableBullet"/>
              <w:keepNext w:val="0"/>
              <w:numPr>
                <w:ilvl w:val="0"/>
                <w:numId w:val="0"/>
              </w:numPr>
              <w:jc w:val="both"/>
            </w:pPr>
            <w:r w:rsidRPr="00FC7487">
              <w:t xml:space="preserve">The identification of </w:t>
            </w:r>
            <w:r w:rsidR="00B74774">
              <w:t>total FTE staff</w:t>
            </w:r>
            <w:r w:rsidRPr="00FC7487">
              <w:t xml:space="preserve"> numbers </w:t>
            </w:r>
            <w:r>
              <w:t xml:space="preserve">is done using </w:t>
            </w:r>
            <w:r w:rsidRPr="00FC7487">
              <w:t>data in payroll and human re</w:t>
            </w:r>
            <w:r>
              <w:t>s</w:t>
            </w:r>
            <w:r w:rsidRPr="00FC7487">
              <w:t>ource management systems.</w:t>
            </w:r>
            <w:r>
              <w:t xml:space="preserve"> This is mostly electronic with some manual data counting. </w:t>
            </w:r>
            <w:r w:rsidRPr="00FC7487">
              <w:t xml:space="preserve">This is then adjusted to meet the </w:t>
            </w:r>
            <w:proofErr w:type="spellStart"/>
            <w:r>
              <w:t>RoGS</w:t>
            </w:r>
            <w:proofErr w:type="spellEnd"/>
            <w:r>
              <w:t xml:space="preserve"> </w:t>
            </w:r>
            <w:r w:rsidRPr="00FC7487">
              <w:t>data collection rules.</w:t>
            </w:r>
          </w:p>
          <w:p w:rsidR="0032006C" w:rsidRDefault="0032006C" w:rsidP="00B31FC6">
            <w:pPr>
              <w:pStyle w:val="TableBullet"/>
              <w:keepNext w:val="0"/>
              <w:numPr>
                <w:ilvl w:val="0"/>
                <w:numId w:val="0"/>
              </w:numPr>
              <w:jc w:val="both"/>
            </w:pPr>
            <w:r>
              <w:t xml:space="preserve">The data provided are consistent with </w:t>
            </w:r>
            <w:proofErr w:type="spellStart"/>
            <w:r>
              <w:t>RoGS</w:t>
            </w:r>
            <w:proofErr w:type="spellEnd"/>
            <w:r>
              <w:t xml:space="preserve"> counting rules and the requested data reported are for all court levels in each jurisdiction. In order to meet the needs of the </w:t>
            </w:r>
            <w:proofErr w:type="spellStart"/>
            <w:r>
              <w:t>RoGS</w:t>
            </w:r>
            <w:proofErr w:type="spellEnd"/>
            <w:r>
              <w:t xml:space="preserve">, </w:t>
            </w:r>
            <w:proofErr w:type="spellStart"/>
            <w:r>
              <w:t>costings</w:t>
            </w:r>
            <w:proofErr w:type="spellEnd"/>
            <w:r>
              <w:t xml:space="preserve"> and resourcing are apportioned across civil and criminal categories. This is mostly done on activity based costing approaches and the use of estimations. This may affect accuracy.</w:t>
            </w:r>
          </w:p>
          <w:p w:rsidR="0032006C" w:rsidRDefault="0032006C" w:rsidP="00B31FC6">
            <w:pPr>
              <w:pStyle w:val="TableBullet"/>
              <w:keepNext w:val="0"/>
              <w:numPr>
                <w:ilvl w:val="0"/>
                <w:numId w:val="0"/>
              </w:numPr>
              <w:spacing w:line="220" w:lineRule="exact"/>
              <w:ind w:left="6"/>
            </w:pPr>
            <w:r w:rsidRPr="00CF5FA0">
              <w:lastRenderedPageBreak/>
              <w:t xml:space="preserve">The </w:t>
            </w:r>
            <w:r>
              <w:t xml:space="preserve">data come </w:t>
            </w:r>
            <w:r w:rsidRPr="00CF5FA0">
              <w:t>from payroll and human re</w:t>
            </w:r>
            <w:r>
              <w:t>s</w:t>
            </w:r>
            <w:r w:rsidRPr="00CF5FA0">
              <w:t>ource management systems, which are subject to the normal legislative financial and administrative controls and reconciliation and validation processes</w:t>
            </w:r>
            <w:r>
              <w:t xml:space="preserve"> to ensure accuracy. Preparation of the data for the </w:t>
            </w:r>
            <w:proofErr w:type="spellStart"/>
            <w:r>
              <w:t>RoGS</w:t>
            </w:r>
            <w:proofErr w:type="spellEnd"/>
            <w:r>
              <w:t xml:space="preserve"> by court authorities also undergoes checking and verification procedures, including investigation of significant variances with previous years.</w:t>
            </w:r>
          </w:p>
          <w:p w:rsidR="0032006C" w:rsidRDefault="0032006C" w:rsidP="00B31FC6">
            <w:pPr>
              <w:pStyle w:val="TableBodyText"/>
              <w:jc w:val="both"/>
              <w:rPr>
                <w:u w:val="single"/>
              </w:rPr>
            </w:pPr>
          </w:p>
          <w:p w:rsidR="0032006C" w:rsidRPr="00FA2F8F" w:rsidRDefault="0032006C" w:rsidP="00B31FC6">
            <w:pPr>
              <w:pStyle w:val="TableBodyText"/>
              <w:jc w:val="both"/>
            </w:pPr>
            <w:r w:rsidRPr="00EF61C2">
              <w:rPr>
                <w:u w:val="single"/>
              </w:rPr>
              <w:t>Denominator</w:t>
            </w:r>
            <w:r>
              <w:t xml:space="preserve"> — Total number of cases finalised in a financial year</w:t>
            </w:r>
          </w:p>
          <w:p w:rsidR="0032006C" w:rsidRDefault="0032006C" w:rsidP="00B31FC6">
            <w:pPr>
              <w:pStyle w:val="TableBullet"/>
              <w:keepNext w:val="0"/>
              <w:numPr>
                <w:ilvl w:val="0"/>
                <w:numId w:val="0"/>
              </w:numPr>
              <w:spacing w:line="220" w:lineRule="exact"/>
              <w:ind w:left="6"/>
            </w:pPr>
          </w:p>
          <w:p w:rsidR="0032006C" w:rsidRDefault="0032006C" w:rsidP="00B31FC6">
            <w:pPr>
              <w:pStyle w:val="TableBullet"/>
              <w:keepNext w:val="0"/>
              <w:numPr>
                <w:ilvl w:val="0"/>
                <w:numId w:val="0"/>
              </w:numPr>
              <w:spacing w:line="220" w:lineRule="exact"/>
              <w:ind w:left="6"/>
            </w:pPr>
            <w:r>
              <w:t>The identification of cases finalised is done using electronic case management reporting systems except for the following:</w:t>
            </w:r>
          </w:p>
          <w:p w:rsidR="0032006C" w:rsidRDefault="0032006C" w:rsidP="00B31FC6">
            <w:pPr>
              <w:pStyle w:val="TableBullet"/>
              <w:keepNext w:val="0"/>
              <w:numPr>
                <w:ilvl w:val="0"/>
                <w:numId w:val="42"/>
              </w:numPr>
              <w:jc w:val="both"/>
            </w:pPr>
            <w:r>
              <w:t>In the Supreme Court of New South Wales manually maintained data are used for the majority of civil appeal, and all criminal appeal and non-appeal cases.</w:t>
            </w:r>
          </w:p>
          <w:p w:rsidR="0032006C" w:rsidRDefault="0032006C" w:rsidP="00B31FC6">
            <w:pPr>
              <w:pStyle w:val="TableBullet"/>
              <w:keepNext w:val="0"/>
              <w:numPr>
                <w:ilvl w:val="0"/>
                <w:numId w:val="0"/>
              </w:numPr>
              <w:jc w:val="both"/>
            </w:pPr>
            <w:r>
              <w:t xml:space="preserve">The data provided are consistent with </w:t>
            </w:r>
            <w:proofErr w:type="spellStart"/>
            <w:r>
              <w:t>RoGS</w:t>
            </w:r>
            <w:proofErr w:type="spellEnd"/>
            <w:r>
              <w:t xml:space="preserve"> counting rules and are reported for all court levels in each jurisdiction.</w:t>
            </w:r>
          </w:p>
          <w:p w:rsidR="0032006C" w:rsidRPr="00CF5FA0" w:rsidRDefault="0032006C" w:rsidP="00B31FC6">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tc>
      </w:tr>
      <w:tr w:rsidR="0032006C" w:rsidTr="00B31FC6">
        <w:tc>
          <w:tcPr>
            <w:tcW w:w="922" w:type="pct"/>
          </w:tcPr>
          <w:p w:rsidR="0032006C" w:rsidRPr="002162BE" w:rsidRDefault="0032006C" w:rsidP="00B31FC6">
            <w:pPr>
              <w:pStyle w:val="TableBodyText"/>
              <w:keepNext w:val="0"/>
              <w:jc w:val="left"/>
              <w:rPr>
                <w:b/>
              </w:rPr>
            </w:pPr>
            <w:r w:rsidRPr="002162BE">
              <w:rPr>
                <w:b/>
              </w:rPr>
              <w:lastRenderedPageBreak/>
              <w:t>Coherence</w:t>
            </w:r>
          </w:p>
        </w:tc>
        <w:tc>
          <w:tcPr>
            <w:tcW w:w="4078" w:type="pct"/>
          </w:tcPr>
          <w:p w:rsidR="0032006C" w:rsidRPr="00FA2F8F" w:rsidRDefault="0032006C" w:rsidP="00B31FC6">
            <w:pPr>
              <w:pStyle w:val="TableBodyText"/>
              <w:jc w:val="both"/>
              <w:rPr>
                <w:rFonts w:cs="Arial"/>
              </w:rPr>
            </w:pPr>
            <w:r>
              <w:rPr>
                <w:rFonts w:cs="Arial"/>
                <w:u w:val="single"/>
              </w:rPr>
              <w:t>Numerator</w:t>
            </w:r>
            <w:r>
              <w:rPr>
                <w:rFonts w:cs="Arial"/>
              </w:rPr>
              <w:t xml:space="preserve"> — </w:t>
            </w:r>
            <w:r w:rsidR="00B74774">
              <w:rPr>
                <w:rFonts w:cs="Arial"/>
              </w:rPr>
              <w:t>Total number of</w:t>
            </w:r>
            <w:r>
              <w:rPr>
                <w:rFonts w:cs="Arial"/>
              </w:rPr>
              <w:t xml:space="preserve"> FTE </w:t>
            </w:r>
            <w:r w:rsidR="00B74774">
              <w:rPr>
                <w:rFonts w:cs="Arial"/>
              </w:rPr>
              <w:t>staff</w:t>
            </w:r>
          </w:p>
          <w:p w:rsidR="0032006C" w:rsidRDefault="0032006C" w:rsidP="00B31FC6">
            <w:pPr>
              <w:pStyle w:val="TableBodyText"/>
              <w:keepNext w:val="0"/>
              <w:jc w:val="both"/>
            </w:pPr>
          </w:p>
          <w:p w:rsidR="0032006C" w:rsidRDefault="0032006C" w:rsidP="00B31FC6">
            <w:pPr>
              <w:pStyle w:val="TableBodyText"/>
              <w:keepNext w:val="0"/>
              <w:ind w:left="0" w:firstLine="6"/>
              <w:jc w:val="both"/>
            </w:pPr>
            <w:r>
              <w:t>F</w:t>
            </w:r>
            <w:r w:rsidRPr="00206536">
              <w:t xml:space="preserve">or </w:t>
            </w:r>
            <w:r>
              <w:t>the last five years the data have</w:t>
            </w:r>
            <w:r w:rsidRPr="00206536">
              <w:t xml:space="preserve"> been counted and reported </w:t>
            </w:r>
            <w:r>
              <w:t xml:space="preserve">relatively </w:t>
            </w:r>
            <w:r w:rsidRPr="00206536">
              <w:t>consistently</w:t>
            </w:r>
            <w:r>
              <w:t xml:space="preserve"> and </w:t>
            </w:r>
            <w:r w:rsidRPr="00206536">
              <w:t xml:space="preserve">no </w:t>
            </w:r>
            <w:r>
              <w:t xml:space="preserve">significant </w:t>
            </w:r>
            <w:r w:rsidRPr="00206536">
              <w:t xml:space="preserve">factors </w:t>
            </w:r>
            <w:r>
              <w:t>have been identified which</w:t>
            </w:r>
            <w:r w:rsidRPr="00206536">
              <w:t xml:space="preserve"> have prevented or affected the consistent compilation of time series data</w:t>
            </w:r>
            <w:r>
              <w:t>. Minor exceptions to this are as follows.</w:t>
            </w:r>
          </w:p>
          <w:p w:rsidR="0032006C" w:rsidRDefault="0032006C" w:rsidP="00B31FC6">
            <w:pPr>
              <w:pStyle w:val="TableBodyText"/>
              <w:keepNext w:val="0"/>
              <w:numPr>
                <w:ilvl w:val="0"/>
                <w:numId w:val="42"/>
              </w:numPr>
              <w:jc w:val="both"/>
            </w:pPr>
            <w:r>
              <w:t xml:space="preserve">The apportionment of </w:t>
            </w:r>
            <w:r w:rsidR="00B74774">
              <w:t>staff</w:t>
            </w:r>
            <w:r>
              <w:t xml:space="preserve"> between civil and criminal in </w:t>
            </w:r>
            <w:smartTag w:uri="urn:schemas-microsoft-com:office:smarttags" w:element="State">
              <w:smartTag w:uri="urn:schemas-microsoft-com:office:smarttags" w:element="place">
                <w:r>
                  <w:t>Victoria</w:t>
                </w:r>
              </w:smartTag>
            </w:smartTag>
            <w:r>
              <w:t xml:space="preserve"> is done on estimates;</w:t>
            </w:r>
          </w:p>
          <w:p w:rsidR="0032006C" w:rsidRDefault="0032006C" w:rsidP="00B31FC6">
            <w:pPr>
              <w:pStyle w:val="TableBodyText"/>
              <w:keepNext w:val="0"/>
              <w:numPr>
                <w:ilvl w:val="0"/>
                <w:numId w:val="42"/>
              </w:numPr>
              <w:jc w:val="both"/>
            </w:pPr>
            <w:r w:rsidRPr="00206536">
              <w:t xml:space="preserve">In </w:t>
            </w:r>
            <w:r>
              <w:t xml:space="preserve">the 2011 report WA </w:t>
            </w:r>
            <w:r w:rsidRPr="00206536">
              <w:t>changed the basis of apportionment between civil and crimina</w:t>
            </w:r>
            <w:r>
              <w:t>l functions from previous years;</w:t>
            </w:r>
          </w:p>
          <w:p w:rsidR="0032006C" w:rsidRDefault="0032006C" w:rsidP="00B31FC6">
            <w:pPr>
              <w:pStyle w:val="TableBodyText"/>
              <w:keepNext w:val="0"/>
              <w:numPr>
                <w:ilvl w:val="0"/>
                <w:numId w:val="42"/>
              </w:numPr>
              <w:jc w:val="both"/>
            </w:pPr>
            <w:r>
              <w:t>Difficulties in apportionment of some federal magistrates’ time between the Federal Magistrates’ Court and the Federal Court of Australia;</w:t>
            </w:r>
          </w:p>
          <w:p w:rsidR="0032006C" w:rsidRPr="00206536" w:rsidRDefault="0032006C" w:rsidP="00B31FC6">
            <w:pPr>
              <w:pStyle w:val="TableBodyText"/>
              <w:keepNext w:val="0"/>
              <w:numPr>
                <w:ilvl w:val="0"/>
                <w:numId w:val="42"/>
              </w:numPr>
              <w:jc w:val="both"/>
            </w:pPr>
            <w:r>
              <w:t>During 2009 the Federal Magistrates’ Court changed its HR management system which may have resulted in slight changes to FTE calculations.</w:t>
            </w:r>
          </w:p>
          <w:p w:rsidR="0032006C" w:rsidRDefault="0032006C" w:rsidP="00B31FC6">
            <w:pPr>
              <w:pStyle w:val="TableBullet"/>
              <w:keepNext w:val="0"/>
              <w:numPr>
                <w:ilvl w:val="0"/>
                <w:numId w:val="0"/>
              </w:numPr>
              <w:tabs>
                <w:tab w:val="left" w:pos="359"/>
              </w:tabs>
              <w:ind w:left="-1" w:firstLine="1"/>
            </w:pPr>
            <w:r w:rsidRPr="00D84159">
              <w:t xml:space="preserve">In some </w:t>
            </w:r>
            <w:r>
              <w:t>jurisdictions</w:t>
            </w:r>
            <w:r w:rsidRPr="00D84159">
              <w:t xml:space="preserve"> there is an alignment with other publications</w:t>
            </w:r>
            <w:r>
              <w:t xml:space="preserve">, e.g. annual reports, in relation to judicial officer numbers. </w:t>
            </w:r>
            <w:r w:rsidRPr="00D84159">
              <w:t xml:space="preserve">In the </w:t>
            </w:r>
            <w:r>
              <w:t>other jurisdictions</w:t>
            </w:r>
            <w:r w:rsidRPr="00D84159">
              <w:t xml:space="preserve"> there are differences due to the FTE approach and exclusions set </w:t>
            </w:r>
            <w:r>
              <w:t>out i</w:t>
            </w:r>
            <w:r w:rsidRPr="00D84159">
              <w:t xml:space="preserve">n the </w:t>
            </w:r>
            <w:proofErr w:type="spellStart"/>
            <w:r w:rsidRPr="00D84159">
              <w:t>ROGS</w:t>
            </w:r>
            <w:proofErr w:type="spellEnd"/>
            <w:r w:rsidRPr="00D84159">
              <w:t xml:space="preserve"> counting rules.</w:t>
            </w:r>
          </w:p>
          <w:p w:rsidR="0032006C" w:rsidRDefault="0032006C" w:rsidP="00B31FC6">
            <w:pPr>
              <w:pStyle w:val="TableBullet"/>
              <w:keepNext w:val="0"/>
              <w:numPr>
                <w:ilvl w:val="0"/>
                <w:numId w:val="0"/>
              </w:numPr>
              <w:tabs>
                <w:tab w:val="left" w:pos="359"/>
              </w:tabs>
              <w:ind w:left="-1" w:firstLine="1"/>
            </w:pPr>
          </w:p>
          <w:p w:rsidR="0032006C" w:rsidRPr="00FA2F8F" w:rsidRDefault="0032006C" w:rsidP="00B31FC6">
            <w:pPr>
              <w:pStyle w:val="TableBodyText"/>
              <w:jc w:val="both"/>
            </w:pPr>
            <w:r w:rsidRPr="00EF61C2">
              <w:rPr>
                <w:u w:val="single"/>
              </w:rPr>
              <w:t>Denominator</w:t>
            </w:r>
            <w:r>
              <w:t xml:space="preserve"> — Total number of cases finalised in a financial year</w:t>
            </w:r>
          </w:p>
          <w:p w:rsidR="0032006C" w:rsidRDefault="0032006C" w:rsidP="00B31FC6">
            <w:pPr>
              <w:pStyle w:val="TableBodyText"/>
              <w:keepNext w:val="0"/>
              <w:jc w:val="both"/>
            </w:pPr>
          </w:p>
          <w:p w:rsidR="0032006C" w:rsidRDefault="0032006C" w:rsidP="00B31FC6">
            <w:pPr>
              <w:pStyle w:val="TableBodyText"/>
              <w:keepNext w:val="0"/>
              <w:jc w:val="both"/>
            </w:pPr>
            <w:r>
              <w:t>For the last five years data have been collected, counted and reported relatively consistently with the following exceptions:</w:t>
            </w:r>
          </w:p>
          <w:p w:rsidR="0032006C" w:rsidRDefault="0032006C" w:rsidP="00B31FC6">
            <w:pPr>
              <w:pStyle w:val="TableBullet"/>
              <w:keepNext w:val="0"/>
              <w:numPr>
                <w:ilvl w:val="0"/>
                <w:numId w:val="42"/>
              </w:numPr>
              <w:tabs>
                <w:tab w:val="left" w:pos="170"/>
              </w:tabs>
            </w:pPr>
            <w:r>
              <w:tab/>
              <w:t xml:space="preserve">In the Federal Court bankruptcy matters are now excluded from </w:t>
            </w:r>
            <w:proofErr w:type="spellStart"/>
            <w:r>
              <w:t>ROGS</w:t>
            </w:r>
            <w:proofErr w:type="spellEnd"/>
            <w:r>
              <w:t xml:space="preserve"> data. Data from 2007-08 have been retrospectively adjusted to exclude these matters. </w:t>
            </w:r>
          </w:p>
          <w:p w:rsidR="0032006C" w:rsidRDefault="0032006C" w:rsidP="00B31FC6">
            <w:pPr>
              <w:pStyle w:val="TableBullet"/>
              <w:keepNext w:val="0"/>
              <w:numPr>
                <w:ilvl w:val="0"/>
                <w:numId w:val="42"/>
              </w:numPr>
              <w:tabs>
                <w:tab w:val="left" w:pos="170"/>
              </w:tabs>
            </w:pPr>
            <w:r>
              <w:tab/>
            </w:r>
            <w:r w:rsidRPr="00E222B4">
              <w:t xml:space="preserve">In </w:t>
            </w:r>
            <w:smartTag w:uri="urn:schemas-microsoft-com:office:smarttags" w:element="place">
              <w:smartTag w:uri="urn:schemas-microsoft-com:office:smarttags" w:element="State">
                <w:r w:rsidRPr="00E222B4">
                  <w:t>South Australia</w:t>
                </w:r>
              </w:smartTag>
            </w:smartTag>
            <w:r w:rsidRPr="00E222B4">
              <w:t xml:space="preserve"> changes in legislation </w:t>
            </w:r>
            <w:r>
              <w:t>(</w:t>
            </w:r>
            <w:proofErr w:type="spellStart"/>
            <w:r>
              <w:t>e</w:t>
            </w:r>
            <w:r w:rsidRPr="00E222B4">
              <w:t>g</w:t>
            </w:r>
            <w:proofErr w:type="spellEnd"/>
            <w:r w:rsidRPr="00E222B4">
              <w:t>. offences moving from a Court process to an infringement process</w:t>
            </w:r>
            <w:r>
              <w:t>)</w:t>
            </w:r>
            <w:r w:rsidRPr="00E222B4">
              <w:t xml:space="preserve"> have </w:t>
            </w:r>
            <w:r>
              <w:t>impacted on numbers from 2008-09 onwards</w:t>
            </w:r>
            <w:r w:rsidRPr="00E222B4">
              <w:t>.</w:t>
            </w:r>
            <w:r>
              <w:t xml:space="preserve"> A ‘one number’ system introduced into the Magistrates court has also enabled a more accurate count of </w:t>
            </w:r>
            <w:proofErr w:type="spellStart"/>
            <w:r>
              <w:t>lodgment</w:t>
            </w:r>
            <w:proofErr w:type="spellEnd"/>
            <w:r>
              <w:t xml:space="preserve"> and finalisation data when cases are transferred within the one court level.</w:t>
            </w:r>
          </w:p>
          <w:p w:rsidR="0032006C" w:rsidRPr="00E222B4" w:rsidRDefault="0032006C" w:rsidP="00B31FC6">
            <w:pPr>
              <w:pStyle w:val="TableBullet"/>
              <w:keepNext w:val="0"/>
              <w:numPr>
                <w:ilvl w:val="0"/>
                <w:numId w:val="42"/>
              </w:numPr>
              <w:tabs>
                <w:tab w:val="left" w:pos="170"/>
              </w:tabs>
            </w:pPr>
            <w:r>
              <w:tab/>
              <w:t xml:space="preserve">Changes to legislation in 2008 in </w:t>
            </w:r>
            <w:smartTag w:uri="urn:schemas-microsoft-com:office:smarttags" w:element="place">
              <w:smartTag w:uri="urn:schemas-microsoft-com:office:smarttags" w:element="State">
                <w:r>
                  <w:t>Tasmania</w:t>
                </w:r>
              </w:smartTag>
            </w:smartTag>
            <w:r>
              <w:t>’s courts mean that a substantial number of minor traffic matters (infringement notices) are no longer dealt with by the court. These are now enforced by the Monetary Penalties Enforcement Service and are excluded from the data.</w:t>
            </w:r>
          </w:p>
          <w:p w:rsidR="0032006C" w:rsidRDefault="0032006C" w:rsidP="00B31FC6">
            <w:pPr>
              <w:pStyle w:val="TableBullet"/>
              <w:keepNext w:val="0"/>
              <w:numPr>
                <w:ilvl w:val="0"/>
                <w:numId w:val="42"/>
              </w:numPr>
              <w:tabs>
                <w:tab w:val="left" w:pos="170"/>
              </w:tabs>
            </w:pPr>
            <w:r>
              <w:tab/>
            </w:r>
            <w:r>
              <w:tab/>
            </w:r>
            <w:r w:rsidRPr="00DB19B2">
              <w:t xml:space="preserve">From 2007-08 </w:t>
            </w:r>
            <w:smartTag w:uri="urn:schemas-microsoft-com:office:smarttags" w:element="place">
              <w:smartTag w:uri="urn:schemas-microsoft-com:office:smarttags" w:element="State">
                <w:r w:rsidRPr="00DB19B2">
                  <w:t>W</w:t>
                </w:r>
                <w:r>
                  <w:t xml:space="preserve">estern </w:t>
                </w:r>
                <w:r w:rsidRPr="00DB19B2">
                  <w:t>A</w:t>
                </w:r>
                <w:r>
                  <w:t>ustralia</w:t>
                </w:r>
              </w:smartTag>
            </w:smartTag>
            <w:r>
              <w:t>’s</w:t>
            </w:r>
            <w:r w:rsidRPr="00DB19B2">
              <w:t xml:space="preserve"> Supreme Court criminal appeals include </w:t>
            </w:r>
            <w:r w:rsidRPr="00DB19B2">
              <w:lastRenderedPageBreak/>
              <w:t>Single Judge of Appeal (</w:t>
            </w:r>
            <w:proofErr w:type="spellStart"/>
            <w:r w:rsidRPr="00DB19B2">
              <w:t>SJA</w:t>
            </w:r>
            <w:proofErr w:type="spellEnd"/>
            <w:r w:rsidRPr="00DB19B2">
              <w:t>) matters. Prior to 2007-08 these appeals were included in the WA Supre</w:t>
            </w:r>
            <w:r>
              <w:t>me Court data for civil appeals.</w:t>
            </w:r>
          </w:p>
          <w:p w:rsidR="0032006C" w:rsidRPr="00206536" w:rsidRDefault="0032006C" w:rsidP="00B31FC6">
            <w:pPr>
              <w:pStyle w:val="TableBullet"/>
              <w:numPr>
                <w:ilvl w:val="0"/>
                <w:numId w:val="42"/>
              </w:numPr>
              <w:tabs>
                <w:tab w:val="left" w:pos="170"/>
              </w:tabs>
            </w:pPr>
            <w:r>
              <w:tab/>
              <w:t>S</w:t>
            </w:r>
            <w:r w:rsidRPr="00DB19B2">
              <w:t>ystem-based data was unavailable for 2009-2010</w:t>
            </w:r>
            <w:r>
              <w:t xml:space="preserve"> f</w:t>
            </w:r>
            <w:r w:rsidRPr="00DB19B2">
              <w:t xml:space="preserve">or </w:t>
            </w:r>
            <w:smartTag w:uri="urn:schemas-microsoft-com:office:smarttags" w:element="place">
              <w:smartTag w:uri="urn:schemas-microsoft-com:office:smarttags" w:element="State">
                <w:r>
                  <w:t>New South Wales</w:t>
                </w:r>
              </w:smartTag>
            </w:smartTag>
            <w:r>
              <w:t xml:space="preserve"> civil appeal </w:t>
            </w:r>
            <w:r w:rsidRPr="00DB19B2">
              <w:t>data</w:t>
            </w:r>
            <w:r>
              <w:t>.  A</w:t>
            </w:r>
            <w:r w:rsidRPr="00DB19B2">
              <w:t xml:space="preserve"> manual count was used and continues to be used </w:t>
            </w:r>
            <w:r>
              <w:t xml:space="preserve">until </w:t>
            </w:r>
            <w:r w:rsidRPr="00DB19B2">
              <w:t xml:space="preserve">system data </w:t>
            </w:r>
            <w:r>
              <w:t>are</w:t>
            </w:r>
            <w:r w:rsidRPr="00DB19B2">
              <w:t xml:space="preserve"> restored. For civil non-appeal, </w:t>
            </w:r>
            <w:smartTag w:uri="urn:schemas-microsoft-com:office:smarttags" w:element="place">
              <w:smartTag w:uri="urn:schemas-microsoft-com:office:smarttags" w:element="State">
                <w:r>
                  <w:t>New South Wales</w:t>
                </w:r>
              </w:smartTag>
            </w:smartTag>
            <w:r>
              <w:t xml:space="preserve"> </w:t>
            </w:r>
            <w:r w:rsidRPr="00DB19B2">
              <w:t>ha</w:t>
            </w:r>
            <w:r>
              <w:t>s</w:t>
            </w:r>
            <w:r w:rsidRPr="00DB19B2">
              <w:t xml:space="preserve"> changed from one electronic system to another - the n</w:t>
            </w:r>
            <w:r>
              <w:t xml:space="preserve">ew system was unable to provide </w:t>
            </w:r>
            <w:r w:rsidRPr="00DB19B2">
              <w:t>data for 2009-2010 and so an estimate was used that</w:t>
            </w:r>
            <w:r>
              <w:t xml:space="preserve"> year.</w:t>
            </w:r>
          </w:p>
          <w:p w:rsidR="0032006C" w:rsidRPr="00CD04F1" w:rsidRDefault="0032006C" w:rsidP="00B31FC6">
            <w:pPr>
              <w:pStyle w:val="TableBodyText"/>
              <w:keepNext w:val="0"/>
              <w:jc w:val="both"/>
            </w:pPr>
            <w:r>
              <w:t>In most</w:t>
            </w:r>
            <w:r w:rsidRPr="00D84159">
              <w:t xml:space="preserve"> </w:t>
            </w:r>
            <w:r>
              <w:t>jurisdictions</w:t>
            </w:r>
            <w:r w:rsidRPr="00D84159">
              <w:t xml:space="preserve"> there is an alignment with other publications</w:t>
            </w:r>
            <w:r>
              <w:t xml:space="preserve">, </w:t>
            </w:r>
            <w:proofErr w:type="spellStart"/>
            <w:r>
              <w:t>eg</w:t>
            </w:r>
            <w:proofErr w:type="spellEnd"/>
            <w:r>
              <w:t>. annual reports, while i</w:t>
            </w:r>
            <w:r w:rsidRPr="00D84159">
              <w:t xml:space="preserve">n </w:t>
            </w:r>
            <w:r>
              <w:t>other jurisdictions</w:t>
            </w:r>
            <w:r w:rsidRPr="00D84159">
              <w:t xml:space="preserve"> there are differences due to the </w:t>
            </w:r>
            <w:proofErr w:type="spellStart"/>
            <w:r w:rsidRPr="00D84159">
              <w:t>ROGS</w:t>
            </w:r>
            <w:proofErr w:type="spellEnd"/>
            <w:r w:rsidRPr="00D84159">
              <w:t xml:space="preserve"> counting rules</w:t>
            </w:r>
            <w:r>
              <w:t xml:space="preserve"> in relation to exclusions and differing definitions</w:t>
            </w:r>
            <w:r w:rsidRPr="00D84159">
              <w:t>.</w:t>
            </w:r>
            <w:r>
              <w:t xml:space="preserve"> Finalisation counting rules for civil courts in this report also include a “deeming rule” which means that </w:t>
            </w:r>
            <w:proofErr w:type="spellStart"/>
            <w:r>
              <w:t>RoGS</w:t>
            </w:r>
            <w:proofErr w:type="spellEnd"/>
            <w:r>
              <w:t xml:space="preserve"> finalisation data are unlikely to match the court’s own published data. </w:t>
            </w:r>
          </w:p>
        </w:tc>
      </w:tr>
      <w:tr w:rsidR="0032006C" w:rsidTr="00B31FC6">
        <w:tc>
          <w:tcPr>
            <w:tcW w:w="922" w:type="pct"/>
          </w:tcPr>
          <w:p w:rsidR="0032006C" w:rsidRPr="00C744E0" w:rsidRDefault="0032006C" w:rsidP="00B31FC6">
            <w:pPr>
              <w:pStyle w:val="TableBodyText"/>
              <w:keepNext w:val="0"/>
              <w:jc w:val="left"/>
              <w:rPr>
                <w:b/>
              </w:rPr>
            </w:pPr>
            <w:r w:rsidRPr="00C744E0">
              <w:rPr>
                <w:b/>
              </w:rPr>
              <w:lastRenderedPageBreak/>
              <w:t>Accessibility</w:t>
            </w:r>
          </w:p>
        </w:tc>
        <w:tc>
          <w:tcPr>
            <w:tcW w:w="4078" w:type="pct"/>
          </w:tcPr>
          <w:p w:rsidR="0032006C" w:rsidRDefault="0032006C" w:rsidP="00B31FC6">
            <w:pPr>
              <w:pStyle w:val="TableBodyText"/>
              <w:keepNext w:val="0"/>
              <w:jc w:val="both"/>
            </w:pPr>
            <w:r>
              <w:t xml:space="preserve">Data on </w:t>
            </w:r>
            <w:r w:rsidR="00B74774">
              <w:t>FTE staff</w:t>
            </w:r>
            <w:r>
              <w:t xml:space="preserve"> are supplied for the </w:t>
            </w:r>
            <w:proofErr w:type="spellStart"/>
            <w:r>
              <w:t>RoGS</w:t>
            </w:r>
            <w:proofErr w:type="spellEnd"/>
            <w:r>
              <w:t xml:space="preserve"> according to the specific </w:t>
            </w:r>
            <w:proofErr w:type="spellStart"/>
            <w:r>
              <w:t>RoGS</w:t>
            </w:r>
            <w:proofErr w:type="spellEnd"/>
            <w:r>
              <w:t xml:space="preserve"> counting rules. </w:t>
            </w:r>
          </w:p>
          <w:p w:rsidR="0032006C" w:rsidRPr="001A7053" w:rsidRDefault="0032006C" w:rsidP="00B31FC6">
            <w:pPr>
              <w:pStyle w:val="TableBodyText"/>
              <w:keepNext w:val="0"/>
              <w:jc w:val="left"/>
            </w:pPr>
            <w:r>
              <w:t>Also, whil</w:t>
            </w:r>
            <w:r w:rsidRPr="00427A31">
              <w:t xml:space="preserve">e courts in most </w:t>
            </w:r>
            <w:r>
              <w:t>jurisdictions</w:t>
            </w:r>
            <w:r w:rsidRPr="00427A31">
              <w:t xml:space="preserve"> make </w:t>
            </w:r>
            <w:r>
              <w:t xml:space="preserve">information available as to who holds a commission as a judge or master and which officers of the court are registrars, the information is not necessarily designed to provide a FTE number that can be matched to the number reported in </w:t>
            </w:r>
            <w:proofErr w:type="spellStart"/>
            <w:r>
              <w:t>RoGS</w:t>
            </w:r>
            <w:proofErr w:type="spellEnd"/>
            <w:r>
              <w:t>.</w:t>
            </w:r>
          </w:p>
        </w:tc>
      </w:tr>
      <w:tr w:rsidR="0032006C" w:rsidTr="00B31FC6">
        <w:tc>
          <w:tcPr>
            <w:tcW w:w="922" w:type="pct"/>
          </w:tcPr>
          <w:p w:rsidR="0032006C" w:rsidRPr="00C744E0" w:rsidRDefault="0032006C" w:rsidP="00B31FC6">
            <w:pPr>
              <w:pStyle w:val="TableBodyText"/>
              <w:jc w:val="left"/>
              <w:rPr>
                <w:b/>
              </w:rPr>
            </w:pPr>
            <w:r w:rsidRPr="00C744E0">
              <w:rPr>
                <w:b/>
              </w:rPr>
              <w:t>Interpretability</w:t>
            </w:r>
          </w:p>
        </w:tc>
        <w:tc>
          <w:tcPr>
            <w:tcW w:w="4078" w:type="pct"/>
          </w:tcPr>
          <w:p w:rsidR="0032006C" w:rsidRDefault="0032006C" w:rsidP="00B31FC6">
            <w:pPr>
              <w:pStyle w:val="TableBodyText"/>
              <w:keepNext w:val="0"/>
              <w:tabs>
                <w:tab w:val="left" w:pos="369"/>
              </w:tabs>
              <w:ind w:left="369" w:hanging="363"/>
              <w:jc w:val="both"/>
            </w:pPr>
            <w:r>
              <w:rPr>
                <w:u w:val="single"/>
              </w:rPr>
              <w:t>Numerator</w:t>
            </w:r>
            <w:r>
              <w:t xml:space="preserve"> — </w:t>
            </w:r>
            <w:r w:rsidR="000E31CA">
              <w:t>Total n</w:t>
            </w:r>
            <w:r>
              <w:t>umber of</w:t>
            </w:r>
            <w:r w:rsidR="00B74774">
              <w:t xml:space="preserve"> </w:t>
            </w:r>
            <w:r>
              <w:t xml:space="preserve">FTE </w:t>
            </w:r>
            <w:r w:rsidR="00B74774">
              <w:t>staff</w:t>
            </w:r>
          </w:p>
          <w:p w:rsidR="0032006C" w:rsidRDefault="0032006C" w:rsidP="00B31FC6">
            <w:pPr>
              <w:pStyle w:val="TableBodyText"/>
              <w:keepNext w:val="0"/>
              <w:ind w:left="32" w:hanging="26"/>
              <w:jc w:val="left"/>
              <w:rPr>
                <w:rFonts w:ascii="Helvetica" w:hAnsi="Helvetica"/>
                <w:lang w:val="en"/>
              </w:rPr>
            </w:pPr>
            <w:r>
              <w:rPr>
                <w:rFonts w:ascii="Helvetica" w:hAnsi="Helvetica"/>
                <w:lang w:val="en"/>
              </w:rPr>
              <w:t xml:space="preserve">Contextual information for </w:t>
            </w:r>
            <w:r w:rsidR="00B74774">
              <w:rPr>
                <w:rFonts w:ascii="Helvetica" w:hAnsi="Helvetica"/>
                <w:lang w:val="en"/>
              </w:rPr>
              <w:t>total FTE staff</w:t>
            </w:r>
            <w:r>
              <w:rPr>
                <w:rFonts w:ascii="Helvetica" w:hAnsi="Helvetica"/>
                <w:lang w:val="en"/>
              </w:rPr>
              <w:t xml:space="preserve"> data are provided in the Court</w:t>
            </w:r>
            <w:r w:rsidR="00FB0FCD">
              <w:rPr>
                <w:rFonts w:ascii="Helvetica" w:hAnsi="Helvetica"/>
                <w:lang w:val="en"/>
              </w:rPr>
              <w:t>s</w:t>
            </w:r>
            <w:r>
              <w:rPr>
                <w:rFonts w:ascii="Helvetica" w:hAnsi="Helvetica"/>
                <w:lang w:val="en"/>
              </w:rPr>
              <w:t xml:space="preserve"> chapter and attachment tables.</w:t>
            </w:r>
          </w:p>
          <w:p w:rsidR="0032006C" w:rsidRPr="003B2C6C" w:rsidRDefault="0032006C" w:rsidP="00B31FC6">
            <w:pPr>
              <w:pStyle w:val="TableBodyText"/>
              <w:keepNext w:val="0"/>
              <w:ind w:left="32" w:hanging="26"/>
              <w:jc w:val="left"/>
            </w:pPr>
            <w:r>
              <w:rPr>
                <w:rFonts w:ascii="Helvetica" w:hAnsi="Helvetica"/>
                <w:u w:val="single"/>
                <w:lang w:val="en"/>
              </w:rPr>
              <w:t>Denominator</w:t>
            </w:r>
            <w:r>
              <w:rPr>
                <w:rFonts w:ascii="Helvetica" w:hAnsi="Helvetica"/>
                <w:lang w:val="en"/>
              </w:rPr>
              <w:t xml:space="preserve"> — Total number of cases </w:t>
            </w:r>
            <w:proofErr w:type="spellStart"/>
            <w:r>
              <w:rPr>
                <w:rFonts w:ascii="Helvetica" w:hAnsi="Helvetica"/>
                <w:lang w:val="en"/>
              </w:rPr>
              <w:t>finalised</w:t>
            </w:r>
            <w:proofErr w:type="spellEnd"/>
            <w:r>
              <w:rPr>
                <w:rFonts w:ascii="Helvetica" w:hAnsi="Helvetica"/>
                <w:lang w:val="en"/>
              </w:rPr>
              <w:t xml:space="preserve"> in a financial year</w:t>
            </w:r>
          </w:p>
          <w:p w:rsidR="0032006C" w:rsidRDefault="0032006C" w:rsidP="00B31FC6">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32006C" w:rsidRPr="00292C41" w:rsidRDefault="0032006C" w:rsidP="00B31FC6">
            <w:pPr>
              <w:pStyle w:val="TableBodyText"/>
              <w:ind w:left="0" w:firstLine="6"/>
              <w:jc w:val="left"/>
            </w:pPr>
          </w:p>
        </w:tc>
      </w:tr>
      <w:tr w:rsidR="0032006C" w:rsidTr="00B31FC6">
        <w:tc>
          <w:tcPr>
            <w:tcW w:w="5000" w:type="pct"/>
            <w:gridSpan w:val="2"/>
            <w:shd w:val="clear" w:color="auto" w:fill="auto"/>
          </w:tcPr>
          <w:p w:rsidR="0032006C" w:rsidRDefault="0032006C" w:rsidP="00B31FC6">
            <w:pPr>
              <w:pStyle w:val="TableBodyText"/>
              <w:jc w:val="left"/>
              <w:rPr>
                <w:b/>
                <w:u w:val="single"/>
              </w:rPr>
            </w:pPr>
          </w:p>
          <w:p w:rsidR="0032006C" w:rsidRPr="00C744E0" w:rsidRDefault="0032006C" w:rsidP="00B31FC6">
            <w:pPr>
              <w:pStyle w:val="TableBodyText"/>
              <w:jc w:val="left"/>
              <w:rPr>
                <w:b/>
                <w:u w:val="single"/>
              </w:rPr>
            </w:pPr>
            <w:r w:rsidRPr="00C744E0">
              <w:rPr>
                <w:b/>
                <w:u w:val="single"/>
              </w:rPr>
              <w:t>Data Gaps/Issues Analysis</w:t>
            </w:r>
          </w:p>
        </w:tc>
      </w:tr>
      <w:tr w:rsidR="0032006C" w:rsidTr="00B31FC6">
        <w:tc>
          <w:tcPr>
            <w:tcW w:w="922" w:type="pct"/>
            <w:shd w:val="clear" w:color="auto" w:fill="auto"/>
          </w:tcPr>
          <w:p w:rsidR="0032006C" w:rsidRPr="00C744E0" w:rsidRDefault="0032006C" w:rsidP="00B31FC6">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32006C" w:rsidRDefault="0032006C" w:rsidP="00B31FC6">
            <w:pPr>
              <w:pStyle w:val="TableBodyText"/>
              <w:jc w:val="both"/>
            </w:pPr>
            <w:r w:rsidRPr="00B96E3E">
              <w:t xml:space="preserve">The Steering Committee notes the following key data gaps/issues: </w:t>
            </w:r>
          </w:p>
          <w:p w:rsidR="0032006C" w:rsidRDefault="0032006C" w:rsidP="00B31FC6">
            <w:pPr>
              <w:pStyle w:val="TableBullet"/>
              <w:tabs>
                <w:tab w:val="left" w:pos="170"/>
              </w:tabs>
              <w:ind w:left="176"/>
              <w:jc w:val="both"/>
            </w:pPr>
            <w:r>
              <w:t xml:space="preserve">Jurisdictions may need to apportion or estimate </w:t>
            </w:r>
            <w:r w:rsidR="00B62BEA">
              <w:t>FTE</w:t>
            </w:r>
            <w:r>
              <w:t xml:space="preserve"> staff numbers between criminal and civil levels of the magistrates, children’s, district/county and supreme courts. This may affect accuracy and comparability of data.</w:t>
            </w:r>
          </w:p>
          <w:p w:rsidR="0032006C" w:rsidRPr="00B96E3E" w:rsidRDefault="0032006C" w:rsidP="00B31FC6">
            <w:pPr>
              <w:pStyle w:val="TableBullet"/>
              <w:tabs>
                <w:tab w:val="left" w:pos="170"/>
              </w:tabs>
              <w:ind w:left="176"/>
              <w:jc w:val="both"/>
            </w:pPr>
            <w:r>
              <w:t>The deeming rule can complicate the counting of finalisations.</w:t>
            </w:r>
          </w:p>
        </w:tc>
      </w:tr>
    </w:tbl>
    <w:p w:rsidR="0032006C" w:rsidRDefault="0032006C" w:rsidP="0032006C">
      <w:pPr>
        <w:pStyle w:val="BodyText"/>
      </w:pPr>
    </w:p>
    <w:p w:rsidR="00BA573C" w:rsidRDefault="00BA573C" w:rsidP="00A652F1">
      <w:pPr>
        <w:pStyle w:val="BodyText"/>
      </w:pPr>
    </w:p>
    <w:p w:rsidR="00BA573C" w:rsidRPr="00016770" w:rsidRDefault="00BA573C" w:rsidP="00BA573C">
      <w:pPr>
        <w:pStyle w:val="Heading3"/>
        <w:spacing w:before="120"/>
      </w:pPr>
      <w:r>
        <w:br w:type="page"/>
      </w:r>
      <w:bookmarkStart w:id="16" w:name="_Toc338344195"/>
      <w:r>
        <w:lastRenderedPageBreak/>
        <w:t>Cost per finalisation</w:t>
      </w:r>
      <w:bookmarkEnd w:id="16"/>
    </w:p>
    <w:p w:rsidR="00BA573C" w:rsidRPr="00101653" w:rsidRDefault="00BA573C" w:rsidP="00BA573C">
      <w:pPr>
        <w:pStyle w:val="Box"/>
      </w:pPr>
      <w:r w:rsidRPr="00016770">
        <w:t>Data quality information for this indicator has been drafted by the Secretariat in consultation with the Court</w:t>
      </w:r>
      <w:r w:rsidR="00FB0FCD">
        <w:t>s</w:t>
      </w:r>
      <w:r w:rsidRPr="00016770">
        <w:t xml:space="preserve"> Working Group and the Courts Practitioner Group, with additional Steering Committee comments.</w:t>
      </w:r>
    </w:p>
    <w:tbl>
      <w:tblPr>
        <w:tblW w:w="5000" w:type="pct"/>
        <w:tblCellMar>
          <w:left w:w="0" w:type="dxa"/>
          <w:right w:w="0" w:type="dxa"/>
        </w:tblCellMar>
        <w:tblLook w:val="0000" w:firstRow="0" w:lastRow="0" w:firstColumn="0" w:lastColumn="0" w:noHBand="0" w:noVBand="0"/>
      </w:tblPr>
      <w:tblGrid>
        <w:gridCol w:w="1621"/>
        <w:gridCol w:w="7168"/>
      </w:tblGrid>
      <w:tr w:rsidR="00BA573C" w:rsidTr="009F68FC">
        <w:tc>
          <w:tcPr>
            <w:tcW w:w="5000" w:type="pct"/>
            <w:gridSpan w:val="2"/>
          </w:tcPr>
          <w:p w:rsidR="00BA573C" w:rsidRDefault="00BA573C" w:rsidP="009F68FC">
            <w:pPr>
              <w:pStyle w:val="TableBodyText"/>
              <w:jc w:val="both"/>
              <w:rPr>
                <w:b/>
                <w:u w:val="single"/>
              </w:rPr>
            </w:pPr>
          </w:p>
          <w:p w:rsidR="00BA573C" w:rsidRDefault="00BA573C" w:rsidP="009F68FC">
            <w:pPr>
              <w:pStyle w:val="TableBodyText"/>
              <w:jc w:val="both"/>
            </w:pPr>
            <w:r w:rsidRPr="007D0BFD">
              <w:rPr>
                <w:b/>
                <w:u w:val="single"/>
              </w:rPr>
              <w:t>Indicator definition and description</w:t>
            </w:r>
            <w:r>
              <w:rPr>
                <w:rFonts w:cs="Arial"/>
                <w:b/>
                <w:sz w:val="22"/>
                <w:szCs w:val="22"/>
                <w:u w:val="single"/>
              </w:rPr>
              <w:t xml:space="preserve"> </w:t>
            </w:r>
          </w:p>
        </w:tc>
      </w:tr>
      <w:tr w:rsidR="00BA573C" w:rsidTr="009F68FC">
        <w:tc>
          <w:tcPr>
            <w:tcW w:w="922" w:type="pct"/>
          </w:tcPr>
          <w:p w:rsidR="00BA573C" w:rsidRPr="00C744E0" w:rsidRDefault="00BA573C" w:rsidP="009F68FC">
            <w:pPr>
              <w:pStyle w:val="TableBodyText"/>
              <w:jc w:val="left"/>
              <w:rPr>
                <w:b/>
              </w:rPr>
            </w:pPr>
            <w:r w:rsidRPr="00C744E0">
              <w:rPr>
                <w:b/>
              </w:rPr>
              <w:t>Element</w:t>
            </w:r>
          </w:p>
        </w:tc>
        <w:tc>
          <w:tcPr>
            <w:tcW w:w="4078" w:type="pct"/>
          </w:tcPr>
          <w:p w:rsidR="00BA573C" w:rsidRPr="00A1569C" w:rsidRDefault="00BA573C" w:rsidP="00FB0FCD">
            <w:pPr>
              <w:pStyle w:val="TableBodyText"/>
              <w:jc w:val="both"/>
            </w:pPr>
            <w:r>
              <w:t>Court Efficiency – Input</w:t>
            </w:r>
            <w:r w:rsidR="00A27B5C">
              <w:t>s per unit of output – Cost per finalisation</w:t>
            </w:r>
          </w:p>
        </w:tc>
      </w:tr>
      <w:tr w:rsidR="00BA573C" w:rsidTr="009F68FC">
        <w:tc>
          <w:tcPr>
            <w:tcW w:w="922" w:type="pct"/>
          </w:tcPr>
          <w:p w:rsidR="00BA573C" w:rsidRPr="00C744E0" w:rsidRDefault="00BA573C" w:rsidP="009F68FC">
            <w:pPr>
              <w:pStyle w:val="TableBodyText"/>
              <w:jc w:val="left"/>
              <w:rPr>
                <w:b/>
              </w:rPr>
            </w:pPr>
            <w:r w:rsidRPr="00C744E0">
              <w:rPr>
                <w:b/>
              </w:rPr>
              <w:t>Indicator</w:t>
            </w:r>
          </w:p>
        </w:tc>
        <w:tc>
          <w:tcPr>
            <w:tcW w:w="4078" w:type="pct"/>
          </w:tcPr>
          <w:p w:rsidR="00BA573C" w:rsidRPr="00E17A32" w:rsidRDefault="00A27B5C" w:rsidP="009F68FC">
            <w:pPr>
              <w:pStyle w:val="TableBodyText"/>
              <w:jc w:val="both"/>
            </w:pPr>
            <w:r>
              <w:t>Cost per finalisation</w:t>
            </w:r>
          </w:p>
        </w:tc>
      </w:tr>
      <w:tr w:rsidR="00BA573C" w:rsidTr="009F68FC">
        <w:tc>
          <w:tcPr>
            <w:tcW w:w="922" w:type="pct"/>
          </w:tcPr>
          <w:p w:rsidR="00BA573C" w:rsidRPr="00C744E0" w:rsidRDefault="00BA573C" w:rsidP="009F68FC">
            <w:pPr>
              <w:pStyle w:val="TableBodyText"/>
              <w:jc w:val="left"/>
              <w:rPr>
                <w:b/>
              </w:rPr>
            </w:pPr>
            <w:r w:rsidRPr="00C744E0">
              <w:rPr>
                <w:b/>
              </w:rPr>
              <w:t>Measure (computation)</w:t>
            </w:r>
          </w:p>
        </w:tc>
        <w:tc>
          <w:tcPr>
            <w:tcW w:w="4078" w:type="pct"/>
          </w:tcPr>
          <w:p w:rsidR="00BA573C" w:rsidRDefault="00A27B5C" w:rsidP="009F68FC">
            <w:pPr>
              <w:pStyle w:val="TableBodyText"/>
              <w:jc w:val="both"/>
            </w:pPr>
            <w:r>
              <w:t>‘Cost per finalisation</w:t>
            </w:r>
            <w:r w:rsidR="00BA573C">
              <w:t>’ is measured by</w:t>
            </w:r>
            <w:r>
              <w:t xml:space="preserve"> dividing the total net recurrent expenditure within each court for the financial year by the total number of finalisations for the same period</w:t>
            </w:r>
            <w:r w:rsidR="00BA573C">
              <w:t>.</w:t>
            </w:r>
            <w:r>
              <w:t xml:space="preserve"> Cost is defined as the total net recurrent annual expenditure, excluding payroll tax. Net cost refers to expenditure minus income (where income is derived from court fees and other revenue but excludes revenue from fines). </w:t>
            </w:r>
          </w:p>
          <w:p w:rsidR="00BA573C" w:rsidRDefault="00BA573C" w:rsidP="009F68FC">
            <w:pPr>
              <w:pStyle w:val="TableBodyText"/>
              <w:jc w:val="both"/>
            </w:pPr>
            <w:r>
              <w:rPr>
                <w:u w:val="single"/>
              </w:rPr>
              <w:t>Numerator</w:t>
            </w:r>
            <w:r>
              <w:t xml:space="preserve"> is defined as:</w:t>
            </w:r>
          </w:p>
          <w:p w:rsidR="00BA573C" w:rsidRPr="005A5147" w:rsidRDefault="00BA573C" w:rsidP="009F68FC">
            <w:pPr>
              <w:pStyle w:val="TableBodyText"/>
              <w:numPr>
                <w:ilvl w:val="0"/>
                <w:numId w:val="42"/>
              </w:numPr>
              <w:jc w:val="left"/>
            </w:pPr>
            <w:r>
              <w:t xml:space="preserve">Total </w:t>
            </w:r>
            <w:r w:rsidR="00A27B5C">
              <w:t>net recurrent expenditure</w:t>
            </w:r>
            <w:r>
              <w:t xml:space="preserve"> in a financial year</w:t>
            </w:r>
          </w:p>
          <w:p w:rsidR="00BA573C" w:rsidRDefault="00BA573C" w:rsidP="009F68FC">
            <w:pPr>
              <w:pStyle w:val="TableBullet"/>
              <w:numPr>
                <w:ilvl w:val="0"/>
                <w:numId w:val="0"/>
              </w:numPr>
              <w:spacing w:line="220" w:lineRule="exact"/>
              <w:ind w:left="6"/>
              <w:jc w:val="both"/>
            </w:pPr>
          </w:p>
          <w:p w:rsidR="00BA573C" w:rsidRPr="005D4651" w:rsidRDefault="00BA573C" w:rsidP="009F68FC">
            <w:pPr>
              <w:pStyle w:val="TableBodyText"/>
              <w:jc w:val="both"/>
            </w:pPr>
            <w:r>
              <w:rPr>
                <w:u w:val="single"/>
              </w:rPr>
              <w:t>Denominator</w:t>
            </w:r>
            <w:r>
              <w:t xml:space="preserve"> is defined as:</w:t>
            </w:r>
          </w:p>
          <w:p w:rsidR="00BA573C" w:rsidRPr="00B96E3E" w:rsidRDefault="00A27B5C" w:rsidP="009F68FC">
            <w:pPr>
              <w:pStyle w:val="TableBullet"/>
              <w:numPr>
                <w:ilvl w:val="0"/>
                <w:numId w:val="42"/>
              </w:numPr>
              <w:spacing w:line="220" w:lineRule="exact"/>
              <w:jc w:val="both"/>
            </w:pPr>
            <w:r>
              <w:t>Total number of cases finalised</w:t>
            </w:r>
            <w:r w:rsidR="00BA573C">
              <w:t xml:space="preserve"> in a financial year</w:t>
            </w:r>
          </w:p>
        </w:tc>
      </w:tr>
      <w:tr w:rsidR="00BA573C" w:rsidTr="009F68FC">
        <w:tc>
          <w:tcPr>
            <w:tcW w:w="922" w:type="pct"/>
          </w:tcPr>
          <w:p w:rsidR="00BA573C" w:rsidRPr="00C744E0" w:rsidRDefault="00BA573C" w:rsidP="009F68FC">
            <w:pPr>
              <w:pStyle w:val="TableBodyText"/>
              <w:jc w:val="left"/>
              <w:rPr>
                <w:b/>
              </w:rPr>
            </w:pPr>
            <w:r w:rsidRPr="00C744E0">
              <w:rPr>
                <w:b/>
              </w:rPr>
              <w:t>Data source/s</w:t>
            </w:r>
          </w:p>
        </w:tc>
        <w:tc>
          <w:tcPr>
            <w:tcW w:w="4078" w:type="pct"/>
          </w:tcPr>
          <w:p w:rsidR="00BA573C" w:rsidRPr="00B96E3E" w:rsidRDefault="0014734D" w:rsidP="00FB0FCD">
            <w:pPr>
              <w:pStyle w:val="TableBodyText"/>
              <w:jc w:val="both"/>
            </w:pPr>
            <w:r>
              <w:t xml:space="preserve">Expenditure, income </w:t>
            </w:r>
            <w:r w:rsidR="00BA573C">
              <w:t>and case finalisation data</w:t>
            </w:r>
            <w:r w:rsidR="00BA573C" w:rsidRPr="00C34F8E">
              <w:t xml:space="preserve"> are sourced from</w:t>
            </w:r>
            <w:r w:rsidR="00BA573C">
              <w:t xml:space="preserve"> administrative data collected by</w:t>
            </w:r>
            <w:r w:rsidR="00BA573C" w:rsidRPr="00C34F8E">
              <w:t xml:space="preserve"> </w:t>
            </w:r>
            <w:r w:rsidR="00BA573C">
              <w:t>Australian, State and Territory court authorities and departments.</w:t>
            </w:r>
          </w:p>
        </w:tc>
      </w:tr>
      <w:tr w:rsidR="00BA573C" w:rsidTr="009F68FC">
        <w:tc>
          <w:tcPr>
            <w:tcW w:w="5000" w:type="pct"/>
            <w:gridSpan w:val="2"/>
          </w:tcPr>
          <w:p w:rsidR="00BA573C" w:rsidRDefault="00BA573C" w:rsidP="009F68FC">
            <w:pPr>
              <w:pStyle w:val="TableBodyText"/>
              <w:jc w:val="both"/>
              <w:rPr>
                <w:b/>
                <w:u w:val="single"/>
              </w:rPr>
            </w:pPr>
          </w:p>
          <w:p w:rsidR="00BA573C" w:rsidRPr="00C744E0" w:rsidRDefault="00BA573C" w:rsidP="009F68FC">
            <w:pPr>
              <w:pStyle w:val="TableBodyText"/>
              <w:jc w:val="both"/>
              <w:rPr>
                <w:b/>
                <w:u w:val="single"/>
              </w:rPr>
            </w:pPr>
            <w:r w:rsidRPr="00C744E0">
              <w:rPr>
                <w:b/>
                <w:u w:val="single"/>
              </w:rPr>
              <w:t>Data Quality Framework Dimensions</w:t>
            </w:r>
          </w:p>
        </w:tc>
      </w:tr>
      <w:tr w:rsidR="00BA573C" w:rsidTr="009F68FC">
        <w:tc>
          <w:tcPr>
            <w:tcW w:w="922" w:type="pct"/>
          </w:tcPr>
          <w:p w:rsidR="00BA573C" w:rsidRPr="00C744E0" w:rsidRDefault="00BA573C" w:rsidP="009F68FC">
            <w:pPr>
              <w:pStyle w:val="TableBodyText"/>
              <w:jc w:val="left"/>
              <w:rPr>
                <w:b/>
              </w:rPr>
            </w:pPr>
            <w:r w:rsidRPr="00C744E0">
              <w:rPr>
                <w:b/>
              </w:rPr>
              <w:t>Institutional environment</w:t>
            </w:r>
          </w:p>
        </w:tc>
        <w:tc>
          <w:tcPr>
            <w:tcW w:w="4078" w:type="pct"/>
          </w:tcPr>
          <w:p w:rsidR="00BA573C" w:rsidRPr="00FA2F8F" w:rsidRDefault="00BA573C" w:rsidP="009F68FC">
            <w:pPr>
              <w:pStyle w:val="TableBodyText"/>
              <w:jc w:val="both"/>
              <w:rPr>
                <w:rFonts w:cs="Arial"/>
              </w:rPr>
            </w:pPr>
            <w:r>
              <w:rPr>
                <w:rFonts w:cs="Arial"/>
                <w:u w:val="single"/>
              </w:rPr>
              <w:t>Numerator</w:t>
            </w:r>
            <w:r>
              <w:rPr>
                <w:rFonts w:cs="Arial"/>
              </w:rPr>
              <w:t xml:space="preserve"> — Total </w:t>
            </w:r>
            <w:r w:rsidR="00406F53">
              <w:rPr>
                <w:rFonts w:cs="Arial"/>
              </w:rPr>
              <w:t>net recurrent expenditure in a financial year</w:t>
            </w:r>
          </w:p>
          <w:p w:rsidR="00BA573C" w:rsidRDefault="00BA573C" w:rsidP="009F68FC">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BA573C" w:rsidRDefault="00BA573C" w:rsidP="009F68FC">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BA573C" w:rsidRPr="00C34F8E" w:rsidRDefault="00BA573C" w:rsidP="009F68FC">
            <w:pPr>
              <w:pStyle w:val="TableBodyText"/>
              <w:jc w:val="both"/>
              <w:rPr>
                <w:rFonts w:cs="Arial"/>
              </w:rPr>
            </w:pPr>
          </w:p>
          <w:p w:rsidR="00BA573C" w:rsidRPr="00FA2F8F" w:rsidRDefault="00BA573C" w:rsidP="009F68FC">
            <w:pPr>
              <w:pStyle w:val="TableBodyText"/>
              <w:jc w:val="both"/>
            </w:pPr>
            <w:r w:rsidRPr="00EF61C2">
              <w:rPr>
                <w:u w:val="single"/>
              </w:rPr>
              <w:t>Denominator</w:t>
            </w:r>
            <w:r w:rsidR="00406F53">
              <w:t xml:space="preserve"> — Total number of cases finalised</w:t>
            </w:r>
            <w:r>
              <w:t xml:space="preserve"> in a financial year</w:t>
            </w:r>
          </w:p>
          <w:p w:rsidR="00BA573C" w:rsidRDefault="00BA573C" w:rsidP="009F68FC">
            <w:pPr>
              <w:pStyle w:val="TableBodyText"/>
              <w:jc w:val="both"/>
              <w:rPr>
                <w:rFonts w:cs="Arial"/>
              </w:rPr>
            </w:pPr>
            <w:r w:rsidRPr="009875F7">
              <w:rPr>
                <w:rFonts w:cs="Arial"/>
              </w:rPr>
              <w:t xml:space="preserve">In most </w:t>
            </w:r>
            <w:r>
              <w:rPr>
                <w:rFonts w:cs="Arial"/>
              </w:rPr>
              <w:t>jurisdictions, the data are</w:t>
            </w:r>
            <w:r w:rsidRPr="009875F7">
              <w:rPr>
                <w:rFonts w:cs="Arial"/>
              </w:rPr>
              <w:t xml:space="preserve"> </w:t>
            </w:r>
            <w:r>
              <w:rPr>
                <w:rFonts w:cs="Arial"/>
              </w:rPr>
              <w:t xml:space="preserve">collected and </w:t>
            </w:r>
            <w:r w:rsidRPr="009875F7">
              <w:rPr>
                <w:rFonts w:cs="Arial"/>
              </w:rPr>
              <w:t xml:space="preserve">compiled by the court </w:t>
            </w:r>
            <w:r>
              <w:rPr>
                <w:rFonts w:cs="Arial"/>
              </w:rPr>
              <w:t xml:space="preserve">authority. </w:t>
            </w:r>
            <w:r w:rsidRPr="009875F7">
              <w:rPr>
                <w:rFonts w:cs="Arial"/>
              </w:rPr>
              <w:t xml:space="preserve">In the </w:t>
            </w:r>
            <w:r>
              <w:rPr>
                <w:rFonts w:cs="Arial"/>
              </w:rPr>
              <w:t>other jurisdictions</w:t>
            </w:r>
            <w:r w:rsidRPr="009875F7">
              <w:rPr>
                <w:rFonts w:cs="Arial"/>
              </w:rPr>
              <w:t>, it is</w:t>
            </w:r>
            <w:r>
              <w:rPr>
                <w:rFonts w:cs="Arial"/>
              </w:rPr>
              <w:t xml:space="preserve"> collected and compiled by governing departments.</w:t>
            </w:r>
          </w:p>
          <w:p w:rsidR="00BA573C" w:rsidRDefault="00BA573C" w:rsidP="009F68FC">
            <w:pPr>
              <w:pStyle w:val="TableBodyText"/>
              <w:jc w:val="both"/>
              <w:rPr>
                <w:rFonts w:cs="Arial"/>
              </w:rPr>
            </w:pPr>
            <w:r>
              <w:rPr>
                <w:rFonts w:cs="Arial"/>
              </w:rPr>
              <w:t xml:space="preserve">The data are requested and submitted in accordance with the </w:t>
            </w:r>
            <w:r w:rsidRPr="00997DC6">
              <w:rPr>
                <w:color w:val="000000"/>
              </w:rPr>
              <w:t>authority</w:t>
            </w:r>
            <w:r>
              <w:rPr>
                <w:rFonts w:cs="Arial"/>
              </w:rPr>
              <w:t xml:space="preserve"> of the terms of reference of the Review of Government Service Provision.</w:t>
            </w:r>
          </w:p>
          <w:p w:rsidR="00BA573C" w:rsidRPr="00062F62" w:rsidRDefault="00BA573C" w:rsidP="009F68FC">
            <w:pPr>
              <w:pStyle w:val="TableBodyText"/>
              <w:keepNext w:val="0"/>
              <w:jc w:val="both"/>
              <w:rPr>
                <w:rFonts w:cs="Arial"/>
              </w:rPr>
            </w:pPr>
          </w:p>
        </w:tc>
      </w:tr>
      <w:tr w:rsidR="00BA573C" w:rsidTr="009F68FC">
        <w:tc>
          <w:tcPr>
            <w:tcW w:w="922" w:type="pct"/>
          </w:tcPr>
          <w:p w:rsidR="00BA573C" w:rsidRPr="00C744E0" w:rsidRDefault="00BA573C" w:rsidP="009F68FC">
            <w:pPr>
              <w:pStyle w:val="TableBodyText"/>
              <w:jc w:val="left"/>
              <w:rPr>
                <w:b/>
              </w:rPr>
            </w:pPr>
            <w:r w:rsidRPr="00C744E0">
              <w:rPr>
                <w:b/>
              </w:rPr>
              <w:t>Relevance</w:t>
            </w:r>
          </w:p>
        </w:tc>
        <w:tc>
          <w:tcPr>
            <w:tcW w:w="4078" w:type="pct"/>
          </w:tcPr>
          <w:p w:rsidR="00BA573C" w:rsidRDefault="00AC1903" w:rsidP="009F68FC">
            <w:pPr>
              <w:pStyle w:val="TableBullet"/>
              <w:numPr>
                <w:ilvl w:val="0"/>
                <w:numId w:val="0"/>
              </w:numPr>
              <w:jc w:val="both"/>
            </w:pPr>
            <w:r>
              <w:t>‘Cost per finalisation’ is</w:t>
            </w:r>
            <w:r w:rsidR="00BA573C">
              <w:t xml:space="preserve"> an indicator of governments’ achievement against the objective of providing court services in an efficient manner. </w:t>
            </w:r>
            <w:r>
              <w:t>This indicator is not a measure of the actual cost per case.</w:t>
            </w:r>
          </w:p>
          <w:p w:rsidR="00BA573C" w:rsidRPr="00B96E3E" w:rsidRDefault="00BA573C" w:rsidP="009F68FC">
            <w:pPr>
              <w:pStyle w:val="TableBodyText"/>
              <w:ind w:left="0"/>
              <w:jc w:val="left"/>
            </w:pPr>
            <w:r w:rsidRPr="00F20BEC">
              <w:t>For fu</w:t>
            </w:r>
            <w:r>
              <w:t>rth</w:t>
            </w:r>
            <w:r w:rsidR="00FC5C8B">
              <w:t>er information on the cost per finalisation</w:t>
            </w:r>
            <w:r w:rsidRPr="00F20BEC">
              <w:t xml:space="preserve"> indicator refer to </w:t>
            </w:r>
            <w:smartTag w:uri="urn:schemas-microsoft-com:office:smarttags" w:element="Street">
              <w:r w:rsidRPr="00F20BEC">
                <w:t>Box</w:t>
              </w:r>
            </w:smartTag>
            <w:r w:rsidR="0079676E">
              <w:t xml:space="preserve"> 7.16</w:t>
            </w:r>
            <w:r w:rsidRPr="00F20BEC">
              <w:t xml:space="preserve"> </w:t>
            </w:r>
            <w:r>
              <w:t xml:space="preserve">in chapter 7 </w:t>
            </w:r>
            <w:r w:rsidRPr="00F20BEC">
              <w:t>of the Report.</w:t>
            </w:r>
          </w:p>
        </w:tc>
      </w:tr>
      <w:tr w:rsidR="00BA573C" w:rsidTr="009F68FC">
        <w:tc>
          <w:tcPr>
            <w:tcW w:w="922" w:type="pct"/>
          </w:tcPr>
          <w:p w:rsidR="00BA573C" w:rsidRPr="00C744E0" w:rsidRDefault="00BA573C" w:rsidP="009F68FC">
            <w:pPr>
              <w:pStyle w:val="TableBodyText"/>
              <w:jc w:val="both"/>
              <w:rPr>
                <w:b/>
              </w:rPr>
            </w:pPr>
            <w:r w:rsidRPr="00C744E0">
              <w:rPr>
                <w:b/>
              </w:rPr>
              <w:t>Timeliness</w:t>
            </w:r>
          </w:p>
        </w:tc>
        <w:tc>
          <w:tcPr>
            <w:tcW w:w="4078" w:type="pct"/>
          </w:tcPr>
          <w:p w:rsidR="00BA573C" w:rsidRDefault="00BA573C" w:rsidP="009F68FC">
            <w:pPr>
              <w:pStyle w:val="TableBodyText"/>
              <w:keepNext w:val="0"/>
              <w:jc w:val="both"/>
            </w:pPr>
            <w:r>
              <w:t xml:space="preserve">The reference period for </w:t>
            </w:r>
            <w:r w:rsidR="003E3FB1">
              <w:t xml:space="preserve">cost </w:t>
            </w:r>
            <w:r>
              <w:t>a</w:t>
            </w:r>
            <w:r w:rsidR="0079676E">
              <w:t>nd finalisation data is the 2012-13</w:t>
            </w:r>
            <w:r>
              <w:t xml:space="preserve"> financial year. Dat</w:t>
            </w:r>
            <w:r w:rsidR="0079676E">
              <w:t>a are provided in September 2013</w:t>
            </w:r>
            <w:r>
              <w:t>,</w:t>
            </w:r>
            <w:r w:rsidR="0079676E">
              <w:t xml:space="preserve"> for publication in January 2014</w:t>
            </w:r>
            <w:r>
              <w:t>.</w:t>
            </w:r>
          </w:p>
          <w:p w:rsidR="00BA573C" w:rsidRPr="009F199D" w:rsidRDefault="00BA573C" w:rsidP="009F68FC">
            <w:pPr>
              <w:pStyle w:val="TableBodyText"/>
              <w:keepNext w:val="0"/>
              <w:jc w:val="both"/>
            </w:pPr>
            <w:r>
              <w:t>Data can be revised retrospectively up to 5 years later.</w:t>
            </w:r>
          </w:p>
        </w:tc>
      </w:tr>
      <w:tr w:rsidR="00BA573C" w:rsidTr="009F68FC">
        <w:tc>
          <w:tcPr>
            <w:tcW w:w="922" w:type="pct"/>
          </w:tcPr>
          <w:p w:rsidR="00BA573C" w:rsidRPr="00C744E0" w:rsidRDefault="00BA573C" w:rsidP="009F68FC">
            <w:pPr>
              <w:pStyle w:val="TableBodyText"/>
              <w:keepNext w:val="0"/>
              <w:jc w:val="left"/>
              <w:rPr>
                <w:b/>
              </w:rPr>
            </w:pPr>
            <w:r w:rsidRPr="00C744E0">
              <w:rPr>
                <w:b/>
              </w:rPr>
              <w:t>Accuracy</w:t>
            </w:r>
          </w:p>
        </w:tc>
        <w:tc>
          <w:tcPr>
            <w:tcW w:w="4078" w:type="pct"/>
          </w:tcPr>
          <w:p w:rsidR="0026307C" w:rsidRPr="00FA2F8F" w:rsidRDefault="0026307C" w:rsidP="0026307C">
            <w:pPr>
              <w:pStyle w:val="TableBodyText"/>
              <w:jc w:val="both"/>
              <w:rPr>
                <w:rFonts w:cs="Arial"/>
              </w:rPr>
            </w:pPr>
            <w:r>
              <w:rPr>
                <w:rFonts w:cs="Arial"/>
                <w:u w:val="single"/>
              </w:rPr>
              <w:t>Numerator</w:t>
            </w:r>
            <w:r>
              <w:rPr>
                <w:rFonts w:cs="Arial"/>
              </w:rPr>
              <w:t xml:space="preserve"> — Total net recurrent expenditure in a financial year</w:t>
            </w:r>
          </w:p>
          <w:p w:rsidR="0026307C" w:rsidRDefault="0026307C" w:rsidP="009F68FC">
            <w:pPr>
              <w:pStyle w:val="TableBullet"/>
              <w:keepNext w:val="0"/>
              <w:numPr>
                <w:ilvl w:val="0"/>
                <w:numId w:val="0"/>
              </w:numPr>
              <w:spacing w:line="220" w:lineRule="exact"/>
              <w:ind w:left="6"/>
            </w:pPr>
          </w:p>
          <w:p w:rsidR="0026307C" w:rsidRDefault="0026307C" w:rsidP="009F68FC">
            <w:pPr>
              <w:pStyle w:val="TableBullet"/>
              <w:keepNext w:val="0"/>
              <w:numPr>
                <w:ilvl w:val="0"/>
                <w:numId w:val="0"/>
              </w:numPr>
              <w:spacing w:line="220" w:lineRule="exact"/>
              <w:ind w:left="6"/>
            </w:pPr>
            <w:r>
              <w:t xml:space="preserve">In all jurisdictions the </w:t>
            </w:r>
            <w:r w:rsidR="003E3FB1">
              <w:t xml:space="preserve">identification of </w:t>
            </w:r>
            <w:r>
              <w:t>total net recurrent expenditure</w:t>
            </w:r>
            <w:r w:rsidR="00BA573C">
              <w:t xml:space="preserve"> is done using electronic case management</w:t>
            </w:r>
            <w:r>
              <w:t xml:space="preserve"> and financial</w:t>
            </w:r>
            <w:r w:rsidR="00BA573C">
              <w:t xml:space="preserve"> systems </w:t>
            </w:r>
            <w:r>
              <w:t>which are subject to the normal legislative financial and administrative controls, reconciliation and validation processes to ensure accuracy. Due to the financial nature of the data it is also independently audited for annual reporting purposes.</w:t>
            </w:r>
          </w:p>
          <w:p w:rsidR="0026307C" w:rsidRDefault="0026307C" w:rsidP="009F68FC">
            <w:pPr>
              <w:pStyle w:val="TableBullet"/>
              <w:keepNext w:val="0"/>
              <w:numPr>
                <w:ilvl w:val="0"/>
                <w:numId w:val="0"/>
              </w:numPr>
              <w:spacing w:line="220" w:lineRule="exact"/>
              <w:ind w:left="6"/>
            </w:pPr>
            <w:r>
              <w:lastRenderedPageBreak/>
              <w:t xml:space="preserve">The data provided are consistent with </w:t>
            </w:r>
            <w:proofErr w:type="spellStart"/>
            <w:r>
              <w:t>RoGS</w:t>
            </w:r>
            <w:proofErr w:type="spellEnd"/>
            <w:r>
              <w:t xml:space="preserve"> counting rules and the requested data reported are for all court levels in each jurisdiction.</w:t>
            </w:r>
          </w:p>
          <w:p w:rsidR="00BF6F75" w:rsidRDefault="00BF6F75" w:rsidP="00BF6F75">
            <w:pPr>
              <w:pStyle w:val="TableBodyText"/>
              <w:jc w:val="both"/>
              <w:rPr>
                <w:u w:val="single"/>
              </w:rPr>
            </w:pPr>
          </w:p>
          <w:p w:rsidR="00BF6F75" w:rsidRPr="00FA2F8F" w:rsidRDefault="00BF6F75" w:rsidP="00BF6F75">
            <w:pPr>
              <w:pStyle w:val="TableBodyText"/>
              <w:jc w:val="both"/>
            </w:pPr>
            <w:r w:rsidRPr="00EF61C2">
              <w:rPr>
                <w:u w:val="single"/>
              </w:rPr>
              <w:t>Denominator</w:t>
            </w:r>
            <w:r>
              <w:t xml:space="preserve"> — Total number of cases finalised in a financial year</w:t>
            </w:r>
          </w:p>
          <w:p w:rsidR="0026307C" w:rsidRDefault="0026307C" w:rsidP="009F68FC">
            <w:pPr>
              <w:pStyle w:val="TableBullet"/>
              <w:keepNext w:val="0"/>
              <w:numPr>
                <w:ilvl w:val="0"/>
                <w:numId w:val="0"/>
              </w:numPr>
              <w:spacing w:line="220" w:lineRule="exact"/>
              <w:ind w:left="6"/>
            </w:pPr>
          </w:p>
          <w:p w:rsidR="00BA573C" w:rsidRDefault="00BF6F75" w:rsidP="009F68FC">
            <w:pPr>
              <w:pStyle w:val="TableBullet"/>
              <w:keepNext w:val="0"/>
              <w:numPr>
                <w:ilvl w:val="0"/>
                <w:numId w:val="0"/>
              </w:numPr>
              <w:spacing w:line="220" w:lineRule="exact"/>
              <w:ind w:left="6"/>
            </w:pPr>
            <w:r>
              <w:t xml:space="preserve">The identification of cases finalised is done using electronic case management reporting systems </w:t>
            </w:r>
            <w:r w:rsidR="00BA573C">
              <w:t>except for the following:</w:t>
            </w:r>
          </w:p>
          <w:p w:rsidR="00BA573C" w:rsidRDefault="00BA573C" w:rsidP="009F68FC">
            <w:pPr>
              <w:pStyle w:val="TableBullet"/>
              <w:keepNext w:val="0"/>
              <w:numPr>
                <w:ilvl w:val="0"/>
                <w:numId w:val="42"/>
              </w:numPr>
              <w:jc w:val="both"/>
            </w:pPr>
            <w:r>
              <w:t>In the Supreme Court of New South Wales manually maintained data are used for the majority of civil appeal, and all criminal appeal and non-appeal cases. A small proportion of the civil appeal data is derived electronically but for the 2009-10 collection the NSW electronic system was unable to provide civil non-appeal data so an estimate was given for 2009-10.</w:t>
            </w:r>
          </w:p>
          <w:p w:rsidR="00BA573C" w:rsidRDefault="00BA573C" w:rsidP="009F68FC">
            <w:pPr>
              <w:pStyle w:val="TableBullet"/>
              <w:keepNext w:val="0"/>
              <w:numPr>
                <w:ilvl w:val="0"/>
                <w:numId w:val="0"/>
              </w:numPr>
              <w:jc w:val="both"/>
            </w:pPr>
            <w:r>
              <w:t xml:space="preserve">The data provided are consistent with </w:t>
            </w:r>
            <w:proofErr w:type="spellStart"/>
            <w:r>
              <w:t>RoGS</w:t>
            </w:r>
            <w:proofErr w:type="spellEnd"/>
            <w:r>
              <w:t xml:space="preserve"> counting rules and are reported for all court levels in each jurisdiction.</w:t>
            </w:r>
          </w:p>
          <w:p w:rsidR="00BA573C" w:rsidRPr="00CF5FA0" w:rsidRDefault="00BA573C" w:rsidP="009F68FC">
            <w:pPr>
              <w:pStyle w:val="TableBullet"/>
              <w:keepNext w:val="0"/>
              <w:numPr>
                <w:ilvl w:val="0"/>
                <w:numId w:val="0"/>
              </w:numPr>
              <w:jc w:val="both"/>
            </w:pPr>
            <w:r>
              <w:t>The data are extracted from case management systems which are subject to the normal legislative financial and administrative controls, reconciliation and validation processes to ensure accuracy.</w:t>
            </w:r>
          </w:p>
        </w:tc>
      </w:tr>
      <w:tr w:rsidR="00BA573C" w:rsidTr="009F68FC">
        <w:tc>
          <w:tcPr>
            <w:tcW w:w="922" w:type="pct"/>
          </w:tcPr>
          <w:p w:rsidR="00BA573C" w:rsidRPr="002162BE" w:rsidRDefault="00BA573C" w:rsidP="009F68FC">
            <w:pPr>
              <w:pStyle w:val="TableBodyText"/>
              <w:keepNext w:val="0"/>
              <w:jc w:val="left"/>
              <w:rPr>
                <w:b/>
              </w:rPr>
            </w:pPr>
            <w:r w:rsidRPr="002162BE">
              <w:rPr>
                <w:b/>
              </w:rPr>
              <w:lastRenderedPageBreak/>
              <w:t>Coherence</w:t>
            </w:r>
          </w:p>
        </w:tc>
        <w:tc>
          <w:tcPr>
            <w:tcW w:w="4078" w:type="pct"/>
          </w:tcPr>
          <w:p w:rsidR="003D6908" w:rsidRPr="00FA2F8F" w:rsidRDefault="003D6908" w:rsidP="003D6908">
            <w:pPr>
              <w:pStyle w:val="TableBodyText"/>
              <w:jc w:val="both"/>
              <w:rPr>
                <w:rFonts w:cs="Arial"/>
              </w:rPr>
            </w:pPr>
            <w:r>
              <w:rPr>
                <w:rFonts w:cs="Arial"/>
                <w:u w:val="single"/>
              </w:rPr>
              <w:t>Numerator</w:t>
            </w:r>
            <w:r>
              <w:rPr>
                <w:rFonts w:cs="Arial"/>
              </w:rPr>
              <w:t xml:space="preserve"> — Total net recurrent expenditure in a financial year</w:t>
            </w:r>
          </w:p>
          <w:p w:rsidR="003D6908" w:rsidRDefault="003D6908" w:rsidP="009F68FC">
            <w:pPr>
              <w:pStyle w:val="TableBodyText"/>
              <w:keepNext w:val="0"/>
              <w:jc w:val="both"/>
            </w:pPr>
          </w:p>
          <w:p w:rsidR="00BA573C" w:rsidRDefault="00BA573C" w:rsidP="009F68FC">
            <w:pPr>
              <w:pStyle w:val="TableBodyText"/>
              <w:keepNext w:val="0"/>
              <w:jc w:val="both"/>
            </w:pPr>
            <w:r>
              <w:t xml:space="preserve">For the last five years </w:t>
            </w:r>
            <w:r w:rsidR="003D6908">
              <w:t>data associated with net recurrent expenditure</w:t>
            </w:r>
            <w:r>
              <w:t xml:space="preserve"> have been reported relatively consistently with the following exceptions:</w:t>
            </w:r>
          </w:p>
          <w:p w:rsidR="00BA573C" w:rsidRDefault="00BA573C" w:rsidP="009F68FC">
            <w:pPr>
              <w:pStyle w:val="TableBullet"/>
              <w:keepNext w:val="0"/>
              <w:numPr>
                <w:ilvl w:val="0"/>
                <w:numId w:val="42"/>
              </w:numPr>
              <w:tabs>
                <w:tab w:val="left" w:pos="170"/>
              </w:tabs>
            </w:pPr>
            <w:r>
              <w:tab/>
              <w:t xml:space="preserve">In the Federal Court bankruptcy matters are now excluded from </w:t>
            </w:r>
            <w:proofErr w:type="spellStart"/>
            <w:r>
              <w:t>ROGS</w:t>
            </w:r>
            <w:proofErr w:type="spellEnd"/>
            <w:r>
              <w:t xml:space="preserve"> data.  Data from 2007-08 have been retrospectively adjusted to exclude these matters in the 2012 report.</w:t>
            </w:r>
          </w:p>
          <w:p w:rsidR="003D6908" w:rsidRDefault="003D6908" w:rsidP="009F68FC">
            <w:pPr>
              <w:pStyle w:val="TableBullet"/>
              <w:keepNext w:val="0"/>
              <w:numPr>
                <w:ilvl w:val="0"/>
                <w:numId w:val="42"/>
              </w:numPr>
              <w:tabs>
                <w:tab w:val="left" w:pos="170"/>
              </w:tabs>
            </w:pPr>
            <w:r>
              <w:tab/>
            </w:r>
            <w:r w:rsidR="008A3514">
              <w:t>Changes made for 2009-</w:t>
            </w:r>
            <w:r>
              <w:t>10 data collection</w:t>
            </w:r>
            <w:r w:rsidR="008A3514">
              <w:t xml:space="preserve"> involved a 40% loading for superannuation for judicial officers, and payroll tax expenditure by umbrella and other departments were excluded from net recurrent expenditure</w:t>
            </w:r>
          </w:p>
          <w:p w:rsidR="008A3514" w:rsidRDefault="008A3514" w:rsidP="009F68FC">
            <w:pPr>
              <w:pStyle w:val="TableBullet"/>
              <w:keepNext w:val="0"/>
              <w:numPr>
                <w:ilvl w:val="0"/>
                <w:numId w:val="42"/>
              </w:numPr>
              <w:tabs>
                <w:tab w:val="left" w:pos="170"/>
              </w:tabs>
            </w:pPr>
            <w:r>
              <w:tab/>
              <w:t xml:space="preserve">In the </w:t>
            </w:r>
            <w:smartTag w:uri="urn:schemas-microsoft-com:office:smarttags" w:element="place">
              <w:smartTag w:uri="urn:schemas-microsoft-com:office:smarttags" w:element="State">
                <w:r>
                  <w:t>Northern Territory</w:t>
                </w:r>
              </w:smartTag>
            </w:smartTag>
            <w:r>
              <w:t xml:space="preserve"> a new procedure in collecting and extracting financial data was implemented in 2008 – data are consistent from then.</w:t>
            </w:r>
          </w:p>
          <w:p w:rsidR="003D6908" w:rsidRDefault="00B5251C" w:rsidP="00B5251C">
            <w:pPr>
              <w:pStyle w:val="TableBullet"/>
              <w:keepNext w:val="0"/>
              <w:numPr>
                <w:ilvl w:val="0"/>
                <w:numId w:val="0"/>
              </w:numPr>
              <w:tabs>
                <w:tab w:val="left" w:pos="359"/>
              </w:tabs>
              <w:ind w:left="-1" w:firstLine="1"/>
            </w:pPr>
            <w:r>
              <w:t xml:space="preserve">In most jurisdictions there is an alignment with other publications, </w:t>
            </w:r>
            <w:proofErr w:type="spellStart"/>
            <w:r>
              <w:t>e.g</w:t>
            </w:r>
            <w:proofErr w:type="spellEnd"/>
            <w:r>
              <w:t xml:space="preserve"> annual reports, while in other jurisdictions there are differences due to the </w:t>
            </w:r>
            <w:proofErr w:type="spellStart"/>
            <w:r>
              <w:t>RoGS</w:t>
            </w:r>
            <w:proofErr w:type="spellEnd"/>
            <w:r>
              <w:t xml:space="preserve"> counting rules in relation to exclusions, or the data are not published elsewhere.</w:t>
            </w:r>
          </w:p>
          <w:p w:rsidR="00B5251C" w:rsidRDefault="00B5251C" w:rsidP="00B5251C">
            <w:pPr>
              <w:pStyle w:val="TableBullet"/>
              <w:keepNext w:val="0"/>
              <w:numPr>
                <w:ilvl w:val="0"/>
                <w:numId w:val="0"/>
              </w:numPr>
              <w:tabs>
                <w:tab w:val="left" w:pos="359"/>
              </w:tabs>
              <w:ind w:left="-1" w:firstLine="1"/>
            </w:pPr>
          </w:p>
          <w:p w:rsidR="00B5251C" w:rsidRPr="00FA2F8F" w:rsidRDefault="00B5251C" w:rsidP="00B5251C">
            <w:pPr>
              <w:pStyle w:val="TableBodyText"/>
              <w:jc w:val="both"/>
            </w:pPr>
            <w:r w:rsidRPr="00EF61C2">
              <w:rPr>
                <w:u w:val="single"/>
              </w:rPr>
              <w:t>Denominator</w:t>
            </w:r>
            <w:r>
              <w:t xml:space="preserve"> — Total number of cases finalised in a financial year</w:t>
            </w:r>
          </w:p>
          <w:p w:rsidR="00B5251C" w:rsidRDefault="00B5251C" w:rsidP="00B5251C">
            <w:pPr>
              <w:pStyle w:val="TableBodyText"/>
              <w:keepNext w:val="0"/>
              <w:jc w:val="both"/>
            </w:pPr>
          </w:p>
          <w:p w:rsidR="00B5251C" w:rsidRDefault="00B5251C" w:rsidP="00B5251C">
            <w:pPr>
              <w:pStyle w:val="TableBodyText"/>
              <w:keepNext w:val="0"/>
              <w:jc w:val="both"/>
            </w:pPr>
            <w:r>
              <w:t>For the last five years data have been collected, counted and reported relatively consistently with the following exceptions:</w:t>
            </w:r>
          </w:p>
          <w:p w:rsidR="00B5251C" w:rsidRDefault="00B5251C" w:rsidP="00B5251C">
            <w:pPr>
              <w:pStyle w:val="TableBullet"/>
              <w:keepNext w:val="0"/>
              <w:numPr>
                <w:ilvl w:val="0"/>
                <w:numId w:val="42"/>
              </w:numPr>
              <w:tabs>
                <w:tab w:val="left" w:pos="170"/>
              </w:tabs>
            </w:pPr>
            <w:r>
              <w:tab/>
              <w:t xml:space="preserve">In the Federal Court bankruptcy matters are now excluded from </w:t>
            </w:r>
            <w:proofErr w:type="spellStart"/>
            <w:r>
              <w:t>ROGS</w:t>
            </w:r>
            <w:proofErr w:type="spellEnd"/>
            <w:r>
              <w:t xml:space="preserve"> data.  Data from 2007-08 have been retrospectively adjusted to exclude these matters in the 2012 report.</w:t>
            </w:r>
          </w:p>
          <w:p w:rsidR="00BA573C" w:rsidRDefault="00B5251C" w:rsidP="009F68FC">
            <w:pPr>
              <w:pStyle w:val="TableBullet"/>
              <w:keepNext w:val="0"/>
              <w:numPr>
                <w:ilvl w:val="0"/>
                <w:numId w:val="42"/>
              </w:numPr>
              <w:tabs>
                <w:tab w:val="left" w:pos="170"/>
              </w:tabs>
            </w:pPr>
            <w:r>
              <w:tab/>
            </w:r>
            <w:r w:rsidR="00BA573C" w:rsidRPr="00E222B4">
              <w:t xml:space="preserve">In </w:t>
            </w:r>
            <w:smartTag w:uri="urn:schemas-microsoft-com:office:smarttags" w:element="place">
              <w:smartTag w:uri="urn:schemas-microsoft-com:office:smarttags" w:element="State">
                <w:r w:rsidR="00BA573C" w:rsidRPr="00E222B4">
                  <w:t>South Australia</w:t>
                </w:r>
              </w:smartTag>
            </w:smartTag>
            <w:r w:rsidR="00BA573C" w:rsidRPr="00E222B4">
              <w:t xml:space="preserve"> changes in legislation </w:t>
            </w:r>
            <w:r w:rsidR="00BA573C">
              <w:t>(</w:t>
            </w:r>
            <w:proofErr w:type="spellStart"/>
            <w:r w:rsidR="00BA573C">
              <w:t>e</w:t>
            </w:r>
            <w:r w:rsidR="00BA573C" w:rsidRPr="00E222B4">
              <w:t>g</w:t>
            </w:r>
            <w:proofErr w:type="spellEnd"/>
            <w:r w:rsidR="00BA573C" w:rsidRPr="00E222B4">
              <w:t>. offences moving from a Court process to an infringement process</w:t>
            </w:r>
            <w:r w:rsidR="00BA573C">
              <w:t>)</w:t>
            </w:r>
            <w:r w:rsidR="00BA573C" w:rsidRPr="00E222B4">
              <w:t xml:space="preserve"> have </w:t>
            </w:r>
            <w:r w:rsidR="00464422">
              <w:t>impacted on numbers from 2008-09 onwards</w:t>
            </w:r>
            <w:r w:rsidR="00BA573C" w:rsidRPr="00E222B4">
              <w:t>.</w:t>
            </w:r>
            <w:r w:rsidR="00641768">
              <w:t xml:space="preserve"> A ‘one number’ system introduced into the Magistrates court has also enabled a more accurate count of </w:t>
            </w:r>
            <w:proofErr w:type="spellStart"/>
            <w:r w:rsidR="00641768">
              <w:t>lodgment</w:t>
            </w:r>
            <w:proofErr w:type="spellEnd"/>
            <w:r w:rsidR="00641768">
              <w:t xml:space="preserve"> and finalisation data when cases are transferred within the one court level.</w:t>
            </w:r>
          </w:p>
          <w:p w:rsidR="00BA573C" w:rsidRPr="00E222B4" w:rsidRDefault="00BA573C" w:rsidP="009F68FC">
            <w:pPr>
              <w:pStyle w:val="TableBullet"/>
              <w:keepNext w:val="0"/>
              <w:numPr>
                <w:ilvl w:val="0"/>
                <w:numId w:val="42"/>
              </w:numPr>
              <w:tabs>
                <w:tab w:val="left" w:pos="170"/>
              </w:tabs>
            </w:pPr>
            <w:r>
              <w:tab/>
              <w:t xml:space="preserve">Changes to legislation in 2008 in </w:t>
            </w:r>
            <w:smartTag w:uri="urn:schemas-microsoft-com:office:smarttags" w:element="place">
              <w:smartTag w:uri="urn:schemas-microsoft-com:office:smarttags" w:element="State">
                <w:r>
                  <w:t>Tasmania</w:t>
                </w:r>
              </w:smartTag>
            </w:smartTag>
            <w:r>
              <w:t>’s courts mean that a substantial number of minor traffic matters (infringement notices) are no longer dealt with by the court. These are now enforced by the Monetary Penalties Enforcement Service and are excluded from the data.</w:t>
            </w:r>
          </w:p>
          <w:p w:rsidR="00BA573C" w:rsidRDefault="00BA573C" w:rsidP="009F68FC">
            <w:pPr>
              <w:pStyle w:val="TableBullet"/>
              <w:keepNext w:val="0"/>
              <w:numPr>
                <w:ilvl w:val="0"/>
                <w:numId w:val="42"/>
              </w:numPr>
              <w:tabs>
                <w:tab w:val="left" w:pos="170"/>
              </w:tabs>
            </w:pPr>
            <w:r>
              <w:tab/>
            </w:r>
            <w:r>
              <w:tab/>
            </w:r>
            <w:r w:rsidRPr="00DB19B2">
              <w:t xml:space="preserve">From 2007-08 </w:t>
            </w:r>
            <w:smartTag w:uri="urn:schemas-microsoft-com:office:smarttags" w:element="place">
              <w:smartTag w:uri="urn:schemas-microsoft-com:office:smarttags" w:element="State">
                <w:r w:rsidRPr="00DB19B2">
                  <w:t>W</w:t>
                </w:r>
                <w:r>
                  <w:t xml:space="preserve">estern </w:t>
                </w:r>
                <w:r w:rsidRPr="00DB19B2">
                  <w:t>A</w:t>
                </w:r>
                <w:r>
                  <w:t>ustralia</w:t>
                </w:r>
              </w:smartTag>
            </w:smartTag>
            <w:r>
              <w:t>’s</w:t>
            </w:r>
            <w:r w:rsidRPr="00DB19B2">
              <w:t xml:space="preserve"> Supreme Court criminal appeals include Single Judge of Appeal (</w:t>
            </w:r>
            <w:proofErr w:type="spellStart"/>
            <w:r w:rsidRPr="00DB19B2">
              <w:t>SJA</w:t>
            </w:r>
            <w:proofErr w:type="spellEnd"/>
            <w:r w:rsidRPr="00DB19B2">
              <w:t>) matters. Prior to 2007-08 these appeals were included in the WA Supre</w:t>
            </w:r>
            <w:r>
              <w:t>me Court data for civil appeals.</w:t>
            </w:r>
          </w:p>
          <w:p w:rsidR="008E323F" w:rsidRDefault="008E323F" w:rsidP="008E323F">
            <w:pPr>
              <w:pStyle w:val="TableBullet"/>
              <w:keepNext w:val="0"/>
              <w:numPr>
                <w:ilvl w:val="0"/>
                <w:numId w:val="0"/>
              </w:numPr>
              <w:tabs>
                <w:tab w:val="left" w:pos="170"/>
              </w:tabs>
              <w:ind w:left="346"/>
            </w:pPr>
          </w:p>
          <w:p w:rsidR="00BA573C" w:rsidRPr="00206536" w:rsidRDefault="00BA573C" w:rsidP="009F68FC">
            <w:pPr>
              <w:pStyle w:val="TableBullet"/>
              <w:numPr>
                <w:ilvl w:val="0"/>
                <w:numId w:val="42"/>
              </w:numPr>
              <w:tabs>
                <w:tab w:val="left" w:pos="170"/>
              </w:tabs>
            </w:pPr>
            <w:r>
              <w:lastRenderedPageBreak/>
              <w:tab/>
              <w:t>S</w:t>
            </w:r>
            <w:r w:rsidRPr="00DB19B2">
              <w:t>ystem-based data was unavailable for 2009-2010</w:t>
            </w:r>
            <w:r>
              <w:t xml:space="preserve"> f</w:t>
            </w:r>
            <w:r w:rsidRPr="00DB19B2">
              <w:t xml:space="preserve">or </w:t>
            </w:r>
            <w:smartTag w:uri="urn:schemas-microsoft-com:office:smarttags" w:element="place">
              <w:smartTag w:uri="urn:schemas-microsoft-com:office:smarttags" w:element="State">
                <w:r>
                  <w:t>New South Wales</w:t>
                </w:r>
              </w:smartTag>
            </w:smartTag>
            <w:r>
              <w:t xml:space="preserve"> civil appeal </w:t>
            </w:r>
            <w:r w:rsidRPr="00DB19B2">
              <w:t>data</w:t>
            </w:r>
            <w:r>
              <w:t>.  A</w:t>
            </w:r>
            <w:r w:rsidRPr="00DB19B2">
              <w:t xml:space="preserve"> manual count was used and continues to be used </w:t>
            </w:r>
            <w:r>
              <w:t xml:space="preserve">until </w:t>
            </w:r>
            <w:r w:rsidRPr="00DB19B2">
              <w:t xml:space="preserve">system data </w:t>
            </w:r>
            <w:r>
              <w:t>are</w:t>
            </w:r>
            <w:r w:rsidRPr="00DB19B2">
              <w:t xml:space="preserve"> restored. For civil non-appeal, </w:t>
            </w:r>
            <w:smartTag w:uri="urn:schemas-microsoft-com:office:smarttags" w:element="place">
              <w:smartTag w:uri="urn:schemas-microsoft-com:office:smarttags" w:element="State">
                <w:r>
                  <w:t>New South Wales</w:t>
                </w:r>
              </w:smartTag>
            </w:smartTag>
            <w:r>
              <w:t xml:space="preserve"> </w:t>
            </w:r>
            <w:r w:rsidRPr="00DB19B2">
              <w:t>ha</w:t>
            </w:r>
            <w:r>
              <w:t>s</w:t>
            </w:r>
            <w:r w:rsidRPr="00DB19B2">
              <w:t xml:space="preserve"> changed from one electronic system to another - the n</w:t>
            </w:r>
            <w:r>
              <w:t xml:space="preserve">ew system was unable to provide </w:t>
            </w:r>
            <w:r w:rsidRPr="00DB19B2">
              <w:t>data for 2009-2010 and so an estimate was used that</w:t>
            </w:r>
            <w:r>
              <w:t xml:space="preserve"> year.</w:t>
            </w:r>
          </w:p>
          <w:p w:rsidR="00BA573C" w:rsidRPr="00CD04F1" w:rsidRDefault="00BA573C" w:rsidP="009F68FC">
            <w:pPr>
              <w:pStyle w:val="TableBodyText"/>
              <w:keepNext w:val="0"/>
              <w:jc w:val="both"/>
            </w:pPr>
            <w:r>
              <w:t>In most</w:t>
            </w:r>
            <w:r w:rsidRPr="00D84159">
              <w:t xml:space="preserve"> </w:t>
            </w:r>
            <w:r>
              <w:t>jurisdictions</w:t>
            </w:r>
            <w:r w:rsidRPr="00D84159">
              <w:t xml:space="preserve"> there is an alignment with other publications</w:t>
            </w:r>
            <w:r>
              <w:t xml:space="preserve">, </w:t>
            </w:r>
            <w:proofErr w:type="spellStart"/>
            <w:r>
              <w:t>eg</w:t>
            </w:r>
            <w:proofErr w:type="spellEnd"/>
            <w:r>
              <w:t>. annual reports, while i</w:t>
            </w:r>
            <w:r w:rsidRPr="00D84159">
              <w:t xml:space="preserve">n </w:t>
            </w:r>
            <w:r>
              <w:t>other jurisdictions</w:t>
            </w:r>
            <w:r w:rsidRPr="00D84159">
              <w:t xml:space="preserve"> there are differences due to the </w:t>
            </w:r>
            <w:proofErr w:type="spellStart"/>
            <w:r w:rsidRPr="00D84159">
              <w:t>ROGS</w:t>
            </w:r>
            <w:proofErr w:type="spellEnd"/>
            <w:r w:rsidRPr="00D84159">
              <w:t xml:space="preserve"> counting rules</w:t>
            </w:r>
            <w:r>
              <w:t xml:space="preserve"> in relation to exclusions and differing definitions</w:t>
            </w:r>
            <w:r w:rsidRPr="00D84159">
              <w:t>.</w:t>
            </w:r>
            <w:r>
              <w:t xml:space="preserve"> Finalisation counting rules for civil courts in this report also include a “deeming rule” which means that </w:t>
            </w:r>
            <w:proofErr w:type="spellStart"/>
            <w:r>
              <w:t>RoGS</w:t>
            </w:r>
            <w:proofErr w:type="spellEnd"/>
            <w:r>
              <w:t xml:space="preserve"> finalisation data are unlikely to match the court’s own published data. </w:t>
            </w:r>
          </w:p>
        </w:tc>
      </w:tr>
      <w:tr w:rsidR="00BA573C" w:rsidTr="009F68FC">
        <w:tc>
          <w:tcPr>
            <w:tcW w:w="922" w:type="pct"/>
          </w:tcPr>
          <w:p w:rsidR="00BA573C" w:rsidRPr="00C744E0" w:rsidRDefault="00BA573C" w:rsidP="009F68FC">
            <w:pPr>
              <w:pStyle w:val="TableBodyText"/>
              <w:keepNext w:val="0"/>
              <w:jc w:val="left"/>
              <w:rPr>
                <w:b/>
              </w:rPr>
            </w:pPr>
            <w:r w:rsidRPr="00C744E0">
              <w:rPr>
                <w:b/>
              </w:rPr>
              <w:lastRenderedPageBreak/>
              <w:t>Accessibility</w:t>
            </w:r>
          </w:p>
        </w:tc>
        <w:tc>
          <w:tcPr>
            <w:tcW w:w="4078" w:type="pct"/>
          </w:tcPr>
          <w:p w:rsidR="00BA573C" w:rsidRPr="001A7053" w:rsidRDefault="008B7C76" w:rsidP="009F68FC">
            <w:pPr>
              <w:pStyle w:val="TableBodyText"/>
              <w:keepNext w:val="0"/>
              <w:jc w:val="left"/>
            </w:pPr>
            <w:r>
              <w:t>Data on net recurrent expenditure and finalised cases</w:t>
            </w:r>
            <w:r w:rsidR="00BA573C">
              <w:t xml:space="preserve"> are provided for the Report on Government Services according to the specific </w:t>
            </w:r>
            <w:proofErr w:type="spellStart"/>
            <w:r w:rsidR="00BA573C">
              <w:t>RoGS</w:t>
            </w:r>
            <w:proofErr w:type="spellEnd"/>
            <w:r w:rsidR="00BA573C">
              <w:t xml:space="preserve"> countin</w:t>
            </w:r>
            <w:r>
              <w:t>g rules. Other data on net recurrent expenditure</w:t>
            </w:r>
            <w:r w:rsidR="00BA573C">
              <w:t xml:space="preserve"> and finalisations may be available through court annual reports, court websites, on application from the Chief Jurisdictional Officer in the relevant state, territory or federal jurisdiction. </w:t>
            </w:r>
          </w:p>
        </w:tc>
      </w:tr>
      <w:tr w:rsidR="00BA573C" w:rsidTr="009F68FC">
        <w:tc>
          <w:tcPr>
            <w:tcW w:w="922" w:type="pct"/>
          </w:tcPr>
          <w:p w:rsidR="00BA573C" w:rsidRPr="00C744E0" w:rsidRDefault="00BA573C" w:rsidP="009F68FC">
            <w:pPr>
              <w:pStyle w:val="TableBodyText"/>
              <w:jc w:val="left"/>
              <w:rPr>
                <w:b/>
              </w:rPr>
            </w:pPr>
            <w:r w:rsidRPr="00C744E0">
              <w:rPr>
                <w:b/>
              </w:rPr>
              <w:t>Interpretability</w:t>
            </w:r>
          </w:p>
        </w:tc>
        <w:tc>
          <w:tcPr>
            <w:tcW w:w="4078" w:type="pct"/>
          </w:tcPr>
          <w:p w:rsidR="00BA573C" w:rsidRDefault="00AE44A7" w:rsidP="009F68FC">
            <w:pPr>
              <w:pStyle w:val="TableBodyText"/>
              <w:keepNext w:val="0"/>
              <w:ind w:left="32" w:hanging="26"/>
              <w:jc w:val="left"/>
            </w:pPr>
            <w:r>
              <w:t>The total net recurrent expenditure for the latest financial year associated with the report is expressed in real dol</w:t>
            </w:r>
            <w:r w:rsidR="00630A81">
              <w:t>lars – previous years have a General Government Final Consumption Expenditure (</w:t>
            </w:r>
            <w:proofErr w:type="spellStart"/>
            <w:r w:rsidR="00630A81">
              <w:t>GGFCE</w:t>
            </w:r>
            <w:proofErr w:type="spellEnd"/>
            <w:r w:rsidR="00630A81">
              <w:t>) chain price index</w:t>
            </w:r>
            <w:r>
              <w:t xml:space="preserve"> deflator applied. This aligns previous years’ results to current year values for comparative purpose</w:t>
            </w:r>
            <w:r w:rsidR="00630A81">
              <w:t xml:space="preserve">s (see chapter 2 section 2.5 and tables </w:t>
            </w:r>
            <w:proofErr w:type="spellStart"/>
            <w:r w:rsidR="00630A81">
              <w:t>2A.51</w:t>
            </w:r>
            <w:proofErr w:type="spellEnd"/>
            <w:r w:rsidR="00630A81">
              <w:t xml:space="preserve"> and </w:t>
            </w:r>
            <w:proofErr w:type="spellStart"/>
            <w:r w:rsidR="00630A81">
              <w:t>2A.53</w:t>
            </w:r>
            <w:proofErr w:type="spellEnd"/>
            <w:r w:rsidR="00630A81">
              <w:t xml:space="preserve"> for how</w:t>
            </w:r>
            <w:r>
              <w:t xml:space="preserve"> deflator is applied).</w:t>
            </w:r>
          </w:p>
          <w:p w:rsidR="00AE44A7" w:rsidRDefault="00AE44A7" w:rsidP="009F68FC">
            <w:pPr>
              <w:pStyle w:val="TableBodyText"/>
              <w:keepNext w:val="0"/>
              <w:ind w:left="32" w:hanging="26"/>
              <w:jc w:val="left"/>
            </w:pPr>
            <w:r>
              <w:t xml:space="preserve">The </w:t>
            </w:r>
            <w:proofErr w:type="spellStart"/>
            <w:r>
              <w:t>RoGS</w:t>
            </w:r>
            <w:proofErr w:type="spellEnd"/>
            <w:r>
              <w:t xml:space="preserve"> data for the Federal Court do not include non-initiating documents such as interlocutory applications, subpoenas etc. However fees are charged and impact on the numerator.</w:t>
            </w:r>
          </w:p>
          <w:p w:rsidR="00BA573C" w:rsidRDefault="00BA573C" w:rsidP="009F68FC">
            <w:pPr>
              <w:pStyle w:val="TableBodyText"/>
              <w:keepNext w:val="0"/>
              <w:ind w:left="32" w:hanging="26"/>
              <w:jc w:val="left"/>
            </w:pPr>
            <w:r>
              <w:t>The application of the deeming rule can complicate the counting of finalisations because deemed finalisations for the reporting year have to be added to the court’s actual disposal count, and actual finalisations that have been counted in any previous year</w:t>
            </w:r>
            <w:r w:rsidRPr="00A06FC4">
              <w:t xml:space="preserve"> </w:t>
            </w:r>
            <w:r>
              <w:t xml:space="preserve">as a ‘deemed finalisation’ need to be removed from the finalisation count for </w:t>
            </w:r>
            <w:proofErr w:type="spellStart"/>
            <w:r>
              <w:t>RoGS</w:t>
            </w:r>
            <w:proofErr w:type="spellEnd"/>
            <w:r>
              <w:t xml:space="preserve"> for the current year.</w:t>
            </w:r>
          </w:p>
          <w:p w:rsidR="00BA573C" w:rsidRPr="00292C41" w:rsidRDefault="00BA573C" w:rsidP="009F68FC">
            <w:pPr>
              <w:pStyle w:val="TableBodyText"/>
              <w:ind w:left="0" w:firstLine="6"/>
              <w:jc w:val="left"/>
            </w:pPr>
            <w:r w:rsidRPr="00F20BEC">
              <w:t>For fu</w:t>
            </w:r>
            <w:r w:rsidR="00AD1400">
              <w:t>rther information on the cost per finalisation</w:t>
            </w:r>
            <w:r w:rsidR="001F3CF1">
              <w:t xml:space="preserve"> indicator refer to </w:t>
            </w:r>
            <w:smartTag w:uri="urn:schemas-microsoft-com:office:smarttags" w:element="Street">
              <w:r w:rsidR="001F3CF1">
                <w:t>Box</w:t>
              </w:r>
            </w:smartTag>
            <w:r w:rsidR="00190D71">
              <w:t xml:space="preserve"> 7.16</w:t>
            </w:r>
            <w:r w:rsidRPr="00F20BEC">
              <w:t xml:space="preserve"> </w:t>
            </w:r>
            <w:r>
              <w:t xml:space="preserve">in chapter 7 </w:t>
            </w:r>
            <w:r w:rsidRPr="00F20BEC">
              <w:t>of the Report.</w:t>
            </w:r>
          </w:p>
        </w:tc>
      </w:tr>
      <w:tr w:rsidR="00BA573C" w:rsidTr="009F68FC">
        <w:tc>
          <w:tcPr>
            <w:tcW w:w="5000" w:type="pct"/>
            <w:gridSpan w:val="2"/>
            <w:shd w:val="clear" w:color="auto" w:fill="auto"/>
          </w:tcPr>
          <w:p w:rsidR="00BA573C" w:rsidRDefault="00BA573C" w:rsidP="009F68FC">
            <w:pPr>
              <w:pStyle w:val="TableBodyText"/>
              <w:jc w:val="left"/>
              <w:rPr>
                <w:b/>
                <w:u w:val="single"/>
              </w:rPr>
            </w:pPr>
          </w:p>
          <w:p w:rsidR="00BA573C" w:rsidRPr="00C744E0" w:rsidRDefault="00BA573C" w:rsidP="009F68FC">
            <w:pPr>
              <w:pStyle w:val="TableBodyText"/>
              <w:jc w:val="left"/>
              <w:rPr>
                <w:b/>
                <w:u w:val="single"/>
              </w:rPr>
            </w:pPr>
            <w:r w:rsidRPr="00C744E0">
              <w:rPr>
                <w:b/>
                <w:u w:val="single"/>
              </w:rPr>
              <w:t>Data Gaps/Issues Analysis</w:t>
            </w:r>
          </w:p>
        </w:tc>
      </w:tr>
      <w:tr w:rsidR="00BA573C" w:rsidTr="009F68FC">
        <w:tc>
          <w:tcPr>
            <w:tcW w:w="922" w:type="pct"/>
            <w:shd w:val="clear" w:color="auto" w:fill="auto"/>
          </w:tcPr>
          <w:p w:rsidR="00BA573C" w:rsidRPr="00C744E0" w:rsidRDefault="00BA573C" w:rsidP="009F68FC">
            <w:pPr>
              <w:pStyle w:val="TableBodyText"/>
              <w:jc w:val="left"/>
              <w:rPr>
                <w:b/>
              </w:rPr>
            </w:pPr>
            <w:r w:rsidRPr="00C744E0">
              <w:rPr>
                <w:b/>
              </w:rPr>
              <w:t>Key data gaps/</w:t>
            </w:r>
            <w:r>
              <w:rPr>
                <w:b/>
              </w:rPr>
              <w:t xml:space="preserve"> </w:t>
            </w:r>
            <w:r w:rsidRPr="00C744E0">
              <w:rPr>
                <w:b/>
              </w:rPr>
              <w:t>issues</w:t>
            </w:r>
          </w:p>
        </w:tc>
        <w:tc>
          <w:tcPr>
            <w:tcW w:w="4078" w:type="pct"/>
            <w:shd w:val="clear" w:color="auto" w:fill="auto"/>
          </w:tcPr>
          <w:p w:rsidR="00BA573C" w:rsidRDefault="00BA573C" w:rsidP="009F68FC">
            <w:pPr>
              <w:pStyle w:val="TableBodyText"/>
              <w:jc w:val="both"/>
            </w:pPr>
            <w:r w:rsidRPr="00B96E3E">
              <w:t xml:space="preserve">The Steering Committee notes the following key data gaps/issues: </w:t>
            </w:r>
          </w:p>
          <w:p w:rsidR="00BA573C" w:rsidRPr="00B96E3E" w:rsidRDefault="00AD1400" w:rsidP="009F68FC">
            <w:pPr>
              <w:pStyle w:val="TableBullet"/>
              <w:tabs>
                <w:tab w:val="left" w:pos="170"/>
              </w:tabs>
              <w:ind w:left="176"/>
              <w:jc w:val="both"/>
            </w:pPr>
            <w:r>
              <w:t xml:space="preserve">The ‘cost per finalisation’ indicator is not yet directly comparable across jurisdictions and is under ongoing review to improve consistency and comparability in how income and expenditure data are extracted and reported. </w:t>
            </w:r>
          </w:p>
        </w:tc>
      </w:tr>
    </w:tbl>
    <w:p w:rsidR="00BA573C" w:rsidRDefault="00BA573C" w:rsidP="00BA573C">
      <w:pPr>
        <w:pStyle w:val="BodyText"/>
      </w:pPr>
    </w:p>
    <w:p w:rsidR="00BA573C" w:rsidRDefault="00BA573C" w:rsidP="000F287A">
      <w:pPr>
        <w:pStyle w:val="BodyText"/>
      </w:pPr>
    </w:p>
    <w:p w:rsidR="00E47988" w:rsidRPr="00BA573C" w:rsidRDefault="00BA573C" w:rsidP="00BA573C">
      <w:pPr>
        <w:pStyle w:val="BodyText"/>
        <w:tabs>
          <w:tab w:val="left" w:pos="2745"/>
        </w:tabs>
      </w:pPr>
      <w:r>
        <w:tab/>
      </w:r>
    </w:p>
    <w:sectPr w:rsidR="00E47988" w:rsidRPr="00BA573C" w:rsidSect="001E57BC">
      <w:headerReference w:type="even" r:id="rId8"/>
      <w:headerReference w:type="default" r:id="rId9"/>
      <w:footerReference w:type="even" r:id="rId10"/>
      <w:footerReference w:type="default" r:id="rId11"/>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9A9" w:rsidRDefault="001A49A9">
      <w:r>
        <w:separator/>
      </w:r>
    </w:p>
  </w:endnote>
  <w:endnote w:type="continuationSeparator" w:id="0">
    <w:p w:rsidR="001A49A9" w:rsidRDefault="001A4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A49A9" w:rsidTr="0019293B">
      <w:trPr>
        <w:trHeight w:hRule="exact" w:val="740"/>
      </w:trPr>
      <w:tc>
        <w:tcPr>
          <w:tcW w:w="510" w:type="dxa"/>
          <w:tcBorders>
            <w:top w:val="single" w:sz="6" w:space="0" w:color="auto"/>
          </w:tcBorders>
        </w:tcPr>
        <w:p w:rsidR="001A49A9" w:rsidRDefault="001A49A9"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DF5BCE">
            <w:rPr>
              <w:rStyle w:val="PageNumber"/>
              <w:noProof/>
            </w:rPr>
            <w:t>26</w:t>
          </w:r>
          <w:r>
            <w:rPr>
              <w:rStyle w:val="PageNumber"/>
            </w:rPr>
            <w:fldChar w:fldCharType="end"/>
          </w:r>
        </w:p>
      </w:tc>
      <w:tc>
        <w:tcPr>
          <w:tcW w:w="1644" w:type="dxa"/>
          <w:tcBorders>
            <w:top w:val="single" w:sz="6" w:space="0" w:color="auto"/>
          </w:tcBorders>
        </w:tcPr>
        <w:p w:rsidR="001A49A9" w:rsidRDefault="00DF5BCE" w:rsidP="00F3353C">
          <w:pPr>
            <w:pStyle w:val="Footer"/>
          </w:pPr>
          <w:r>
            <w:fldChar w:fldCharType="begin"/>
          </w:r>
          <w:r>
            <w:instrText xml:space="preserve"> SUBJECT  \* MERGEFORMAT </w:instrText>
          </w:r>
          <w:r>
            <w:fldChar w:fldCharType="separate"/>
          </w:r>
          <w:r w:rsidR="00DC6090">
            <w:t>Report on Government Services 2014</w:t>
          </w:r>
          <w:r>
            <w:fldChar w:fldCharType="end"/>
          </w:r>
        </w:p>
      </w:tc>
      <w:tc>
        <w:tcPr>
          <w:tcW w:w="6634" w:type="dxa"/>
        </w:tcPr>
        <w:p w:rsidR="001A49A9" w:rsidRDefault="001A49A9" w:rsidP="0019293B">
          <w:pPr>
            <w:pStyle w:val="Footer"/>
          </w:pPr>
        </w:p>
      </w:tc>
    </w:tr>
  </w:tbl>
  <w:p w:rsidR="001A49A9" w:rsidRDefault="001A49A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A49A9">
      <w:trPr>
        <w:trHeight w:hRule="exact" w:val="740"/>
      </w:trPr>
      <w:tc>
        <w:tcPr>
          <w:tcW w:w="6634" w:type="dxa"/>
        </w:tcPr>
        <w:p w:rsidR="001A49A9" w:rsidRDefault="001A49A9">
          <w:pPr>
            <w:pStyle w:val="Footer"/>
            <w:ind w:right="360" w:firstLine="360"/>
          </w:pPr>
        </w:p>
      </w:tc>
      <w:tc>
        <w:tcPr>
          <w:tcW w:w="1644" w:type="dxa"/>
          <w:tcBorders>
            <w:top w:val="single" w:sz="6" w:space="0" w:color="auto"/>
          </w:tcBorders>
        </w:tcPr>
        <w:p w:rsidR="001A49A9" w:rsidRDefault="00704AF9" w:rsidP="009568C6">
          <w:pPr>
            <w:pStyle w:val="Footer"/>
          </w:pPr>
          <w:r>
            <w:fldChar w:fldCharType="begin"/>
          </w:r>
          <w:r>
            <w:instrText xml:space="preserve"> TITLE  \* MERGEFORMAT </w:instrText>
          </w:r>
          <w:r>
            <w:fldChar w:fldCharType="separate"/>
          </w:r>
          <w:r w:rsidR="00DC6090">
            <w:t xml:space="preserve">Courts </w:t>
          </w:r>
          <w:proofErr w:type="spellStart"/>
          <w:r w:rsidR="00DC6090">
            <w:t>DQI</w:t>
          </w:r>
          <w:proofErr w:type="spellEnd"/>
          <w:r>
            <w:fldChar w:fldCharType="end"/>
          </w:r>
        </w:p>
      </w:tc>
      <w:tc>
        <w:tcPr>
          <w:tcW w:w="510" w:type="dxa"/>
          <w:tcBorders>
            <w:top w:val="single" w:sz="6" w:space="0" w:color="auto"/>
          </w:tcBorders>
        </w:tcPr>
        <w:p w:rsidR="001A49A9" w:rsidRDefault="001A49A9">
          <w:pPr>
            <w:pStyle w:val="Footer"/>
            <w:jc w:val="right"/>
          </w:pPr>
          <w:r>
            <w:rPr>
              <w:rStyle w:val="PageNumber"/>
            </w:rPr>
            <w:fldChar w:fldCharType="begin"/>
          </w:r>
          <w:r>
            <w:rPr>
              <w:rStyle w:val="PageNumber"/>
            </w:rPr>
            <w:instrText xml:space="preserve">PAGE  </w:instrText>
          </w:r>
          <w:r>
            <w:rPr>
              <w:rStyle w:val="PageNumber"/>
            </w:rPr>
            <w:fldChar w:fldCharType="separate"/>
          </w:r>
          <w:r w:rsidR="00DF5BCE">
            <w:rPr>
              <w:rStyle w:val="PageNumber"/>
              <w:noProof/>
            </w:rPr>
            <w:t>1</w:t>
          </w:r>
          <w:r>
            <w:rPr>
              <w:rStyle w:val="PageNumber"/>
            </w:rPr>
            <w:fldChar w:fldCharType="end"/>
          </w:r>
        </w:p>
      </w:tc>
    </w:tr>
  </w:tbl>
  <w:p w:rsidR="001A49A9" w:rsidRDefault="001A49A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9A9" w:rsidRDefault="001A49A9">
      <w:r>
        <w:separator/>
      </w:r>
    </w:p>
  </w:footnote>
  <w:footnote w:type="continuationSeparator" w:id="0">
    <w:p w:rsidR="001A49A9" w:rsidRDefault="001A4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A49A9" w:rsidTr="0019293B">
      <w:tc>
        <w:tcPr>
          <w:tcW w:w="2155" w:type="dxa"/>
          <w:tcBorders>
            <w:top w:val="single" w:sz="24" w:space="0" w:color="auto"/>
          </w:tcBorders>
        </w:tcPr>
        <w:p w:rsidR="001A49A9" w:rsidRDefault="001A49A9" w:rsidP="0019293B">
          <w:pPr>
            <w:pStyle w:val="HeaderEven"/>
          </w:pPr>
        </w:p>
      </w:tc>
      <w:tc>
        <w:tcPr>
          <w:tcW w:w="6634" w:type="dxa"/>
          <w:tcBorders>
            <w:top w:val="single" w:sz="6" w:space="0" w:color="auto"/>
          </w:tcBorders>
        </w:tcPr>
        <w:p w:rsidR="001A49A9" w:rsidRDefault="001A49A9" w:rsidP="00704AF9">
          <w:pPr>
            <w:pStyle w:val="HeaderEven"/>
            <w:tabs>
              <w:tab w:val="left" w:pos="285"/>
            </w:tabs>
            <w:jc w:val="right"/>
          </w:pPr>
        </w:p>
      </w:tc>
    </w:tr>
  </w:tbl>
  <w:p w:rsidR="001A49A9" w:rsidRDefault="001A49A9"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A49A9" w:rsidTr="00E669E2">
      <w:tc>
        <w:tcPr>
          <w:tcW w:w="6634" w:type="dxa"/>
          <w:tcBorders>
            <w:top w:val="single" w:sz="6" w:space="0" w:color="auto"/>
          </w:tcBorders>
        </w:tcPr>
        <w:p w:rsidR="001A49A9" w:rsidRDefault="001A49A9" w:rsidP="00E669E2">
          <w:pPr>
            <w:pStyle w:val="HeaderOdd"/>
          </w:pPr>
        </w:p>
      </w:tc>
      <w:tc>
        <w:tcPr>
          <w:tcW w:w="2155" w:type="dxa"/>
          <w:tcBorders>
            <w:top w:val="single" w:sz="24" w:space="0" w:color="auto"/>
          </w:tcBorders>
        </w:tcPr>
        <w:p w:rsidR="001A49A9" w:rsidRDefault="001A49A9" w:rsidP="00E669E2">
          <w:pPr>
            <w:pStyle w:val="HeaderOdd"/>
          </w:pPr>
        </w:p>
      </w:tc>
    </w:tr>
  </w:tbl>
  <w:p w:rsidR="001A49A9" w:rsidRDefault="001A49A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7057F34"/>
    <w:multiLevelType w:val="singleLevel"/>
    <w:tmpl w:val="ED98921A"/>
    <w:lvl w:ilvl="0">
      <w:start w:val="1"/>
      <w:numFmt w:val="decimal"/>
      <w:lvlText w:val="%1."/>
      <w:legacy w:legacy="1" w:legacySpace="0" w:legacyIndent="340"/>
      <w:lvlJc w:val="left"/>
      <w:pPr>
        <w:ind w:left="340" w:hanging="340"/>
      </w:pPr>
    </w:lvl>
  </w:abstractNum>
  <w:abstractNum w:abstractNumId="11">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296B1AA1"/>
    <w:multiLevelType w:val="hybridMultilevel"/>
    <w:tmpl w:val="7884F700"/>
    <w:lvl w:ilvl="0" w:tplc="0C090001">
      <w:start w:val="1"/>
      <w:numFmt w:val="bullet"/>
      <w:lvlText w:val=""/>
      <w:lvlJc w:val="left"/>
      <w:pPr>
        <w:tabs>
          <w:tab w:val="num" w:pos="366"/>
        </w:tabs>
        <w:ind w:left="366" w:hanging="360"/>
      </w:pPr>
      <w:rPr>
        <w:rFonts w:ascii="Symbol" w:hAnsi="Symbol" w:hint="default"/>
      </w:rPr>
    </w:lvl>
    <w:lvl w:ilvl="1" w:tplc="0C090003" w:tentative="1">
      <w:start w:val="1"/>
      <w:numFmt w:val="bullet"/>
      <w:lvlText w:val="o"/>
      <w:lvlJc w:val="left"/>
      <w:pPr>
        <w:tabs>
          <w:tab w:val="num" w:pos="1086"/>
        </w:tabs>
        <w:ind w:left="1086" w:hanging="360"/>
      </w:pPr>
      <w:rPr>
        <w:rFonts w:ascii="Courier New" w:hAnsi="Courier New" w:cs="Courier New" w:hint="default"/>
      </w:rPr>
    </w:lvl>
    <w:lvl w:ilvl="2" w:tplc="0C090005" w:tentative="1">
      <w:start w:val="1"/>
      <w:numFmt w:val="bullet"/>
      <w:lvlText w:val=""/>
      <w:lvlJc w:val="left"/>
      <w:pPr>
        <w:tabs>
          <w:tab w:val="num" w:pos="1806"/>
        </w:tabs>
        <w:ind w:left="1806" w:hanging="360"/>
      </w:pPr>
      <w:rPr>
        <w:rFonts w:ascii="Wingdings" w:hAnsi="Wingdings" w:hint="default"/>
      </w:rPr>
    </w:lvl>
    <w:lvl w:ilvl="3" w:tplc="0C090001" w:tentative="1">
      <w:start w:val="1"/>
      <w:numFmt w:val="bullet"/>
      <w:lvlText w:val=""/>
      <w:lvlJc w:val="left"/>
      <w:pPr>
        <w:tabs>
          <w:tab w:val="num" w:pos="2526"/>
        </w:tabs>
        <w:ind w:left="2526" w:hanging="360"/>
      </w:pPr>
      <w:rPr>
        <w:rFonts w:ascii="Symbol" w:hAnsi="Symbol" w:hint="default"/>
      </w:rPr>
    </w:lvl>
    <w:lvl w:ilvl="4" w:tplc="0C090003" w:tentative="1">
      <w:start w:val="1"/>
      <w:numFmt w:val="bullet"/>
      <w:lvlText w:val="o"/>
      <w:lvlJc w:val="left"/>
      <w:pPr>
        <w:tabs>
          <w:tab w:val="num" w:pos="3246"/>
        </w:tabs>
        <w:ind w:left="3246" w:hanging="360"/>
      </w:pPr>
      <w:rPr>
        <w:rFonts w:ascii="Courier New" w:hAnsi="Courier New" w:cs="Courier New" w:hint="default"/>
      </w:rPr>
    </w:lvl>
    <w:lvl w:ilvl="5" w:tplc="0C090005" w:tentative="1">
      <w:start w:val="1"/>
      <w:numFmt w:val="bullet"/>
      <w:lvlText w:val=""/>
      <w:lvlJc w:val="left"/>
      <w:pPr>
        <w:tabs>
          <w:tab w:val="num" w:pos="3966"/>
        </w:tabs>
        <w:ind w:left="3966" w:hanging="360"/>
      </w:pPr>
      <w:rPr>
        <w:rFonts w:ascii="Wingdings" w:hAnsi="Wingdings" w:hint="default"/>
      </w:rPr>
    </w:lvl>
    <w:lvl w:ilvl="6" w:tplc="0C090001" w:tentative="1">
      <w:start w:val="1"/>
      <w:numFmt w:val="bullet"/>
      <w:lvlText w:val=""/>
      <w:lvlJc w:val="left"/>
      <w:pPr>
        <w:tabs>
          <w:tab w:val="num" w:pos="4686"/>
        </w:tabs>
        <w:ind w:left="4686" w:hanging="360"/>
      </w:pPr>
      <w:rPr>
        <w:rFonts w:ascii="Symbol" w:hAnsi="Symbol" w:hint="default"/>
      </w:rPr>
    </w:lvl>
    <w:lvl w:ilvl="7" w:tplc="0C090003" w:tentative="1">
      <w:start w:val="1"/>
      <w:numFmt w:val="bullet"/>
      <w:lvlText w:val="o"/>
      <w:lvlJc w:val="left"/>
      <w:pPr>
        <w:tabs>
          <w:tab w:val="num" w:pos="5406"/>
        </w:tabs>
        <w:ind w:left="5406" w:hanging="360"/>
      </w:pPr>
      <w:rPr>
        <w:rFonts w:ascii="Courier New" w:hAnsi="Courier New" w:cs="Courier New" w:hint="default"/>
      </w:rPr>
    </w:lvl>
    <w:lvl w:ilvl="8" w:tplc="0C090005" w:tentative="1">
      <w:start w:val="1"/>
      <w:numFmt w:val="bullet"/>
      <w:lvlText w:val=""/>
      <w:lvlJc w:val="left"/>
      <w:pPr>
        <w:tabs>
          <w:tab w:val="num" w:pos="6126"/>
        </w:tabs>
        <w:ind w:left="6126" w:hanging="360"/>
      </w:pPr>
      <w:rPr>
        <w:rFonts w:ascii="Wingdings" w:hAnsi="Wingdings" w:hint="default"/>
      </w:r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0">
    <w:nsid w:val="51F74561"/>
    <w:multiLevelType w:val="singleLevel"/>
    <w:tmpl w:val="ED98921A"/>
    <w:lvl w:ilvl="0">
      <w:start w:val="1"/>
      <w:numFmt w:val="decimal"/>
      <w:lvlText w:val="%1."/>
      <w:legacy w:legacy="1" w:legacySpace="0" w:legacyIndent="340"/>
      <w:lvlJc w:val="left"/>
      <w:pPr>
        <w:ind w:left="340" w:hanging="340"/>
      </w:pPr>
    </w:lvl>
  </w:abstractNum>
  <w:abstractNum w:abstractNumId="2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3">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79710F2"/>
    <w:multiLevelType w:val="hybridMultilevel"/>
    <w:tmpl w:val="A41EC57A"/>
    <w:lvl w:ilvl="0" w:tplc="4DFAC978">
      <w:start w:val="16"/>
      <w:numFmt w:val="decimal"/>
      <w:lvlText w:val="%1"/>
      <w:lvlJc w:val="left"/>
      <w:pPr>
        <w:tabs>
          <w:tab w:val="num" w:pos="1260"/>
        </w:tabs>
        <w:ind w:left="1260" w:hanging="90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7">
    <w:nsid w:val="5A096576"/>
    <w:multiLevelType w:val="singleLevel"/>
    <w:tmpl w:val="ED98921A"/>
    <w:lvl w:ilvl="0">
      <w:start w:val="1"/>
      <w:numFmt w:val="decimal"/>
      <w:lvlText w:val="%1."/>
      <w:legacy w:legacy="1" w:legacySpace="0" w:legacyIndent="340"/>
      <w:lvlJc w:val="left"/>
      <w:pPr>
        <w:ind w:left="340" w:hanging="340"/>
      </w:pPr>
    </w:lvl>
  </w:abstractNum>
  <w:abstractNum w:abstractNumId="28">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0055F7F"/>
    <w:multiLevelType w:val="singleLevel"/>
    <w:tmpl w:val="ED98921A"/>
    <w:lvl w:ilvl="0">
      <w:start w:val="1"/>
      <w:numFmt w:val="decimal"/>
      <w:lvlText w:val="%1."/>
      <w:legacy w:legacy="1" w:legacySpace="0" w:legacyIndent="340"/>
      <w:lvlJc w:val="left"/>
      <w:pPr>
        <w:ind w:left="340" w:hanging="340"/>
      </w:pPr>
    </w:lvl>
  </w:abstractNum>
  <w:abstractNum w:abstractNumId="30">
    <w:nsid w:val="608E741E"/>
    <w:multiLevelType w:val="singleLevel"/>
    <w:tmpl w:val="ED98921A"/>
    <w:lvl w:ilvl="0">
      <w:start w:val="1"/>
      <w:numFmt w:val="decimal"/>
      <w:lvlText w:val="%1."/>
      <w:legacy w:legacy="1" w:legacySpace="0" w:legacyIndent="340"/>
      <w:lvlJc w:val="left"/>
      <w:pPr>
        <w:ind w:left="340" w:hanging="340"/>
      </w:pPr>
    </w:lvl>
  </w:abstractNum>
  <w:abstractNum w:abstractNumId="31">
    <w:nsid w:val="61320C1E"/>
    <w:multiLevelType w:val="singleLevel"/>
    <w:tmpl w:val="C444122C"/>
    <w:lvl w:ilvl="0">
      <w:start w:val="1"/>
      <w:numFmt w:val="decimal"/>
      <w:lvlText w:val="%1."/>
      <w:legacy w:legacy="1" w:legacySpace="0" w:legacyIndent="284"/>
      <w:lvlJc w:val="left"/>
      <w:pPr>
        <w:ind w:left="284" w:hanging="284"/>
      </w:pPr>
    </w:lvl>
  </w:abstractNum>
  <w:abstractNum w:abstractNumId="32">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3">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4">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5">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6">
    <w:nsid w:val="743F71E3"/>
    <w:multiLevelType w:val="hybridMultilevel"/>
    <w:tmpl w:val="9CC23DC0"/>
    <w:lvl w:ilvl="0" w:tplc="0C090001">
      <w:start w:val="1"/>
      <w:numFmt w:val="bullet"/>
      <w:lvlText w:val=""/>
      <w:lvlJc w:val="left"/>
      <w:pPr>
        <w:tabs>
          <w:tab w:val="num" w:pos="366"/>
        </w:tabs>
        <w:ind w:left="366" w:hanging="360"/>
      </w:pPr>
      <w:rPr>
        <w:rFonts w:ascii="Symbol" w:hAnsi="Symbol" w:hint="default"/>
      </w:rPr>
    </w:lvl>
    <w:lvl w:ilvl="1" w:tplc="0C090003" w:tentative="1">
      <w:start w:val="1"/>
      <w:numFmt w:val="bullet"/>
      <w:lvlText w:val="o"/>
      <w:lvlJc w:val="left"/>
      <w:pPr>
        <w:tabs>
          <w:tab w:val="num" w:pos="1086"/>
        </w:tabs>
        <w:ind w:left="1086" w:hanging="360"/>
      </w:pPr>
      <w:rPr>
        <w:rFonts w:ascii="Courier New" w:hAnsi="Courier New" w:cs="Courier New" w:hint="default"/>
      </w:rPr>
    </w:lvl>
    <w:lvl w:ilvl="2" w:tplc="0C090005" w:tentative="1">
      <w:start w:val="1"/>
      <w:numFmt w:val="bullet"/>
      <w:lvlText w:val=""/>
      <w:lvlJc w:val="left"/>
      <w:pPr>
        <w:tabs>
          <w:tab w:val="num" w:pos="1806"/>
        </w:tabs>
        <w:ind w:left="1806" w:hanging="360"/>
      </w:pPr>
      <w:rPr>
        <w:rFonts w:ascii="Wingdings" w:hAnsi="Wingdings" w:hint="default"/>
      </w:rPr>
    </w:lvl>
    <w:lvl w:ilvl="3" w:tplc="0C090001" w:tentative="1">
      <w:start w:val="1"/>
      <w:numFmt w:val="bullet"/>
      <w:lvlText w:val=""/>
      <w:lvlJc w:val="left"/>
      <w:pPr>
        <w:tabs>
          <w:tab w:val="num" w:pos="2526"/>
        </w:tabs>
        <w:ind w:left="2526" w:hanging="360"/>
      </w:pPr>
      <w:rPr>
        <w:rFonts w:ascii="Symbol" w:hAnsi="Symbol" w:hint="default"/>
      </w:rPr>
    </w:lvl>
    <w:lvl w:ilvl="4" w:tplc="0C090003" w:tentative="1">
      <w:start w:val="1"/>
      <w:numFmt w:val="bullet"/>
      <w:lvlText w:val="o"/>
      <w:lvlJc w:val="left"/>
      <w:pPr>
        <w:tabs>
          <w:tab w:val="num" w:pos="3246"/>
        </w:tabs>
        <w:ind w:left="3246" w:hanging="360"/>
      </w:pPr>
      <w:rPr>
        <w:rFonts w:ascii="Courier New" w:hAnsi="Courier New" w:cs="Courier New" w:hint="default"/>
      </w:rPr>
    </w:lvl>
    <w:lvl w:ilvl="5" w:tplc="0C090005" w:tentative="1">
      <w:start w:val="1"/>
      <w:numFmt w:val="bullet"/>
      <w:lvlText w:val=""/>
      <w:lvlJc w:val="left"/>
      <w:pPr>
        <w:tabs>
          <w:tab w:val="num" w:pos="3966"/>
        </w:tabs>
        <w:ind w:left="3966" w:hanging="360"/>
      </w:pPr>
      <w:rPr>
        <w:rFonts w:ascii="Wingdings" w:hAnsi="Wingdings" w:hint="default"/>
      </w:rPr>
    </w:lvl>
    <w:lvl w:ilvl="6" w:tplc="0C090001" w:tentative="1">
      <w:start w:val="1"/>
      <w:numFmt w:val="bullet"/>
      <w:lvlText w:val=""/>
      <w:lvlJc w:val="left"/>
      <w:pPr>
        <w:tabs>
          <w:tab w:val="num" w:pos="4686"/>
        </w:tabs>
        <w:ind w:left="4686" w:hanging="360"/>
      </w:pPr>
      <w:rPr>
        <w:rFonts w:ascii="Symbol" w:hAnsi="Symbol" w:hint="default"/>
      </w:rPr>
    </w:lvl>
    <w:lvl w:ilvl="7" w:tplc="0C090003" w:tentative="1">
      <w:start w:val="1"/>
      <w:numFmt w:val="bullet"/>
      <w:lvlText w:val="o"/>
      <w:lvlJc w:val="left"/>
      <w:pPr>
        <w:tabs>
          <w:tab w:val="num" w:pos="5406"/>
        </w:tabs>
        <w:ind w:left="5406" w:hanging="360"/>
      </w:pPr>
      <w:rPr>
        <w:rFonts w:ascii="Courier New" w:hAnsi="Courier New" w:cs="Courier New" w:hint="default"/>
      </w:rPr>
    </w:lvl>
    <w:lvl w:ilvl="8" w:tplc="0C090005" w:tentative="1">
      <w:start w:val="1"/>
      <w:numFmt w:val="bullet"/>
      <w:lvlText w:val=""/>
      <w:lvlJc w:val="left"/>
      <w:pPr>
        <w:tabs>
          <w:tab w:val="num" w:pos="6126"/>
        </w:tabs>
        <w:ind w:left="6126" w:hanging="360"/>
      </w:pPr>
      <w:rPr>
        <w:rFonts w:ascii="Wingdings" w:hAnsi="Wingdings" w:hint="default"/>
      </w:rPr>
    </w:lvl>
  </w:abstractNum>
  <w:abstractNum w:abstractNumId="37">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3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1">
    <w:nsid w:val="7ECF1E67"/>
    <w:multiLevelType w:val="hybridMultilevel"/>
    <w:tmpl w:val="FA3A24D8"/>
    <w:lvl w:ilvl="0" w:tplc="A7223F54">
      <w:numFmt w:val="bullet"/>
      <w:lvlText w:val=""/>
      <w:lvlJc w:val="left"/>
      <w:pPr>
        <w:tabs>
          <w:tab w:val="num" w:pos="366"/>
        </w:tabs>
        <w:ind w:left="346" w:hanging="340"/>
      </w:pPr>
      <w:rPr>
        <w:rFonts w:ascii="Symbol" w:hAnsi="Symbol" w:hint="default"/>
        <w:sz w:val="18"/>
      </w:rPr>
    </w:lvl>
    <w:lvl w:ilvl="1" w:tplc="0C090001">
      <w:start w:val="1"/>
      <w:numFmt w:val="bullet"/>
      <w:lvlText w:val=""/>
      <w:lvlJc w:val="left"/>
      <w:pPr>
        <w:tabs>
          <w:tab w:val="num" w:pos="1446"/>
        </w:tabs>
        <w:ind w:left="1446" w:hanging="360"/>
      </w:pPr>
      <w:rPr>
        <w:rFonts w:ascii="Symbol" w:hAnsi="Symbol" w:hint="default"/>
        <w:sz w:val="18"/>
      </w:rPr>
    </w:lvl>
    <w:lvl w:ilvl="2" w:tplc="0C090005" w:tentative="1">
      <w:start w:val="1"/>
      <w:numFmt w:val="bullet"/>
      <w:lvlText w:val=""/>
      <w:lvlJc w:val="left"/>
      <w:pPr>
        <w:tabs>
          <w:tab w:val="num" w:pos="2166"/>
        </w:tabs>
        <w:ind w:left="2166" w:hanging="360"/>
      </w:pPr>
      <w:rPr>
        <w:rFonts w:ascii="Wingdings" w:hAnsi="Wingdings" w:hint="default"/>
      </w:rPr>
    </w:lvl>
    <w:lvl w:ilvl="3" w:tplc="0C090001" w:tentative="1">
      <w:start w:val="1"/>
      <w:numFmt w:val="bullet"/>
      <w:lvlText w:val=""/>
      <w:lvlJc w:val="left"/>
      <w:pPr>
        <w:tabs>
          <w:tab w:val="num" w:pos="2886"/>
        </w:tabs>
        <w:ind w:left="2886" w:hanging="360"/>
      </w:pPr>
      <w:rPr>
        <w:rFonts w:ascii="Symbol" w:hAnsi="Symbol" w:hint="default"/>
      </w:rPr>
    </w:lvl>
    <w:lvl w:ilvl="4" w:tplc="0C090003" w:tentative="1">
      <w:start w:val="1"/>
      <w:numFmt w:val="bullet"/>
      <w:lvlText w:val="o"/>
      <w:lvlJc w:val="left"/>
      <w:pPr>
        <w:tabs>
          <w:tab w:val="num" w:pos="3606"/>
        </w:tabs>
        <w:ind w:left="3606" w:hanging="360"/>
      </w:pPr>
      <w:rPr>
        <w:rFonts w:ascii="Courier New" w:hAnsi="Courier New" w:cs="Courier New" w:hint="default"/>
      </w:rPr>
    </w:lvl>
    <w:lvl w:ilvl="5" w:tplc="0C090005" w:tentative="1">
      <w:start w:val="1"/>
      <w:numFmt w:val="bullet"/>
      <w:lvlText w:val=""/>
      <w:lvlJc w:val="left"/>
      <w:pPr>
        <w:tabs>
          <w:tab w:val="num" w:pos="4326"/>
        </w:tabs>
        <w:ind w:left="4326" w:hanging="360"/>
      </w:pPr>
      <w:rPr>
        <w:rFonts w:ascii="Wingdings" w:hAnsi="Wingdings" w:hint="default"/>
      </w:rPr>
    </w:lvl>
    <w:lvl w:ilvl="6" w:tplc="0C090001" w:tentative="1">
      <w:start w:val="1"/>
      <w:numFmt w:val="bullet"/>
      <w:lvlText w:val=""/>
      <w:lvlJc w:val="left"/>
      <w:pPr>
        <w:tabs>
          <w:tab w:val="num" w:pos="5046"/>
        </w:tabs>
        <w:ind w:left="5046" w:hanging="360"/>
      </w:pPr>
      <w:rPr>
        <w:rFonts w:ascii="Symbol" w:hAnsi="Symbol" w:hint="default"/>
      </w:rPr>
    </w:lvl>
    <w:lvl w:ilvl="7" w:tplc="0C090003" w:tentative="1">
      <w:start w:val="1"/>
      <w:numFmt w:val="bullet"/>
      <w:lvlText w:val="o"/>
      <w:lvlJc w:val="left"/>
      <w:pPr>
        <w:tabs>
          <w:tab w:val="num" w:pos="5766"/>
        </w:tabs>
        <w:ind w:left="5766" w:hanging="360"/>
      </w:pPr>
      <w:rPr>
        <w:rFonts w:ascii="Courier New" w:hAnsi="Courier New" w:cs="Courier New" w:hint="default"/>
      </w:rPr>
    </w:lvl>
    <w:lvl w:ilvl="8" w:tplc="0C090005" w:tentative="1">
      <w:start w:val="1"/>
      <w:numFmt w:val="bullet"/>
      <w:lvlText w:val=""/>
      <w:lvlJc w:val="left"/>
      <w:pPr>
        <w:tabs>
          <w:tab w:val="num" w:pos="6486"/>
        </w:tabs>
        <w:ind w:left="6486" w:hanging="360"/>
      </w:pPr>
      <w:rPr>
        <w:rFonts w:ascii="Wingdings" w:hAnsi="Wingdings" w:hint="default"/>
      </w:rPr>
    </w:lvl>
  </w:abstractNum>
  <w:abstractNum w:abstractNumId="42">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9"/>
  </w:num>
  <w:num w:numId="3">
    <w:abstractNumId w:val="39"/>
  </w:num>
  <w:num w:numId="4">
    <w:abstractNumId w:val="6"/>
  </w:num>
  <w:num w:numId="5">
    <w:abstractNumId w:val="5"/>
  </w:num>
  <w:num w:numId="6">
    <w:abstractNumId w:val="21"/>
  </w:num>
  <w:num w:numId="7">
    <w:abstractNumId w:val="3"/>
  </w:num>
  <w:num w:numId="8">
    <w:abstractNumId w:val="8"/>
  </w:num>
  <w:num w:numId="9">
    <w:abstractNumId w:val="2"/>
  </w:num>
  <w:num w:numId="10">
    <w:abstractNumId w:val="33"/>
  </w:num>
  <w:num w:numId="11">
    <w:abstractNumId w:val="4"/>
  </w:num>
  <w:num w:numId="12">
    <w:abstractNumId w:val="1"/>
  </w:num>
  <w:num w:numId="13">
    <w:abstractNumId w:val="0"/>
  </w:num>
  <w:num w:numId="14">
    <w:abstractNumId w:val="24"/>
  </w:num>
  <w:num w:numId="15">
    <w:abstractNumId w:val="40"/>
  </w:num>
  <w:num w:numId="16">
    <w:abstractNumId w:val="15"/>
  </w:num>
  <w:num w:numId="17">
    <w:abstractNumId w:val="14"/>
  </w:num>
  <w:num w:numId="18">
    <w:abstractNumId w:val="22"/>
  </w:num>
  <w:num w:numId="19">
    <w:abstractNumId w:val="10"/>
  </w:num>
  <w:num w:numId="20">
    <w:abstractNumId w:val="30"/>
  </w:num>
  <w:num w:numId="21">
    <w:abstractNumId w:val="32"/>
  </w:num>
  <w:num w:numId="22">
    <w:abstractNumId w:val="20"/>
  </w:num>
  <w:num w:numId="23">
    <w:abstractNumId w:val="23"/>
  </w:num>
  <w:num w:numId="24">
    <w:abstractNumId w:val="26"/>
  </w:num>
  <w:num w:numId="25">
    <w:abstractNumId w:val="38"/>
  </w:num>
  <w:num w:numId="26">
    <w:abstractNumId w:val="29"/>
  </w:num>
  <w:num w:numId="27">
    <w:abstractNumId w:val="34"/>
  </w:num>
  <w:num w:numId="28">
    <w:abstractNumId w:val="35"/>
  </w:num>
  <w:num w:numId="29">
    <w:abstractNumId w:val="27"/>
  </w:num>
  <w:num w:numId="30">
    <w:abstractNumId w:val="19"/>
  </w:num>
  <w:num w:numId="31">
    <w:abstractNumId w:val="42"/>
  </w:num>
  <w:num w:numId="32">
    <w:abstractNumId w:val="13"/>
  </w:num>
  <w:num w:numId="33">
    <w:abstractNumId w:val="7"/>
  </w:num>
  <w:num w:numId="34">
    <w:abstractNumId w:val="16"/>
  </w:num>
  <w:num w:numId="35">
    <w:abstractNumId w:val="37"/>
  </w:num>
  <w:num w:numId="36">
    <w:abstractNumId w:val="28"/>
  </w:num>
  <w:num w:numId="37">
    <w:abstractNumId w:val="11"/>
  </w:num>
  <w:num w:numId="38">
    <w:abstractNumId w:val="31"/>
  </w:num>
  <w:num w:numId="39">
    <w:abstractNumId w:val="12"/>
  </w:num>
  <w:num w:numId="40">
    <w:abstractNumId w:val="15"/>
  </w:num>
  <w:num w:numId="41">
    <w:abstractNumId w:val="25"/>
  </w:num>
  <w:num w:numId="42">
    <w:abstractNumId w:val="41"/>
  </w:num>
  <w:num w:numId="43">
    <w:abstractNumId w:val="36"/>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evenAndOddHeaders/>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Court administration DQI"/>
    <w:docVar w:name="ShortReportTitle" w:val="Report on Government Services 2012 "/>
  </w:docVars>
  <w:rsids>
    <w:rsidRoot w:val="00B96E3E"/>
    <w:rsid w:val="000026B1"/>
    <w:rsid w:val="00003A8C"/>
    <w:rsid w:val="00010854"/>
    <w:rsid w:val="0001085B"/>
    <w:rsid w:val="0001275F"/>
    <w:rsid w:val="000153D0"/>
    <w:rsid w:val="00016770"/>
    <w:rsid w:val="000202F7"/>
    <w:rsid w:val="00027718"/>
    <w:rsid w:val="00034BFB"/>
    <w:rsid w:val="00035368"/>
    <w:rsid w:val="0003664B"/>
    <w:rsid w:val="0004111F"/>
    <w:rsid w:val="00043C13"/>
    <w:rsid w:val="00043DAC"/>
    <w:rsid w:val="00045013"/>
    <w:rsid w:val="00047A42"/>
    <w:rsid w:val="00051463"/>
    <w:rsid w:val="000542F4"/>
    <w:rsid w:val="00062F62"/>
    <w:rsid w:val="000659D4"/>
    <w:rsid w:val="00066833"/>
    <w:rsid w:val="0006762E"/>
    <w:rsid w:val="0007150B"/>
    <w:rsid w:val="000716D9"/>
    <w:rsid w:val="00090523"/>
    <w:rsid w:val="00092B50"/>
    <w:rsid w:val="000938F5"/>
    <w:rsid w:val="00095E5B"/>
    <w:rsid w:val="0009623A"/>
    <w:rsid w:val="00096F99"/>
    <w:rsid w:val="000A0627"/>
    <w:rsid w:val="000B3C24"/>
    <w:rsid w:val="000B601B"/>
    <w:rsid w:val="000B71E3"/>
    <w:rsid w:val="000C207E"/>
    <w:rsid w:val="000C3450"/>
    <w:rsid w:val="000C3AC0"/>
    <w:rsid w:val="000C42C9"/>
    <w:rsid w:val="000C4901"/>
    <w:rsid w:val="000D221E"/>
    <w:rsid w:val="000E04D3"/>
    <w:rsid w:val="000E31CA"/>
    <w:rsid w:val="000E3B7C"/>
    <w:rsid w:val="000E6F99"/>
    <w:rsid w:val="000F287A"/>
    <w:rsid w:val="000F4744"/>
    <w:rsid w:val="00101653"/>
    <w:rsid w:val="00101759"/>
    <w:rsid w:val="00102E46"/>
    <w:rsid w:val="00110116"/>
    <w:rsid w:val="00126EB8"/>
    <w:rsid w:val="001363AA"/>
    <w:rsid w:val="0014734D"/>
    <w:rsid w:val="00153D0C"/>
    <w:rsid w:val="00163E8D"/>
    <w:rsid w:val="001640E2"/>
    <w:rsid w:val="00165A9D"/>
    <w:rsid w:val="00167887"/>
    <w:rsid w:val="00174056"/>
    <w:rsid w:val="0018111E"/>
    <w:rsid w:val="00182776"/>
    <w:rsid w:val="00190192"/>
    <w:rsid w:val="00190D71"/>
    <w:rsid w:val="00192597"/>
    <w:rsid w:val="0019293B"/>
    <w:rsid w:val="00192BE6"/>
    <w:rsid w:val="00195291"/>
    <w:rsid w:val="00196EAD"/>
    <w:rsid w:val="0019761A"/>
    <w:rsid w:val="001A14AB"/>
    <w:rsid w:val="001A41D0"/>
    <w:rsid w:val="001A49A9"/>
    <w:rsid w:val="001A6779"/>
    <w:rsid w:val="001A6E25"/>
    <w:rsid w:val="001A7053"/>
    <w:rsid w:val="001A7971"/>
    <w:rsid w:val="001B21B3"/>
    <w:rsid w:val="001B7363"/>
    <w:rsid w:val="001C0865"/>
    <w:rsid w:val="001C3ABA"/>
    <w:rsid w:val="001C4615"/>
    <w:rsid w:val="001C6CF8"/>
    <w:rsid w:val="001D35B6"/>
    <w:rsid w:val="001D633C"/>
    <w:rsid w:val="001E117C"/>
    <w:rsid w:val="001E1B06"/>
    <w:rsid w:val="001E57BC"/>
    <w:rsid w:val="001E7BE8"/>
    <w:rsid w:val="001F0248"/>
    <w:rsid w:val="001F19D2"/>
    <w:rsid w:val="001F3CF1"/>
    <w:rsid w:val="001F424E"/>
    <w:rsid w:val="001F7398"/>
    <w:rsid w:val="00201BAA"/>
    <w:rsid w:val="00201BBB"/>
    <w:rsid w:val="00202C2C"/>
    <w:rsid w:val="00203D32"/>
    <w:rsid w:val="00206097"/>
    <w:rsid w:val="00206133"/>
    <w:rsid w:val="00210245"/>
    <w:rsid w:val="00211652"/>
    <w:rsid w:val="00211855"/>
    <w:rsid w:val="00214AB2"/>
    <w:rsid w:val="002162BE"/>
    <w:rsid w:val="002217BA"/>
    <w:rsid w:val="00227152"/>
    <w:rsid w:val="0023416C"/>
    <w:rsid w:val="002362B1"/>
    <w:rsid w:val="00237E9A"/>
    <w:rsid w:val="00240478"/>
    <w:rsid w:val="00242279"/>
    <w:rsid w:val="00247C3F"/>
    <w:rsid w:val="00247F7B"/>
    <w:rsid w:val="0025439F"/>
    <w:rsid w:val="0026307C"/>
    <w:rsid w:val="002714B9"/>
    <w:rsid w:val="00282B08"/>
    <w:rsid w:val="0028336E"/>
    <w:rsid w:val="00286C06"/>
    <w:rsid w:val="00291B40"/>
    <w:rsid w:val="00291D34"/>
    <w:rsid w:val="00292C41"/>
    <w:rsid w:val="00294909"/>
    <w:rsid w:val="00297E80"/>
    <w:rsid w:val="002A02D9"/>
    <w:rsid w:val="002A09F6"/>
    <w:rsid w:val="002A321D"/>
    <w:rsid w:val="002B287E"/>
    <w:rsid w:val="002B3B8E"/>
    <w:rsid w:val="002B4008"/>
    <w:rsid w:val="002C5D2B"/>
    <w:rsid w:val="002D0E8E"/>
    <w:rsid w:val="002E75EF"/>
    <w:rsid w:val="002E7D2B"/>
    <w:rsid w:val="002F70F5"/>
    <w:rsid w:val="00301189"/>
    <w:rsid w:val="0030756B"/>
    <w:rsid w:val="0032006C"/>
    <w:rsid w:val="0032345F"/>
    <w:rsid w:val="00323E09"/>
    <w:rsid w:val="00327C28"/>
    <w:rsid w:val="003302AE"/>
    <w:rsid w:val="0033121A"/>
    <w:rsid w:val="00331500"/>
    <w:rsid w:val="00333779"/>
    <w:rsid w:val="00333932"/>
    <w:rsid w:val="00341EC5"/>
    <w:rsid w:val="0034473B"/>
    <w:rsid w:val="00345091"/>
    <w:rsid w:val="00346FD6"/>
    <w:rsid w:val="003518AA"/>
    <w:rsid w:val="00351C54"/>
    <w:rsid w:val="00353182"/>
    <w:rsid w:val="00353CC5"/>
    <w:rsid w:val="00356250"/>
    <w:rsid w:val="00357160"/>
    <w:rsid w:val="003602E1"/>
    <w:rsid w:val="003607ED"/>
    <w:rsid w:val="00371240"/>
    <w:rsid w:val="00372E9C"/>
    <w:rsid w:val="00374731"/>
    <w:rsid w:val="00376B9D"/>
    <w:rsid w:val="00377BB6"/>
    <w:rsid w:val="003815E2"/>
    <w:rsid w:val="00382139"/>
    <w:rsid w:val="003831B0"/>
    <w:rsid w:val="00386EFF"/>
    <w:rsid w:val="00391AC1"/>
    <w:rsid w:val="00395424"/>
    <w:rsid w:val="00395D4C"/>
    <w:rsid w:val="003968F4"/>
    <w:rsid w:val="003B2856"/>
    <w:rsid w:val="003B2C6C"/>
    <w:rsid w:val="003C38B5"/>
    <w:rsid w:val="003C5D99"/>
    <w:rsid w:val="003D6908"/>
    <w:rsid w:val="003E012A"/>
    <w:rsid w:val="003E0762"/>
    <w:rsid w:val="003E3FB1"/>
    <w:rsid w:val="003F0789"/>
    <w:rsid w:val="003F3047"/>
    <w:rsid w:val="003F51AC"/>
    <w:rsid w:val="00401882"/>
    <w:rsid w:val="00404F8B"/>
    <w:rsid w:val="004052E5"/>
    <w:rsid w:val="00406582"/>
    <w:rsid w:val="00406F53"/>
    <w:rsid w:val="004100C8"/>
    <w:rsid w:val="00412ACE"/>
    <w:rsid w:val="004223F4"/>
    <w:rsid w:val="00425A99"/>
    <w:rsid w:val="00425CF8"/>
    <w:rsid w:val="004279EE"/>
    <w:rsid w:val="00431249"/>
    <w:rsid w:val="00434C19"/>
    <w:rsid w:val="004366E5"/>
    <w:rsid w:val="0044003C"/>
    <w:rsid w:val="00442BDE"/>
    <w:rsid w:val="00450810"/>
    <w:rsid w:val="00455E7B"/>
    <w:rsid w:val="00460766"/>
    <w:rsid w:val="004633B4"/>
    <w:rsid w:val="00464422"/>
    <w:rsid w:val="00464ABC"/>
    <w:rsid w:val="004671F8"/>
    <w:rsid w:val="0047028A"/>
    <w:rsid w:val="004712E3"/>
    <w:rsid w:val="0047376D"/>
    <w:rsid w:val="00474C81"/>
    <w:rsid w:val="004753E9"/>
    <w:rsid w:val="00476EF2"/>
    <w:rsid w:val="00477144"/>
    <w:rsid w:val="004812E7"/>
    <w:rsid w:val="004817C1"/>
    <w:rsid w:val="004932E5"/>
    <w:rsid w:val="00493D0C"/>
    <w:rsid w:val="0049459F"/>
    <w:rsid w:val="00495FF8"/>
    <w:rsid w:val="00496F93"/>
    <w:rsid w:val="00496FAE"/>
    <w:rsid w:val="004A3096"/>
    <w:rsid w:val="004A31E2"/>
    <w:rsid w:val="004A3386"/>
    <w:rsid w:val="004A6E56"/>
    <w:rsid w:val="004A6FD8"/>
    <w:rsid w:val="004B43AE"/>
    <w:rsid w:val="004B7222"/>
    <w:rsid w:val="004B7494"/>
    <w:rsid w:val="004C0637"/>
    <w:rsid w:val="004C30ED"/>
    <w:rsid w:val="004C7CE7"/>
    <w:rsid w:val="004E5241"/>
    <w:rsid w:val="004E6E5C"/>
    <w:rsid w:val="004F37A7"/>
    <w:rsid w:val="004F536B"/>
    <w:rsid w:val="004F5DC6"/>
    <w:rsid w:val="004F62FD"/>
    <w:rsid w:val="004F7B50"/>
    <w:rsid w:val="004F7C4C"/>
    <w:rsid w:val="005000AB"/>
    <w:rsid w:val="0050738F"/>
    <w:rsid w:val="00507BC7"/>
    <w:rsid w:val="00513314"/>
    <w:rsid w:val="0051376F"/>
    <w:rsid w:val="00514D33"/>
    <w:rsid w:val="005167FD"/>
    <w:rsid w:val="00543B75"/>
    <w:rsid w:val="00544E63"/>
    <w:rsid w:val="005455AC"/>
    <w:rsid w:val="00546B24"/>
    <w:rsid w:val="00550BDB"/>
    <w:rsid w:val="0056248A"/>
    <w:rsid w:val="00565050"/>
    <w:rsid w:val="005670B8"/>
    <w:rsid w:val="00575A80"/>
    <w:rsid w:val="00583C39"/>
    <w:rsid w:val="00590388"/>
    <w:rsid w:val="005909CF"/>
    <w:rsid w:val="00591E71"/>
    <w:rsid w:val="00593391"/>
    <w:rsid w:val="00593810"/>
    <w:rsid w:val="00593F78"/>
    <w:rsid w:val="005A0D14"/>
    <w:rsid w:val="005B11D7"/>
    <w:rsid w:val="005B1714"/>
    <w:rsid w:val="005B3662"/>
    <w:rsid w:val="005B48D6"/>
    <w:rsid w:val="005C7CE6"/>
    <w:rsid w:val="005E066E"/>
    <w:rsid w:val="005E2F78"/>
    <w:rsid w:val="005E605C"/>
    <w:rsid w:val="005E7E29"/>
    <w:rsid w:val="00604F9C"/>
    <w:rsid w:val="00607BAA"/>
    <w:rsid w:val="00607BF1"/>
    <w:rsid w:val="00610CD4"/>
    <w:rsid w:val="00612D94"/>
    <w:rsid w:val="00615A57"/>
    <w:rsid w:val="00630A81"/>
    <w:rsid w:val="00630D4D"/>
    <w:rsid w:val="00632A74"/>
    <w:rsid w:val="006340A3"/>
    <w:rsid w:val="00636B8C"/>
    <w:rsid w:val="006400FE"/>
    <w:rsid w:val="00640802"/>
    <w:rsid w:val="00641768"/>
    <w:rsid w:val="00644B3E"/>
    <w:rsid w:val="00651191"/>
    <w:rsid w:val="00666D1D"/>
    <w:rsid w:val="006731B5"/>
    <w:rsid w:val="00681AF5"/>
    <w:rsid w:val="00684DB8"/>
    <w:rsid w:val="0069744C"/>
    <w:rsid w:val="006979C7"/>
    <w:rsid w:val="006A10EE"/>
    <w:rsid w:val="006A4655"/>
    <w:rsid w:val="006A7AC9"/>
    <w:rsid w:val="006B0837"/>
    <w:rsid w:val="006B2216"/>
    <w:rsid w:val="006B5F7E"/>
    <w:rsid w:val="006B61B4"/>
    <w:rsid w:val="006C3528"/>
    <w:rsid w:val="006C7038"/>
    <w:rsid w:val="006D4850"/>
    <w:rsid w:val="006E0230"/>
    <w:rsid w:val="006E343A"/>
    <w:rsid w:val="006E6135"/>
    <w:rsid w:val="006E73EF"/>
    <w:rsid w:val="006F0D3C"/>
    <w:rsid w:val="006F5A92"/>
    <w:rsid w:val="00701D79"/>
    <w:rsid w:val="007021DE"/>
    <w:rsid w:val="00702250"/>
    <w:rsid w:val="00703A69"/>
    <w:rsid w:val="00704AF9"/>
    <w:rsid w:val="007064E9"/>
    <w:rsid w:val="007066FD"/>
    <w:rsid w:val="0071029E"/>
    <w:rsid w:val="007137BC"/>
    <w:rsid w:val="00715236"/>
    <w:rsid w:val="007225E3"/>
    <w:rsid w:val="00722AD4"/>
    <w:rsid w:val="0072391B"/>
    <w:rsid w:val="00726BFF"/>
    <w:rsid w:val="00730827"/>
    <w:rsid w:val="00731481"/>
    <w:rsid w:val="00735300"/>
    <w:rsid w:val="007604BB"/>
    <w:rsid w:val="00765BDA"/>
    <w:rsid w:val="00772DAD"/>
    <w:rsid w:val="00776B66"/>
    <w:rsid w:val="0078627F"/>
    <w:rsid w:val="00794145"/>
    <w:rsid w:val="0079676E"/>
    <w:rsid w:val="007A0D49"/>
    <w:rsid w:val="007A21EB"/>
    <w:rsid w:val="007A265A"/>
    <w:rsid w:val="007A4A18"/>
    <w:rsid w:val="007B3ABE"/>
    <w:rsid w:val="007B63F5"/>
    <w:rsid w:val="007B6817"/>
    <w:rsid w:val="007B6EEF"/>
    <w:rsid w:val="007C2C24"/>
    <w:rsid w:val="007C36C9"/>
    <w:rsid w:val="007C736C"/>
    <w:rsid w:val="007C79D3"/>
    <w:rsid w:val="007C79DA"/>
    <w:rsid w:val="007C7A64"/>
    <w:rsid w:val="007D0BFD"/>
    <w:rsid w:val="007D66CA"/>
    <w:rsid w:val="007E01E4"/>
    <w:rsid w:val="007E1567"/>
    <w:rsid w:val="007E2755"/>
    <w:rsid w:val="007E6B15"/>
    <w:rsid w:val="007F2378"/>
    <w:rsid w:val="007F7107"/>
    <w:rsid w:val="00800960"/>
    <w:rsid w:val="00803FAD"/>
    <w:rsid w:val="00807A8D"/>
    <w:rsid w:val="0081030F"/>
    <w:rsid w:val="00813ABE"/>
    <w:rsid w:val="00814046"/>
    <w:rsid w:val="0082087D"/>
    <w:rsid w:val="00823B25"/>
    <w:rsid w:val="00825D8C"/>
    <w:rsid w:val="008353B9"/>
    <w:rsid w:val="008377E7"/>
    <w:rsid w:val="008404AF"/>
    <w:rsid w:val="008447A7"/>
    <w:rsid w:val="00853680"/>
    <w:rsid w:val="00853692"/>
    <w:rsid w:val="00854AF1"/>
    <w:rsid w:val="00857672"/>
    <w:rsid w:val="0086082C"/>
    <w:rsid w:val="00862A64"/>
    <w:rsid w:val="00864ADC"/>
    <w:rsid w:val="00873488"/>
    <w:rsid w:val="00874DB4"/>
    <w:rsid w:val="00876057"/>
    <w:rsid w:val="00876E0E"/>
    <w:rsid w:val="00880153"/>
    <w:rsid w:val="00880F97"/>
    <w:rsid w:val="0088133A"/>
    <w:rsid w:val="00883DCF"/>
    <w:rsid w:val="00885C6B"/>
    <w:rsid w:val="00886146"/>
    <w:rsid w:val="0089195E"/>
    <w:rsid w:val="00891D67"/>
    <w:rsid w:val="0089285E"/>
    <w:rsid w:val="0089436C"/>
    <w:rsid w:val="00897974"/>
    <w:rsid w:val="008A3514"/>
    <w:rsid w:val="008A48B7"/>
    <w:rsid w:val="008B77F5"/>
    <w:rsid w:val="008B79AA"/>
    <w:rsid w:val="008B7C76"/>
    <w:rsid w:val="008C00BE"/>
    <w:rsid w:val="008E323F"/>
    <w:rsid w:val="008F2084"/>
    <w:rsid w:val="008F4871"/>
    <w:rsid w:val="009012EA"/>
    <w:rsid w:val="00902529"/>
    <w:rsid w:val="00902803"/>
    <w:rsid w:val="009030BF"/>
    <w:rsid w:val="00905E38"/>
    <w:rsid w:val="00906994"/>
    <w:rsid w:val="009106F0"/>
    <w:rsid w:val="0091129D"/>
    <w:rsid w:val="009122D6"/>
    <w:rsid w:val="00914368"/>
    <w:rsid w:val="00916C59"/>
    <w:rsid w:val="009178BD"/>
    <w:rsid w:val="00920A25"/>
    <w:rsid w:val="0092739D"/>
    <w:rsid w:val="009309BB"/>
    <w:rsid w:val="00931076"/>
    <w:rsid w:val="009345D9"/>
    <w:rsid w:val="00934B15"/>
    <w:rsid w:val="00942B62"/>
    <w:rsid w:val="00944C01"/>
    <w:rsid w:val="00944D4A"/>
    <w:rsid w:val="00955B16"/>
    <w:rsid w:val="009564F2"/>
    <w:rsid w:val="009568C6"/>
    <w:rsid w:val="00956A0C"/>
    <w:rsid w:val="00956BD9"/>
    <w:rsid w:val="00962489"/>
    <w:rsid w:val="00964D1A"/>
    <w:rsid w:val="00965610"/>
    <w:rsid w:val="00970DA4"/>
    <w:rsid w:val="0097125C"/>
    <w:rsid w:val="009770CC"/>
    <w:rsid w:val="009774CE"/>
    <w:rsid w:val="00980182"/>
    <w:rsid w:val="00980CE7"/>
    <w:rsid w:val="00984DC3"/>
    <w:rsid w:val="00985529"/>
    <w:rsid w:val="00986035"/>
    <w:rsid w:val="009875C5"/>
    <w:rsid w:val="00995521"/>
    <w:rsid w:val="0099620F"/>
    <w:rsid w:val="009A51B7"/>
    <w:rsid w:val="009A5C10"/>
    <w:rsid w:val="009A61A0"/>
    <w:rsid w:val="009A6E2F"/>
    <w:rsid w:val="009B18A0"/>
    <w:rsid w:val="009B1A18"/>
    <w:rsid w:val="009B2DA8"/>
    <w:rsid w:val="009C1776"/>
    <w:rsid w:val="009C452B"/>
    <w:rsid w:val="009D5D88"/>
    <w:rsid w:val="009E4070"/>
    <w:rsid w:val="009E5ABB"/>
    <w:rsid w:val="009E76E0"/>
    <w:rsid w:val="009F199D"/>
    <w:rsid w:val="009F68FC"/>
    <w:rsid w:val="009F696D"/>
    <w:rsid w:val="009F6BC6"/>
    <w:rsid w:val="00A0153F"/>
    <w:rsid w:val="00A048FF"/>
    <w:rsid w:val="00A0683E"/>
    <w:rsid w:val="00A10958"/>
    <w:rsid w:val="00A10BF8"/>
    <w:rsid w:val="00A16EAC"/>
    <w:rsid w:val="00A17328"/>
    <w:rsid w:val="00A1758B"/>
    <w:rsid w:val="00A24340"/>
    <w:rsid w:val="00A248D3"/>
    <w:rsid w:val="00A254D5"/>
    <w:rsid w:val="00A2703A"/>
    <w:rsid w:val="00A27B5C"/>
    <w:rsid w:val="00A31A65"/>
    <w:rsid w:val="00A3292F"/>
    <w:rsid w:val="00A33879"/>
    <w:rsid w:val="00A33DA6"/>
    <w:rsid w:val="00A33DFF"/>
    <w:rsid w:val="00A35115"/>
    <w:rsid w:val="00A3758E"/>
    <w:rsid w:val="00A377A9"/>
    <w:rsid w:val="00A413E7"/>
    <w:rsid w:val="00A53D85"/>
    <w:rsid w:val="00A554AB"/>
    <w:rsid w:val="00A57C86"/>
    <w:rsid w:val="00A652F1"/>
    <w:rsid w:val="00A7432A"/>
    <w:rsid w:val="00A74563"/>
    <w:rsid w:val="00A75B94"/>
    <w:rsid w:val="00A917F7"/>
    <w:rsid w:val="00A918A7"/>
    <w:rsid w:val="00A94225"/>
    <w:rsid w:val="00A94FA6"/>
    <w:rsid w:val="00A95137"/>
    <w:rsid w:val="00A95241"/>
    <w:rsid w:val="00AA362F"/>
    <w:rsid w:val="00AA6710"/>
    <w:rsid w:val="00AB0681"/>
    <w:rsid w:val="00AB1021"/>
    <w:rsid w:val="00AC1903"/>
    <w:rsid w:val="00AD1400"/>
    <w:rsid w:val="00AD1868"/>
    <w:rsid w:val="00AD77E4"/>
    <w:rsid w:val="00AD7D6A"/>
    <w:rsid w:val="00AE1D2B"/>
    <w:rsid w:val="00AE2DAF"/>
    <w:rsid w:val="00AE2DD3"/>
    <w:rsid w:val="00AE44A7"/>
    <w:rsid w:val="00AE6FBC"/>
    <w:rsid w:val="00AF6AC7"/>
    <w:rsid w:val="00B01E41"/>
    <w:rsid w:val="00B02629"/>
    <w:rsid w:val="00B10B3B"/>
    <w:rsid w:val="00B11DFF"/>
    <w:rsid w:val="00B216F7"/>
    <w:rsid w:val="00B23193"/>
    <w:rsid w:val="00B27081"/>
    <w:rsid w:val="00B303E8"/>
    <w:rsid w:val="00B31FC6"/>
    <w:rsid w:val="00B325D0"/>
    <w:rsid w:val="00B478CF"/>
    <w:rsid w:val="00B50306"/>
    <w:rsid w:val="00B51173"/>
    <w:rsid w:val="00B512B7"/>
    <w:rsid w:val="00B5251C"/>
    <w:rsid w:val="00B53114"/>
    <w:rsid w:val="00B53E7E"/>
    <w:rsid w:val="00B5422F"/>
    <w:rsid w:val="00B60836"/>
    <w:rsid w:val="00B62BEA"/>
    <w:rsid w:val="00B6342E"/>
    <w:rsid w:val="00B651D5"/>
    <w:rsid w:val="00B66525"/>
    <w:rsid w:val="00B7113F"/>
    <w:rsid w:val="00B74774"/>
    <w:rsid w:val="00B76C5D"/>
    <w:rsid w:val="00B83878"/>
    <w:rsid w:val="00B84204"/>
    <w:rsid w:val="00B862DC"/>
    <w:rsid w:val="00B9194C"/>
    <w:rsid w:val="00B95CAB"/>
    <w:rsid w:val="00B96E3E"/>
    <w:rsid w:val="00B9773E"/>
    <w:rsid w:val="00B97B19"/>
    <w:rsid w:val="00BA573C"/>
    <w:rsid w:val="00BA73B6"/>
    <w:rsid w:val="00BB2AD6"/>
    <w:rsid w:val="00BB4FCD"/>
    <w:rsid w:val="00BB52CD"/>
    <w:rsid w:val="00BB531B"/>
    <w:rsid w:val="00BC16F8"/>
    <w:rsid w:val="00BC3AA3"/>
    <w:rsid w:val="00BC4D3B"/>
    <w:rsid w:val="00BD13EA"/>
    <w:rsid w:val="00BE0209"/>
    <w:rsid w:val="00BE375B"/>
    <w:rsid w:val="00BE3808"/>
    <w:rsid w:val="00BE7173"/>
    <w:rsid w:val="00BF206B"/>
    <w:rsid w:val="00BF56E9"/>
    <w:rsid w:val="00BF5DA0"/>
    <w:rsid w:val="00BF6F75"/>
    <w:rsid w:val="00C01491"/>
    <w:rsid w:val="00C039AF"/>
    <w:rsid w:val="00C062E9"/>
    <w:rsid w:val="00C13721"/>
    <w:rsid w:val="00C13C0D"/>
    <w:rsid w:val="00C13DB6"/>
    <w:rsid w:val="00C14E02"/>
    <w:rsid w:val="00C17B56"/>
    <w:rsid w:val="00C341A4"/>
    <w:rsid w:val="00C42E39"/>
    <w:rsid w:val="00C43E88"/>
    <w:rsid w:val="00C45D2C"/>
    <w:rsid w:val="00C543F4"/>
    <w:rsid w:val="00C60423"/>
    <w:rsid w:val="00C61376"/>
    <w:rsid w:val="00C6291C"/>
    <w:rsid w:val="00C633CB"/>
    <w:rsid w:val="00C65CBE"/>
    <w:rsid w:val="00C66FA0"/>
    <w:rsid w:val="00C74137"/>
    <w:rsid w:val="00C744E0"/>
    <w:rsid w:val="00C77D0D"/>
    <w:rsid w:val="00C8762C"/>
    <w:rsid w:val="00C90BD4"/>
    <w:rsid w:val="00C9214D"/>
    <w:rsid w:val="00C933F7"/>
    <w:rsid w:val="00C94442"/>
    <w:rsid w:val="00CA00F9"/>
    <w:rsid w:val="00CA1294"/>
    <w:rsid w:val="00CA1E8E"/>
    <w:rsid w:val="00CA243A"/>
    <w:rsid w:val="00CA2961"/>
    <w:rsid w:val="00CA481F"/>
    <w:rsid w:val="00CB2B41"/>
    <w:rsid w:val="00CB50D7"/>
    <w:rsid w:val="00CB6200"/>
    <w:rsid w:val="00CB7177"/>
    <w:rsid w:val="00CC1998"/>
    <w:rsid w:val="00CC2599"/>
    <w:rsid w:val="00CC42B6"/>
    <w:rsid w:val="00CC4946"/>
    <w:rsid w:val="00CC5BFC"/>
    <w:rsid w:val="00CC6152"/>
    <w:rsid w:val="00CE0D65"/>
    <w:rsid w:val="00CE2293"/>
    <w:rsid w:val="00CE3B5B"/>
    <w:rsid w:val="00CE6811"/>
    <w:rsid w:val="00CF55B3"/>
    <w:rsid w:val="00D1110B"/>
    <w:rsid w:val="00D15ADD"/>
    <w:rsid w:val="00D2412D"/>
    <w:rsid w:val="00D270A4"/>
    <w:rsid w:val="00D27589"/>
    <w:rsid w:val="00D34E1B"/>
    <w:rsid w:val="00D406AF"/>
    <w:rsid w:val="00D41320"/>
    <w:rsid w:val="00D46537"/>
    <w:rsid w:val="00D51456"/>
    <w:rsid w:val="00D54CFC"/>
    <w:rsid w:val="00D603CA"/>
    <w:rsid w:val="00D6158F"/>
    <w:rsid w:val="00D63D73"/>
    <w:rsid w:val="00D66E1E"/>
    <w:rsid w:val="00D74185"/>
    <w:rsid w:val="00D74546"/>
    <w:rsid w:val="00D75722"/>
    <w:rsid w:val="00D76509"/>
    <w:rsid w:val="00D7788E"/>
    <w:rsid w:val="00D82381"/>
    <w:rsid w:val="00D85FBD"/>
    <w:rsid w:val="00D867B1"/>
    <w:rsid w:val="00D91108"/>
    <w:rsid w:val="00D94811"/>
    <w:rsid w:val="00D95B0F"/>
    <w:rsid w:val="00D96DB7"/>
    <w:rsid w:val="00DA1CC9"/>
    <w:rsid w:val="00DA36CD"/>
    <w:rsid w:val="00DA4992"/>
    <w:rsid w:val="00DA4F5D"/>
    <w:rsid w:val="00DB67C9"/>
    <w:rsid w:val="00DC0C95"/>
    <w:rsid w:val="00DC6090"/>
    <w:rsid w:val="00DD0678"/>
    <w:rsid w:val="00DD184D"/>
    <w:rsid w:val="00DD3D61"/>
    <w:rsid w:val="00DD6580"/>
    <w:rsid w:val="00DE2E51"/>
    <w:rsid w:val="00DE36F2"/>
    <w:rsid w:val="00DE5F34"/>
    <w:rsid w:val="00DF5BCE"/>
    <w:rsid w:val="00E01822"/>
    <w:rsid w:val="00E15DC0"/>
    <w:rsid w:val="00E16D0A"/>
    <w:rsid w:val="00E179EA"/>
    <w:rsid w:val="00E17C72"/>
    <w:rsid w:val="00E21372"/>
    <w:rsid w:val="00E24E83"/>
    <w:rsid w:val="00E2640B"/>
    <w:rsid w:val="00E352C4"/>
    <w:rsid w:val="00E37635"/>
    <w:rsid w:val="00E46C79"/>
    <w:rsid w:val="00E47988"/>
    <w:rsid w:val="00E5459B"/>
    <w:rsid w:val="00E669E2"/>
    <w:rsid w:val="00E67440"/>
    <w:rsid w:val="00E7156F"/>
    <w:rsid w:val="00E74300"/>
    <w:rsid w:val="00E74CF4"/>
    <w:rsid w:val="00E76135"/>
    <w:rsid w:val="00E7685D"/>
    <w:rsid w:val="00E817EA"/>
    <w:rsid w:val="00E862F3"/>
    <w:rsid w:val="00E86448"/>
    <w:rsid w:val="00E877F6"/>
    <w:rsid w:val="00E96FD9"/>
    <w:rsid w:val="00EA06AA"/>
    <w:rsid w:val="00EA2AAB"/>
    <w:rsid w:val="00EB1CE3"/>
    <w:rsid w:val="00EB36A1"/>
    <w:rsid w:val="00EB61E7"/>
    <w:rsid w:val="00EC35FC"/>
    <w:rsid w:val="00EC5697"/>
    <w:rsid w:val="00EC651C"/>
    <w:rsid w:val="00ED1FB1"/>
    <w:rsid w:val="00ED3AA8"/>
    <w:rsid w:val="00ED5EA6"/>
    <w:rsid w:val="00EE3D80"/>
    <w:rsid w:val="00EF17BC"/>
    <w:rsid w:val="00EF5328"/>
    <w:rsid w:val="00EF71BA"/>
    <w:rsid w:val="00EF7BAE"/>
    <w:rsid w:val="00F056FC"/>
    <w:rsid w:val="00F135D8"/>
    <w:rsid w:val="00F26C33"/>
    <w:rsid w:val="00F30B63"/>
    <w:rsid w:val="00F30C6C"/>
    <w:rsid w:val="00F31299"/>
    <w:rsid w:val="00F31A71"/>
    <w:rsid w:val="00F3263B"/>
    <w:rsid w:val="00F3353C"/>
    <w:rsid w:val="00F3534A"/>
    <w:rsid w:val="00F4327E"/>
    <w:rsid w:val="00F47708"/>
    <w:rsid w:val="00F64578"/>
    <w:rsid w:val="00F646F6"/>
    <w:rsid w:val="00F72A6A"/>
    <w:rsid w:val="00F85325"/>
    <w:rsid w:val="00F86A7F"/>
    <w:rsid w:val="00F90328"/>
    <w:rsid w:val="00F95183"/>
    <w:rsid w:val="00F96165"/>
    <w:rsid w:val="00F962B8"/>
    <w:rsid w:val="00FA003C"/>
    <w:rsid w:val="00FA05D6"/>
    <w:rsid w:val="00FA20C6"/>
    <w:rsid w:val="00FB0FCD"/>
    <w:rsid w:val="00FC5287"/>
    <w:rsid w:val="00FC5421"/>
    <w:rsid w:val="00FC5C8B"/>
    <w:rsid w:val="00FC74D4"/>
    <w:rsid w:val="00FD068D"/>
    <w:rsid w:val="00FD21F9"/>
    <w:rsid w:val="00FD22B1"/>
    <w:rsid w:val="00FD3878"/>
    <w:rsid w:val="00FE0448"/>
    <w:rsid w:val="00FF24E3"/>
    <w:rsid w:val="00FF25B8"/>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25D0"/>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C77D0D"/>
    <w:rPr>
      <w:rFonts w:ascii="Arial" w:hAnsi="Arial"/>
      <w:sz w:val="22"/>
      <w:lang w:val="en-AU" w:eastAsia="en-AU" w:bidi="ar-SA"/>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rsid w:val="00062F62"/>
    <w:rPr>
      <w:rFonts w:ascii="Arial" w:hAnsi="Arial"/>
      <w:lang w:val="en-AU" w:eastAsia="en-AU" w:bidi="ar-SA"/>
    </w:rPr>
  </w:style>
  <w:style w:type="character" w:customStyle="1" w:styleId="TableBulletChar">
    <w:name w:val="Table Bullet Char"/>
    <w:link w:val="TableBullet"/>
    <w:rsid w:val="00062F62"/>
    <w:rPr>
      <w:rFonts w:ascii="Arial" w:hAnsi="Arial"/>
      <w:lang w:val="en-AU" w:eastAsia="en-AU" w:bidi="ar-SA"/>
    </w:rPr>
  </w:style>
  <w:style w:type="paragraph" w:styleId="BalloonText">
    <w:name w:val="Balloon Text"/>
    <w:basedOn w:val="Normal"/>
    <w:link w:val="BalloonTextChar"/>
    <w:rsid w:val="00E46C79"/>
    <w:rPr>
      <w:rFonts w:ascii="Tahoma" w:hAnsi="Tahoma" w:cs="Tahoma"/>
      <w:sz w:val="16"/>
      <w:szCs w:val="16"/>
    </w:rPr>
  </w:style>
  <w:style w:type="character" w:customStyle="1" w:styleId="BalloonTextChar">
    <w:name w:val="Balloon Text Char"/>
    <w:link w:val="BalloonText"/>
    <w:rsid w:val="00E46C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25D0"/>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semiHidden/>
    <w:rsid w:val="00A17328"/>
    <w:rPr>
      <w:rFonts w:ascii="Arial" w:hAnsi="Arial"/>
      <w:sz w:val="14"/>
    </w:rPr>
  </w:style>
  <w:style w:type="character" w:customStyle="1" w:styleId="DraftingNote">
    <w:name w:val="Drafting Note"/>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uiPriority w:val="99"/>
    <w:rsid w:val="00B96E3E"/>
    <w:rPr>
      <w:color w:val="0000FF"/>
      <w:u w:val="single"/>
    </w:rPr>
  </w:style>
  <w:style w:type="character" w:customStyle="1" w:styleId="BoxChar">
    <w:name w:val="Box Char"/>
    <w:link w:val="Box"/>
    <w:rsid w:val="00C77D0D"/>
    <w:rPr>
      <w:rFonts w:ascii="Arial" w:hAnsi="Arial"/>
      <w:sz w:val="22"/>
      <w:lang w:val="en-AU" w:eastAsia="en-AU" w:bidi="ar-SA"/>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link w:val="TableBodyText"/>
    <w:rsid w:val="00062F62"/>
    <w:rPr>
      <w:rFonts w:ascii="Arial" w:hAnsi="Arial"/>
      <w:lang w:val="en-AU" w:eastAsia="en-AU" w:bidi="ar-SA"/>
    </w:rPr>
  </w:style>
  <w:style w:type="character" w:customStyle="1" w:styleId="TableBulletChar">
    <w:name w:val="Table Bullet Char"/>
    <w:link w:val="TableBullet"/>
    <w:rsid w:val="00062F62"/>
    <w:rPr>
      <w:rFonts w:ascii="Arial" w:hAnsi="Arial"/>
      <w:lang w:val="en-AU" w:eastAsia="en-AU" w:bidi="ar-SA"/>
    </w:rPr>
  </w:style>
  <w:style w:type="paragraph" w:styleId="BalloonText">
    <w:name w:val="Balloon Text"/>
    <w:basedOn w:val="Normal"/>
    <w:link w:val="BalloonTextChar"/>
    <w:rsid w:val="00E46C79"/>
    <w:rPr>
      <w:rFonts w:ascii="Tahoma" w:hAnsi="Tahoma" w:cs="Tahoma"/>
      <w:sz w:val="16"/>
      <w:szCs w:val="16"/>
    </w:rPr>
  </w:style>
  <w:style w:type="character" w:customStyle="1" w:styleId="BalloonTextChar">
    <w:name w:val="Balloon Text Char"/>
    <w:link w:val="BalloonText"/>
    <w:rsid w:val="00E46C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c%20template\Chap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Template>
  <TotalTime>2</TotalTime>
  <Pages>26</Pages>
  <Words>10172</Words>
  <Characters>57253</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Courts DQI</vt:lpstr>
    </vt:vector>
  </TitlesOfParts>
  <Company>Productivity Commission</Company>
  <LinksUpToDate>false</LinksUpToDate>
  <CharactersWithSpaces>67291</CharactersWithSpaces>
  <SharedDoc>false</SharedDoc>
  <HLinks>
    <vt:vector size="60" baseType="variant">
      <vt:variant>
        <vt:i4>1966199</vt:i4>
      </vt:variant>
      <vt:variant>
        <vt:i4>57</vt:i4>
      </vt:variant>
      <vt:variant>
        <vt:i4>0</vt:i4>
      </vt:variant>
      <vt:variant>
        <vt:i4>5</vt:i4>
      </vt:variant>
      <vt:variant>
        <vt:lpwstr>http://www.pc.gov.au/__data/assets/pdf_file/0005/93974/69-appendixa.pdf</vt:lpwstr>
      </vt:variant>
      <vt:variant>
        <vt:lpwstr/>
      </vt:variant>
      <vt:variant>
        <vt:i4>1703998</vt:i4>
      </vt:variant>
      <vt:variant>
        <vt:i4>50</vt:i4>
      </vt:variant>
      <vt:variant>
        <vt:i4>0</vt:i4>
      </vt:variant>
      <vt:variant>
        <vt:i4>5</vt:i4>
      </vt:variant>
      <vt:variant>
        <vt:lpwstr/>
      </vt:variant>
      <vt:variant>
        <vt:lpwstr>_Toc338344195</vt:lpwstr>
      </vt:variant>
      <vt:variant>
        <vt:i4>1703998</vt:i4>
      </vt:variant>
      <vt:variant>
        <vt:i4>44</vt:i4>
      </vt:variant>
      <vt:variant>
        <vt:i4>0</vt:i4>
      </vt:variant>
      <vt:variant>
        <vt:i4>5</vt:i4>
      </vt:variant>
      <vt:variant>
        <vt:lpwstr/>
      </vt:variant>
      <vt:variant>
        <vt:lpwstr>_Toc338344194</vt:lpwstr>
      </vt:variant>
      <vt:variant>
        <vt:i4>1703998</vt:i4>
      </vt:variant>
      <vt:variant>
        <vt:i4>38</vt:i4>
      </vt:variant>
      <vt:variant>
        <vt:i4>0</vt:i4>
      </vt:variant>
      <vt:variant>
        <vt:i4>5</vt:i4>
      </vt:variant>
      <vt:variant>
        <vt:lpwstr/>
      </vt:variant>
      <vt:variant>
        <vt:lpwstr>_Toc338344193</vt:lpwstr>
      </vt:variant>
      <vt:variant>
        <vt:i4>1703998</vt:i4>
      </vt:variant>
      <vt:variant>
        <vt:i4>32</vt:i4>
      </vt:variant>
      <vt:variant>
        <vt:i4>0</vt:i4>
      </vt:variant>
      <vt:variant>
        <vt:i4>5</vt:i4>
      </vt:variant>
      <vt:variant>
        <vt:lpwstr/>
      </vt:variant>
      <vt:variant>
        <vt:lpwstr>_Toc338344192</vt:lpwstr>
      </vt:variant>
      <vt:variant>
        <vt:i4>1703998</vt:i4>
      </vt:variant>
      <vt:variant>
        <vt:i4>26</vt:i4>
      </vt:variant>
      <vt:variant>
        <vt:i4>0</vt:i4>
      </vt:variant>
      <vt:variant>
        <vt:i4>5</vt:i4>
      </vt:variant>
      <vt:variant>
        <vt:lpwstr/>
      </vt:variant>
      <vt:variant>
        <vt:lpwstr>_Toc338344191</vt:lpwstr>
      </vt:variant>
      <vt:variant>
        <vt:i4>1703998</vt:i4>
      </vt:variant>
      <vt:variant>
        <vt:i4>20</vt:i4>
      </vt:variant>
      <vt:variant>
        <vt:i4>0</vt:i4>
      </vt:variant>
      <vt:variant>
        <vt:i4>5</vt:i4>
      </vt:variant>
      <vt:variant>
        <vt:lpwstr/>
      </vt:variant>
      <vt:variant>
        <vt:lpwstr>_Toc338344190</vt:lpwstr>
      </vt:variant>
      <vt:variant>
        <vt:i4>1769534</vt:i4>
      </vt:variant>
      <vt:variant>
        <vt:i4>14</vt:i4>
      </vt:variant>
      <vt:variant>
        <vt:i4>0</vt:i4>
      </vt:variant>
      <vt:variant>
        <vt:i4>5</vt:i4>
      </vt:variant>
      <vt:variant>
        <vt:lpwstr/>
      </vt:variant>
      <vt:variant>
        <vt:lpwstr>_Toc338344189</vt:lpwstr>
      </vt:variant>
      <vt:variant>
        <vt:i4>1769534</vt:i4>
      </vt:variant>
      <vt:variant>
        <vt:i4>8</vt:i4>
      </vt:variant>
      <vt:variant>
        <vt:i4>0</vt:i4>
      </vt:variant>
      <vt:variant>
        <vt:i4>5</vt:i4>
      </vt:variant>
      <vt:variant>
        <vt:lpwstr/>
      </vt:variant>
      <vt:variant>
        <vt:lpwstr>_Toc338344188</vt:lpwstr>
      </vt:variant>
      <vt:variant>
        <vt:i4>1769534</vt:i4>
      </vt:variant>
      <vt:variant>
        <vt:i4>2</vt:i4>
      </vt:variant>
      <vt:variant>
        <vt:i4>0</vt:i4>
      </vt:variant>
      <vt:variant>
        <vt:i4>5</vt:i4>
      </vt:variant>
      <vt:variant>
        <vt:lpwstr/>
      </vt:variant>
      <vt:variant>
        <vt:lpwstr>_Toc338344187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Courts DQI</dc:title>
  <dc:subject>Report on Government Services 2014</dc:subject>
  <dc:creator>Steering Committee for the Review of Government Service Provision</dc:creator>
  <dc:description>1.</dc:description>
  <cp:lastModifiedBy>Frech, Tanya</cp:lastModifiedBy>
  <cp:revision>5</cp:revision>
  <cp:lastPrinted>2013-10-25T04:35:00Z</cp:lastPrinted>
  <dcterms:created xsi:type="dcterms:W3CDTF">2014-01-13T00:40:00Z</dcterms:created>
  <dcterms:modified xsi:type="dcterms:W3CDTF">2014-01-21T00:59:00Z</dcterms:modified>
</cp:coreProperties>
</file>