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A64223" w:rsidP="00A64223">
      <w:pPr>
        <w:pStyle w:val="Heading1"/>
      </w:pPr>
      <w:bookmarkStart w:id="0" w:name="ChapterNumber"/>
      <w:bookmarkStart w:id="1" w:name="_Toc338082263"/>
      <w:bookmarkStart w:id="2" w:name="_Toc340063209"/>
      <w:bookmarkStart w:id="3" w:name="_GoBack"/>
      <w:bookmarkEnd w:id="3"/>
      <w:r>
        <w:t>7</w:t>
      </w:r>
      <w:bookmarkEnd w:id="0"/>
      <w:r>
        <w:tab/>
      </w:r>
      <w:bookmarkStart w:id="4" w:name="ChapterTitle"/>
      <w:r>
        <w:t>Cour</w:t>
      </w:r>
      <w:bookmarkEnd w:id="4"/>
      <w:r w:rsidR="00A52D66">
        <w:t>ts</w:t>
      </w:r>
      <w:bookmarkEnd w:id="1"/>
      <w:bookmarkEnd w:id="2"/>
    </w:p>
    <w:p w:rsidR="00BC0A57" w:rsidRDefault="0032681E">
      <w:pPr>
        <w:pStyle w:val="TOC1"/>
        <w:rPr>
          <w:rFonts w:asciiTheme="minorHAnsi" w:eastAsiaTheme="minorEastAsia" w:hAnsiTheme="minorHAnsi" w:cstheme="minorBidi"/>
          <w:b w:val="0"/>
          <w:caps w:val="0"/>
          <w:noProof/>
          <w:sz w:val="22"/>
          <w:szCs w:val="22"/>
        </w:rPr>
      </w:pPr>
      <w:bookmarkStart w:id="5" w:name="begin"/>
      <w:bookmarkEnd w:id="5"/>
      <w:r>
        <w:t>CONTENTS</w:t>
      </w:r>
    </w:p>
    <w:p w:rsidR="00BC0A57" w:rsidRDefault="00BC0A57">
      <w:pPr>
        <w:pStyle w:val="TOC2"/>
        <w:rPr>
          <w:rFonts w:asciiTheme="minorHAnsi" w:eastAsiaTheme="minorEastAsia" w:hAnsiTheme="minorHAnsi" w:cstheme="minorBidi"/>
          <w:b w:val="0"/>
          <w:noProof/>
          <w:sz w:val="22"/>
          <w:szCs w:val="22"/>
        </w:rPr>
      </w:pPr>
      <w:r w:rsidRPr="004C526F">
        <w:rPr>
          <w:noProof/>
        </w:rPr>
        <w:t>7.1</w:t>
      </w:r>
      <w:r>
        <w:rPr>
          <w:rFonts w:asciiTheme="minorHAnsi" w:eastAsiaTheme="minorEastAsia" w:hAnsiTheme="minorHAnsi" w:cstheme="minorBidi"/>
          <w:b w:val="0"/>
          <w:noProof/>
          <w:sz w:val="22"/>
          <w:szCs w:val="22"/>
        </w:rPr>
        <w:tab/>
      </w:r>
      <w:r w:rsidRPr="004C526F">
        <w:rPr>
          <w:noProof/>
        </w:rPr>
        <w:t>Profile of court services</w:t>
      </w:r>
      <w:r>
        <w:rPr>
          <w:noProof/>
          <w:webHidden/>
        </w:rPr>
        <w:tab/>
      </w:r>
      <w:r w:rsidR="009D3BBC">
        <w:rPr>
          <w:noProof/>
          <w:webHidden/>
        </w:rPr>
        <w:t>7.</w:t>
      </w:r>
      <w:r w:rsidR="003E781C">
        <w:rPr>
          <w:noProof/>
          <w:webHidden/>
        </w:rPr>
        <w:t>1</w:t>
      </w:r>
    </w:p>
    <w:p w:rsidR="00BC0A57" w:rsidRDefault="00BC0A57">
      <w:pPr>
        <w:pStyle w:val="TOC2"/>
        <w:rPr>
          <w:rFonts w:asciiTheme="minorHAnsi" w:eastAsiaTheme="minorEastAsia" w:hAnsiTheme="minorHAnsi" w:cstheme="minorBidi"/>
          <w:b w:val="0"/>
          <w:noProof/>
          <w:sz w:val="22"/>
          <w:szCs w:val="22"/>
        </w:rPr>
      </w:pPr>
      <w:r w:rsidRPr="004C526F">
        <w:rPr>
          <w:noProof/>
        </w:rPr>
        <w:t>7.2</w:t>
      </w:r>
      <w:r>
        <w:rPr>
          <w:rFonts w:asciiTheme="minorHAnsi" w:eastAsiaTheme="minorEastAsia" w:hAnsiTheme="minorHAnsi" w:cstheme="minorBidi"/>
          <w:b w:val="0"/>
          <w:noProof/>
          <w:sz w:val="22"/>
          <w:szCs w:val="22"/>
        </w:rPr>
        <w:tab/>
      </w:r>
      <w:r w:rsidRPr="004C526F">
        <w:rPr>
          <w:noProof/>
        </w:rPr>
        <w:t>Framework of performance indicators</w:t>
      </w:r>
      <w:r>
        <w:rPr>
          <w:noProof/>
          <w:webHidden/>
        </w:rPr>
        <w:tab/>
      </w:r>
      <w:r w:rsidR="009D3BBC">
        <w:rPr>
          <w:noProof/>
          <w:webHidden/>
        </w:rPr>
        <w:t>7.</w:t>
      </w:r>
      <w:r w:rsidR="003E781C">
        <w:rPr>
          <w:noProof/>
          <w:webHidden/>
        </w:rPr>
        <w:t>22</w:t>
      </w:r>
    </w:p>
    <w:p w:rsidR="00BC0A57" w:rsidRDefault="00BC0A57">
      <w:pPr>
        <w:pStyle w:val="TOC2"/>
        <w:rPr>
          <w:rFonts w:asciiTheme="minorHAnsi" w:eastAsiaTheme="minorEastAsia" w:hAnsiTheme="minorHAnsi" w:cstheme="minorBidi"/>
          <w:b w:val="0"/>
          <w:noProof/>
          <w:sz w:val="22"/>
          <w:szCs w:val="22"/>
        </w:rPr>
      </w:pPr>
      <w:r w:rsidRPr="004C526F">
        <w:rPr>
          <w:noProof/>
        </w:rPr>
        <w:t>7.3</w:t>
      </w:r>
      <w:r>
        <w:rPr>
          <w:rFonts w:asciiTheme="minorHAnsi" w:eastAsiaTheme="minorEastAsia" w:hAnsiTheme="minorHAnsi" w:cstheme="minorBidi"/>
          <w:b w:val="0"/>
          <w:noProof/>
          <w:sz w:val="22"/>
          <w:szCs w:val="22"/>
        </w:rPr>
        <w:tab/>
      </w:r>
      <w:r w:rsidRPr="004C526F">
        <w:rPr>
          <w:noProof/>
        </w:rPr>
        <w:t>Key performance indicator results</w:t>
      </w:r>
      <w:r>
        <w:rPr>
          <w:noProof/>
          <w:webHidden/>
        </w:rPr>
        <w:tab/>
      </w:r>
      <w:r w:rsidR="009D3BBC">
        <w:rPr>
          <w:noProof/>
          <w:webHidden/>
        </w:rPr>
        <w:t>7.</w:t>
      </w:r>
      <w:r w:rsidR="003E781C">
        <w:rPr>
          <w:noProof/>
          <w:webHidden/>
        </w:rPr>
        <w:t>24</w:t>
      </w:r>
    </w:p>
    <w:p w:rsidR="00BC0A57" w:rsidRDefault="00BC0A57">
      <w:pPr>
        <w:pStyle w:val="TOC2"/>
        <w:rPr>
          <w:rFonts w:asciiTheme="minorHAnsi" w:eastAsiaTheme="minorEastAsia" w:hAnsiTheme="minorHAnsi" w:cstheme="minorBidi"/>
          <w:b w:val="0"/>
          <w:noProof/>
          <w:sz w:val="22"/>
          <w:szCs w:val="22"/>
        </w:rPr>
      </w:pPr>
      <w:r w:rsidRPr="004C526F">
        <w:rPr>
          <w:noProof/>
        </w:rPr>
        <w:t>7.4</w:t>
      </w:r>
      <w:r>
        <w:rPr>
          <w:rFonts w:asciiTheme="minorHAnsi" w:eastAsiaTheme="minorEastAsia" w:hAnsiTheme="minorHAnsi" w:cstheme="minorBidi"/>
          <w:b w:val="0"/>
          <w:noProof/>
          <w:sz w:val="22"/>
          <w:szCs w:val="22"/>
        </w:rPr>
        <w:tab/>
      </w:r>
      <w:r w:rsidRPr="004C526F">
        <w:rPr>
          <w:noProof/>
        </w:rPr>
        <w:t>Future directions in performance reporting</w:t>
      </w:r>
      <w:r>
        <w:rPr>
          <w:noProof/>
          <w:webHidden/>
        </w:rPr>
        <w:tab/>
      </w:r>
      <w:r w:rsidR="009D3BBC">
        <w:rPr>
          <w:noProof/>
          <w:webHidden/>
        </w:rPr>
        <w:t>7.</w:t>
      </w:r>
      <w:r w:rsidR="003E781C">
        <w:rPr>
          <w:noProof/>
          <w:webHidden/>
        </w:rPr>
        <w:t>63</w:t>
      </w:r>
    </w:p>
    <w:p w:rsidR="00BC0A57" w:rsidRDefault="00BC0A57">
      <w:pPr>
        <w:pStyle w:val="TOC2"/>
        <w:rPr>
          <w:rFonts w:asciiTheme="minorHAnsi" w:eastAsiaTheme="minorEastAsia" w:hAnsiTheme="minorHAnsi" w:cstheme="minorBidi"/>
          <w:b w:val="0"/>
          <w:noProof/>
          <w:sz w:val="22"/>
          <w:szCs w:val="22"/>
        </w:rPr>
      </w:pPr>
      <w:r w:rsidRPr="004C526F">
        <w:rPr>
          <w:noProof/>
        </w:rPr>
        <w:t>7.5</w:t>
      </w:r>
      <w:r>
        <w:rPr>
          <w:rFonts w:asciiTheme="minorHAnsi" w:eastAsiaTheme="minorEastAsia" w:hAnsiTheme="minorHAnsi" w:cstheme="minorBidi"/>
          <w:b w:val="0"/>
          <w:noProof/>
          <w:sz w:val="22"/>
          <w:szCs w:val="22"/>
        </w:rPr>
        <w:tab/>
      </w:r>
      <w:r w:rsidRPr="004C526F">
        <w:rPr>
          <w:noProof/>
        </w:rPr>
        <w:t>Jurisdictions’ comments</w:t>
      </w:r>
      <w:r>
        <w:rPr>
          <w:noProof/>
          <w:webHidden/>
        </w:rPr>
        <w:tab/>
      </w:r>
      <w:r w:rsidR="009D3BBC">
        <w:rPr>
          <w:noProof/>
          <w:webHidden/>
        </w:rPr>
        <w:t>7.</w:t>
      </w:r>
      <w:r w:rsidR="003E781C">
        <w:rPr>
          <w:noProof/>
          <w:webHidden/>
        </w:rPr>
        <w:t>64</w:t>
      </w:r>
    </w:p>
    <w:p w:rsidR="00BC0A57" w:rsidRDefault="00BC0A57">
      <w:pPr>
        <w:pStyle w:val="TOC2"/>
        <w:rPr>
          <w:rFonts w:asciiTheme="minorHAnsi" w:eastAsiaTheme="minorEastAsia" w:hAnsiTheme="minorHAnsi" w:cstheme="minorBidi"/>
          <w:b w:val="0"/>
          <w:noProof/>
          <w:sz w:val="22"/>
          <w:szCs w:val="22"/>
        </w:rPr>
      </w:pPr>
      <w:r w:rsidRPr="004C526F">
        <w:rPr>
          <w:noProof/>
        </w:rPr>
        <w:t>7.6</w:t>
      </w:r>
      <w:r>
        <w:rPr>
          <w:rFonts w:asciiTheme="minorHAnsi" w:eastAsiaTheme="minorEastAsia" w:hAnsiTheme="minorHAnsi" w:cstheme="minorBidi"/>
          <w:b w:val="0"/>
          <w:noProof/>
          <w:sz w:val="22"/>
          <w:szCs w:val="22"/>
        </w:rPr>
        <w:tab/>
      </w:r>
      <w:r w:rsidRPr="004C526F">
        <w:rPr>
          <w:noProof/>
        </w:rPr>
        <w:t>Definit</w:t>
      </w:r>
      <w:r w:rsidR="001A7E7C" w:rsidRPr="004C526F">
        <w:rPr>
          <w:noProof/>
        </w:rPr>
        <w:t>ions of key terms</w:t>
      </w:r>
      <w:r>
        <w:rPr>
          <w:noProof/>
          <w:webHidden/>
        </w:rPr>
        <w:tab/>
      </w:r>
      <w:r w:rsidR="009D3BBC">
        <w:rPr>
          <w:noProof/>
          <w:webHidden/>
        </w:rPr>
        <w:t>7.</w:t>
      </w:r>
      <w:r w:rsidR="003E781C">
        <w:rPr>
          <w:noProof/>
          <w:webHidden/>
        </w:rPr>
        <w:t>73</w:t>
      </w:r>
    </w:p>
    <w:p w:rsidR="00BC0A57" w:rsidRDefault="00BC0A57">
      <w:pPr>
        <w:pStyle w:val="TOC2"/>
        <w:rPr>
          <w:rFonts w:asciiTheme="minorHAnsi" w:eastAsiaTheme="minorEastAsia" w:hAnsiTheme="minorHAnsi" w:cstheme="minorBidi"/>
          <w:b w:val="0"/>
          <w:noProof/>
          <w:sz w:val="22"/>
          <w:szCs w:val="22"/>
        </w:rPr>
      </w:pPr>
      <w:r w:rsidRPr="004C526F">
        <w:rPr>
          <w:noProof/>
        </w:rPr>
        <w:t xml:space="preserve">7.7 </w:t>
      </w:r>
      <w:r>
        <w:rPr>
          <w:rFonts w:asciiTheme="minorHAnsi" w:eastAsiaTheme="minorEastAsia" w:hAnsiTheme="minorHAnsi" w:cstheme="minorBidi"/>
          <w:b w:val="0"/>
          <w:noProof/>
          <w:sz w:val="22"/>
          <w:szCs w:val="22"/>
        </w:rPr>
        <w:tab/>
      </w:r>
      <w:r w:rsidRPr="004C526F">
        <w:rPr>
          <w:noProof/>
        </w:rPr>
        <w:t>List of attachment tables</w:t>
      </w:r>
      <w:r>
        <w:rPr>
          <w:noProof/>
          <w:webHidden/>
        </w:rPr>
        <w:tab/>
      </w:r>
      <w:r w:rsidR="009D3BBC">
        <w:rPr>
          <w:noProof/>
          <w:webHidden/>
        </w:rPr>
        <w:t>7.</w:t>
      </w:r>
      <w:r w:rsidR="003E781C">
        <w:rPr>
          <w:noProof/>
          <w:webHidden/>
        </w:rPr>
        <w:t>76</w:t>
      </w:r>
    </w:p>
    <w:p w:rsidR="00BC0A57" w:rsidRDefault="00BC0A57">
      <w:pPr>
        <w:pStyle w:val="TOC2"/>
        <w:rPr>
          <w:rFonts w:asciiTheme="minorHAnsi" w:eastAsiaTheme="minorEastAsia" w:hAnsiTheme="minorHAnsi" w:cstheme="minorBidi"/>
          <w:b w:val="0"/>
          <w:noProof/>
          <w:sz w:val="22"/>
          <w:szCs w:val="22"/>
        </w:rPr>
      </w:pPr>
      <w:r w:rsidRPr="004C526F">
        <w:rPr>
          <w:noProof/>
        </w:rPr>
        <w:t>7.8</w:t>
      </w:r>
      <w:r>
        <w:rPr>
          <w:rFonts w:asciiTheme="minorHAnsi" w:eastAsiaTheme="minorEastAsia" w:hAnsiTheme="minorHAnsi" w:cstheme="minorBidi"/>
          <w:b w:val="0"/>
          <w:noProof/>
          <w:sz w:val="22"/>
          <w:szCs w:val="22"/>
        </w:rPr>
        <w:tab/>
      </w:r>
      <w:r w:rsidRPr="004C526F">
        <w:rPr>
          <w:noProof/>
        </w:rPr>
        <w:t>References</w:t>
      </w:r>
      <w:r>
        <w:rPr>
          <w:noProof/>
          <w:webHidden/>
        </w:rPr>
        <w:tab/>
      </w:r>
      <w:r w:rsidR="009D3BBC">
        <w:rPr>
          <w:noProof/>
          <w:webHidden/>
        </w:rPr>
        <w:t>7.</w:t>
      </w:r>
      <w:r w:rsidR="003E781C">
        <w:rPr>
          <w:noProof/>
          <w:webHidden/>
        </w:rPr>
        <w:t>77</w:t>
      </w:r>
    </w:p>
    <w:p w:rsidR="00835255" w:rsidRDefault="00835255" w:rsidP="00835255">
      <w:pPr>
        <w:pStyle w:val="ListBullet"/>
        <w:numPr>
          <w:ilvl w:val="0"/>
          <w:numId w:val="0"/>
        </w:numPr>
        <w:spacing w:before="360" w:line="8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35255" w:rsidTr="004517D9">
        <w:tc>
          <w:tcPr>
            <w:tcW w:w="8771" w:type="dxa"/>
            <w:tcBorders>
              <w:top w:val="single" w:sz="6" w:space="0" w:color="auto"/>
              <w:bottom w:val="nil"/>
            </w:tcBorders>
            <w:shd w:val="clear" w:color="auto" w:fill="E6E6E6"/>
          </w:tcPr>
          <w:p w:rsidR="00835255" w:rsidRPr="00DF3B44" w:rsidRDefault="00835255" w:rsidP="00CE24DB">
            <w:pPr>
              <w:pStyle w:val="BoxTitle"/>
            </w:pPr>
            <w:r w:rsidRPr="00DF3B44">
              <w:t>Attachment tables</w:t>
            </w:r>
          </w:p>
        </w:tc>
      </w:tr>
      <w:tr w:rsidR="00835255" w:rsidTr="004517D9">
        <w:trPr>
          <w:cantSplit/>
        </w:trPr>
        <w:tc>
          <w:tcPr>
            <w:tcW w:w="8771" w:type="dxa"/>
            <w:tcBorders>
              <w:top w:val="nil"/>
              <w:left w:val="single" w:sz="6" w:space="0" w:color="auto"/>
              <w:bottom w:val="nil"/>
              <w:right w:val="single" w:sz="6" w:space="0" w:color="auto"/>
            </w:tcBorders>
            <w:shd w:val="clear" w:color="auto" w:fill="E6E6E6"/>
          </w:tcPr>
          <w:p w:rsidR="00835255" w:rsidRDefault="00835255" w:rsidP="00CE24DB">
            <w:pPr>
              <w:pStyle w:val="Box"/>
            </w:pPr>
            <w:r>
              <w:t>Attachment tables are identified in references throughout this chapter by a ‘</w:t>
            </w:r>
            <w:proofErr w:type="spellStart"/>
            <w:r w:rsidR="0012457E">
              <w:t>7</w:t>
            </w:r>
            <w:r>
              <w:t>A</w:t>
            </w:r>
            <w:proofErr w:type="spellEnd"/>
            <w:r>
              <w:t xml:space="preserve">’ </w:t>
            </w:r>
            <w:r w:rsidR="00F67B8C">
              <w:t>prefi</w:t>
            </w:r>
            <w:r>
              <w:t xml:space="preserve">x (for example, table </w:t>
            </w:r>
            <w:proofErr w:type="spellStart"/>
            <w:r>
              <w:t>7</w:t>
            </w:r>
            <w:r w:rsidRPr="00C75DAB">
              <w:t>A</w:t>
            </w:r>
            <w:r>
              <w:t>.</w:t>
            </w:r>
            <w:r w:rsidR="00F67B8C">
              <w:t>1</w:t>
            </w:r>
            <w:proofErr w:type="spellEnd"/>
            <w:r>
              <w:t xml:space="preserve">). A full list of attachment tables is provided at the end of this chapter, and </w:t>
            </w:r>
            <w:r w:rsidR="00A50AF9">
              <w:t>the attachment tables</w:t>
            </w:r>
            <w:r>
              <w:t xml:space="preserve"> are available fro</w:t>
            </w:r>
            <w:r w:rsidR="00DC663F">
              <w:t xml:space="preserve">m the Review website at </w:t>
            </w:r>
            <w:proofErr w:type="spellStart"/>
            <w:r w:rsidRPr="0012457E">
              <w:t>www.pc.gov.au</w:t>
            </w:r>
            <w:proofErr w:type="spellEnd"/>
            <w:r w:rsidRPr="0012457E">
              <w:t>/</w:t>
            </w:r>
            <w:proofErr w:type="spellStart"/>
            <w:r w:rsidRPr="0012457E">
              <w:t>gsp</w:t>
            </w:r>
            <w:proofErr w:type="spellEnd"/>
            <w:r>
              <w:t>.</w:t>
            </w:r>
          </w:p>
        </w:tc>
      </w:tr>
      <w:tr w:rsidR="0012457E" w:rsidTr="004517D9">
        <w:trPr>
          <w:cantSplit/>
          <w:trHeight w:val="121"/>
        </w:trPr>
        <w:tc>
          <w:tcPr>
            <w:tcW w:w="8771" w:type="dxa"/>
            <w:tcBorders>
              <w:top w:val="nil"/>
              <w:left w:val="single" w:sz="6" w:space="0" w:color="auto"/>
              <w:bottom w:val="single" w:sz="6" w:space="0" w:color="auto"/>
              <w:right w:val="single" w:sz="6" w:space="0" w:color="auto"/>
            </w:tcBorders>
            <w:shd w:val="clear" w:color="auto" w:fill="E6E6E6"/>
          </w:tcPr>
          <w:p w:rsidR="0012457E" w:rsidRPr="0012457E" w:rsidRDefault="0012457E" w:rsidP="0012457E">
            <w:pPr>
              <w:pStyle w:val="Box"/>
              <w:spacing w:before="0" w:line="80" w:lineRule="exact"/>
              <w:rPr>
                <w:sz w:val="2"/>
                <w:szCs w:val="2"/>
              </w:rPr>
            </w:pPr>
          </w:p>
        </w:tc>
      </w:tr>
      <w:tr w:rsidR="0012457E" w:rsidTr="004517D9">
        <w:trPr>
          <w:cantSplit/>
        </w:trPr>
        <w:tc>
          <w:tcPr>
            <w:tcW w:w="8771" w:type="dxa"/>
            <w:tcBorders>
              <w:top w:val="single" w:sz="6" w:space="0" w:color="auto"/>
              <w:left w:val="nil"/>
              <w:bottom w:val="nil"/>
              <w:right w:val="nil"/>
            </w:tcBorders>
            <w:shd w:val="clear" w:color="auto" w:fill="auto"/>
          </w:tcPr>
          <w:p w:rsidR="0012457E" w:rsidRPr="0012457E" w:rsidRDefault="0012457E" w:rsidP="0012457E">
            <w:pPr>
              <w:pStyle w:val="Box"/>
              <w:spacing w:before="60" w:after="60" w:line="80" w:lineRule="exact"/>
              <w:rPr>
                <w:sz w:val="14"/>
                <w:szCs w:val="14"/>
              </w:rPr>
            </w:pPr>
          </w:p>
        </w:tc>
      </w:tr>
    </w:tbl>
    <w:p w:rsidR="001052D7" w:rsidRDefault="001052D7" w:rsidP="00835255">
      <w:pPr>
        <w:pStyle w:val="Heading2"/>
        <w:numPr>
          <w:ilvl w:val="1"/>
          <w:numId w:val="13"/>
        </w:numPr>
      </w:pPr>
      <w:bookmarkStart w:id="6" w:name="_Toc340063210"/>
      <w:r w:rsidRPr="001052D7">
        <w:t>Profile of court services</w:t>
      </w:r>
      <w:bookmarkEnd w:id="6"/>
    </w:p>
    <w:p w:rsidR="00835255" w:rsidRDefault="00835255">
      <w:pPr>
        <w:pStyle w:val="BodyText"/>
      </w:pPr>
      <w:r>
        <w:t>This chapter focuses</w:t>
      </w:r>
      <w:r w:rsidR="00B13973">
        <w:t xml:space="preserve"> primarily</w:t>
      </w:r>
      <w:r>
        <w:t xml:space="preserve"> on administrative support f</w:t>
      </w:r>
      <w:r w:rsidR="002520EE">
        <w:t>unctions for the courts, not on</w:t>
      </w:r>
      <w:r>
        <w:t xml:space="preserve"> the </w:t>
      </w:r>
      <w:r w:rsidRPr="007E5F31">
        <w:t>judicial</w:t>
      </w:r>
      <w:r>
        <w:t xml:space="preserve"> decisions made in the courts</w:t>
      </w:r>
      <w:r w:rsidRPr="001052D7">
        <w:t>.</w:t>
      </w:r>
      <w:r>
        <w:t xml:space="preserve"> The primary support functions </w:t>
      </w:r>
      <w:r w:rsidR="007C1A29">
        <w:t>of court administration services</w:t>
      </w:r>
      <w:r>
        <w:t xml:space="preserve"> are to:</w:t>
      </w:r>
    </w:p>
    <w:p w:rsidR="00835255" w:rsidRDefault="00835255" w:rsidP="00835255">
      <w:pPr>
        <w:pStyle w:val="ListBullet"/>
      </w:pPr>
      <w:r>
        <w:t>manage court facilities and staff, including buildings, security and ancillary services such as registries, libraries and transcription services</w:t>
      </w:r>
    </w:p>
    <w:p w:rsidR="00835255" w:rsidRDefault="00835255" w:rsidP="00835255">
      <w:pPr>
        <w:pStyle w:val="ListBullet"/>
      </w:pPr>
      <w:r>
        <w:t xml:space="preserve">provide case management services, including client information, scheduling and </w:t>
      </w:r>
      <w:proofErr w:type="spellStart"/>
      <w:r>
        <w:t>case</w:t>
      </w:r>
      <w:proofErr w:type="spellEnd"/>
      <w:r>
        <w:t xml:space="preserve"> flow management</w:t>
      </w:r>
    </w:p>
    <w:p w:rsidR="00835255" w:rsidRDefault="00835255" w:rsidP="00835255">
      <w:pPr>
        <w:pStyle w:val="ListBullet"/>
      </w:pPr>
      <w:r>
        <w:lastRenderedPageBreak/>
        <w:t>enforce court orders through the sheriff’s department or a similar mechanism.</w:t>
      </w:r>
    </w:p>
    <w:p w:rsidR="00CA120A" w:rsidRDefault="00E03846" w:rsidP="006936A8">
      <w:pPr>
        <w:pStyle w:val="BodyText"/>
      </w:pPr>
      <w:r w:rsidRPr="00671F37">
        <w:t>This chapter covers the</w:t>
      </w:r>
      <w:r w:rsidR="00CA120A" w:rsidRPr="00671F37">
        <w:t xml:space="preserve"> State and Territory supreme, district/county and magistrates’ (including children’s) courts, coroners’ courts and probate regist</w:t>
      </w:r>
      <w:r w:rsidR="00C75DAB" w:rsidRPr="00671F37">
        <w:t xml:space="preserve">ries. </w:t>
      </w:r>
      <w:r w:rsidRPr="00671F37">
        <w:t>It</w:t>
      </w:r>
      <w:r w:rsidR="000F7D72" w:rsidRPr="00671F37">
        <w:t xml:space="preserve"> also covers</w:t>
      </w:r>
      <w:r w:rsidR="00CA120A" w:rsidRPr="00671F37">
        <w:t xml:space="preserve"> the Federal Court of</w:t>
      </w:r>
      <w:r w:rsidR="00CA120A" w:rsidRPr="001052D7">
        <w:t xml:space="preserve"> Australia, the Family Court of Australia, the Family Court of WA and the Federal </w:t>
      </w:r>
      <w:r w:rsidR="007A7486">
        <w:t xml:space="preserve">Circuit Court of Australia (previously the Federal </w:t>
      </w:r>
      <w:r w:rsidR="00CA120A" w:rsidRPr="001052D7">
        <w:t>Magi</w:t>
      </w:r>
      <w:r w:rsidR="00CA120A">
        <w:t>strates Court of Australia</w:t>
      </w:r>
      <w:r w:rsidR="007A7486">
        <w:t>)</w:t>
      </w:r>
      <w:r w:rsidR="00CA120A">
        <w:t>. The</w:t>
      </w:r>
      <w:r w:rsidR="00CA120A" w:rsidRPr="001052D7">
        <w:t xml:space="preserve"> chapter does not include information on the High Court of Australia, and broadly excludes tribunals and specialist jurisdiction courts (for example, Indigenous</w:t>
      </w:r>
      <w:r w:rsidR="0010001A">
        <w:t xml:space="preserve"> courts,</w:t>
      </w:r>
      <w:r w:rsidR="00CA120A" w:rsidRPr="001052D7">
        <w:t xml:space="preserve"> circle sentencing courts and drug courts a</w:t>
      </w:r>
      <w:r w:rsidR="00CA120A">
        <w:t xml:space="preserve">re excluded). </w:t>
      </w:r>
      <w:r w:rsidR="003B0B8F">
        <w:t xml:space="preserve">The </w:t>
      </w:r>
      <w:r w:rsidR="00B81A74">
        <w:t>chapter</w:t>
      </w:r>
      <w:r w:rsidR="003B0B8F">
        <w:t xml:space="preserve"> also excludes electronic infringement and enforcement systems</w:t>
      </w:r>
      <w:r w:rsidR="00590F7D">
        <w:t>.</w:t>
      </w:r>
      <w:r w:rsidR="003B0B8F">
        <w:t xml:space="preserve"> </w:t>
      </w:r>
    </w:p>
    <w:p w:rsidR="001E5193" w:rsidRDefault="00B17E3A" w:rsidP="006936A8">
      <w:pPr>
        <w:pStyle w:val="BodyText"/>
      </w:pPr>
      <w:r w:rsidRPr="00BD3296">
        <w:t>Major improvements in reporting on court</w:t>
      </w:r>
      <w:r w:rsidR="00B81A74">
        <w:t>s</w:t>
      </w:r>
      <w:r w:rsidRPr="00BD3296">
        <w:t xml:space="preserve"> this year include</w:t>
      </w:r>
      <w:r w:rsidR="00833962">
        <w:t>:</w:t>
      </w:r>
    </w:p>
    <w:p w:rsidR="00593AD2" w:rsidRPr="00593AD2" w:rsidRDefault="00593AD2" w:rsidP="000E0780">
      <w:pPr>
        <w:pStyle w:val="ListBullet"/>
        <w:rPr>
          <w:szCs w:val="26"/>
        </w:rPr>
      </w:pPr>
      <w:r w:rsidRPr="000E0780">
        <w:rPr>
          <w:szCs w:val="26"/>
        </w:rPr>
        <w:t xml:space="preserve">time series </w:t>
      </w:r>
      <w:r>
        <w:rPr>
          <w:szCs w:val="26"/>
        </w:rPr>
        <w:t>reporting on ‘homicide and related offences’ case type in the attachment tables.</w:t>
      </w:r>
    </w:p>
    <w:p w:rsidR="00B17E3A" w:rsidRDefault="0057036D" w:rsidP="001E5193">
      <w:pPr>
        <w:pStyle w:val="BodyText"/>
      </w:pPr>
      <w:r>
        <w:t>Improvements in consistency and integrity of data reported are ongoing by all jurisdictions and are footnoted where app</w:t>
      </w:r>
      <w:r w:rsidR="00A52B4E">
        <w:t>licable</w:t>
      </w:r>
      <w:r>
        <w:t>.</w:t>
      </w:r>
    </w:p>
    <w:p w:rsidR="00371BC8" w:rsidRDefault="00371BC8" w:rsidP="00371BC8">
      <w:pPr>
        <w:pStyle w:val="Heading3"/>
      </w:pPr>
      <w:r>
        <w:t>Roles and responsibilities</w:t>
      </w:r>
    </w:p>
    <w:p w:rsidR="00371BC8" w:rsidRDefault="00371BC8" w:rsidP="00371BC8">
      <w:pPr>
        <w:pStyle w:val="Heading4"/>
      </w:pPr>
      <w:r>
        <w:t>State and Territory court levels</w:t>
      </w:r>
    </w:p>
    <w:p w:rsidR="00371BC8" w:rsidRDefault="00F400E3" w:rsidP="00371BC8">
      <w:pPr>
        <w:pStyle w:val="BodyText"/>
      </w:pPr>
      <w:r>
        <w:t>In this chapter, the term ‘jurisdiction’ can refer to</w:t>
      </w:r>
      <w:r w:rsidR="0095540B">
        <w:t xml:space="preserve"> not only</w:t>
      </w:r>
      <w:r>
        <w:t xml:space="preserve"> individual Australian states and territories, </w:t>
      </w:r>
      <w:r w:rsidR="0095540B">
        <w:t>but</w:t>
      </w:r>
      <w:r>
        <w:t xml:space="preserve"> also</w:t>
      </w:r>
      <w:r w:rsidR="00AF7830">
        <w:t xml:space="preserve"> to</w:t>
      </w:r>
      <w:r>
        <w:t xml:space="preserve"> the roles and responsibilities that different courts have. </w:t>
      </w:r>
      <w:r w:rsidR="00371BC8">
        <w:t>There is a hierarchy of courts within each State and Terr</w:t>
      </w:r>
      <w:r w:rsidR="00DD6049">
        <w:t>itory. Supreme c</w:t>
      </w:r>
      <w:r w:rsidR="00BC62E9">
        <w:t>ourt</w:t>
      </w:r>
      <w:r w:rsidR="00DD6049">
        <w:t xml:space="preserve">s hear </w:t>
      </w:r>
      <w:r w:rsidR="00371BC8">
        <w:t xml:space="preserve">disputes of greater seriousness than those heard in the other courts. </w:t>
      </w:r>
      <w:r w:rsidR="00DD6049">
        <w:t xml:space="preserve">Supreme courts also develop the law and operate as </w:t>
      </w:r>
      <w:r w:rsidR="00371BC8">
        <w:t>court</w:t>
      </w:r>
      <w:r w:rsidR="00DD6049">
        <w:t>s</w:t>
      </w:r>
      <w:r w:rsidR="00371BC8">
        <w:t xml:space="preserve"> of judicial review or appeal. For the majority of states and territories, the hierarchy of courts </w:t>
      </w:r>
      <w:r w:rsidR="005D67CC">
        <w:t>is</w:t>
      </w:r>
      <w:r w:rsidR="00371BC8">
        <w:t xml:space="preserve"> as outlined below (although Tasmania, the ACT and </w:t>
      </w:r>
      <w:r w:rsidR="00ED323A">
        <w:t xml:space="preserve">the </w:t>
      </w:r>
      <w:r w:rsidR="00371BC8">
        <w:t xml:space="preserve">NT do not have a </w:t>
      </w:r>
      <w:r w:rsidR="003B6914">
        <w:t>district/county c</w:t>
      </w:r>
      <w:r w:rsidR="00BC62E9">
        <w:t>ourt</w:t>
      </w:r>
      <w:r w:rsidR="00371BC8">
        <w:t>):</w:t>
      </w:r>
    </w:p>
    <w:p w:rsidR="00371BC8" w:rsidRDefault="005D67CC" w:rsidP="00371BC8">
      <w:pPr>
        <w:pStyle w:val="ListBullet"/>
      </w:pPr>
      <w:r>
        <w:t>supreme c</w:t>
      </w:r>
      <w:r w:rsidR="00BC62E9">
        <w:t>ourt</w:t>
      </w:r>
      <w:r>
        <w:t>s</w:t>
      </w:r>
    </w:p>
    <w:p w:rsidR="00371BC8" w:rsidRDefault="005D67CC" w:rsidP="00371BC8">
      <w:pPr>
        <w:pStyle w:val="ListBullet"/>
      </w:pPr>
      <w:r>
        <w:t>district/county c</w:t>
      </w:r>
      <w:r w:rsidR="00BC62E9">
        <w:t>ourt</w:t>
      </w:r>
      <w:r>
        <w:t>s</w:t>
      </w:r>
    </w:p>
    <w:p w:rsidR="00371BC8" w:rsidRDefault="005D67CC" w:rsidP="00371BC8">
      <w:pPr>
        <w:pStyle w:val="ListBullet"/>
      </w:pPr>
      <w:r>
        <w:t>magistrates’ c</w:t>
      </w:r>
      <w:r w:rsidR="00BC62E9">
        <w:t>ourt</w:t>
      </w:r>
      <w:r>
        <w:t>s</w:t>
      </w:r>
      <w:r w:rsidR="00371BC8">
        <w:t>.</w:t>
      </w:r>
    </w:p>
    <w:p w:rsidR="00182056" w:rsidRDefault="00371BC8" w:rsidP="00371BC8">
      <w:pPr>
        <w:pStyle w:val="BodyText"/>
      </w:pPr>
      <w:r>
        <w:t>Within certain court levels, a number of specialist jurisdictio</w:t>
      </w:r>
      <w:r w:rsidR="0014046D">
        <w:t>n courts (such as Indigenous courts,</w:t>
      </w:r>
      <w:r>
        <w:t xml:space="preserve"> circle sentencing courts and drug courts) aim to improve the responsiveness of courts to the spe</w:t>
      </w:r>
      <w:r w:rsidR="0014046D">
        <w:t>cial needs of particular service users</w:t>
      </w:r>
      <w:r>
        <w:t>. Tribunals can also improve responsiveness and assist in alleviating the workload of courts</w:t>
      </w:r>
      <w:r w:rsidR="00505751">
        <w:t xml:space="preserve"> — </w:t>
      </w:r>
      <w:r>
        <w:t>for exa</w:t>
      </w:r>
      <w:r w:rsidR="0014046D">
        <w:t>mple, small claims tribunals can assist in diverting</w:t>
      </w:r>
      <w:r>
        <w:t xml:space="preserve"> work from </w:t>
      </w:r>
      <w:r w:rsidR="00396679">
        <w:t>the</w:t>
      </w:r>
      <w:r>
        <w:t xml:space="preserve"> </w:t>
      </w:r>
      <w:r w:rsidR="003B6914">
        <w:t>magistrates’ c</w:t>
      </w:r>
      <w:r w:rsidR="00BC62E9">
        <w:t>ourt</w:t>
      </w:r>
      <w:r>
        <w:t xml:space="preserve">. Specialist jurisdiction courts (other than the </w:t>
      </w:r>
      <w:r w:rsidR="003B6914">
        <w:t>children’s c</w:t>
      </w:r>
      <w:r w:rsidR="00BC62E9">
        <w:t>ourt</w:t>
      </w:r>
      <w:r>
        <w:t xml:space="preserve">s, </w:t>
      </w:r>
      <w:r>
        <w:lastRenderedPageBreak/>
        <w:t xml:space="preserve">family courts and </w:t>
      </w:r>
      <w:r w:rsidR="003B6914">
        <w:t>coroners’ c</w:t>
      </w:r>
      <w:r w:rsidR="00BC62E9">
        <w:t>ourt</w:t>
      </w:r>
      <w:r>
        <w:t xml:space="preserve">s) and tribunals are outside the scope of this Report and excluded </w:t>
      </w:r>
      <w:r w:rsidR="0062312F">
        <w:t xml:space="preserve">from reported data </w:t>
      </w:r>
      <w:r>
        <w:t>where possible.</w:t>
      </w:r>
      <w:r w:rsidR="00182056">
        <w:t xml:space="preserve"> </w:t>
      </w:r>
    </w:p>
    <w:p w:rsidR="001052D7" w:rsidRDefault="006902E1" w:rsidP="00371BC8">
      <w:pPr>
        <w:pStyle w:val="BodyText"/>
      </w:pPr>
      <w:r>
        <w:t>D</w:t>
      </w:r>
      <w:r w:rsidR="00182056">
        <w:t>ifferences in S</w:t>
      </w:r>
      <w:r w:rsidR="00C75DAB">
        <w:t>tate and Territory court levels</w:t>
      </w:r>
      <w:r w:rsidR="00182056">
        <w:t xml:space="preserve"> </w:t>
      </w:r>
      <w:r w:rsidR="00C75DAB">
        <w:t>mean</w:t>
      </w:r>
      <w:r w:rsidR="00371BC8">
        <w:t xml:space="preserve"> that the allocation of cases to courts varies across states and territories (boxes 7.1</w:t>
      </w:r>
      <w:r w:rsidR="00027C67">
        <w:t xml:space="preserve"> to 7.</w:t>
      </w:r>
      <w:r w:rsidR="00371BC8">
        <w:t xml:space="preserve">3). </w:t>
      </w:r>
      <w:r>
        <w:t>As a result,</w:t>
      </w:r>
      <w:r w:rsidR="00371BC8">
        <w:t xml:space="preserve"> the seriousness and complexity of cases heard in </w:t>
      </w:r>
      <w:r w:rsidR="00682689">
        <w:t>a court level can also vary across</w:t>
      </w:r>
      <w:r w:rsidR="00371BC8">
        <w:t xml:space="preserve"> </w:t>
      </w:r>
      <w:r w:rsidR="00DE020F">
        <w:t>s</w:t>
      </w:r>
      <w:r w:rsidR="00371BC8">
        <w:t>t</w:t>
      </w:r>
      <w:r w:rsidR="00321217">
        <w:t>ates and</w:t>
      </w:r>
      <w:r w:rsidR="00682689">
        <w:t xml:space="preserve"> </w:t>
      </w:r>
      <w:r w:rsidR="00DE020F">
        <w:t>t</w:t>
      </w:r>
      <w:r w:rsidR="00682689">
        <w:t>erritories</w:t>
      </w:r>
      <w:r w:rsidR="00414BE7">
        <w:t>. Therefore, a</w:t>
      </w:r>
      <w:r w:rsidR="00835255">
        <w:t xml:space="preserve">ny </w:t>
      </w:r>
      <w:r w:rsidR="00371BC8">
        <w:t>comparison</w:t>
      </w:r>
      <w:r w:rsidR="00835255">
        <w:t xml:space="preserve"> of performance need</w:t>
      </w:r>
      <w:r w:rsidR="00414BE7">
        <w:t>s</w:t>
      </w:r>
      <w:r w:rsidR="00371BC8">
        <w:t xml:space="preserve"> to account for these factors.</w:t>
      </w:r>
    </w:p>
    <w:p w:rsidR="00371BC8" w:rsidRPr="00205BCF" w:rsidRDefault="00371BC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1BC8" w:rsidTr="00CF4F05">
        <w:tc>
          <w:tcPr>
            <w:tcW w:w="8771" w:type="dxa"/>
            <w:tcBorders>
              <w:top w:val="single" w:sz="6" w:space="0" w:color="auto"/>
              <w:bottom w:val="nil"/>
            </w:tcBorders>
          </w:tcPr>
          <w:p w:rsidR="00371BC8" w:rsidRPr="00371BC8" w:rsidRDefault="00371BC8">
            <w:pPr>
              <w:pStyle w:val="BoxTitle"/>
            </w:pPr>
            <w:r>
              <w:rPr>
                <w:b w:val="0"/>
              </w:rPr>
              <w:t xml:space="preserve">Box </w:t>
            </w:r>
            <w:r w:rsidR="00192F6A">
              <w:rPr>
                <w:b w:val="0"/>
              </w:rPr>
              <w:t>7.</w:t>
            </w:r>
            <w:r w:rsidR="00E75B12">
              <w:rPr>
                <w:b w:val="0"/>
                <w:noProof/>
              </w:rPr>
              <w:t>1</w:t>
            </w:r>
            <w:r>
              <w:tab/>
            </w:r>
            <w:r w:rsidRPr="00371BC8">
              <w:t>Supreme court jurisdiction</w:t>
            </w:r>
            <w:r w:rsidR="00E836B6">
              <w:t>s</w:t>
            </w:r>
            <w:r w:rsidRPr="00371BC8">
              <w:t xml:space="preserve"> across states and territories</w:t>
            </w:r>
          </w:p>
        </w:tc>
      </w:tr>
      <w:tr w:rsidR="00371BC8" w:rsidTr="00CF4F05">
        <w:trPr>
          <w:cantSplit/>
        </w:trPr>
        <w:tc>
          <w:tcPr>
            <w:tcW w:w="8771" w:type="dxa"/>
            <w:tcBorders>
              <w:top w:val="nil"/>
              <w:left w:val="single" w:sz="6" w:space="0" w:color="auto"/>
              <w:bottom w:val="nil"/>
              <w:right w:val="single" w:sz="4" w:space="0" w:color="auto"/>
            </w:tcBorders>
          </w:tcPr>
          <w:p w:rsidR="00371BC8" w:rsidRDefault="00371BC8" w:rsidP="006B605B">
            <w:pPr>
              <w:pStyle w:val="BoxHeading1"/>
            </w:pPr>
            <w:r>
              <w:t>Criminal</w:t>
            </w:r>
          </w:p>
          <w:p w:rsidR="00371BC8" w:rsidRDefault="00371BC8" w:rsidP="00371BC8">
            <w:pPr>
              <w:pStyle w:val="Box"/>
            </w:pPr>
            <w:r>
              <w:t xml:space="preserve">All State and Territory </w:t>
            </w:r>
            <w:r w:rsidR="003B6914">
              <w:t>supreme c</w:t>
            </w:r>
            <w:r w:rsidR="00BC62E9">
              <w:t>ourt</w:t>
            </w:r>
            <w:r>
              <w:t>s have jurisdiction over serious criminal matters such as murder, treason and certain serious drug offences, but significant differences exist in this court level across the states and territories:</w:t>
            </w:r>
          </w:p>
          <w:p w:rsidR="00371BC8" w:rsidRDefault="00E836B6" w:rsidP="006936A8">
            <w:pPr>
              <w:pStyle w:val="BoxListBullet"/>
            </w:pPr>
            <w:r>
              <w:t>D</w:t>
            </w:r>
            <w:r w:rsidR="003B6914">
              <w:t>istrict/county c</w:t>
            </w:r>
            <w:r w:rsidR="00BC62E9">
              <w:t>ourt</w:t>
            </w:r>
            <w:r w:rsidR="00371BC8">
              <w:t xml:space="preserve">s do not operate in Tasmania, the ACT </w:t>
            </w:r>
            <w:r>
              <w:t>and</w:t>
            </w:r>
            <w:r w:rsidR="00371BC8">
              <w:t xml:space="preserve"> the NT, </w:t>
            </w:r>
            <w:r>
              <w:t>so</w:t>
            </w:r>
            <w:r w:rsidR="000240D8">
              <w:t xml:space="preserve"> in this </w:t>
            </w:r>
            <w:r w:rsidR="004A5436">
              <w:t>S</w:t>
            </w:r>
            <w:r w:rsidR="000240D8">
              <w:t>tate</w:t>
            </w:r>
            <w:r w:rsidR="00371BC8">
              <w:t xml:space="preserve"> and</w:t>
            </w:r>
            <w:r w:rsidR="000240D8">
              <w:t xml:space="preserve"> these</w:t>
            </w:r>
            <w:r w:rsidR="00371BC8">
              <w:t xml:space="preserve"> territories </w:t>
            </w:r>
            <w:r>
              <w:t xml:space="preserve">the supreme courts </w:t>
            </w:r>
            <w:r w:rsidR="00371BC8">
              <w:t xml:space="preserve">generally exercise a jurisdiction equal to that of both the </w:t>
            </w:r>
            <w:r w:rsidR="003B6914">
              <w:t>s</w:t>
            </w:r>
            <w:r w:rsidR="00BC62E9">
              <w:t>upreme</w:t>
            </w:r>
            <w:r w:rsidR="00371BC8">
              <w:t xml:space="preserve"> and </w:t>
            </w:r>
            <w:r w:rsidR="003B6914">
              <w:t>district/c</w:t>
            </w:r>
            <w:r w:rsidR="00BC62E9">
              <w:t xml:space="preserve">ounty </w:t>
            </w:r>
            <w:r w:rsidR="003B6914">
              <w:t>c</w:t>
            </w:r>
            <w:r w:rsidR="00BC62E9">
              <w:t>ourt</w:t>
            </w:r>
            <w:r w:rsidR="0062312F">
              <w:t>s in other s</w:t>
            </w:r>
            <w:r w:rsidR="00371BC8">
              <w:t>tates</w:t>
            </w:r>
            <w:r w:rsidR="000240D8">
              <w:t>.</w:t>
            </w:r>
          </w:p>
          <w:p w:rsidR="00371BC8" w:rsidRDefault="000240D8" w:rsidP="006B605B">
            <w:pPr>
              <w:pStyle w:val="BoxListBullet"/>
            </w:pPr>
            <w:r>
              <w:t>T</w:t>
            </w:r>
            <w:r w:rsidR="00371BC8">
              <w:t xml:space="preserve">he Queensland Supreme Court deals with a </w:t>
            </w:r>
            <w:r w:rsidR="00A374F7">
              <w:t>number of</w:t>
            </w:r>
            <w:r w:rsidR="00371BC8">
              <w:t xml:space="preserve"> drug matters, which </w:t>
            </w:r>
            <w:r w:rsidR="003B6914">
              <w:t>supreme c</w:t>
            </w:r>
            <w:r w:rsidR="00BC62E9">
              <w:t>ourt</w:t>
            </w:r>
            <w:r w:rsidR="00371BC8">
              <w:t>s in other states and territories do not hear</w:t>
            </w:r>
            <w:r w:rsidR="00E836B6">
              <w:t>.</w:t>
            </w:r>
          </w:p>
          <w:p w:rsidR="00371BC8" w:rsidRDefault="000240D8" w:rsidP="006B605B">
            <w:pPr>
              <w:pStyle w:val="BoxListBullet"/>
            </w:pPr>
            <w:r>
              <w:t>I</w:t>
            </w:r>
            <w:r w:rsidR="00371BC8">
              <w:t>n the NSW Supreme Court, almost all indictments are for offences of murder and manslaughter, whereas the range of indictments routinely presented in</w:t>
            </w:r>
            <w:r w:rsidR="0035057A">
              <w:t xml:space="preserve"> most</w:t>
            </w:r>
            <w:r w:rsidR="00371BC8">
              <w:t xml:space="preserve"> other states and territories is broader.</w:t>
            </w:r>
          </w:p>
          <w:p w:rsidR="00371BC8" w:rsidRDefault="00371BC8" w:rsidP="00371BC8">
            <w:pPr>
              <w:pStyle w:val="Box"/>
            </w:pPr>
            <w:r>
              <w:t xml:space="preserve">All State and Territory </w:t>
            </w:r>
            <w:r w:rsidR="003B6914">
              <w:t>supreme c</w:t>
            </w:r>
            <w:r w:rsidR="00BC62E9">
              <w:t>ourt</w:t>
            </w:r>
            <w:r>
              <w:t xml:space="preserve">s hear appeals, but the </w:t>
            </w:r>
            <w:r w:rsidR="0062312F">
              <w:t>number</w:t>
            </w:r>
            <w:r>
              <w:t xml:space="preserve"> and type of appeals vary</w:t>
            </w:r>
            <w:r w:rsidR="00682689">
              <w:t xml:space="preserve"> because </w:t>
            </w:r>
            <w:r>
              <w:t xml:space="preserve">NSW, Victoria and Queensland </w:t>
            </w:r>
            <w:r w:rsidR="00682689">
              <w:t xml:space="preserve">also </w:t>
            </w:r>
            <w:r>
              <w:t xml:space="preserve">hear </w:t>
            </w:r>
            <w:r w:rsidR="00682689">
              <w:t xml:space="preserve">some </w:t>
            </w:r>
            <w:r>
              <w:t xml:space="preserve">appeals in their </w:t>
            </w:r>
            <w:r w:rsidR="003B6914">
              <w:t>district/county c</w:t>
            </w:r>
            <w:r w:rsidR="00BC62E9">
              <w:t>ourt</w:t>
            </w:r>
            <w:r w:rsidR="003B6914">
              <w:t>s</w:t>
            </w:r>
            <w:r>
              <w:t>.</w:t>
            </w:r>
          </w:p>
          <w:p w:rsidR="00371BC8" w:rsidRDefault="00371BC8" w:rsidP="006B605B">
            <w:pPr>
              <w:pStyle w:val="BoxHeading1"/>
            </w:pPr>
            <w:r>
              <w:t>Civil</w:t>
            </w:r>
          </w:p>
          <w:p w:rsidR="00371BC8" w:rsidRDefault="00371BC8" w:rsidP="00371BC8">
            <w:pPr>
              <w:pStyle w:val="Box"/>
            </w:pPr>
            <w:r>
              <w:t xml:space="preserve">All </w:t>
            </w:r>
            <w:r w:rsidR="003B6914">
              <w:t>supreme c</w:t>
            </w:r>
            <w:r w:rsidR="00BC62E9">
              <w:t>ourt</w:t>
            </w:r>
            <w:r>
              <w:t>s deal with a</w:t>
            </w:r>
            <w:r w:rsidR="004403B8">
              <w:t>ppeals and probate applications and have an unlimited jurisdiction on claims but:</w:t>
            </w:r>
          </w:p>
          <w:p w:rsidR="00371BC8" w:rsidRDefault="00371BC8" w:rsidP="00371BC8">
            <w:pPr>
              <w:pStyle w:val="Box"/>
            </w:pPr>
            <w:r w:rsidRPr="00584FFF">
              <w:rPr>
                <w:rStyle w:val="BoxHeading2Char"/>
              </w:rPr>
              <w:t>NSW</w:t>
            </w:r>
            <w:r w:rsidRPr="004A5436">
              <w:t xml:space="preserve"> </w:t>
            </w:r>
            <w:r>
              <w:t>usually deals with comp</w:t>
            </w:r>
            <w:r w:rsidR="001A7749">
              <w:t>lex cases, all claims over $750 </w:t>
            </w:r>
            <w:r w:rsidR="00374F4C">
              <w:t>000 (except claims</w:t>
            </w:r>
            <w:r>
              <w:t xml:space="preserve"> related to motor vehicle accidents</w:t>
            </w:r>
            <w:r w:rsidR="00374F4C">
              <w:t xml:space="preserve"> or worker’s compensation</w:t>
            </w:r>
            <w:r>
              <w:t>) and various other civil</w:t>
            </w:r>
            <w:r w:rsidR="004403B8">
              <w:t xml:space="preserve"> matters</w:t>
            </w:r>
            <w:r w:rsidR="00A57A45">
              <w:t>.</w:t>
            </w:r>
          </w:p>
          <w:p w:rsidR="001A43C5" w:rsidRPr="001A43C5" w:rsidRDefault="001A43C5" w:rsidP="00371BC8">
            <w:pPr>
              <w:pStyle w:val="Box"/>
            </w:pPr>
            <w:r>
              <w:rPr>
                <w:i/>
              </w:rPr>
              <w:t>Victoria</w:t>
            </w:r>
            <w:r>
              <w:t xml:space="preserve"> generally handles civil claims over $200 000.</w:t>
            </w:r>
          </w:p>
          <w:p w:rsidR="00371BC8" w:rsidRDefault="00371BC8" w:rsidP="004B7A38">
            <w:pPr>
              <w:pStyle w:val="Box"/>
            </w:pPr>
            <w:r w:rsidRPr="00584FFF">
              <w:rPr>
                <w:rStyle w:val="BoxHeading2Char"/>
              </w:rPr>
              <w:t>Queensland</w:t>
            </w:r>
            <w:r w:rsidR="001A7749">
              <w:t xml:space="preserve"> deals with claims over </w:t>
            </w:r>
            <w:r w:rsidR="001A7749" w:rsidRPr="00107926">
              <w:t>$</w:t>
            </w:r>
            <w:r w:rsidR="00C85A4B" w:rsidRPr="00107926">
              <w:t>7</w:t>
            </w:r>
            <w:r w:rsidR="001A7749" w:rsidRPr="00107926">
              <w:t>50 </w:t>
            </w:r>
            <w:r w:rsidRPr="00107926">
              <w:t>000</w:t>
            </w:r>
            <w:r w:rsidR="004403B8" w:rsidRPr="00107926">
              <w:t xml:space="preserve"> </w:t>
            </w:r>
            <w:r w:rsidR="00C85A4B" w:rsidRPr="00107926">
              <w:t>from 1 November 2010</w:t>
            </w:r>
            <w:r w:rsidR="00C85A4B">
              <w:t xml:space="preserve"> </w:t>
            </w:r>
            <w:r w:rsidR="004403B8">
              <w:t>and administrative law matters</w:t>
            </w:r>
            <w:r w:rsidR="00A57A45">
              <w:t>.</w:t>
            </w:r>
          </w:p>
          <w:p w:rsidR="00371BC8" w:rsidRDefault="00371BC8" w:rsidP="004B7A38">
            <w:pPr>
              <w:pStyle w:val="Box"/>
            </w:pPr>
            <w:r w:rsidRPr="00584FFF">
              <w:rPr>
                <w:rStyle w:val="BoxHeading2Char"/>
              </w:rPr>
              <w:t>WA</w:t>
            </w:r>
            <w:r w:rsidRPr="004A5436">
              <w:t xml:space="preserve"> </w:t>
            </w:r>
            <w:r>
              <w:t>usually deals with claims over $</w:t>
            </w:r>
            <w:r w:rsidR="00E836B6">
              <w:t>75</w:t>
            </w:r>
            <w:r>
              <w:t>0</w:t>
            </w:r>
            <w:r w:rsidR="001A7749">
              <w:t> </w:t>
            </w:r>
            <w:r w:rsidR="00A57A45">
              <w:t>000.</w:t>
            </w:r>
          </w:p>
          <w:p w:rsidR="00371BC8" w:rsidRDefault="00371BC8" w:rsidP="004B7A38">
            <w:pPr>
              <w:pStyle w:val="Box"/>
            </w:pPr>
            <w:r w:rsidRPr="00584FFF">
              <w:rPr>
                <w:rStyle w:val="BoxHeading2Char"/>
              </w:rPr>
              <w:t>SA</w:t>
            </w:r>
            <w:r w:rsidR="004403B8" w:rsidRPr="004A5436">
              <w:t xml:space="preserve"> </w:t>
            </w:r>
            <w:r w:rsidR="00E836B6">
              <w:t>exercises its unlimited jurisdiction for</w:t>
            </w:r>
            <w:r>
              <w:t xml:space="preserve"> gene</w:t>
            </w:r>
            <w:r w:rsidR="00A57A45">
              <w:t>ral and personal injury matters.</w:t>
            </w:r>
          </w:p>
          <w:p w:rsidR="00371BC8" w:rsidRDefault="00371BC8" w:rsidP="004B7A38">
            <w:pPr>
              <w:pStyle w:val="Box"/>
            </w:pPr>
            <w:r w:rsidRPr="00584FFF">
              <w:rPr>
                <w:rStyle w:val="BoxHeading2Char"/>
              </w:rPr>
              <w:t>Tasmania</w:t>
            </w:r>
            <w:r w:rsidRPr="004A5436">
              <w:t xml:space="preserve"> </w:t>
            </w:r>
            <w:r>
              <w:t>usu</w:t>
            </w:r>
            <w:r w:rsidR="00FC038F">
              <w:t>ally deals with claims over $5</w:t>
            </w:r>
            <w:r w:rsidR="001A7749">
              <w:t>0 </w:t>
            </w:r>
            <w:r w:rsidR="00A57A45">
              <w:t>000.</w:t>
            </w:r>
          </w:p>
          <w:p w:rsidR="00766491" w:rsidRPr="00766491" w:rsidRDefault="00766491" w:rsidP="00B93709">
            <w:pPr>
              <w:pStyle w:val="Box"/>
              <w:rPr>
                <w:szCs w:val="24"/>
              </w:rPr>
            </w:pPr>
            <w:r w:rsidRPr="0083325A">
              <w:rPr>
                <w:i/>
              </w:rPr>
              <w:t>ACT</w:t>
            </w:r>
            <w:r w:rsidRPr="0083325A">
              <w:t xml:space="preserve"> </w:t>
            </w:r>
            <w:r w:rsidR="00324C59" w:rsidRPr="0083325A">
              <w:t>prior to 25 July 2011 dealt with claims over</w:t>
            </w:r>
            <w:r w:rsidRPr="0083325A">
              <w:t xml:space="preserve"> $50</w:t>
            </w:r>
            <w:r w:rsidR="00205BCF">
              <w:t> </w:t>
            </w:r>
            <w:r w:rsidRPr="0083325A">
              <w:t>000</w:t>
            </w:r>
            <w:r w:rsidR="00324C59" w:rsidRPr="0083325A">
              <w:t>, and from 25 July 2011 deals with claims over $250</w:t>
            </w:r>
            <w:r w:rsidR="00205BCF">
              <w:t> </w:t>
            </w:r>
            <w:r w:rsidR="00324C59" w:rsidRPr="0083325A">
              <w:t>000</w:t>
            </w:r>
            <w:r w:rsidR="00A57A45" w:rsidRPr="0083325A">
              <w:t>.</w:t>
            </w:r>
          </w:p>
          <w:p w:rsidR="00371BC8" w:rsidRDefault="00371BC8" w:rsidP="00371BC8">
            <w:pPr>
              <w:pStyle w:val="Box"/>
            </w:pPr>
            <w:r w:rsidRPr="00584FFF">
              <w:rPr>
                <w:rStyle w:val="BoxHeading2Char"/>
              </w:rPr>
              <w:t>NT</w:t>
            </w:r>
            <w:r w:rsidRPr="004A5436">
              <w:t xml:space="preserve"> </w:t>
            </w:r>
            <w:r w:rsidR="004403B8">
              <w:t>a</w:t>
            </w:r>
            <w:r>
              <w:t xml:space="preserve">lso deals with mental health, family law and </w:t>
            </w:r>
            <w:r w:rsidRPr="0062312F">
              <w:rPr>
                <w:i/>
              </w:rPr>
              <w:t>Coroners Act 1993</w:t>
            </w:r>
            <w:r>
              <w:t xml:space="preserve"> applications.</w:t>
            </w:r>
          </w:p>
        </w:tc>
      </w:tr>
      <w:tr w:rsidR="00371BC8">
        <w:trPr>
          <w:cantSplit/>
        </w:trPr>
        <w:tc>
          <w:tcPr>
            <w:tcW w:w="8771" w:type="dxa"/>
            <w:tcBorders>
              <w:top w:val="nil"/>
              <w:left w:val="single" w:sz="6" w:space="0" w:color="auto"/>
              <w:bottom w:val="nil"/>
              <w:right w:val="single" w:sz="6" w:space="0" w:color="auto"/>
            </w:tcBorders>
          </w:tcPr>
          <w:p w:rsidR="00371BC8" w:rsidRPr="00371BC8" w:rsidRDefault="00371BC8">
            <w:pPr>
              <w:pStyle w:val="BoxSource"/>
            </w:pPr>
            <w:r>
              <w:rPr>
                <w:i/>
              </w:rPr>
              <w:t>Source</w:t>
            </w:r>
            <w:r w:rsidRPr="00371BC8">
              <w:t>:</w:t>
            </w:r>
            <w:r>
              <w:t xml:space="preserve"> </w:t>
            </w:r>
            <w:r w:rsidRPr="00371BC8">
              <w:t>State and Territory court authorities and departments</w:t>
            </w:r>
            <w:r w:rsidR="004B7DF7">
              <w:t xml:space="preserve"> (unpublished)</w:t>
            </w:r>
            <w:r w:rsidRPr="00371BC8">
              <w:t>.</w:t>
            </w:r>
          </w:p>
        </w:tc>
      </w:tr>
      <w:tr w:rsidR="00371BC8">
        <w:trPr>
          <w:cantSplit/>
        </w:trPr>
        <w:tc>
          <w:tcPr>
            <w:tcW w:w="8771" w:type="dxa"/>
            <w:tcBorders>
              <w:top w:val="nil"/>
              <w:left w:val="single" w:sz="6" w:space="0" w:color="auto"/>
              <w:bottom w:val="single" w:sz="6" w:space="0" w:color="auto"/>
              <w:right w:val="single" w:sz="6" w:space="0" w:color="auto"/>
            </w:tcBorders>
          </w:tcPr>
          <w:p w:rsidR="00371BC8" w:rsidRDefault="00371BC8">
            <w:pPr>
              <w:pStyle w:val="Box"/>
              <w:spacing w:before="0" w:line="120" w:lineRule="exact"/>
            </w:pPr>
          </w:p>
        </w:tc>
      </w:tr>
      <w:tr w:rsidR="00371BC8">
        <w:tc>
          <w:tcPr>
            <w:tcW w:w="8771" w:type="dxa"/>
            <w:tcBorders>
              <w:top w:val="nil"/>
              <w:left w:val="nil"/>
              <w:bottom w:val="nil"/>
              <w:right w:val="nil"/>
            </w:tcBorders>
          </w:tcPr>
          <w:p w:rsidR="00371BC8" w:rsidRDefault="00371BC8">
            <w:pPr>
              <w:pStyle w:val="Box"/>
              <w:keepNext w:val="0"/>
              <w:spacing w:before="60" w:after="60" w:line="80" w:lineRule="exact"/>
              <w:rPr>
                <w:b/>
                <w:color w:val="FF00FF"/>
                <w:sz w:val="14"/>
              </w:rPr>
            </w:pPr>
          </w:p>
        </w:tc>
      </w:tr>
    </w:tbl>
    <w:p w:rsidR="001A7749" w:rsidRPr="00205BCF" w:rsidRDefault="001A774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7749" w:rsidTr="00EC2E92">
        <w:tc>
          <w:tcPr>
            <w:tcW w:w="8771" w:type="dxa"/>
            <w:tcBorders>
              <w:top w:val="single" w:sz="6" w:space="0" w:color="auto"/>
              <w:bottom w:val="nil"/>
            </w:tcBorders>
          </w:tcPr>
          <w:p w:rsidR="001A7749" w:rsidRPr="001A7749" w:rsidRDefault="001A7749">
            <w:pPr>
              <w:pStyle w:val="BoxTitle"/>
            </w:pPr>
            <w:r>
              <w:rPr>
                <w:b w:val="0"/>
              </w:rPr>
              <w:t xml:space="preserve">Box </w:t>
            </w:r>
            <w:r w:rsidR="00192F6A">
              <w:rPr>
                <w:b w:val="0"/>
              </w:rPr>
              <w:t>7.</w:t>
            </w:r>
            <w:r w:rsidR="00E75B12">
              <w:rPr>
                <w:b w:val="0"/>
                <w:noProof/>
              </w:rPr>
              <w:t>2</w:t>
            </w:r>
            <w:r>
              <w:tab/>
            </w:r>
            <w:r w:rsidR="00F43AAD">
              <w:t>District/county</w:t>
            </w:r>
            <w:r w:rsidRPr="001A7749">
              <w:t xml:space="preserve"> court jurisdiction</w:t>
            </w:r>
            <w:r w:rsidR="00E34C55">
              <w:t>s</w:t>
            </w:r>
            <w:r w:rsidRPr="001A7749">
              <w:t xml:space="preserve"> across states and territories</w:t>
            </w:r>
          </w:p>
        </w:tc>
      </w:tr>
      <w:tr w:rsidR="001A7749" w:rsidTr="00873AD3">
        <w:trPr>
          <w:cantSplit/>
        </w:trPr>
        <w:tc>
          <w:tcPr>
            <w:tcW w:w="8771" w:type="dxa"/>
            <w:tcBorders>
              <w:top w:val="nil"/>
              <w:left w:val="single" w:sz="4" w:space="0" w:color="auto"/>
              <w:bottom w:val="nil"/>
              <w:right w:val="single" w:sz="6" w:space="0" w:color="auto"/>
            </w:tcBorders>
          </w:tcPr>
          <w:p w:rsidR="001A7749" w:rsidRDefault="0062312F" w:rsidP="004B7A38">
            <w:pPr>
              <w:pStyle w:val="Box"/>
            </w:pPr>
            <w:r>
              <w:t>A</w:t>
            </w:r>
            <w:r w:rsidR="001A7749">
              <w:t xml:space="preserve"> </w:t>
            </w:r>
            <w:r w:rsidR="00206CAB">
              <w:t>district/county c</w:t>
            </w:r>
            <w:r w:rsidR="00BC62E9">
              <w:t>ourt</w:t>
            </w:r>
            <w:r w:rsidR="001A7749">
              <w:t xml:space="preserve"> </w:t>
            </w:r>
            <w:r w:rsidR="00BC5ECA">
              <w:t xml:space="preserve">level </w:t>
            </w:r>
            <w:r w:rsidR="005E3DA8">
              <w:t xml:space="preserve">exists </w:t>
            </w:r>
            <w:r w:rsidR="009A119D">
              <w:t xml:space="preserve">in all states except Tasmania and does not </w:t>
            </w:r>
            <w:r w:rsidR="005E3DA8">
              <w:t>exist</w:t>
            </w:r>
            <w:r w:rsidR="009A119D">
              <w:t xml:space="preserve"> in</w:t>
            </w:r>
            <w:r w:rsidR="001A7749">
              <w:t xml:space="preserve"> the ACT or the NT.</w:t>
            </w:r>
          </w:p>
          <w:p w:rsidR="001A7749" w:rsidRDefault="001A7749" w:rsidP="004B7A38">
            <w:pPr>
              <w:pStyle w:val="BoxHeading1"/>
            </w:pPr>
            <w:r>
              <w:t>Criminal</w:t>
            </w:r>
          </w:p>
          <w:p w:rsidR="001A7749" w:rsidRDefault="005E3DA8" w:rsidP="004B7A38">
            <w:pPr>
              <w:pStyle w:val="Box"/>
            </w:pPr>
            <w:r>
              <w:t>The</w:t>
            </w:r>
            <w:r w:rsidR="001A7749">
              <w:t xml:space="preserve"> </w:t>
            </w:r>
            <w:r w:rsidR="009C2B52">
              <w:t>district/county c</w:t>
            </w:r>
            <w:r w:rsidR="00BC62E9">
              <w:t>ourt</w:t>
            </w:r>
            <w:r w:rsidR="001A7749">
              <w:t xml:space="preserve">s have jurisdiction over indictable criminal matters (such as rape and armed robbery) except murder and treason, but differences exist </w:t>
            </w:r>
            <w:r w:rsidR="00BE0C8A">
              <w:t>among the states that have</w:t>
            </w:r>
            <w:r w:rsidR="001A7749">
              <w:t xml:space="preserve"> a </w:t>
            </w:r>
            <w:r w:rsidR="009C2B52">
              <w:t>district/county c</w:t>
            </w:r>
            <w:r w:rsidR="00BC62E9">
              <w:t>ourt</w:t>
            </w:r>
            <w:r w:rsidR="001A7749">
              <w:t>.</w:t>
            </w:r>
            <w:r w:rsidR="0039196D">
              <w:t xml:space="preserve"> </w:t>
            </w:r>
            <w:r w:rsidR="00BE0C8A">
              <w:t>For example, a</w:t>
            </w:r>
            <w:r w:rsidR="0039196D">
              <w:t>ppeals from magistrates’ courts are heard in the district/county courts in NSW, Victoria and Queensland, but not in WA and SA.</w:t>
            </w:r>
            <w:r w:rsidR="001A7749">
              <w:t xml:space="preserve"> </w:t>
            </w:r>
            <w:r w:rsidR="00BE0C8A">
              <w:t>Briefly,</w:t>
            </w:r>
            <w:r w:rsidR="001A7749">
              <w:t xml:space="preserve"> the jurisdiction</w:t>
            </w:r>
            <w:r w:rsidR="00BE0C8A">
              <w:t>s</w:t>
            </w:r>
            <w:r w:rsidR="001A7749">
              <w:t xml:space="preserve"> of the </w:t>
            </w:r>
            <w:r w:rsidR="009C2B52">
              <w:t>district/county c</w:t>
            </w:r>
            <w:r w:rsidR="00BC62E9">
              <w:t>ourt</w:t>
            </w:r>
            <w:r w:rsidR="001A7749">
              <w:t>s</w:t>
            </w:r>
            <w:r w:rsidR="005837A4">
              <w:t xml:space="preserve"> are</w:t>
            </w:r>
            <w:r w:rsidR="001A7749">
              <w:t>:</w:t>
            </w:r>
          </w:p>
          <w:p w:rsidR="001A7749" w:rsidRDefault="001A7749" w:rsidP="001A7749">
            <w:pPr>
              <w:pStyle w:val="Box"/>
            </w:pPr>
            <w:r w:rsidRPr="001A01FD">
              <w:rPr>
                <w:rStyle w:val="BoxHeading2Char"/>
                <w:b/>
              </w:rPr>
              <w:t>NSW</w:t>
            </w:r>
            <w:r>
              <w:t xml:space="preserve">: </w:t>
            </w:r>
            <w:r w:rsidR="009C2B52">
              <w:t xml:space="preserve">The NSW </w:t>
            </w:r>
            <w:r>
              <w:t>District Court deals with most of the serious criminal cases that come before the courts in NSW. It has responsibility for indictable criminal offences that are normally heard by a judge and jury, but on occasions by a judge alone. It does not deal with treason or murder.</w:t>
            </w:r>
          </w:p>
          <w:p w:rsidR="00572BFA" w:rsidRDefault="001A7749" w:rsidP="0075088B">
            <w:pPr>
              <w:pStyle w:val="Box"/>
            </w:pPr>
            <w:r w:rsidRPr="001A01FD">
              <w:rPr>
                <w:rStyle w:val="BoxHeading2Char"/>
                <w:b/>
              </w:rPr>
              <w:t>Victoria</w:t>
            </w:r>
            <w:r>
              <w:t xml:space="preserve">: </w:t>
            </w:r>
            <w:r w:rsidR="009C2B52">
              <w:t xml:space="preserve">The Victorian </w:t>
            </w:r>
            <w:r w:rsidR="00572BFA" w:rsidRPr="00572BFA">
              <w:t xml:space="preserve">County Court deals with all indictable offences, except the following (which must </w:t>
            </w:r>
            <w:r w:rsidR="00CB2AA5">
              <w:t>be heard in the Supreme Court):</w:t>
            </w:r>
            <w:r w:rsidR="00572BFA" w:rsidRPr="00572BFA">
              <w:t xml:space="preserve"> murder; attempted murder; child destruction; certain conspiracy charges; treason; and concealin</w:t>
            </w:r>
            <w:r w:rsidR="00EC2E92">
              <w:t xml:space="preserve">g an offence of treason. </w:t>
            </w:r>
            <w:r w:rsidR="00572BFA" w:rsidRPr="00572BFA">
              <w:t>Examples of criminal offences heard in the County Court include: drug trafficking; serious assaults; serious theft; rape; and obtaining financial advantage by deception.</w:t>
            </w:r>
          </w:p>
          <w:p w:rsidR="001A7749" w:rsidRDefault="001A7749" w:rsidP="001A7749">
            <w:pPr>
              <w:pStyle w:val="Box"/>
            </w:pPr>
            <w:r w:rsidRPr="001A01FD">
              <w:rPr>
                <w:rStyle w:val="BoxHeading2Char"/>
                <w:b/>
              </w:rPr>
              <w:t>Queensland</w:t>
            </w:r>
            <w:r w:rsidRPr="001A01FD">
              <w:rPr>
                <w:b/>
              </w:rPr>
              <w:t>:</w:t>
            </w:r>
            <w:r>
              <w:t xml:space="preserve"> </w:t>
            </w:r>
            <w:r w:rsidR="009A5712">
              <w:t xml:space="preserve">The Queensland </w:t>
            </w:r>
            <w:r>
              <w:t>District Court deals with more serious criminal offences than heard by the Magistrates’ Court</w:t>
            </w:r>
            <w:r w:rsidR="00505751">
              <w:t xml:space="preserve"> — </w:t>
            </w:r>
            <w:r>
              <w:t>for example, rape, armed robbery and fraud.</w:t>
            </w:r>
          </w:p>
          <w:p w:rsidR="001A7749" w:rsidRDefault="001A7749" w:rsidP="001A7749">
            <w:pPr>
              <w:pStyle w:val="Box"/>
            </w:pPr>
            <w:r w:rsidRPr="001A01FD">
              <w:rPr>
                <w:rStyle w:val="BoxHeading2Char"/>
                <w:b/>
              </w:rPr>
              <w:t>WA</w:t>
            </w:r>
            <w:r>
              <w:t xml:space="preserve">: </w:t>
            </w:r>
            <w:r w:rsidR="009A5712">
              <w:t xml:space="preserve">The WA </w:t>
            </w:r>
            <w:r>
              <w:t>District Court deals with any indictable offence except those that carry a penalty of life imprisonment.</w:t>
            </w:r>
          </w:p>
          <w:p w:rsidR="001A7749" w:rsidRDefault="001A7749" w:rsidP="001A7749">
            <w:pPr>
              <w:pStyle w:val="Box"/>
            </w:pPr>
            <w:r w:rsidRPr="001A01FD">
              <w:rPr>
                <w:rStyle w:val="BoxHeading2Char"/>
                <w:b/>
              </w:rPr>
              <w:t>SA</w:t>
            </w:r>
            <w:r>
              <w:t>:</w:t>
            </w:r>
            <w:r w:rsidR="009A5712">
              <w:t xml:space="preserve"> The SA</w:t>
            </w:r>
            <w:r>
              <w:t xml:space="preserve"> District Court is the principal trial court and has jurisdiction to try a charge of any offence except treason or murder or offences related to those charges. Almost all matters have been referred following a committal proce</w:t>
            </w:r>
            <w:r w:rsidR="009A5712">
              <w:t>ss in the Magistrates</w:t>
            </w:r>
            <w:r>
              <w:t xml:space="preserve"> Court.</w:t>
            </w:r>
          </w:p>
          <w:p w:rsidR="001A7749" w:rsidRPr="00990B51" w:rsidRDefault="001A7749" w:rsidP="00990B51">
            <w:pPr>
              <w:pStyle w:val="BoxHeading1"/>
            </w:pPr>
            <w:r>
              <w:t>Civil</w:t>
            </w:r>
          </w:p>
          <w:p w:rsidR="001A7749" w:rsidRDefault="001A7749" w:rsidP="004B7A38">
            <w:pPr>
              <w:pStyle w:val="Box"/>
            </w:pPr>
            <w:r>
              <w:t xml:space="preserve">All </w:t>
            </w:r>
            <w:r w:rsidR="00F43AAD">
              <w:t>district/county</w:t>
            </w:r>
            <w:r w:rsidR="00582AFD">
              <w:t xml:space="preserve"> civil courts hear appeals and deal with</w:t>
            </w:r>
            <w:r w:rsidR="000B3B97">
              <w:t xml:space="preserve"> the following types of cases</w:t>
            </w:r>
            <w:r w:rsidR="00582AFD">
              <w:t>:</w:t>
            </w:r>
          </w:p>
          <w:p w:rsidR="001A7749" w:rsidRDefault="001A7749" w:rsidP="004B7A38">
            <w:pPr>
              <w:pStyle w:val="Box"/>
            </w:pPr>
            <w:r w:rsidRPr="001A01FD">
              <w:rPr>
                <w:rStyle w:val="BoxHeading2Char"/>
                <w:b/>
              </w:rPr>
              <w:t>NSW</w:t>
            </w:r>
            <w:r w:rsidR="00E71F91">
              <w:t>:</w:t>
            </w:r>
            <w:r>
              <w:t xml:space="preserve"> </w:t>
            </w:r>
            <w:r w:rsidR="0062312F">
              <w:t>claims up to $750 000</w:t>
            </w:r>
            <w:r w:rsidR="000B3B97">
              <w:t xml:space="preserve"> (or more if the parties consent)</w:t>
            </w:r>
            <w:r>
              <w:t xml:space="preserve"> and</w:t>
            </w:r>
            <w:r w:rsidR="000B3B97">
              <w:t xml:space="preserve"> has</w:t>
            </w:r>
            <w:r>
              <w:t xml:space="preserve"> unlimited </w:t>
            </w:r>
            <w:r w:rsidR="000B3B97">
              <w:t>jurisdiction</w:t>
            </w:r>
            <w:r>
              <w:t xml:space="preserve"> in motor accident </w:t>
            </w:r>
            <w:r w:rsidR="000B3B97">
              <w:t xml:space="preserve">injury </w:t>
            </w:r>
            <w:r>
              <w:t>c</w:t>
            </w:r>
            <w:r w:rsidR="000B3B97">
              <w:t>laims</w:t>
            </w:r>
            <w:r>
              <w:t>.</w:t>
            </w:r>
          </w:p>
          <w:p w:rsidR="001A7749" w:rsidRDefault="001A7749" w:rsidP="0075088B">
            <w:pPr>
              <w:pStyle w:val="Box"/>
            </w:pPr>
            <w:r w:rsidRPr="001A01FD">
              <w:rPr>
                <w:rStyle w:val="BoxHeading2Char"/>
                <w:b/>
              </w:rPr>
              <w:t>Victoria</w:t>
            </w:r>
            <w:r>
              <w:t xml:space="preserve">: </w:t>
            </w:r>
            <w:r w:rsidR="00582AFD">
              <w:rPr>
                <w:lang w:val="en-US"/>
              </w:rPr>
              <w:t xml:space="preserve">appeals under the </w:t>
            </w:r>
            <w:r w:rsidR="00582AFD">
              <w:rPr>
                <w:i/>
                <w:iCs/>
                <w:lang w:val="en-US"/>
              </w:rPr>
              <w:t>Crimes (Family Violence) Act 1987</w:t>
            </w:r>
            <w:r w:rsidR="00582AFD">
              <w:rPr>
                <w:lang w:val="en-US"/>
              </w:rPr>
              <w:t xml:space="preserve">, adoption matters and change-of-name applications. </w:t>
            </w:r>
            <w:r w:rsidR="00572BFA">
              <w:rPr>
                <w:lang w:val="en-US"/>
              </w:rPr>
              <w:t>Has unlimited jurisdiction in both personal injury claims an</w:t>
            </w:r>
            <w:r w:rsidR="00582AFD">
              <w:rPr>
                <w:lang w:val="en-US"/>
              </w:rPr>
              <w:t xml:space="preserve">d other claims. </w:t>
            </w:r>
          </w:p>
          <w:p w:rsidR="001A7749" w:rsidRDefault="001A7749" w:rsidP="001A7749">
            <w:pPr>
              <w:pStyle w:val="Box"/>
            </w:pPr>
            <w:r w:rsidRPr="001A01FD">
              <w:rPr>
                <w:rStyle w:val="BoxHeading2Char"/>
                <w:b/>
              </w:rPr>
              <w:t>Queensland</w:t>
            </w:r>
            <w:r w:rsidRPr="001A01FD">
              <w:t>:</w:t>
            </w:r>
            <w:r>
              <w:t xml:space="preserve"> claims </w:t>
            </w:r>
            <w:r w:rsidRPr="00107926">
              <w:t>between $</w:t>
            </w:r>
            <w:r w:rsidR="0016168D" w:rsidRPr="00107926">
              <w:t>1</w:t>
            </w:r>
            <w:r w:rsidRPr="00107926">
              <w:t>50 000 and $</w:t>
            </w:r>
            <w:r w:rsidR="0016168D" w:rsidRPr="00107926">
              <w:t>7</w:t>
            </w:r>
            <w:r w:rsidRPr="00107926">
              <w:t>50 000</w:t>
            </w:r>
            <w:r w:rsidR="0016168D" w:rsidRPr="00107926">
              <w:t xml:space="preserve"> from 1 November 2010</w:t>
            </w:r>
            <w:r w:rsidRPr="00107926">
              <w:t>.</w:t>
            </w:r>
          </w:p>
          <w:p w:rsidR="001A7749" w:rsidRDefault="001A7749" w:rsidP="004B7A38">
            <w:pPr>
              <w:pStyle w:val="Box"/>
            </w:pPr>
            <w:r w:rsidRPr="001A01FD">
              <w:rPr>
                <w:rStyle w:val="BoxHeading2Char"/>
                <w:b/>
              </w:rPr>
              <w:t>WA</w:t>
            </w:r>
            <w:r>
              <w:t>: claims up to $</w:t>
            </w:r>
            <w:r w:rsidR="002D59EA">
              <w:t>75</w:t>
            </w:r>
            <w:r>
              <w:t>0 000 and unlimited claims for personal injuries</w:t>
            </w:r>
            <w:r w:rsidR="000E0769">
              <w:t>,</w:t>
            </w:r>
            <w:r w:rsidR="002D59EA">
              <w:t xml:space="preserve"> and has exclusive jurisdiction for motor accident injury claims</w:t>
            </w:r>
            <w:r>
              <w:t>.</w:t>
            </w:r>
          </w:p>
          <w:p w:rsidR="001A7749" w:rsidRDefault="001A7749" w:rsidP="001A7749">
            <w:pPr>
              <w:pStyle w:val="Box"/>
            </w:pPr>
            <w:r w:rsidRPr="001A01FD">
              <w:rPr>
                <w:rStyle w:val="BoxHeading2Char"/>
                <w:b/>
              </w:rPr>
              <w:t>SA</w:t>
            </w:r>
            <w:r>
              <w:t>: unlimited claims for general and personal injury matters.</w:t>
            </w:r>
          </w:p>
        </w:tc>
      </w:tr>
      <w:tr w:rsidR="001A7749" w:rsidTr="00873AD3">
        <w:trPr>
          <w:cantSplit/>
        </w:trPr>
        <w:tc>
          <w:tcPr>
            <w:tcW w:w="8771" w:type="dxa"/>
            <w:tcBorders>
              <w:top w:val="nil"/>
              <w:left w:val="single" w:sz="6" w:space="0" w:color="auto"/>
              <w:bottom w:val="single" w:sz="4" w:space="0" w:color="auto"/>
              <w:right w:val="single" w:sz="6" w:space="0" w:color="auto"/>
            </w:tcBorders>
          </w:tcPr>
          <w:p w:rsidR="001A7749" w:rsidRPr="001A7749" w:rsidRDefault="001A7749" w:rsidP="004907FA">
            <w:pPr>
              <w:pStyle w:val="BoxSource"/>
              <w:spacing w:before="120" w:after="120"/>
            </w:pPr>
            <w:r>
              <w:rPr>
                <w:i/>
              </w:rPr>
              <w:t>Source</w:t>
            </w:r>
            <w:r w:rsidRPr="001A7749">
              <w:t>:</w:t>
            </w:r>
            <w:r>
              <w:t xml:space="preserve"> </w:t>
            </w:r>
            <w:r w:rsidRPr="001A7749">
              <w:t>State and Territory court authorities and departments</w:t>
            </w:r>
            <w:r w:rsidR="00E71F91">
              <w:t xml:space="preserve"> (unpublished).</w:t>
            </w:r>
          </w:p>
        </w:tc>
      </w:tr>
      <w:tr w:rsidR="001A7749" w:rsidTr="001B71E7">
        <w:tc>
          <w:tcPr>
            <w:tcW w:w="8771" w:type="dxa"/>
            <w:tcBorders>
              <w:top w:val="single" w:sz="6" w:space="0" w:color="auto"/>
              <w:bottom w:val="nil"/>
            </w:tcBorders>
          </w:tcPr>
          <w:p w:rsidR="001A7749" w:rsidRPr="005856DD" w:rsidRDefault="001A7749" w:rsidP="00990B51">
            <w:pPr>
              <w:pStyle w:val="BoxTitle"/>
              <w:keepLines w:val="0"/>
              <w:spacing w:before="60"/>
              <w:ind w:left="1254" w:right="-280" w:hanging="1254"/>
            </w:pPr>
            <w:r>
              <w:rPr>
                <w:b w:val="0"/>
              </w:rPr>
              <w:lastRenderedPageBreak/>
              <w:t xml:space="preserve">Box </w:t>
            </w:r>
            <w:r w:rsidR="00192F6A">
              <w:rPr>
                <w:b w:val="0"/>
              </w:rPr>
              <w:t>7.</w:t>
            </w:r>
            <w:r w:rsidR="00E75B12">
              <w:rPr>
                <w:b w:val="0"/>
                <w:noProof/>
              </w:rPr>
              <w:t>3</w:t>
            </w:r>
            <w:r>
              <w:tab/>
            </w:r>
            <w:r w:rsidR="009A5712">
              <w:t>Magistrates</w:t>
            </w:r>
            <w:r w:rsidR="005856DD" w:rsidRPr="005856DD">
              <w:t xml:space="preserve"> court jurisdiction</w:t>
            </w:r>
            <w:r w:rsidR="00E34C55">
              <w:t>s</w:t>
            </w:r>
            <w:r w:rsidR="005856DD" w:rsidRPr="005856DD">
              <w:t xml:space="preserve"> across states and territories</w:t>
            </w:r>
          </w:p>
        </w:tc>
      </w:tr>
      <w:tr w:rsidR="001A7749" w:rsidTr="001B71E7">
        <w:trPr>
          <w:cantSplit/>
        </w:trPr>
        <w:tc>
          <w:tcPr>
            <w:tcW w:w="8771" w:type="dxa"/>
            <w:tcBorders>
              <w:top w:val="nil"/>
              <w:left w:val="single" w:sz="4" w:space="0" w:color="auto"/>
              <w:bottom w:val="nil"/>
              <w:right w:val="single" w:sz="4" w:space="0" w:color="auto"/>
            </w:tcBorders>
          </w:tcPr>
          <w:p w:rsidR="005856DD" w:rsidRDefault="005856DD" w:rsidP="00990B51">
            <w:pPr>
              <w:pStyle w:val="BoxHeading1"/>
              <w:spacing w:before="100"/>
            </w:pPr>
            <w:r w:rsidRPr="00B065B3">
              <w:rPr>
                <w:rStyle w:val="BoxHeading1Char"/>
                <w:b/>
              </w:rPr>
              <w:t>Criminal</w:t>
            </w:r>
            <w:r w:rsidRPr="00584FFF">
              <w:rPr>
                <w:b w:val="0"/>
              </w:rPr>
              <w:t xml:space="preserve"> </w:t>
            </w:r>
            <w:r w:rsidR="007362A0" w:rsidRPr="007362A0">
              <w:t>court</w:t>
            </w:r>
            <w:r w:rsidR="007362A0">
              <w:t>s deal</w:t>
            </w:r>
            <w:r w:rsidR="00E00FB3">
              <w:t>:</w:t>
            </w:r>
          </w:p>
          <w:p w:rsidR="005856DD" w:rsidRDefault="005856DD" w:rsidP="00B30FA4">
            <w:pPr>
              <w:pStyle w:val="Box"/>
              <w:keepNext w:val="0"/>
              <w:spacing w:before="0"/>
            </w:pPr>
            <w:r w:rsidRPr="004B54D1">
              <w:rPr>
                <w:rStyle w:val="BoxHeading2Char"/>
                <w:b/>
              </w:rPr>
              <w:t>NSW</w:t>
            </w:r>
            <w:r>
              <w:t xml:space="preserve">: </w:t>
            </w:r>
            <w:r w:rsidR="00CC272D">
              <w:t>S</w:t>
            </w:r>
            <w:r w:rsidR="005D6335">
              <w:t>ummarily with</w:t>
            </w:r>
            <w:r w:rsidR="0025266E">
              <w:t xml:space="preserve"> matters</w:t>
            </w:r>
            <w:r w:rsidR="005D6335">
              <w:t xml:space="preserve"> with</w:t>
            </w:r>
            <w:r>
              <w:t xml:space="preserve"> a maximum penalty of up to two years</w:t>
            </w:r>
            <w:r w:rsidR="005D6335">
              <w:t>’</w:t>
            </w:r>
            <w:r>
              <w:t xml:space="preserve"> imprisonment for a single offence, and up to five years</w:t>
            </w:r>
            <w:r w:rsidR="005D6335">
              <w:t>’</w:t>
            </w:r>
            <w:r>
              <w:t xml:space="preserve"> imprisonment for multiple offences, including some indictable offences.</w:t>
            </w:r>
          </w:p>
          <w:p w:rsidR="005856DD" w:rsidRDefault="005856DD" w:rsidP="0067530B">
            <w:pPr>
              <w:pStyle w:val="Box"/>
              <w:keepNext w:val="0"/>
              <w:spacing w:before="0"/>
            </w:pPr>
            <w:r w:rsidRPr="004B54D1">
              <w:rPr>
                <w:rStyle w:val="BoxHeading2Char"/>
                <w:b/>
              </w:rPr>
              <w:t>Victoria</w:t>
            </w:r>
            <w:r w:rsidR="002F55B4">
              <w:t xml:space="preserve">: </w:t>
            </w:r>
            <w:r w:rsidR="00CC272D">
              <w:t>W</w:t>
            </w:r>
            <w:r w:rsidR="007362A0">
              <w:t>ith s</w:t>
            </w:r>
            <w:r>
              <w:t>ummary offences and</w:t>
            </w:r>
            <w:r w:rsidR="000940D1">
              <w:t xml:space="preserve"> determines</w:t>
            </w:r>
            <w:r>
              <w:t xml:space="preserve"> some indictable offences</w:t>
            </w:r>
            <w:r w:rsidR="0095414F">
              <w:t xml:space="preserve"> </w:t>
            </w:r>
            <w:r>
              <w:t>summarily.</w:t>
            </w:r>
          </w:p>
          <w:p w:rsidR="005856DD" w:rsidRDefault="005856DD" w:rsidP="0067530B">
            <w:pPr>
              <w:pStyle w:val="Box"/>
              <w:keepNext w:val="0"/>
              <w:spacing w:before="0"/>
            </w:pPr>
            <w:r w:rsidRPr="004B54D1">
              <w:rPr>
                <w:rStyle w:val="BoxHeading2Char"/>
                <w:b/>
              </w:rPr>
              <w:t>Queensland</w:t>
            </w:r>
            <w:r w:rsidR="0025266E">
              <w:t xml:space="preserve">: </w:t>
            </w:r>
            <w:r w:rsidR="007362A0">
              <w:t>W</w:t>
            </w:r>
            <w:r w:rsidR="000940D1">
              <w:t xml:space="preserve">ith </w:t>
            </w:r>
            <w:r>
              <w:t xml:space="preserve">summary offences and determines summarily some indictable matters </w:t>
            </w:r>
            <w:r w:rsidR="00D422BD">
              <w:t>where the penalty imposed by this jurisdiction may be</w:t>
            </w:r>
            <w:r>
              <w:t xml:space="preserve"> up to </w:t>
            </w:r>
            <w:r w:rsidR="00946EEC">
              <w:t>three</w:t>
            </w:r>
            <w:r w:rsidR="0095414F">
              <w:t xml:space="preserve"> years</w:t>
            </w:r>
            <w:r w:rsidR="000940D1">
              <w:t>’</w:t>
            </w:r>
            <w:r w:rsidR="0095414F">
              <w:t xml:space="preserve"> imprisonment</w:t>
            </w:r>
            <w:r>
              <w:t>.</w:t>
            </w:r>
          </w:p>
          <w:p w:rsidR="005856DD" w:rsidRDefault="005856DD" w:rsidP="0067530B">
            <w:pPr>
              <w:pStyle w:val="Box"/>
              <w:keepNext w:val="0"/>
              <w:spacing w:before="0"/>
            </w:pPr>
            <w:r w:rsidRPr="004B54D1">
              <w:rPr>
                <w:rStyle w:val="BoxHeading2Char"/>
                <w:b/>
              </w:rPr>
              <w:t>WA</w:t>
            </w:r>
            <w:r w:rsidR="0095414F">
              <w:t xml:space="preserve">: </w:t>
            </w:r>
            <w:r w:rsidR="007362A0">
              <w:t>W</w:t>
            </w:r>
            <w:r w:rsidR="000940D1">
              <w:t xml:space="preserve">ith </w:t>
            </w:r>
            <w:r>
              <w:t>summary offences and</w:t>
            </w:r>
            <w:r w:rsidR="000940D1">
              <w:t xml:space="preserve"> determines</w:t>
            </w:r>
            <w:r>
              <w:t xml:space="preserve"> some indictable offences summarily.</w:t>
            </w:r>
          </w:p>
          <w:p w:rsidR="005856DD" w:rsidRDefault="005856DD" w:rsidP="0067530B">
            <w:pPr>
              <w:pStyle w:val="Box"/>
              <w:keepNext w:val="0"/>
              <w:spacing w:before="0"/>
            </w:pPr>
            <w:r w:rsidRPr="004B54D1">
              <w:rPr>
                <w:rStyle w:val="BoxHeading2Char"/>
                <w:b/>
              </w:rPr>
              <w:t>SA</w:t>
            </w:r>
            <w:r w:rsidR="00926925">
              <w:t xml:space="preserve">: </w:t>
            </w:r>
            <w:r w:rsidR="007362A0">
              <w:t>W</w:t>
            </w:r>
            <w:r w:rsidR="000940D1">
              <w:t xml:space="preserve">ith </w:t>
            </w:r>
            <w:r w:rsidR="00926925">
              <w:t>matters w</w:t>
            </w:r>
            <w:r w:rsidR="000940D1">
              <w:t>ith</w:t>
            </w:r>
            <w:r>
              <w:t xml:space="preserve"> a maximum penalty of up to two years</w:t>
            </w:r>
            <w:r w:rsidR="000940D1">
              <w:t>’</w:t>
            </w:r>
            <w:r>
              <w:t xml:space="preserve"> imprisonment, juvenile prosecutions and intervention orders (including breaches).</w:t>
            </w:r>
          </w:p>
          <w:p w:rsidR="005856DD" w:rsidRDefault="005856DD" w:rsidP="0067530B">
            <w:pPr>
              <w:pStyle w:val="Box"/>
              <w:keepNext w:val="0"/>
              <w:spacing w:before="0"/>
            </w:pPr>
            <w:r w:rsidRPr="004B54D1">
              <w:rPr>
                <w:rStyle w:val="BoxHeading2Char"/>
                <w:b/>
              </w:rPr>
              <w:t>Tasmania</w:t>
            </w:r>
            <w:r w:rsidR="00926925">
              <w:t xml:space="preserve">: </w:t>
            </w:r>
            <w:r w:rsidR="007362A0">
              <w:t>W</w:t>
            </w:r>
            <w:r w:rsidR="00B1298B">
              <w:t xml:space="preserve">ith </w:t>
            </w:r>
            <w:r w:rsidR="00926925">
              <w:t>matters w</w:t>
            </w:r>
            <w:r w:rsidR="00B1298B">
              <w:t>ith</w:t>
            </w:r>
            <w:r w:rsidR="00926925">
              <w:t xml:space="preserve"> </w:t>
            </w:r>
            <w:r>
              <w:t>a maximum penalty of up to two years</w:t>
            </w:r>
            <w:r w:rsidR="00B1298B">
              <w:t>’</w:t>
            </w:r>
            <w:r>
              <w:t xml:space="preserve"> imprisonment for a single offence and up to five years</w:t>
            </w:r>
            <w:r w:rsidR="00B1298B">
              <w:t>’</w:t>
            </w:r>
            <w:r>
              <w:t xml:space="preserve"> imprisonment for multiple offences. Also deals with some indictable offences summarily.</w:t>
            </w:r>
          </w:p>
          <w:p w:rsidR="005856DD" w:rsidRDefault="005856DD" w:rsidP="0067530B">
            <w:pPr>
              <w:pStyle w:val="Box"/>
              <w:keepNext w:val="0"/>
              <w:spacing w:before="0"/>
            </w:pPr>
            <w:r w:rsidRPr="004B54D1">
              <w:rPr>
                <w:rStyle w:val="BoxHeading2Char"/>
                <w:b/>
              </w:rPr>
              <w:t>ACT</w:t>
            </w:r>
            <w:r w:rsidR="00926925">
              <w:t xml:space="preserve">: </w:t>
            </w:r>
            <w:r w:rsidR="006C1DC8" w:rsidRPr="00E151A1">
              <w:t>Summarily with matters with a maximum penalty of up to two years</w:t>
            </w:r>
            <w:r w:rsidR="004A5436">
              <w:t>’</w:t>
            </w:r>
            <w:r w:rsidR="006C1DC8" w:rsidRPr="00E151A1">
              <w:t xml:space="preserve"> imprisonment. With the </w:t>
            </w:r>
            <w:proofErr w:type="spellStart"/>
            <w:r w:rsidR="006C1DC8" w:rsidRPr="00E151A1">
              <w:t>DPP’s</w:t>
            </w:r>
            <w:proofErr w:type="spellEnd"/>
            <w:r w:rsidR="006C1DC8" w:rsidRPr="00E151A1">
              <w:t xml:space="preserve"> consent, an offence punishable by imprisonment for longer than two years but no longer than five years.</w:t>
            </w:r>
            <w:r w:rsidR="006C1DC8">
              <w:t xml:space="preserve"> </w:t>
            </w:r>
            <w:r w:rsidR="007362A0">
              <w:t>W</w:t>
            </w:r>
            <w:r w:rsidR="00B1298B">
              <w:t>ith</w:t>
            </w:r>
            <w:r w:rsidR="00336208">
              <w:t xml:space="preserve"> the defendant’s consent,</w:t>
            </w:r>
            <w:r w:rsidR="00B1298B">
              <w:t xml:space="preserve"> </w:t>
            </w:r>
            <w:r w:rsidR="00926925">
              <w:t xml:space="preserve">matters </w:t>
            </w:r>
            <w:r w:rsidR="00B1298B">
              <w:t>with</w:t>
            </w:r>
            <w:r>
              <w:t xml:space="preserve"> a maximum penalty o</w:t>
            </w:r>
            <w:r w:rsidR="00926925">
              <w:t>f up to 14 years imprisonment where</w:t>
            </w:r>
            <w:r>
              <w:t xml:space="preserve"> the offence relates to money or property,</w:t>
            </w:r>
            <w:r w:rsidR="00926925">
              <w:t xml:space="preserve"> and up to 10 years</w:t>
            </w:r>
            <w:r>
              <w:t xml:space="preserve"> in other cases.</w:t>
            </w:r>
          </w:p>
          <w:p w:rsidR="005856DD" w:rsidRDefault="005856DD" w:rsidP="0067530B">
            <w:pPr>
              <w:pStyle w:val="Box"/>
              <w:keepNext w:val="0"/>
              <w:spacing w:before="0"/>
            </w:pPr>
            <w:r w:rsidRPr="004B54D1">
              <w:rPr>
                <w:rStyle w:val="BoxHeading2Char"/>
                <w:b/>
              </w:rPr>
              <w:t>NT</w:t>
            </w:r>
            <w:r w:rsidR="00926925">
              <w:t xml:space="preserve">: </w:t>
            </w:r>
            <w:r w:rsidR="007362A0">
              <w:t>W</w:t>
            </w:r>
            <w:r w:rsidR="004424A8">
              <w:t xml:space="preserve">ith </w:t>
            </w:r>
            <w:r>
              <w:t>some drug and fraud charges and matters with a maximum penalty of up to 10 years</w:t>
            </w:r>
            <w:r w:rsidR="004424A8">
              <w:t>’</w:t>
            </w:r>
            <w:r>
              <w:t xml:space="preserve"> imprisonment (or 10–14 years</w:t>
            </w:r>
            <w:r w:rsidR="004424A8">
              <w:t>’</w:t>
            </w:r>
            <w:r>
              <w:t xml:space="preserve"> imprisonment if the accused consents).</w:t>
            </w:r>
          </w:p>
          <w:p w:rsidR="005856DD" w:rsidRPr="008A33B0" w:rsidRDefault="005856DD" w:rsidP="00990B51">
            <w:pPr>
              <w:pStyle w:val="BoxHeading1"/>
              <w:spacing w:before="100"/>
              <w:rPr>
                <w:b w:val="0"/>
              </w:rPr>
            </w:pPr>
            <w:r>
              <w:t>Civil</w:t>
            </w:r>
            <w:r w:rsidR="007362A0">
              <w:t xml:space="preserve"> courts deal</w:t>
            </w:r>
            <w:r w:rsidR="00E00FB3">
              <w:t>:</w:t>
            </w:r>
          </w:p>
          <w:p w:rsidR="005856DD" w:rsidRDefault="005856DD" w:rsidP="0067530B">
            <w:pPr>
              <w:pStyle w:val="Box"/>
              <w:keepNext w:val="0"/>
              <w:spacing w:before="0"/>
            </w:pPr>
            <w:r w:rsidRPr="004B54D1">
              <w:rPr>
                <w:rStyle w:val="BoxHeading2Char"/>
                <w:b/>
              </w:rPr>
              <w:t>NSW</w:t>
            </w:r>
            <w:r w:rsidR="008A33B0">
              <w:t xml:space="preserve">: </w:t>
            </w:r>
            <w:r w:rsidR="007362A0">
              <w:t>W</w:t>
            </w:r>
            <w:r w:rsidR="004424A8">
              <w:t xml:space="preserve">ith </w:t>
            </w:r>
            <w:r>
              <w:t>small claims up to $10</w:t>
            </w:r>
            <w:r w:rsidR="00747B5A">
              <w:t> </w:t>
            </w:r>
            <w:r>
              <w:t>000 and general division claims up to $</w:t>
            </w:r>
            <w:r w:rsidR="00C86392">
              <w:t>10</w:t>
            </w:r>
            <w:r>
              <w:t>0</w:t>
            </w:r>
            <w:r w:rsidR="00747B5A">
              <w:t> </w:t>
            </w:r>
            <w:r>
              <w:t>000, as well as family law matters.</w:t>
            </w:r>
          </w:p>
          <w:p w:rsidR="005856DD" w:rsidRDefault="005856DD" w:rsidP="0067530B">
            <w:pPr>
              <w:pStyle w:val="Box"/>
              <w:keepNext w:val="0"/>
              <w:spacing w:before="0"/>
            </w:pPr>
            <w:r w:rsidRPr="004B54D1">
              <w:rPr>
                <w:rStyle w:val="BoxHeading2Char"/>
                <w:b/>
              </w:rPr>
              <w:t>Victoria</w:t>
            </w:r>
            <w:r w:rsidR="00E722C9">
              <w:t xml:space="preserve">: </w:t>
            </w:r>
            <w:r w:rsidR="007362A0">
              <w:t>W</w:t>
            </w:r>
            <w:r w:rsidR="004424A8">
              <w:t xml:space="preserve">ith </w:t>
            </w:r>
            <w:r w:rsidR="00E722C9">
              <w:t xml:space="preserve">claims </w:t>
            </w:r>
            <w:r>
              <w:t>up to $100</w:t>
            </w:r>
            <w:r w:rsidR="00747B5A">
              <w:t> </w:t>
            </w:r>
            <w:r>
              <w:t xml:space="preserve">000 for monetary damages, </w:t>
            </w:r>
            <w:r w:rsidR="008E672B">
              <w:t>and</w:t>
            </w:r>
            <w:r>
              <w:t xml:space="preserve"> applications for equitable relief and applications under the </w:t>
            </w:r>
            <w:r w:rsidRPr="003E10CE">
              <w:rPr>
                <w:i/>
              </w:rPr>
              <w:t>Crimes (Family Violence) Act 1987</w:t>
            </w:r>
            <w:r>
              <w:t>.</w:t>
            </w:r>
          </w:p>
          <w:p w:rsidR="005856DD" w:rsidRDefault="005856DD" w:rsidP="0067530B">
            <w:pPr>
              <w:pStyle w:val="Box"/>
              <w:keepNext w:val="0"/>
              <w:spacing w:before="0"/>
            </w:pPr>
            <w:r w:rsidRPr="004B54D1">
              <w:rPr>
                <w:rStyle w:val="BoxHeading2Char"/>
                <w:b/>
              </w:rPr>
              <w:t>Queensland</w:t>
            </w:r>
            <w:r w:rsidR="00E722C9">
              <w:t xml:space="preserve">: </w:t>
            </w:r>
            <w:r w:rsidR="00EC7183">
              <w:t xml:space="preserve">[Prior to 1 December 2009] </w:t>
            </w:r>
            <w:r w:rsidR="007362A0">
              <w:t>W</w:t>
            </w:r>
            <w:r w:rsidR="008E672B">
              <w:t xml:space="preserve">ith </w:t>
            </w:r>
            <w:r>
              <w:t>small claims (including residential tenancy disputes) up to $7500, minor debt claims up to $7500 and other claims up to $50</w:t>
            </w:r>
            <w:r w:rsidR="00747B5A">
              <w:t> </w:t>
            </w:r>
            <w:r>
              <w:t>000</w:t>
            </w:r>
            <w:r w:rsidR="00EC7183">
              <w:t xml:space="preserve">. Now deals with claims </w:t>
            </w:r>
            <w:r w:rsidR="00EC7183" w:rsidRPr="00107926">
              <w:t>up to $</w:t>
            </w:r>
            <w:r w:rsidR="00187E0B" w:rsidRPr="00107926">
              <w:t>1</w:t>
            </w:r>
            <w:r w:rsidR="00EC7183" w:rsidRPr="00107926">
              <w:t>50 000</w:t>
            </w:r>
            <w:r w:rsidR="00187E0B" w:rsidRPr="00107926">
              <w:t xml:space="preserve"> from 1 November 2010</w:t>
            </w:r>
            <w:r w:rsidR="00EC7183" w:rsidRPr="00107926">
              <w:t>,</w:t>
            </w:r>
            <w:r w:rsidR="00EC7183">
              <w:t xml:space="preserve"> minor civil disputes are now lodged with the Queensland Civil and Administrative Tribunal (</w:t>
            </w:r>
            <w:proofErr w:type="spellStart"/>
            <w:r w:rsidR="00EC7183">
              <w:t>QCAT</w:t>
            </w:r>
            <w:proofErr w:type="spellEnd"/>
            <w:r w:rsidR="00EC7183">
              <w:t>).</w:t>
            </w:r>
          </w:p>
          <w:p w:rsidR="005856DD" w:rsidRDefault="005856DD" w:rsidP="0067530B">
            <w:pPr>
              <w:pStyle w:val="Box"/>
              <w:keepNext w:val="0"/>
              <w:spacing w:before="0"/>
            </w:pPr>
            <w:r w:rsidRPr="004B54D1">
              <w:rPr>
                <w:rStyle w:val="BoxHeading2Char"/>
                <w:b/>
              </w:rPr>
              <w:t>WA</w:t>
            </w:r>
            <w:r w:rsidR="00E722C9">
              <w:t xml:space="preserve">: </w:t>
            </w:r>
            <w:r w:rsidR="007362A0">
              <w:t>W</w:t>
            </w:r>
            <w:r w:rsidR="008E672B">
              <w:t xml:space="preserve">ith </w:t>
            </w:r>
            <w:r>
              <w:t>claims for debt recovery and damages (not personal injury) up to $</w:t>
            </w:r>
            <w:r w:rsidR="008E672B">
              <w:t>75</w:t>
            </w:r>
            <w:r w:rsidR="00747B5A">
              <w:t> </w:t>
            </w:r>
            <w:r>
              <w:t>000, minor cases up to $</w:t>
            </w:r>
            <w:r w:rsidR="008E672B">
              <w:t>10 0</w:t>
            </w:r>
            <w:r>
              <w:t>00, residential tenancy</w:t>
            </w:r>
            <w:r w:rsidR="008E672B">
              <w:t xml:space="preserve"> applications for </w:t>
            </w:r>
            <w:proofErr w:type="spellStart"/>
            <w:r w:rsidR="008E672B">
              <w:t>monies</w:t>
            </w:r>
            <w:proofErr w:type="spellEnd"/>
            <w:r w:rsidR="008E672B">
              <w:t xml:space="preserve"> up to $10 000,</w:t>
            </w:r>
            <w:r>
              <w:t xml:space="preserve"> </w:t>
            </w:r>
            <w:r w:rsidR="008E672B">
              <w:t xml:space="preserve">residential tenancy </w:t>
            </w:r>
            <w:r>
              <w:t>disputes and restraining orders.</w:t>
            </w:r>
          </w:p>
          <w:p w:rsidR="005856DD" w:rsidRDefault="005856DD" w:rsidP="0067530B">
            <w:pPr>
              <w:pStyle w:val="Box"/>
              <w:keepNext w:val="0"/>
              <w:spacing w:before="0"/>
            </w:pPr>
            <w:r w:rsidRPr="004B54D1">
              <w:rPr>
                <w:rStyle w:val="BoxHeading2Char"/>
                <w:b/>
              </w:rPr>
              <w:t>SA</w:t>
            </w:r>
            <w:r w:rsidR="00E722C9">
              <w:t xml:space="preserve">: </w:t>
            </w:r>
            <w:r w:rsidR="007362A0">
              <w:t>W</w:t>
            </w:r>
            <w:r w:rsidR="001133B7">
              <w:t xml:space="preserve">ith </w:t>
            </w:r>
            <w:r>
              <w:t>small claims up to $6000, commercial cases up to $40</w:t>
            </w:r>
            <w:r w:rsidR="00747B5A">
              <w:t> </w:t>
            </w:r>
            <w:r>
              <w:t>000 and personal injury claims up to $80</w:t>
            </w:r>
            <w:r w:rsidR="00747B5A">
              <w:t> </w:t>
            </w:r>
            <w:r>
              <w:t>000.</w:t>
            </w:r>
          </w:p>
          <w:p w:rsidR="005856DD" w:rsidRDefault="005856DD" w:rsidP="0067530B">
            <w:pPr>
              <w:pStyle w:val="Box"/>
              <w:keepNext w:val="0"/>
              <w:spacing w:before="0"/>
            </w:pPr>
            <w:r w:rsidRPr="004B54D1">
              <w:rPr>
                <w:rStyle w:val="BoxHeading2Char"/>
                <w:b/>
              </w:rPr>
              <w:t>Tasmania</w:t>
            </w:r>
            <w:r w:rsidR="00E722C9">
              <w:t xml:space="preserve">: </w:t>
            </w:r>
            <w:r w:rsidR="007362A0">
              <w:t>W</w:t>
            </w:r>
            <w:r w:rsidR="001133B7">
              <w:t xml:space="preserve">ith </w:t>
            </w:r>
            <w:r>
              <w:t xml:space="preserve">claims up </w:t>
            </w:r>
            <w:r w:rsidRPr="00107926">
              <w:t>to $</w:t>
            </w:r>
            <w:r w:rsidR="008B4A55" w:rsidRPr="00107926">
              <w:t>5</w:t>
            </w:r>
            <w:r w:rsidRPr="00107926">
              <w:t>0</w:t>
            </w:r>
            <w:r w:rsidR="00747B5A" w:rsidRPr="00107926">
              <w:t> </w:t>
            </w:r>
            <w:r w:rsidRPr="00107926">
              <w:t>000 (or</w:t>
            </w:r>
            <w:r>
              <w:t xml:space="preserve"> more if both parties consent) for monetary damages and debt recovery, minor civil claims up to $5000, residential tenancy disputes, restraint orders and family violence orders.</w:t>
            </w:r>
          </w:p>
          <w:p w:rsidR="005856DD" w:rsidRDefault="005856DD" w:rsidP="0067530B">
            <w:pPr>
              <w:pStyle w:val="Box"/>
              <w:keepNext w:val="0"/>
              <w:spacing w:before="0"/>
            </w:pPr>
            <w:r w:rsidRPr="004B54D1">
              <w:rPr>
                <w:rStyle w:val="BoxHeading2Char"/>
                <w:b/>
              </w:rPr>
              <w:t>ACT</w:t>
            </w:r>
            <w:r w:rsidR="00E722C9">
              <w:t xml:space="preserve">: </w:t>
            </w:r>
            <w:r w:rsidR="007362A0">
              <w:t>W</w:t>
            </w:r>
            <w:r w:rsidR="001133B7">
              <w:t xml:space="preserve">ith claims between $10 000 </w:t>
            </w:r>
            <w:r w:rsidR="001133B7" w:rsidRPr="00B93709">
              <w:t>and $</w:t>
            </w:r>
            <w:r w:rsidR="00587B12" w:rsidRPr="00B93709">
              <w:t>2</w:t>
            </w:r>
            <w:r w:rsidR="001133B7" w:rsidRPr="00B93709">
              <w:t>50 000</w:t>
            </w:r>
            <w:r w:rsidR="00587B12" w:rsidRPr="00B93709">
              <w:t xml:space="preserve"> (since July 2011)</w:t>
            </w:r>
            <w:r w:rsidR="001133B7" w:rsidRPr="00B93709">
              <w:t>,</w:t>
            </w:r>
            <w:r w:rsidR="001133B7">
              <w:t xml:space="preserve"> victims financial assistance applications up to $50 000, matters under the </w:t>
            </w:r>
            <w:r w:rsidR="001133B7">
              <w:rPr>
                <w:i/>
              </w:rPr>
              <w:t xml:space="preserve">Domestic Relationships Act </w:t>
            </w:r>
            <w:r w:rsidR="001133B7" w:rsidRPr="001133B7">
              <w:rPr>
                <w:i/>
              </w:rPr>
              <w:t>1994</w:t>
            </w:r>
            <w:r w:rsidR="001133B7">
              <w:rPr>
                <w:i/>
              </w:rPr>
              <w:t xml:space="preserve"> </w:t>
            </w:r>
            <w:r w:rsidR="001133B7">
              <w:t xml:space="preserve">and commercial leasing matters. </w:t>
            </w:r>
            <w:r w:rsidR="00990E19">
              <w:t xml:space="preserve">Since February 2009, </w:t>
            </w:r>
            <w:r w:rsidR="001133B7">
              <w:t>small claims up to $10 000</w:t>
            </w:r>
            <w:r w:rsidR="00990E19">
              <w:t xml:space="preserve"> are dealt with by the ACT Civil and Administrative Tribunal</w:t>
            </w:r>
            <w:r w:rsidR="001133B7">
              <w:t>.</w:t>
            </w:r>
          </w:p>
          <w:p w:rsidR="001A7749" w:rsidRDefault="005856DD" w:rsidP="0067530B">
            <w:pPr>
              <w:pStyle w:val="Box"/>
              <w:keepNext w:val="0"/>
              <w:spacing w:before="0"/>
            </w:pPr>
            <w:r w:rsidRPr="004B54D1">
              <w:rPr>
                <w:rStyle w:val="BoxHeading2Char"/>
                <w:b/>
              </w:rPr>
              <w:t>NT</w:t>
            </w:r>
            <w:r w:rsidR="00E722C9">
              <w:t xml:space="preserve">: </w:t>
            </w:r>
            <w:r w:rsidR="007362A0">
              <w:t>W</w:t>
            </w:r>
            <w:r w:rsidR="00943346">
              <w:t xml:space="preserve">ith </w:t>
            </w:r>
            <w:r>
              <w:t>claims up to $100</w:t>
            </w:r>
            <w:r w:rsidR="00747B5A">
              <w:t> </w:t>
            </w:r>
            <w:r>
              <w:t>000 and workers</w:t>
            </w:r>
            <w:r w:rsidR="00C11AE1">
              <w:t>’</w:t>
            </w:r>
            <w:r>
              <w:t xml:space="preserve"> compensation claims.</w:t>
            </w:r>
          </w:p>
        </w:tc>
      </w:tr>
      <w:tr w:rsidR="001A7749" w:rsidTr="001B71E7">
        <w:trPr>
          <w:cantSplit/>
        </w:trPr>
        <w:tc>
          <w:tcPr>
            <w:tcW w:w="8771" w:type="dxa"/>
            <w:tcBorders>
              <w:top w:val="nil"/>
              <w:left w:val="single" w:sz="6" w:space="0" w:color="auto"/>
              <w:bottom w:val="single" w:sz="4" w:space="0" w:color="auto"/>
              <w:right w:val="single" w:sz="6" w:space="0" w:color="auto"/>
            </w:tcBorders>
          </w:tcPr>
          <w:p w:rsidR="001A7749" w:rsidRPr="005856DD" w:rsidRDefault="001A7749" w:rsidP="004907FA">
            <w:pPr>
              <w:pStyle w:val="BoxSource"/>
              <w:keepNext/>
              <w:keepLines w:val="0"/>
              <w:spacing w:before="60" w:after="60" w:line="280" w:lineRule="atLeast"/>
            </w:pPr>
            <w:r>
              <w:rPr>
                <w:i/>
              </w:rPr>
              <w:t>Source</w:t>
            </w:r>
            <w:r w:rsidRPr="005856DD">
              <w:t>:</w:t>
            </w:r>
            <w:r>
              <w:t xml:space="preserve"> </w:t>
            </w:r>
            <w:r w:rsidR="005856DD" w:rsidRPr="005856DD">
              <w:t>State and Territory court authorities and departments</w:t>
            </w:r>
            <w:r w:rsidR="00263448">
              <w:t xml:space="preserve"> (unpublished)</w:t>
            </w:r>
            <w:r w:rsidR="005856DD" w:rsidRPr="005856DD">
              <w:t>.</w:t>
            </w:r>
          </w:p>
        </w:tc>
      </w:tr>
    </w:tbl>
    <w:p w:rsidR="00707439" w:rsidRDefault="00707439" w:rsidP="00707439">
      <w:pPr>
        <w:pStyle w:val="Heading4"/>
      </w:pPr>
      <w:r>
        <w:lastRenderedPageBreak/>
        <w:t>State and Territory court levels</w:t>
      </w:r>
      <w:r w:rsidR="00505751">
        <w:t xml:space="preserve"> — </w:t>
      </w:r>
      <w:r>
        <w:t>specific elements</w:t>
      </w:r>
    </w:p>
    <w:p w:rsidR="00707439" w:rsidRDefault="00874B8F" w:rsidP="004B7A38">
      <w:pPr>
        <w:pStyle w:val="BodyText"/>
      </w:pPr>
      <w:r>
        <w:t>This chapter reports data by court level for</w:t>
      </w:r>
      <w:r w:rsidR="00707439">
        <w:t xml:space="preserve"> each State and Territory. In addition, the chapter separates out certain data items from each court level to improve the comparability and understanding o</w:t>
      </w:r>
      <w:r w:rsidR="003C0B18">
        <w:t>f the data presented. In particular</w:t>
      </w:r>
      <w:r w:rsidR="00707439">
        <w:t xml:space="preserve"> instances, the data sets from the following areas are reported separately from their court level:</w:t>
      </w:r>
    </w:p>
    <w:p w:rsidR="00707439" w:rsidRDefault="00707439" w:rsidP="00707439">
      <w:pPr>
        <w:pStyle w:val="ListBullet"/>
      </w:pPr>
      <w:r>
        <w:t xml:space="preserve">probate registries (separate from the </w:t>
      </w:r>
      <w:r w:rsidR="00E739F0">
        <w:t>supreme c</w:t>
      </w:r>
      <w:r w:rsidR="00BC62E9">
        <w:t>ourt</w:t>
      </w:r>
      <w:r w:rsidR="00E739F0">
        <w:t>s</w:t>
      </w:r>
      <w:r>
        <w:t xml:space="preserve"> level)</w:t>
      </w:r>
    </w:p>
    <w:p w:rsidR="00707439" w:rsidRDefault="00E739F0" w:rsidP="00707439">
      <w:pPr>
        <w:pStyle w:val="ListBullet"/>
      </w:pPr>
      <w:r>
        <w:t>children’s c</w:t>
      </w:r>
      <w:r w:rsidR="00BC62E9">
        <w:t>ourt</w:t>
      </w:r>
      <w:r w:rsidR="00707439">
        <w:t xml:space="preserve">s (separate from the </w:t>
      </w:r>
      <w:r>
        <w:t>magistrates’ c</w:t>
      </w:r>
      <w:r w:rsidR="00BC62E9">
        <w:t>ourt</w:t>
      </w:r>
      <w:r>
        <w:t>s</w:t>
      </w:r>
      <w:r w:rsidR="00707439">
        <w:t xml:space="preserve"> level)</w:t>
      </w:r>
    </w:p>
    <w:p w:rsidR="00707439" w:rsidRDefault="00E739F0" w:rsidP="00707439">
      <w:pPr>
        <w:pStyle w:val="ListBullet"/>
      </w:pPr>
      <w:r>
        <w:t>coroners’ c</w:t>
      </w:r>
      <w:r w:rsidR="00BC62E9">
        <w:t>ourt</w:t>
      </w:r>
      <w:r w:rsidR="00707439">
        <w:t xml:space="preserve">s (separate from the </w:t>
      </w:r>
      <w:r>
        <w:t>magistrates’ c</w:t>
      </w:r>
      <w:r w:rsidR="00BC62E9">
        <w:t>ourt</w:t>
      </w:r>
      <w:r>
        <w:t>s</w:t>
      </w:r>
      <w:r w:rsidR="00707439">
        <w:t xml:space="preserve"> level).</w:t>
      </w:r>
    </w:p>
    <w:p w:rsidR="00707439" w:rsidRDefault="00707439" w:rsidP="00707439">
      <w:pPr>
        <w:pStyle w:val="BodyText"/>
      </w:pPr>
      <w:r>
        <w:t>The following section outlines the role of these areas and their coverage within each State and Territory.</w:t>
      </w:r>
    </w:p>
    <w:p w:rsidR="00707439" w:rsidRDefault="00707439" w:rsidP="00707439">
      <w:pPr>
        <w:pStyle w:val="Heading5"/>
      </w:pPr>
      <w:r>
        <w:t>Probate</w:t>
      </w:r>
    </w:p>
    <w:p w:rsidR="00707439" w:rsidRDefault="00707439" w:rsidP="00707439">
      <w:pPr>
        <w:pStyle w:val="BodyText"/>
      </w:pPr>
      <w:r>
        <w:t xml:space="preserve">In all states and territories, probate issues are heard in </w:t>
      </w:r>
      <w:r w:rsidR="00FB0069">
        <w:t>supreme c</w:t>
      </w:r>
      <w:r w:rsidR="00BC62E9">
        <w:t>ourt</w:t>
      </w:r>
      <w:r>
        <w:t>s and encompass applications for the appointment of an executor or administrator to the estate of a deceased person. The two most common types of application are:</w:t>
      </w:r>
    </w:p>
    <w:p w:rsidR="00707439" w:rsidRDefault="00707439" w:rsidP="00707439">
      <w:pPr>
        <w:pStyle w:val="ListBullet"/>
      </w:pPr>
      <w:r>
        <w:t>where the executor nominated by a will applies to have the will proved</w:t>
      </w:r>
    </w:p>
    <w:p w:rsidR="00707439" w:rsidRDefault="009F4667" w:rsidP="00707439">
      <w:pPr>
        <w:pStyle w:val="ListBullet"/>
      </w:pPr>
      <w:r>
        <w:t>where the deceased</w:t>
      </w:r>
      <w:r w:rsidR="00707439">
        <w:t xml:space="preserve"> </w:t>
      </w:r>
      <w:r>
        <w:t>was</w:t>
      </w:r>
      <w:r w:rsidR="00707439">
        <w:t xml:space="preserve"> </w:t>
      </w:r>
      <w:r>
        <w:t>intestate (died without a will) and a</w:t>
      </w:r>
      <w:r w:rsidR="00707439">
        <w:t xml:space="preserve"> person</w:t>
      </w:r>
      <w:r>
        <w:t xml:space="preserve"> applies for letters of administration to be</w:t>
      </w:r>
      <w:r w:rsidR="00707439">
        <w:t xml:space="preserve"> entitled to administer the estate.</w:t>
      </w:r>
    </w:p>
    <w:p w:rsidR="00707439" w:rsidRDefault="00707439" w:rsidP="00707439">
      <w:pPr>
        <w:pStyle w:val="Heading5"/>
      </w:pPr>
      <w:r>
        <w:t>Children’s courts</w:t>
      </w:r>
    </w:p>
    <w:p w:rsidR="00CC37C3" w:rsidRDefault="00FB0069" w:rsidP="00986570">
      <w:pPr>
        <w:pStyle w:val="BodyText"/>
      </w:pPr>
      <w:r>
        <w:t>Children’s c</w:t>
      </w:r>
      <w:r w:rsidR="00BC62E9">
        <w:t>ourt</w:t>
      </w:r>
      <w:r>
        <w:t>s</w:t>
      </w:r>
      <w:r w:rsidR="00CC37C3">
        <w:t xml:space="preserve"> </w:t>
      </w:r>
      <w:r>
        <w:t xml:space="preserve">are </w:t>
      </w:r>
      <w:r w:rsidR="00CC37C3">
        <w:t>specialist jurisdiction court</w:t>
      </w:r>
      <w:r>
        <w:t>s</w:t>
      </w:r>
      <w:r w:rsidR="00CC37C3">
        <w:t xml:space="preserve"> that, depending on the State or Territory legislation, </w:t>
      </w:r>
      <w:r w:rsidR="00C11AE1">
        <w:t>may hear</w:t>
      </w:r>
      <w:r w:rsidR="00CC37C3">
        <w:t xml:space="preserve"> both criminal and civil matters.</w:t>
      </w:r>
      <w:r w:rsidR="00CC3A90">
        <w:t xml:space="preserve"> These courts in the main deal with summary proceedings, however some jurisdictions have the power to also hear indictable matters.</w:t>
      </w:r>
    </w:p>
    <w:p w:rsidR="002A03DE" w:rsidRDefault="00766554" w:rsidP="00CE001C">
      <w:pPr>
        <w:pStyle w:val="BodyText"/>
      </w:pPr>
      <w:r w:rsidRPr="00766554">
        <w:t>Children’s courts deal with complaints of offences alleged to have been committed by young people. In all states and territories except Q</w:t>
      </w:r>
      <w:r w:rsidR="00394A1F">
        <w:t>ueensland</w:t>
      </w:r>
      <w:r w:rsidRPr="00766554">
        <w:t xml:space="preserve">, defendants under the age of 18 are </w:t>
      </w:r>
      <w:r w:rsidR="00E56B9E">
        <w:t>treated legally</w:t>
      </w:r>
      <w:r w:rsidRPr="00766554">
        <w:t xml:space="preserve"> as children or</w:t>
      </w:r>
      <w:r w:rsidR="00A32281">
        <w:t xml:space="preserve"> youths</w:t>
      </w:r>
      <w:r w:rsidRPr="00766554">
        <w:t xml:space="preserve">. In </w:t>
      </w:r>
      <w:r w:rsidR="00394A1F">
        <w:t>Queensland</w:t>
      </w:r>
      <w:r w:rsidR="00E56B9E">
        <w:t>, defendants are treated</w:t>
      </w:r>
      <w:r w:rsidR="00844AE7">
        <w:t xml:space="preserve"> legally</w:t>
      </w:r>
      <w:r w:rsidR="00E56B9E">
        <w:t xml:space="preserve"> as</w:t>
      </w:r>
      <w:r w:rsidRPr="00766554">
        <w:t xml:space="preserve"> adults if aged 17 or older at the</w:t>
      </w:r>
      <w:r w:rsidR="00E54DFF">
        <w:t xml:space="preserve"> time the offence was committed</w:t>
      </w:r>
      <w:r w:rsidR="00E54DFF" w:rsidRPr="0024414E">
        <w:t>.</w:t>
      </w:r>
      <w:r w:rsidR="00E54DFF">
        <w:t xml:space="preserve"> </w:t>
      </w:r>
      <w:r w:rsidRPr="00766554">
        <w:t>In all states and territories, children under the age of 10 years cannot be charged with a crimina</w:t>
      </w:r>
      <w:r>
        <w:t>l offence</w:t>
      </w:r>
      <w:r w:rsidR="002743D1" w:rsidRPr="002743D1">
        <w:t xml:space="preserve"> </w:t>
      </w:r>
      <w:r w:rsidR="00F373A7">
        <w:t xml:space="preserve">(ABS </w:t>
      </w:r>
      <w:r w:rsidR="002A68EA">
        <w:t>2013</w:t>
      </w:r>
      <w:r w:rsidR="002743D1">
        <w:t>)</w:t>
      </w:r>
      <w:r w:rsidR="00A42A20">
        <w:t>.</w:t>
      </w:r>
    </w:p>
    <w:p w:rsidR="00707439" w:rsidRDefault="00FB0069" w:rsidP="00707439">
      <w:pPr>
        <w:pStyle w:val="BodyText"/>
      </w:pPr>
      <w:r>
        <w:t>Children’s c</w:t>
      </w:r>
      <w:r w:rsidR="00BC62E9">
        <w:t>ourt</w:t>
      </w:r>
      <w:r>
        <w:t xml:space="preserve">s </w:t>
      </w:r>
      <w:r w:rsidR="00CC37C3">
        <w:t>may also hear</w:t>
      </w:r>
      <w:r w:rsidR="00707439">
        <w:t xml:space="preserve"> matters </w:t>
      </w:r>
      <w:r w:rsidR="00CC37C3">
        <w:t>where</w:t>
      </w:r>
      <w:r w:rsidR="00707439">
        <w:t xml:space="preserve"> a child has bee</w:t>
      </w:r>
      <w:r w:rsidR="00C11AE1">
        <w:t>n seriously abused or neglected. I</w:t>
      </w:r>
      <w:r w:rsidR="00707439">
        <w:t>n these instances, the court has jurisdiction to determine matters relating to t</w:t>
      </w:r>
      <w:r w:rsidR="003E599A">
        <w:t xml:space="preserve">he child’s care and protection. </w:t>
      </w:r>
    </w:p>
    <w:p w:rsidR="00707439" w:rsidRDefault="00707439" w:rsidP="00707439">
      <w:pPr>
        <w:pStyle w:val="Heading5"/>
      </w:pPr>
      <w:r>
        <w:lastRenderedPageBreak/>
        <w:t>Electronic infringement and enforcement systems</w:t>
      </w:r>
    </w:p>
    <w:p w:rsidR="00707439" w:rsidRDefault="00707439" w:rsidP="00707439">
      <w:pPr>
        <w:pStyle w:val="BodyText"/>
      </w:pPr>
      <w:r>
        <w:t>Electronic infringement and enforcement systems operate to process infringements, on-the-spot fines and summary offences. They have the status of courts (despite minimal judicial involvement) because they have the capacity</w:t>
      </w:r>
      <w:r w:rsidR="00955E9E">
        <w:t xml:space="preserve"> and authority</w:t>
      </w:r>
      <w:r>
        <w:t xml:space="preserve"> to produce enforceable orders against defendants. The orders impose penalties such as fines (which may be enforced by warrants or licence cancellation), asset seizure, garnishment, arrest, community correction orders and incarceration.</w:t>
      </w:r>
    </w:p>
    <w:p w:rsidR="00707439" w:rsidRDefault="00E42641" w:rsidP="00707439">
      <w:pPr>
        <w:pStyle w:val="BodyText"/>
      </w:pPr>
      <w:r>
        <w:t>E</w:t>
      </w:r>
      <w:r w:rsidR="00707439">
        <w:t>lectronic infringement and enforcement systems operate in Victoria, Queensland, WA and SA</w:t>
      </w:r>
      <w:r>
        <w:t>, under the ambit of the magistrates’ courts. Prior to the 2012 Report, these systems were included in the court</w:t>
      </w:r>
      <w:r w:rsidR="002008E0">
        <w:t>s</w:t>
      </w:r>
      <w:r w:rsidR="0004184B">
        <w:t>’</w:t>
      </w:r>
      <w:r>
        <w:t xml:space="preserve"> chapter. However, although the other jurisdictions do not operate electronic infringement and enforcement systems that fall under the jurisdiction of magistrates’ courts, they have bodies that process unpaid infringement notices. These include the NSW State Debt Recovery Office, the Monetary Penalties Enforcement Service in Tasmania, the Motor Vehicle Registry in the ACT and the Fines Recovery Unit in the NT.</w:t>
      </w:r>
      <w:r w:rsidR="00AA74E9">
        <w:t xml:space="preserve"> These bodies may have a similar impact in reducing the workload of magistrates’ courts. To improve comparability of reporting on magistrates’ courts</w:t>
      </w:r>
      <w:r w:rsidR="00033C83">
        <w:t xml:space="preserve"> across all jurisdictions</w:t>
      </w:r>
      <w:r w:rsidR="00AA74E9">
        <w:t xml:space="preserve"> in this chapter, the Report</w:t>
      </w:r>
      <w:r w:rsidR="002008E0">
        <w:t xml:space="preserve"> now</w:t>
      </w:r>
      <w:r w:rsidR="00AA74E9">
        <w:t xml:space="preserve"> excludes electronic infringement and enforcement systems.</w:t>
      </w:r>
      <w:r w:rsidR="00205BCF">
        <w:t xml:space="preserve"> </w:t>
      </w:r>
    </w:p>
    <w:p w:rsidR="00707439" w:rsidRDefault="00707439" w:rsidP="00707439">
      <w:pPr>
        <w:pStyle w:val="Heading5"/>
      </w:pPr>
      <w:r>
        <w:t>Coroners’ courts</w:t>
      </w:r>
    </w:p>
    <w:p w:rsidR="00707439" w:rsidRDefault="00707439" w:rsidP="00707439">
      <w:pPr>
        <w:pStyle w:val="BodyText"/>
      </w:pPr>
      <w:r>
        <w:t xml:space="preserve">In all states and territories, </w:t>
      </w:r>
      <w:r w:rsidR="00E80D41">
        <w:t>coroners’ c</w:t>
      </w:r>
      <w:r w:rsidR="00BC62E9">
        <w:t>ourt</w:t>
      </w:r>
      <w:r>
        <w:t xml:space="preserve">s (which generally operate under the auspices of State and Territory </w:t>
      </w:r>
      <w:r w:rsidR="00E80D41">
        <w:t>magistrates’ c</w:t>
      </w:r>
      <w:r w:rsidR="00BC62E9">
        <w:t>ourt</w:t>
      </w:r>
      <w:r>
        <w:t>s) inquire into the cause of sudden and</w:t>
      </w:r>
      <w:r w:rsidR="00841E59">
        <w:t>/or</w:t>
      </w:r>
      <w:r>
        <w:t xml:space="preserve"> unexpected reported deaths. The definition of a reported death differs across states and territories, but generally includes deaths for which the cause is violent, suspicious or unknown. In some states and territories, the coroner has the power to commit for hearing, while in others the coroner is prohibited from making any finding of criminal or civil liability (</w:t>
      </w:r>
      <w:r w:rsidR="003F3E0E">
        <w:t>but may refer</w:t>
      </w:r>
      <w:r w:rsidR="00C75DAB">
        <w:t xml:space="preserve"> the matter </w:t>
      </w:r>
      <w:r>
        <w:t xml:space="preserve">to the Director of Public Prosecutions). Suspicious fires are generally </w:t>
      </w:r>
      <w:r w:rsidR="00AB4649">
        <w:t>with</w:t>
      </w:r>
      <w:r>
        <w:t xml:space="preserve">in the jurisdiction of the </w:t>
      </w:r>
      <w:r w:rsidR="00E80D41">
        <w:t>coroners’ c</w:t>
      </w:r>
      <w:r w:rsidR="00BC62E9">
        <w:t>ourt</w:t>
      </w:r>
      <w:r w:rsidR="00E80D41">
        <w:t>s</w:t>
      </w:r>
      <w:r>
        <w:t xml:space="preserve"> </w:t>
      </w:r>
      <w:r w:rsidR="00D1787F">
        <w:t xml:space="preserve">in NSW, Victoria, Tasmania and the ACT but not in the other states and territories. </w:t>
      </w:r>
      <w:r w:rsidR="00E80D41">
        <w:t>Coroners’ c</w:t>
      </w:r>
      <w:r w:rsidR="00BC62E9">
        <w:t>ourt</w:t>
      </w:r>
      <w:r w:rsidR="00E80D41">
        <w:t>s are</w:t>
      </w:r>
      <w:r>
        <w:t xml:space="preserve"> distinct from other courts because </w:t>
      </w:r>
      <w:r w:rsidR="00E80D41">
        <w:t>they have</w:t>
      </w:r>
      <w:r>
        <w:t xml:space="preserve"> a role in inquiring into the cause of sudden and unexpected de</w:t>
      </w:r>
      <w:r w:rsidR="00585E4C">
        <w:t>aths (and suspicious fires), and</w:t>
      </w:r>
      <w:r>
        <w:t xml:space="preserve"> also because </w:t>
      </w:r>
      <w:r w:rsidR="00E80D41">
        <w:t>they have</w:t>
      </w:r>
      <w:r>
        <w:t xml:space="preserve"> other functions, including reporting inadequacies in regulatory systems.</w:t>
      </w:r>
    </w:p>
    <w:p w:rsidR="00371BC8" w:rsidRDefault="00707439" w:rsidP="00707439">
      <w:pPr>
        <w:pStyle w:val="BodyText"/>
      </w:pPr>
      <w:r>
        <w:t xml:space="preserve">Data for </w:t>
      </w:r>
      <w:r w:rsidR="00E80D41">
        <w:t>coroners’ c</w:t>
      </w:r>
      <w:r w:rsidR="00BC62E9">
        <w:t>ourt</w:t>
      </w:r>
      <w:r>
        <w:t xml:space="preserve">s are presented </w:t>
      </w:r>
      <w:r w:rsidR="00BC62E9">
        <w:t>with</w:t>
      </w:r>
      <w:r>
        <w:t xml:space="preserve"> civil jurisdiction</w:t>
      </w:r>
      <w:r w:rsidR="00BC62E9">
        <w:t xml:space="preserve"> data in this chapter</w:t>
      </w:r>
      <w:r>
        <w:t>.</w:t>
      </w:r>
    </w:p>
    <w:p w:rsidR="00832ACA" w:rsidRDefault="00832ACA" w:rsidP="00832ACA">
      <w:pPr>
        <w:pStyle w:val="Heading4"/>
      </w:pPr>
      <w:r>
        <w:lastRenderedPageBreak/>
        <w:t>Australian court levels</w:t>
      </w:r>
      <w:r w:rsidR="00505751">
        <w:t xml:space="preserve"> — </w:t>
      </w:r>
      <w:r>
        <w:t>specific elements</w:t>
      </w:r>
    </w:p>
    <w:p w:rsidR="00832ACA" w:rsidRDefault="00BC5ECA" w:rsidP="00832ACA">
      <w:pPr>
        <w:pStyle w:val="BodyText"/>
      </w:pPr>
      <w:r>
        <w:t>Australian courts</w:t>
      </w:r>
      <w:r w:rsidR="00247F79">
        <w:t xml:space="preserve"> comprise the following courts</w:t>
      </w:r>
      <w:r w:rsidR="00307520">
        <w:t>,</w:t>
      </w:r>
      <w:r w:rsidR="00247F79">
        <w:t xml:space="preserve"> in order of hierarchy</w:t>
      </w:r>
      <w:r w:rsidR="00832ACA">
        <w:t>:</w:t>
      </w:r>
    </w:p>
    <w:p w:rsidR="00832ACA" w:rsidRDefault="00832ACA" w:rsidP="00832ACA">
      <w:pPr>
        <w:pStyle w:val="ListBullet"/>
      </w:pPr>
      <w:r>
        <w:t>the High Court of Australia</w:t>
      </w:r>
    </w:p>
    <w:p w:rsidR="00832ACA" w:rsidRDefault="00832ACA" w:rsidP="00832ACA">
      <w:pPr>
        <w:pStyle w:val="ListBullet"/>
      </w:pPr>
      <w:r>
        <w:t>the Federal Court of Australia and the Family Court of Australia</w:t>
      </w:r>
    </w:p>
    <w:p w:rsidR="00832ACA" w:rsidRDefault="00832ACA" w:rsidP="00832ACA">
      <w:pPr>
        <w:pStyle w:val="ListBullet"/>
      </w:pPr>
      <w:r>
        <w:t xml:space="preserve">the Federal </w:t>
      </w:r>
      <w:r w:rsidR="001E45C1">
        <w:t>Circuit Court of Australia</w:t>
      </w:r>
      <w:r>
        <w:t>.</w:t>
      </w:r>
    </w:p>
    <w:p w:rsidR="000F79E3" w:rsidRDefault="00832ACA" w:rsidP="00832ACA">
      <w:pPr>
        <w:pStyle w:val="BodyText"/>
      </w:pPr>
      <w:r>
        <w:t xml:space="preserve">Data </w:t>
      </w:r>
      <w:r w:rsidR="00BC5ECA">
        <w:t>for</w:t>
      </w:r>
      <w:r>
        <w:t xml:space="preserve"> the High Court are not </w:t>
      </w:r>
      <w:r w:rsidR="00BC5ECA">
        <w:t>published in this Report</w:t>
      </w:r>
      <w:r>
        <w:t xml:space="preserve">. </w:t>
      </w:r>
    </w:p>
    <w:p w:rsidR="00832ACA" w:rsidRDefault="00832ACA" w:rsidP="00832ACA">
      <w:pPr>
        <w:pStyle w:val="BodyText"/>
      </w:pPr>
      <w:r>
        <w:t>The following sections highlight the relationship between the other three Australian courts.</w:t>
      </w:r>
      <w:r w:rsidR="00AB4649">
        <w:t xml:space="preserve"> </w:t>
      </w:r>
    </w:p>
    <w:p w:rsidR="00832ACA" w:rsidRDefault="00832ACA" w:rsidP="00832ACA">
      <w:pPr>
        <w:pStyle w:val="Heading5"/>
      </w:pPr>
      <w:r>
        <w:t>Federal Court of Australia</w:t>
      </w:r>
    </w:p>
    <w:p w:rsidR="00832ACA" w:rsidRDefault="00832ACA" w:rsidP="00832ACA">
      <w:pPr>
        <w:pStyle w:val="BodyText"/>
      </w:pPr>
      <w:r>
        <w:t>This court is a superior court of record and a court of law and equity. It sits in all capital cities</w:t>
      </w:r>
      <w:r w:rsidR="00247F79">
        <w:t xml:space="preserve"> on a continuous basis</w:t>
      </w:r>
      <w:r>
        <w:t xml:space="preserve"> and elsewhere in Australia from time to time.</w:t>
      </w:r>
    </w:p>
    <w:p w:rsidR="00832ACA" w:rsidRDefault="00832ACA" w:rsidP="00832ACA">
      <w:pPr>
        <w:pStyle w:val="BodyText"/>
      </w:pPr>
      <w:r>
        <w:t xml:space="preserve">The </w:t>
      </w:r>
      <w:r w:rsidR="00153045">
        <w:t xml:space="preserve">Federal </w:t>
      </w:r>
      <w:r>
        <w:t xml:space="preserve">Court has jurisdiction to hear and determine any civil matter arising under laws made by the Federal Parliament, as well as any matter arising under the Constitution or involving its interpretation. The </w:t>
      </w:r>
      <w:r w:rsidR="00153045">
        <w:t xml:space="preserve">Federal </w:t>
      </w:r>
      <w:r>
        <w:t>Court also has original jurisdiction in respect of specific subject matter conferred by over 150 statutes of the Federal Parliament.</w:t>
      </w:r>
    </w:p>
    <w:p w:rsidR="00832ACA" w:rsidRDefault="00832ACA" w:rsidP="00832ACA">
      <w:pPr>
        <w:pStyle w:val="BodyText"/>
      </w:pPr>
      <w:r>
        <w:t xml:space="preserve">The </w:t>
      </w:r>
      <w:r w:rsidR="00153045">
        <w:t xml:space="preserve">Federal </w:t>
      </w:r>
      <w:r>
        <w:t xml:space="preserve">Court has a substantial and diverse appellate jurisdiction. It hears appeals from decisions of single judges of the </w:t>
      </w:r>
      <w:r w:rsidR="00153045">
        <w:t xml:space="preserve">Federal </w:t>
      </w:r>
      <w:r>
        <w:t xml:space="preserve">Court, decisions of the Federal </w:t>
      </w:r>
      <w:r w:rsidR="00170170">
        <w:t>Circuit</w:t>
      </w:r>
      <w:r>
        <w:t xml:space="preserve"> Court in non-family law matters, decisions of the Supreme Court of Norfolk Isla</w:t>
      </w:r>
      <w:r w:rsidR="00247F79">
        <w:t>nd and particular</w:t>
      </w:r>
      <w:r>
        <w:t xml:space="preserve"> decisions of State and Territory </w:t>
      </w:r>
      <w:r w:rsidR="00153045">
        <w:t>s</w:t>
      </w:r>
      <w:r w:rsidR="00BC62E9">
        <w:t>uprem</w:t>
      </w:r>
      <w:r w:rsidR="00153045">
        <w:t>e c</w:t>
      </w:r>
      <w:r w:rsidR="00BC62E9">
        <w:t>ourt</w:t>
      </w:r>
      <w:r>
        <w:t>s exercising federal jurisdiction.</w:t>
      </w:r>
    </w:p>
    <w:p w:rsidR="00832ACA" w:rsidRDefault="00832ACA" w:rsidP="00986570">
      <w:pPr>
        <w:pStyle w:val="BodyText"/>
      </w:pPr>
      <w:r>
        <w:t>The</w:t>
      </w:r>
      <w:r w:rsidR="007D355B">
        <w:t xml:space="preserve"> Federal Court has the power to exercise indictable criminal jurisdiction for serious cartel offences under the Trade Practices Act. The jurisdiction came into force on 6 November 2009</w:t>
      </w:r>
      <w:r>
        <w:t>.</w:t>
      </w:r>
      <w:r w:rsidR="007D355B">
        <w:t xml:space="preserve"> No cases have been filed in the court. The Federal Court also exercises a </w:t>
      </w:r>
      <w:r w:rsidR="006F24A2">
        <w:t xml:space="preserve">very </w:t>
      </w:r>
      <w:r w:rsidR="007D355B">
        <w:t>small summary criminal jurisdiction, but the cases are not separately counted. There are so few</w:t>
      </w:r>
      <w:r w:rsidR="00E91470">
        <w:t xml:space="preserve"> cases,</w:t>
      </w:r>
      <w:r w:rsidR="007D355B">
        <w:t xml:space="preserve"> the</w:t>
      </w:r>
      <w:r w:rsidR="00E91470">
        <w:t>se</w:t>
      </w:r>
      <w:r w:rsidR="007D355B">
        <w:t xml:space="preserve"> would not make a </w:t>
      </w:r>
      <w:r w:rsidR="00E91470">
        <w:t>material</w:t>
      </w:r>
      <w:r w:rsidR="007D355B">
        <w:t xml:space="preserve"> difference by being included in the civil case totals</w:t>
      </w:r>
      <w:r w:rsidR="000B1519">
        <w:t>.</w:t>
      </w:r>
    </w:p>
    <w:p w:rsidR="00832ACA" w:rsidRDefault="00832ACA" w:rsidP="00CE001C">
      <w:pPr>
        <w:pStyle w:val="Heading5"/>
      </w:pPr>
      <w:r>
        <w:t>Family Court of Australia and Family Court of Western Australia</w:t>
      </w:r>
    </w:p>
    <w:p w:rsidR="00832ACA" w:rsidRDefault="00832ACA" w:rsidP="00986570">
      <w:pPr>
        <w:pStyle w:val="BodyText"/>
      </w:pPr>
      <w:r>
        <w:t xml:space="preserve">The Family Court of Australia has jurisdiction in all states and territories except WA (which has its own </w:t>
      </w:r>
      <w:r w:rsidR="00307520">
        <w:t>f</w:t>
      </w:r>
      <w:r>
        <w:t xml:space="preserve">amily </w:t>
      </w:r>
      <w:r w:rsidR="00307520">
        <w:t>c</w:t>
      </w:r>
      <w:r>
        <w:t xml:space="preserve">ourt). It has jurisdiction to deal with matrimonial cases and associated responsibilities, including divorce proceedings, financial issues </w:t>
      </w:r>
      <w:r>
        <w:lastRenderedPageBreak/>
        <w:t xml:space="preserve">and children’s matters </w:t>
      </w:r>
      <w:r w:rsidR="002C326C" w:rsidRPr="002C326C">
        <w:t>such as who the children will live with, spend time with and communicate with, as well as other specific issues relati</w:t>
      </w:r>
      <w:r w:rsidR="002C326C">
        <w:t>ng to parental responsibilities</w:t>
      </w:r>
      <w:r>
        <w:t xml:space="preserve">. It can also deal with ex-nuptial cases involving children’s matters. </w:t>
      </w:r>
      <w:r w:rsidR="00586F9F" w:rsidRPr="00107926">
        <w:t>The Family Court of WA (since 2004) and the federal family law courts have jurisdiction (since 1 March 2009) to deal with financial matters between parties that were in a de facto relationship (including same sex relationships).</w:t>
      </w:r>
      <w:r w:rsidR="00586F9F">
        <w:t xml:space="preserve"> </w:t>
      </w:r>
      <w:r>
        <w:t xml:space="preserve">A practice direction was issued by the Family Court of Australia with agreement from the </w:t>
      </w:r>
      <w:r w:rsidR="002A56F4">
        <w:t xml:space="preserve">[then] </w:t>
      </w:r>
      <w:r>
        <w:t xml:space="preserve">Federal Magistrates Court, that from November 2003 all divorce applications </w:t>
      </w:r>
      <w:r w:rsidR="002A56F4">
        <w:t>were</w:t>
      </w:r>
      <w:r>
        <w:t xml:space="preserve"> to be lodged in the</w:t>
      </w:r>
      <w:r w:rsidR="002A56F4">
        <w:t xml:space="preserve"> [then]</w:t>
      </w:r>
      <w:r>
        <w:t xml:space="preserve"> Federal Magistrates Court. </w:t>
      </w:r>
      <w:r w:rsidR="00B35D23" w:rsidRPr="00B35D23">
        <w:t>However, registrars of the Family Court of Australia, under delegated powers from the Federal Magistrates Cour</w:t>
      </w:r>
      <w:r w:rsidR="002119DD">
        <w:t>t</w:t>
      </w:r>
      <w:r w:rsidR="002A56F4">
        <w:t xml:space="preserve"> (now the Federal Circuit Court)</w:t>
      </w:r>
      <w:r w:rsidR="002119DD">
        <w:t>, still determine about 10</w:t>
      </w:r>
      <w:r w:rsidR="00E91470">
        <w:t xml:space="preserve"> </w:t>
      </w:r>
      <w:r w:rsidR="002119DD">
        <w:t>per</w:t>
      </w:r>
      <w:r w:rsidR="00E91470">
        <w:t xml:space="preserve"> </w:t>
      </w:r>
      <w:r w:rsidR="00B35D23" w:rsidRPr="00B35D23">
        <w:t>cent of divorce applications lodged i</w:t>
      </w:r>
      <w:r w:rsidR="00B35D23">
        <w:t xml:space="preserve">n the </w:t>
      </w:r>
      <w:r w:rsidR="002A56F4">
        <w:t xml:space="preserve">[now] </w:t>
      </w:r>
      <w:r w:rsidR="00B35D23">
        <w:t xml:space="preserve">Federal </w:t>
      </w:r>
      <w:r w:rsidR="002A56F4">
        <w:t>Circuit</w:t>
      </w:r>
      <w:r w:rsidR="00B35D23">
        <w:t xml:space="preserve"> Court</w:t>
      </w:r>
      <w:r>
        <w:t xml:space="preserve">. </w:t>
      </w:r>
      <w:r w:rsidR="007E00D7" w:rsidRPr="007E00D7">
        <w:t>A small number of divorce applications are initiated in th</w:t>
      </w:r>
      <w:r w:rsidR="00153CF1">
        <w:t>e Family Court of Australia where</w:t>
      </w:r>
      <w:r w:rsidR="007E00D7" w:rsidRPr="007E00D7">
        <w:t xml:space="preserve"> these arise within other proceedings before the Family Court of Australia.</w:t>
      </w:r>
      <w:r w:rsidR="007E00D7">
        <w:t xml:space="preserve"> </w:t>
      </w:r>
      <w:r>
        <w:t>This practice direction does no</w:t>
      </w:r>
      <w:r w:rsidR="00741773">
        <w:t>t affect the Family Court of WA.</w:t>
      </w:r>
      <w:r>
        <w:t xml:space="preserve"> </w:t>
      </w:r>
    </w:p>
    <w:p w:rsidR="00CA4BAC" w:rsidRDefault="00741773" w:rsidP="00986570">
      <w:pPr>
        <w:pStyle w:val="BodyText"/>
      </w:pPr>
      <w:r>
        <w:t>D</w:t>
      </w:r>
      <w:r w:rsidR="008F3FB0">
        <w:t>uring 2008 the Family Law Courts board</w:t>
      </w:r>
      <w:r>
        <w:t xml:space="preserve"> approved</w:t>
      </w:r>
      <w:r w:rsidR="008F3FB0">
        <w:t xml:space="preserve"> the Family Court of Australia</w:t>
      </w:r>
      <w:r>
        <w:t>, commencing during 2009, to provide</w:t>
      </w:r>
      <w:r w:rsidR="008F3FB0">
        <w:t xml:space="preserve"> the following administrative services to the </w:t>
      </w:r>
      <w:r w:rsidR="002A56F4">
        <w:t xml:space="preserve">[then] </w:t>
      </w:r>
      <w:r w:rsidR="008F3FB0">
        <w:t>Federal Magistrates Court:</w:t>
      </w:r>
    </w:p>
    <w:p w:rsidR="00D2088D" w:rsidRDefault="008F3FB0" w:rsidP="00986570">
      <w:pPr>
        <w:pStyle w:val="ListBullet"/>
      </w:pPr>
      <w:r>
        <w:t>p</w:t>
      </w:r>
      <w:r w:rsidR="00741773">
        <w:t>roperty management</w:t>
      </w:r>
    </w:p>
    <w:p w:rsidR="00D2088D" w:rsidRDefault="008F3FB0" w:rsidP="00986570">
      <w:pPr>
        <w:pStyle w:val="ListBullet"/>
      </w:pPr>
      <w:r>
        <w:t>c</w:t>
      </w:r>
      <w:r w:rsidR="00741773">
        <w:t>ontracts and procurement</w:t>
      </w:r>
    </w:p>
    <w:p w:rsidR="00D2088D" w:rsidRDefault="008F3FB0" w:rsidP="00986570">
      <w:pPr>
        <w:pStyle w:val="ListBullet"/>
      </w:pPr>
      <w:r>
        <w:t>i</w:t>
      </w:r>
      <w:r w:rsidR="00741773">
        <w:t>nformation management</w:t>
      </w:r>
    </w:p>
    <w:p w:rsidR="00197B85" w:rsidRDefault="008F3FB0" w:rsidP="00986570">
      <w:pPr>
        <w:pStyle w:val="ListBullet"/>
      </w:pPr>
      <w:r>
        <w:t>f</w:t>
      </w:r>
      <w:r w:rsidR="00CA4BAC">
        <w:t>inancial management</w:t>
      </w:r>
    </w:p>
    <w:p w:rsidR="00197B85" w:rsidRDefault="008F3FB0" w:rsidP="00986570">
      <w:pPr>
        <w:pStyle w:val="ListBullet"/>
      </w:pPr>
      <w:r>
        <w:t>p</w:t>
      </w:r>
      <w:r w:rsidR="00CA4BAC">
        <w:t>ayroll management</w:t>
      </w:r>
    </w:p>
    <w:p w:rsidR="00197B85" w:rsidRDefault="008F3FB0" w:rsidP="00986570">
      <w:pPr>
        <w:pStyle w:val="ListBullet"/>
      </w:pPr>
      <w:r>
        <w:t>h</w:t>
      </w:r>
      <w:r w:rsidR="00CA4BAC">
        <w:t>uman resources</w:t>
      </w:r>
      <w:r>
        <w:t>.</w:t>
      </w:r>
      <w:r w:rsidR="00CA4BAC">
        <w:t xml:space="preserve"> </w:t>
      </w:r>
    </w:p>
    <w:p w:rsidR="00CA4BAC" w:rsidRDefault="00D50AE4" w:rsidP="00986570">
      <w:pPr>
        <w:pStyle w:val="BodyText"/>
      </w:pPr>
      <w:r>
        <w:t>These changes result</w:t>
      </w:r>
      <w:r w:rsidR="00741773">
        <w:t>ed</w:t>
      </w:r>
      <w:r>
        <w:t xml:space="preserve"> from the increased size of the F</w:t>
      </w:r>
      <w:r w:rsidR="00741773">
        <w:t xml:space="preserve">ederal Magistrates Court and </w:t>
      </w:r>
      <w:r w:rsidR="003D21BC">
        <w:t>its</w:t>
      </w:r>
      <w:r>
        <w:t xml:space="preserve"> limited staffing and systems to support and sustain </w:t>
      </w:r>
      <w:r w:rsidR="00741773">
        <w:t>the</w:t>
      </w:r>
      <w:r w:rsidR="003D21BC">
        <w:t>s</w:t>
      </w:r>
      <w:r w:rsidR="00741773">
        <w:t>e</w:t>
      </w:r>
      <w:r>
        <w:t xml:space="preserve"> services.</w:t>
      </w:r>
      <w:r w:rsidR="00741773">
        <w:t xml:space="preserve"> Additionally</w:t>
      </w:r>
      <w:r>
        <w:t>, the Family Court</w:t>
      </w:r>
      <w:r w:rsidR="00EA0D2E">
        <w:t xml:space="preserve"> </w:t>
      </w:r>
      <w:r w:rsidR="00EA0D2E" w:rsidRPr="00B93709">
        <w:t>of Australia</w:t>
      </w:r>
      <w:r>
        <w:t xml:space="preserve"> agreed to also provide statistical services support for the Fede</w:t>
      </w:r>
      <w:r w:rsidR="00741773">
        <w:t>ral Magistrates Court. T</w:t>
      </w:r>
      <w:r>
        <w:t>herefore</w:t>
      </w:r>
      <w:r w:rsidR="00741773">
        <w:t xml:space="preserve"> the Family Court of </w:t>
      </w:r>
      <w:r w:rsidR="00741773" w:rsidRPr="00B93709">
        <w:t>Australia</w:t>
      </w:r>
      <w:r w:rsidR="00EA0D2E" w:rsidRPr="00B93709">
        <w:t>’s</w:t>
      </w:r>
      <w:r w:rsidRPr="00B93709">
        <w:t xml:space="preserve"> </w:t>
      </w:r>
      <w:r>
        <w:t xml:space="preserve">administrative and statistical services units now </w:t>
      </w:r>
      <w:r w:rsidR="00A57BD8">
        <w:t>provid</w:t>
      </w:r>
      <w:r w:rsidR="00F9629A">
        <w:t>e</w:t>
      </w:r>
      <w:r>
        <w:t xml:space="preserve"> the Federal Magistrates</w:t>
      </w:r>
      <w:r w:rsidR="00F9629A">
        <w:t xml:space="preserve"> (now Federal Circuit)</w:t>
      </w:r>
      <w:r>
        <w:t xml:space="preserve"> Court </w:t>
      </w:r>
      <w:r w:rsidR="003D21BC">
        <w:t xml:space="preserve">data </w:t>
      </w:r>
      <w:r>
        <w:t>for this Report.</w:t>
      </w:r>
    </w:p>
    <w:p w:rsidR="00832ACA" w:rsidRDefault="00832ACA" w:rsidP="00832ACA">
      <w:pPr>
        <w:pStyle w:val="Heading5"/>
      </w:pPr>
      <w:r>
        <w:t xml:space="preserve">Federal </w:t>
      </w:r>
      <w:r w:rsidR="001E45C1">
        <w:t xml:space="preserve">Circuit Court of Australia (formerly the Federal </w:t>
      </w:r>
      <w:r>
        <w:t>Magistrates Court of Australia</w:t>
      </w:r>
      <w:r w:rsidR="001E45C1">
        <w:t>)</w:t>
      </w:r>
    </w:p>
    <w:p w:rsidR="00832ACA" w:rsidRDefault="00832ACA" w:rsidP="00832ACA">
      <w:pPr>
        <w:pStyle w:val="BodyText"/>
      </w:pPr>
      <w:r>
        <w:t>The first sittings of the Federal Magistrates Court were on 3 July 2000.</w:t>
      </w:r>
      <w:r w:rsidR="00941F94">
        <w:t xml:space="preserve"> The court was established to provide a simpler and more accessible service for litigants, and to ease the workloads of both the Federal Court and the Family Court of Australia.</w:t>
      </w:r>
      <w:r w:rsidR="00205BCF">
        <w:t xml:space="preserve"> </w:t>
      </w:r>
      <w:r w:rsidR="00941F94">
        <w:t xml:space="preserve">As </w:t>
      </w:r>
      <w:r w:rsidR="00941F94">
        <w:lastRenderedPageBreak/>
        <w:t xml:space="preserve">a result of legislative amendments which recognise the work and status of the Court, the Federal Magistrates Court of Australia was renamed the Federal Circuit Court of Australia on 12 April 2013. </w:t>
      </w:r>
      <w:r w:rsidR="00071EA5">
        <w:t>The inclusion of the word ‘circuit’ to the name of the court highlights the importance of the Court’s circuit work in regional areas and its broad Commonwealth jurisdiction in both family law and general federal law.</w:t>
      </w:r>
      <w:r w:rsidR="00DC6231">
        <w:t xml:space="preserve"> The jurisdiction, status and arrangements under which the Court operates have not changed. </w:t>
      </w:r>
      <w:r>
        <w:t>Its jurisdiction includes family law and child support, administrative law, admiralty, anti-terrorism, bankruptcy, copyright, human rights, migration</w:t>
      </w:r>
      <w:r w:rsidR="00AA585C">
        <w:t xml:space="preserve">, </w:t>
      </w:r>
      <w:r>
        <w:t>privacy</w:t>
      </w:r>
      <w:r w:rsidR="00AA585C">
        <w:t xml:space="preserve"> and trade practices</w:t>
      </w:r>
      <w:r>
        <w:t>. State</w:t>
      </w:r>
      <w:r w:rsidR="00EA5949">
        <w:t xml:space="preserve"> and </w:t>
      </w:r>
      <w:r w:rsidR="009A27D4">
        <w:t>Territory</w:t>
      </w:r>
      <w:r>
        <w:t xml:space="preserve"> courts also continue to do some work in these areas.</w:t>
      </w:r>
    </w:p>
    <w:p w:rsidR="00832ACA" w:rsidRDefault="00832ACA" w:rsidP="00832ACA">
      <w:pPr>
        <w:pStyle w:val="BodyText"/>
      </w:pPr>
      <w:r>
        <w:t xml:space="preserve">The Federal </w:t>
      </w:r>
      <w:r w:rsidR="00370BBD">
        <w:t>Circuit</w:t>
      </w:r>
      <w:r>
        <w:t xml:space="preserve"> Court shares its jurisdiction with the Federal Court and the Family Court of Australia. The intention is for the latter two courts to focus on more complex legal matters. The Federal</w:t>
      </w:r>
      <w:r w:rsidR="00370BBD">
        <w:t xml:space="preserve"> Circuit</w:t>
      </w:r>
      <w:r>
        <w:t xml:space="preserve"> Court hears most first instance judicial reviews of migration matters. In trade practices matters it can award damages up to $750 000. In family law matters its jurisdiction is similar to that of the Family Court of Australia, except that only the Family Court of Australia can</w:t>
      </w:r>
      <w:r w:rsidR="008E2F41">
        <w:t xml:space="preserve"> </w:t>
      </w:r>
      <w:r w:rsidR="008E2F41" w:rsidRPr="00107926">
        <w:t>consider adoption disputes, applications concerning the nullity and validity of marriages, and dealing with parenting issues under The Hague Convention</w:t>
      </w:r>
      <w:r w:rsidRPr="00107926">
        <w:t>.</w:t>
      </w:r>
      <w:r>
        <w:t xml:space="preserve"> Otherwise, the Federal </w:t>
      </w:r>
      <w:r w:rsidR="00370BBD">
        <w:t>Circuit</w:t>
      </w:r>
      <w:r>
        <w:t xml:space="preserve"> Court has jurisdiction to hear any matter </w:t>
      </w:r>
      <w:r w:rsidRPr="00B93709">
        <w:t>transferred to it by either the Federal Court or the Family Court of Australia.</w:t>
      </w:r>
      <w:r w:rsidR="00A47EF9" w:rsidRPr="00B93709">
        <w:t xml:space="preserve"> </w:t>
      </w:r>
    </w:p>
    <w:p w:rsidR="00371BC8" w:rsidRDefault="00832ACA" w:rsidP="00832ACA">
      <w:pPr>
        <w:pStyle w:val="BodyText"/>
      </w:pPr>
      <w:r>
        <w:t xml:space="preserve">The major relationships between, and hierarchy of, courts in Australia are summarised in </w:t>
      </w:r>
      <w:r w:rsidR="00A76A9C">
        <w:t>figure 7</w:t>
      </w:r>
      <w:r>
        <w:t>.1.</w:t>
      </w:r>
    </w:p>
    <w:p w:rsidR="00D01676" w:rsidRDefault="00D01676" w:rsidP="00D01676">
      <w:pPr>
        <w:pStyle w:val="Heading4"/>
      </w:pPr>
      <w:r>
        <w:t xml:space="preserve">Administrative structures </w:t>
      </w:r>
    </w:p>
    <w:p w:rsidR="00D01676" w:rsidRDefault="00D01676" w:rsidP="00D01676">
      <w:pPr>
        <w:pStyle w:val="BodyText"/>
      </w:pPr>
      <w:r>
        <w:t xml:space="preserve">Most courts </w:t>
      </w:r>
      <w:r w:rsidRPr="005D3F6B">
        <w:t xml:space="preserve">use similar infrastructure (such as court buildings and facilities) for </w:t>
      </w:r>
      <w:r>
        <w:t xml:space="preserve">the </w:t>
      </w:r>
      <w:r w:rsidRPr="005D3F6B">
        <w:t xml:space="preserve">civil and criminal </w:t>
      </w:r>
      <w:r>
        <w:t>jurisdictions</w:t>
      </w:r>
      <w:r w:rsidRPr="005D3F6B">
        <w:t xml:space="preserve">. However, separate information systems and </w:t>
      </w:r>
      <w:proofErr w:type="spellStart"/>
      <w:r w:rsidRPr="005D3F6B">
        <w:t>case</w:t>
      </w:r>
      <w:proofErr w:type="spellEnd"/>
      <w:r w:rsidRPr="005D3F6B">
        <w:t xml:space="preserve"> flow management practices have been established for civil and criminal case types</w:t>
      </w:r>
      <w:r>
        <w:t xml:space="preserve">. </w:t>
      </w:r>
      <w:r w:rsidR="005B7B14">
        <w:t>T</w:t>
      </w:r>
      <w:r>
        <w:t>herefore the criminal and civil jurisdictions</w:t>
      </w:r>
      <w:r w:rsidRPr="005D3F6B">
        <w:t xml:space="preserve"> </w:t>
      </w:r>
      <w:r w:rsidR="005B7B14">
        <w:t xml:space="preserve">are reported </w:t>
      </w:r>
      <w:r w:rsidRPr="005D3F6B">
        <w:t xml:space="preserve">separately where possible. </w:t>
      </w:r>
    </w:p>
    <w:p w:rsidR="00D01676" w:rsidRDefault="00D01676" w:rsidP="00832ACA">
      <w:pPr>
        <w:pStyle w:val="BodyText"/>
      </w:pPr>
      <w:r w:rsidRPr="005D3F6B">
        <w:t>The allocation of responsibilities between court administration and other elements of the system (including the judiciary) varies across the Australian, State and Territory legal systems</w:t>
      </w:r>
      <w:r>
        <w:t>.</w:t>
      </w:r>
    </w:p>
    <w:p w:rsidR="00A31449" w:rsidRDefault="00A31449">
      <w:pPr>
        <w:pStyle w:val="FigureTitle"/>
        <w:rPr>
          <w:rStyle w:val="NoteLabel"/>
          <w:b/>
        </w:rPr>
      </w:pPr>
      <w:r>
        <w:rPr>
          <w:b w:val="0"/>
        </w:rPr>
        <w:lastRenderedPageBreak/>
        <w:t xml:space="preserve">Figure </w:t>
      </w:r>
      <w:r w:rsidRPr="00A31449">
        <w:rPr>
          <w:b w:val="0"/>
        </w:rPr>
        <w:t>7.1</w:t>
      </w:r>
      <w:r>
        <w:tab/>
      </w:r>
      <w:r w:rsidRPr="00322965">
        <w:t>Major relationships of courts in Australia</w:t>
      </w:r>
      <w:r w:rsidRPr="008416E0">
        <w:rPr>
          <w:rStyle w:val="NoteLabel"/>
          <w:b/>
        </w:rPr>
        <w:t>a</w:t>
      </w:r>
    </w:p>
    <w:p w:rsidR="007C5291" w:rsidRPr="007C5291" w:rsidRDefault="007C5291" w:rsidP="007C5291">
      <w:pPr>
        <w:pStyle w:val="FigureTitle"/>
      </w:pP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B056E">
        <w:tc>
          <w:tcPr>
            <w:tcW w:w="8777" w:type="dxa"/>
          </w:tcPr>
          <w:p w:rsidR="009B056E" w:rsidRDefault="009646F0">
            <w:r>
              <w:rPr>
                <w:noProof/>
              </w:rPr>
              <w:drawing>
                <wp:inline distT="0" distB="0" distL="0" distR="0">
                  <wp:extent cx="5534025" cy="5543550"/>
                  <wp:effectExtent l="0" t="0" r="9525" b="0"/>
                  <wp:docPr id="4" name="Picture 4" descr="Figure 7.1 Major relationships of courts in Austral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4025" cy="5543550"/>
                          </a:xfrm>
                          <a:prstGeom prst="rect">
                            <a:avLst/>
                          </a:prstGeom>
                          <a:noFill/>
                          <a:ln>
                            <a:noFill/>
                          </a:ln>
                        </pic:spPr>
                      </pic:pic>
                    </a:graphicData>
                  </a:graphic>
                </wp:inline>
              </w:drawing>
            </w:r>
          </w:p>
        </w:tc>
      </w:tr>
    </w:tbl>
    <w:p w:rsidR="00A31449" w:rsidRDefault="00A31449" w:rsidP="00A31449">
      <w:pPr>
        <w:pStyle w:val="Note"/>
      </w:pPr>
      <w:proofErr w:type="spellStart"/>
      <w:r>
        <w:rPr>
          <w:rStyle w:val="NoteLabel"/>
        </w:rPr>
        <w:t>a</w:t>
      </w:r>
      <w:proofErr w:type="spellEnd"/>
      <w:r>
        <w:sym w:font="Symbol" w:char="F020"/>
      </w:r>
      <w:r w:rsidRPr="00322965">
        <w:t xml:space="preserve"> In some jurisdictions, appeals from lower courts or </w:t>
      </w:r>
      <w:r>
        <w:t>district/county court</w:t>
      </w:r>
      <w:r w:rsidRPr="00322965">
        <w:t xml:space="preserve">s may go directly to the full court or court of appeal at the </w:t>
      </w:r>
      <w:r>
        <w:t xml:space="preserve">supreme/federal level; appeals from the Federal </w:t>
      </w:r>
      <w:r w:rsidR="00491733">
        <w:t>Circuit</w:t>
      </w:r>
      <w:r>
        <w:t xml:space="preserve"> Court can also be heard by a single judge exercising the Federal/Family Courts’ appellate jurisdiction. </w:t>
      </w:r>
      <w:r w:rsidRPr="00322965">
        <w:rPr>
          <w:rStyle w:val="NoteLabel"/>
        </w:rPr>
        <w:t>b</w:t>
      </w:r>
      <w:r w:rsidRPr="00322965">
        <w:t xml:space="preserve"> Appeals from </w:t>
      </w:r>
      <w:r>
        <w:t>f</w:t>
      </w:r>
      <w:r w:rsidRPr="00322965">
        <w:t>ederal, State and Territory tribunals may go to any high</w:t>
      </w:r>
      <w:r>
        <w:t>er court in their jurisdiction.</w:t>
      </w:r>
    </w:p>
    <w:p w:rsidR="00322965" w:rsidRDefault="00322965" w:rsidP="00322965">
      <w:pPr>
        <w:pStyle w:val="Heading3"/>
      </w:pPr>
      <w:r>
        <w:t>Recurrent expenditure less income</w:t>
      </w:r>
    </w:p>
    <w:p w:rsidR="00322965" w:rsidRDefault="00322965" w:rsidP="0026489B">
      <w:pPr>
        <w:pStyle w:val="BodyText"/>
        <w:spacing w:before="160"/>
      </w:pPr>
      <w:r>
        <w:t>A number of factors affect court-related expenditure and income, including the volume and type of work undertaken. In some jurisdictions, court fees (which are part of income) are set by government and not by court administrators</w:t>
      </w:r>
      <w:r w:rsidR="005C0D8C">
        <w:t>.</w:t>
      </w:r>
      <w:r>
        <w:t xml:space="preserve"> </w:t>
      </w:r>
      <w:r w:rsidR="005C0D8C">
        <w:t>S</w:t>
      </w:r>
      <w:r>
        <w:t xml:space="preserve">ome states </w:t>
      </w:r>
      <w:r>
        <w:lastRenderedPageBreak/>
        <w:t xml:space="preserve">and territories apportion, </w:t>
      </w:r>
      <w:r w:rsidR="005C0D8C">
        <w:t>while others allocate</w:t>
      </w:r>
      <w:r>
        <w:t>, expend</w:t>
      </w:r>
      <w:r w:rsidR="00815EB4">
        <w:t>iture (and income) between the</w:t>
      </w:r>
      <w:r>
        <w:t xml:space="preserve"> criminal and civil </w:t>
      </w:r>
      <w:r w:rsidR="00815EB4">
        <w:t>jurisdictions of their courts</w:t>
      </w:r>
      <w:r>
        <w:t>.</w:t>
      </w:r>
    </w:p>
    <w:p w:rsidR="00322965" w:rsidRPr="007907DB" w:rsidRDefault="00322965" w:rsidP="006A6E8D">
      <w:pPr>
        <w:pStyle w:val="BodyText"/>
        <w:spacing w:before="160"/>
      </w:pPr>
      <w:r>
        <w:t>Recurrent expenditure provides an estimate of annual service costs. Recurrent expenditur</w:t>
      </w:r>
      <w:r w:rsidR="000E52C4">
        <w:t>e on court administration comprises</w:t>
      </w:r>
      <w:r>
        <w:t xml:space="preserve"> costs associated with the judiciary, court and probate registries, sheriff and bailiff’s offices, court accommodation and other overheads. The</w:t>
      </w:r>
      <w:r w:rsidR="000E52C4">
        <w:t xml:space="preserve"> expenditure</w:t>
      </w:r>
      <w:r>
        <w:t xml:space="preserve"> components include salary and non-salary expenditure, court administration agency and umbrella department expenditure, and contract expenditure. Total recurrent expenditure by Australian, State and Territory court authorities (excluding the High Court and specialist jurisdiction courts </w:t>
      </w:r>
      <w:r w:rsidR="00027C67">
        <w:t>—</w:t>
      </w:r>
      <w:r>
        <w:t xml:space="preserve"> </w:t>
      </w:r>
      <w:r w:rsidRPr="007907DB">
        <w:t xml:space="preserve">except for family courts, </w:t>
      </w:r>
      <w:r w:rsidR="00006962" w:rsidRPr="007907DB">
        <w:t>children’s c</w:t>
      </w:r>
      <w:r w:rsidR="00BC62E9" w:rsidRPr="007907DB">
        <w:t>ourt</w:t>
      </w:r>
      <w:r w:rsidR="00006962" w:rsidRPr="007907DB">
        <w:t>s and</w:t>
      </w:r>
      <w:r w:rsidRPr="007907DB">
        <w:t xml:space="preserve"> </w:t>
      </w:r>
      <w:r w:rsidR="00006962" w:rsidRPr="007907DB">
        <w:t>coroners’ c</w:t>
      </w:r>
      <w:r w:rsidR="00BC62E9" w:rsidRPr="007907DB">
        <w:t>ourt</w:t>
      </w:r>
      <w:r w:rsidRPr="007907DB">
        <w:t xml:space="preserve">s) </w:t>
      </w:r>
      <w:r w:rsidRPr="008A59CA">
        <w:t>was $</w:t>
      </w:r>
      <w:r w:rsidR="00C56EE4">
        <w:t>1.66</w:t>
      </w:r>
      <w:r w:rsidR="00AE6CC7" w:rsidRPr="00825E0A">
        <w:t> billion</w:t>
      </w:r>
      <w:r w:rsidR="00AE6CC7" w:rsidRPr="007907DB">
        <w:t xml:space="preserve"> in </w:t>
      </w:r>
      <w:r w:rsidR="00DF4CF2">
        <w:t>20</w:t>
      </w:r>
      <w:r w:rsidR="005454C6">
        <w:t>1</w:t>
      </w:r>
      <w:r w:rsidR="006871DA">
        <w:t>2</w:t>
      </w:r>
      <w:r w:rsidR="00205BCF">
        <w:noBreakHyphen/>
      </w:r>
      <w:r w:rsidR="00DF4CF2">
        <w:t>1</w:t>
      </w:r>
      <w:r w:rsidR="006871DA">
        <w:t>3</w:t>
      </w:r>
      <w:r w:rsidR="00AE6CC7" w:rsidRPr="007907DB">
        <w:t xml:space="preserve"> (</w:t>
      </w:r>
      <w:r w:rsidR="00A76A9C" w:rsidRPr="007907DB">
        <w:t>table 7</w:t>
      </w:r>
      <w:r w:rsidRPr="007907DB">
        <w:t>.1).</w:t>
      </w:r>
    </w:p>
    <w:p w:rsidR="00322965" w:rsidRPr="007907DB" w:rsidRDefault="00322965" w:rsidP="00F701E8">
      <w:pPr>
        <w:pStyle w:val="BodyText"/>
        <w:spacing w:before="160"/>
      </w:pPr>
      <w:r>
        <w:t xml:space="preserve">Court income is derived from court fees, library revenue, court reporting revenue, sheriff and bailiff revenue, probate revenue, mediation revenue, rental income and any other sources of revenue (excluding fines). Total income (excluding fines) for the Australian, State and Territory courts covered in this </w:t>
      </w:r>
      <w:r w:rsidRPr="007907DB">
        <w:t xml:space="preserve">Report was </w:t>
      </w:r>
      <w:r w:rsidRPr="00F701E8">
        <w:t>$</w:t>
      </w:r>
      <w:r w:rsidR="00B80F53" w:rsidRPr="00F701E8">
        <w:t>3</w:t>
      </w:r>
      <w:r w:rsidR="000328EA" w:rsidRPr="00F701E8">
        <w:t>13</w:t>
      </w:r>
      <w:r w:rsidR="006871DA" w:rsidRPr="00F701E8">
        <w:t> </w:t>
      </w:r>
      <w:r w:rsidR="00AE6CC7" w:rsidRPr="00F701E8">
        <w:t>million</w:t>
      </w:r>
      <w:r w:rsidR="00AE6CC7" w:rsidRPr="007907DB">
        <w:t xml:space="preserve"> in </w:t>
      </w:r>
      <w:r w:rsidR="00B67D21">
        <w:t>20</w:t>
      </w:r>
      <w:r w:rsidR="00B65D25">
        <w:t>1</w:t>
      </w:r>
      <w:r w:rsidR="006871DA">
        <w:t>2</w:t>
      </w:r>
      <w:r w:rsidR="00205BCF">
        <w:noBreakHyphen/>
      </w:r>
      <w:r w:rsidR="00B67D21">
        <w:t>1</w:t>
      </w:r>
      <w:r w:rsidR="006871DA">
        <w:t>3</w:t>
      </w:r>
      <w:r w:rsidR="003D1B43">
        <w:t xml:space="preserve"> (table </w:t>
      </w:r>
      <w:proofErr w:type="spellStart"/>
      <w:r w:rsidR="003D1B43">
        <w:t>7A.1</w:t>
      </w:r>
      <w:r w:rsidR="00B80F53">
        <w:t>3</w:t>
      </w:r>
      <w:proofErr w:type="spellEnd"/>
      <w:r w:rsidR="003D1B43">
        <w:t>)</w:t>
      </w:r>
      <w:r w:rsidRPr="007907DB">
        <w:t xml:space="preserve">. </w:t>
      </w:r>
    </w:p>
    <w:p w:rsidR="005D34C6" w:rsidRDefault="00CA7BB3" w:rsidP="006A6E8D">
      <w:pPr>
        <w:pStyle w:val="BodyText"/>
        <w:spacing w:before="160"/>
      </w:pPr>
      <w:r>
        <w:t>Nationally, t</w:t>
      </w:r>
      <w:r w:rsidR="00322965">
        <w:t xml:space="preserve">he civil jurisdiction of the courts </w:t>
      </w:r>
      <w:r w:rsidR="006B39C4">
        <w:t>accounted for over half of all income received.</w:t>
      </w:r>
      <w:r w:rsidR="00205BCF">
        <w:t xml:space="preserve"> </w:t>
      </w:r>
    </w:p>
    <w:p w:rsidR="00421681" w:rsidRDefault="00421681" w:rsidP="006A6E8D">
      <w:pPr>
        <w:pStyle w:val="BodyText"/>
        <w:spacing w:before="160"/>
      </w:pPr>
      <w:r>
        <w:t xml:space="preserve">Total recurrent expenditure less income (excluding fines), for the Australian, State </w:t>
      </w:r>
      <w:r w:rsidRPr="007907DB">
        <w:t xml:space="preserve">and Territory courts covered in this Report, was </w:t>
      </w:r>
      <w:r w:rsidR="00984659" w:rsidRPr="00825E0A">
        <w:t>$</w:t>
      </w:r>
      <w:r w:rsidR="00C218F1">
        <w:t>1.34</w:t>
      </w:r>
      <w:r w:rsidR="00684486">
        <w:t xml:space="preserve"> </w:t>
      </w:r>
      <w:r w:rsidR="00923C58" w:rsidRPr="00825E0A">
        <w:t>b</w:t>
      </w:r>
      <w:r w:rsidRPr="00825E0A">
        <w:t>illion</w:t>
      </w:r>
      <w:r w:rsidRPr="007907DB">
        <w:t xml:space="preserve"> in </w:t>
      </w:r>
      <w:r w:rsidR="00B67D21">
        <w:t>20</w:t>
      </w:r>
      <w:r w:rsidR="005454C6">
        <w:t>1</w:t>
      </w:r>
      <w:r w:rsidR="00A13350">
        <w:t>2</w:t>
      </w:r>
      <w:r w:rsidR="00205BCF">
        <w:noBreakHyphen/>
      </w:r>
      <w:r w:rsidR="00B67D21">
        <w:t>1</w:t>
      </w:r>
      <w:r w:rsidR="00A13350">
        <w:t>3</w:t>
      </w:r>
      <w:r w:rsidR="00EF674D" w:rsidRPr="007907DB">
        <w:t xml:space="preserve"> (table 7.1).</w:t>
      </w:r>
      <w:r>
        <w:t xml:space="preserve"> Expenditure exceeds income in all court jurisdictions except for probate registries in the </w:t>
      </w:r>
      <w:r w:rsidR="00006962">
        <w:t>supreme c</w:t>
      </w:r>
      <w:r w:rsidR="00BC62E9">
        <w:t>ourt</w:t>
      </w:r>
      <w:r>
        <w:t xml:space="preserve">s. </w:t>
      </w:r>
      <w:r w:rsidR="006F6EEA">
        <w:t>E</w:t>
      </w:r>
      <w:r>
        <w:t xml:space="preserve">xpenditure is relatively low on probate matters, as these are limited to uncontested matters that are dealt with by probate registrars (or other registry staff). Where a probate matter is contested, it is reported as part of </w:t>
      </w:r>
      <w:r w:rsidR="00006962">
        <w:t>supreme c</w:t>
      </w:r>
      <w:r w:rsidR="00BC62E9">
        <w:t>ourt</w:t>
      </w:r>
      <w:r>
        <w:t xml:space="preserve"> </w:t>
      </w:r>
      <w:r w:rsidR="00006962">
        <w:t>data</w:t>
      </w:r>
      <w:r>
        <w:t xml:space="preserve"> in the civil jurisdiction</w:t>
      </w:r>
      <w:r w:rsidR="00684486">
        <w:t>.</w:t>
      </w:r>
      <w:r>
        <w:t xml:space="preserve"> </w:t>
      </w:r>
    </w:p>
    <w:p w:rsidR="00322965" w:rsidRPr="00C75DAB" w:rsidRDefault="00322965" w:rsidP="00E16186">
      <w:pPr>
        <w:pStyle w:val="TableTitle"/>
        <w:spacing w:before="240"/>
      </w:pPr>
      <w:r>
        <w:rPr>
          <w:b w:val="0"/>
        </w:rPr>
        <w:lastRenderedPageBreak/>
        <w:t xml:space="preserve">Table </w:t>
      </w:r>
      <w:r w:rsidR="00192F6A">
        <w:rPr>
          <w:b w:val="0"/>
        </w:rPr>
        <w:t>7.</w:t>
      </w:r>
      <w:r w:rsidR="00E75B12">
        <w:rPr>
          <w:b w:val="0"/>
          <w:noProof/>
        </w:rPr>
        <w:t>1</w:t>
      </w:r>
      <w:r>
        <w:tab/>
      </w:r>
      <w:r w:rsidR="00FF624D">
        <w:t>Court</w:t>
      </w:r>
      <w:r w:rsidR="004D451E">
        <w:t>s</w:t>
      </w:r>
      <w:r w:rsidR="007256B4">
        <w:t>’</w:t>
      </w:r>
      <w:r w:rsidR="00FF624D">
        <w:t xml:space="preserve"> recurrent expenditure less income </w:t>
      </w:r>
      <w:r w:rsidR="00FF624D" w:rsidRPr="00C75DAB">
        <w:t xml:space="preserve">(excluding fines), </w:t>
      </w:r>
      <w:r w:rsidR="00B67D21">
        <w:rPr>
          <w:rFonts w:ascii="Arial Bold" w:hAnsi="Arial Bold"/>
        </w:rPr>
        <w:t>20</w:t>
      </w:r>
      <w:r w:rsidR="004B2290">
        <w:rPr>
          <w:rFonts w:ascii="Arial Bold" w:hAnsi="Arial Bold"/>
        </w:rPr>
        <w:t>1</w:t>
      </w:r>
      <w:r w:rsidR="0030337A">
        <w:rPr>
          <w:rFonts w:ascii="Arial Bold" w:hAnsi="Arial Bold"/>
        </w:rPr>
        <w:t>2</w:t>
      </w:r>
      <w:r w:rsidR="008E3D89">
        <w:rPr>
          <w:rFonts w:ascii="Arial Bold" w:hAnsi="Arial Bold"/>
        </w:rPr>
        <w:t>-</w:t>
      </w:r>
      <w:r w:rsidR="00B67D21">
        <w:rPr>
          <w:rFonts w:ascii="Arial Bold" w:hAnsi="Arial Bold"/>
        </w:rPr>
        <w:t>1</w:t>
      </w:r>
      <w:r w:rsidR="0030337A">
        <w:rPr>
          <w:rFonts w:ascii="Arial Bold" w:hAnsi="Arial Bold"/>
        </w:rPr>
        <w:t>3</w:t>
      </w:r>
      <w:r w:rsidR="00FF624D" w:rsidRPr="00C75DAB">
        <w:t xml:space="preserve"> ($ million)</w:t>
      </w:r>
      <w:r w:rsidR="00FF624D" w:rsidRPr="00C75DAB">
        <w:rPr>
          <w:rStyle w:val="NoteLabel"/>
          <w:b/>
        </w:rPr>
        <w:t>a,</w:t>
      </w:r>
      <w:r w:rsidR="009E4964">
        <w:rPr>
          <w:rStyle w:val="NoteLabel"/>
          <w:b/>
        </w:rPr>
        <w:t xml:space="preserve"> b</w:t>
      </w:r>
    </w:p>
    <w:tbl>
      <w:tblPr>
        <w:tblW w:w="0" w:type="auto"/>
        <w:tblCellMar>
          <w:left w:w="0" w:type="dxa"/>
          <w:right w:w="0" w:type="dxa"/>
        </w:tblCellMar>
        <w:tblLook w:val="0000" w:firstRow="0" w:lastRow="0" w:firstColumn="0" w:lastColumn="0" w:noHBand="0" w:noVBand="0"/>
      </w:tblPr>
      <w:tblGrid>
        <w:gridCol w:w="2127"/>
        <w:gridCol w:w="803"/>
        <w:gridCol w:w="756"/>
        <w:gridCol w:w="662"/>
        <w:gridCol w:w="614"/>
        <w:gridCol w:w="570"/>
        <w:gridCol w:w="567"/>
        <w:gridCol w:w="567"/>
        <w:gridCol w:w="691"/>
        <w:gridCol w:w="658"/>
        <w:gridCol w:w="774"/>
      </w:tblGrid>
      <w:tr w:rsidR="00322965" w:rsidTr="00D62EE8">
        <w:tc>
          <w:tcPr>
            <w:tcW w:w="2127" w:type="dxa"/>
            <w:tcBorders>
              <w:top w:val="single" w:sz="6" w:space="0" w:color="auto"/>
              <w:bottom w:val="single" w:sz="6" w:space="0" w:color="auto"/>
            </w:tcBorders>
          </w:tcPr>
          <w:p w:rsidR="00322965" w:rsidRDefault="00322965" w:rsidP="00E16186">
            <w:pPr>
              <w:pStyle w:val="TableColumnHeading"/>
              <w:spacing w:before="0" w:after="0"/>
              <w:jc w:val="left"/>
            </w:pPr>
          </w:p>
        </w:tc>
        <w:tc>
          <w:tcPr>
            <w:tcW w:w="803" w:type="dxa"/>
            <w:tcBorders>
              <w:top w:val="single" w:sz="6" w:space="0" w:color="auto"/>
              <w:bottom w:val="single" w:sz="6" w:space="0" w:color="auto"/>
            </w:tcBorders>
          </w:tcPr>
          <w:p w:rsidR="00322965" w:rsidRDefault="00322965" w:rsidP="00E16186">
            <w:pPr>
              <w:pStyle w:val="TableColumnHeading"/>
              <w:spacing w:before="0" w:after="0"/>
            </w:pPr>
            <w:r>
              <w:t>NSW</w:t>
            </w:r>
          </w:p>
        </w:tc>
        <w:tc>
          <w:tcPr>
            <w:tcW w:w="756" w:type="dxa"/>
            <w:tcBorders>
              <w:top w:val="single" w:sz="6" w:space="0" w:color="auto"/>
              <w:bottom w:val="single" w:sz="6" w:space="0" w:color="auto"/>
            </w:tcBorders>
          </w:tcPr>
          <w:p w:rsidR="00322965" w:rsidRDefault="00322965" w:rsidP="00E16186">
            <w:pPr>
              <w:pStyle w:val="TableColumnHeading"/>
              <w:spacing w:before="0" w:after="0"/>
            </w:pPr>
            <w:r>
              <w:t>Vic</w:t>
            </w:r>
          </w:p>
        </w:tc>
        <w:tc>
          <w:tcPr>
            <w:tcW w:w="662" w:type="dxa"/>
            <w:tcBorders>
              <w:top w:val="single" w:sz="6" w:space="0" w:color="auto"/>
              <w:bottom w:val="single" w:sz="6" w:space="0" w:color="auto"/>
            </w:tcBorders>
          </w:tcPr>
          <w:p w:rsidR="00322965" w:rsidRDefault="00322965" w:rsidP="00E16186">
            <w:pPr>
              <w:pStyle w:val="TableColumnHeading"/>
              <w:spacing w:before="0" w:after="0"/>
            </w:pPr>
            <w:r>
              <w:t>Qld</w:t>
            </w:r>
          </w:p>
        </w:tc>
        <w:tc>
          <w:tcPr>
            <w:tcW w:w="614" w:type="dxa"/>
            <w:tcBorders>
              <w:top w:val="single" w:sz="6" w:space="0" w:color="auto"/>
              <w:bottom w:val="single" w:sz="6" w:space="0" w:color="auto"/>
            </w:tcBorders>
          </w:tcPr>
          <w:p w:rsidR="00322965" w:rsidRDefault="00322965" w:rsidP="00E16186">
            <w:pPr>
              <w:pStyle w:val="TableColumnHeading"/>
              <w:spacing w:before="0" w:after="0"/>
            </w:pPr>
            <w:r w:rsidRPr="00431C54">
              <w:t>WA</w:t>
            </w:r>
          </w:p>
        </w:tc>
        <w:tc>
          <w:tcPr>
            <w:tcW w:w="570" w:type="dxa"/>
            <w:tcBorders>
              <w:top w:val="single" w:sz="6" w:space="0" w:color="auto"/>
              <w:bottom w:val="single" w:sz="6" w:space="0" w:color="auto"/>
            </w:tcBorders>
          </w:tcPr>
          <w:p w:rsidR="00322965" w:rsidRDefault="00322965" w:rsidP="00E16186">
            <w:pPr>
              <w:pStyle w:val="TableColumnHeading"/>
              <w:spacing w:before="0" w:after="0"/>
            </w:pPr>
            <w:r>
              <w:t>SA</w:t>
            </w:r>
          </w:p>
        </w:tc>
        <w:tc>
          <w:tcPr>
            <w:tcW w:w="567" w:type="dxa"/>
            <w:tcBorders>
              <w:top w:val="single" w:sz="6" w:space="0" w:color="auto"/>
              <w:bottom w:val="single" w:sz="6" w:space="0" w:color="auto"/>
            </w:tcBorders>
          </w:tcPr>
          <w:p w:rsidR="00322965" w:rsidRDefault="00322965" w:rsidP="00E16186">
            <w:pPr>
              <w:pStyle w:val="TableColumnHeading"/>
              <w:spacing w:before="0" w:after="0"/>
            </w:pPr>
            <w:proofErr w:type="spellStart"/>
            <w:r>
              <w:t>Tas</w:t>
            </w:r>
            <w:proofErr w:type="spellEnd"/>
          </w:p>
        </w:tc>
        <w:tc>
          <w:tcPr>
            <w:tcW w:w="567" w:type="dxa"/>
            <w:tcBorders>
              <w:top w:val="single" w:sz="6" w:space="0" w:color="auto"/>
              <w:bottom w:val="single" w:sz="6" w:space="0" w:color="auto"/>
            </w:tcBorders>
          </w:tcPr>
          <w:p w:rsidR="00322965" w:rsidRDefault="00322965" w:rsidP="00E16186">
            <w:pPr>
              <w:pStyle w:val="TableColumnHeading"/>
              <w:spacing w:before="0" w:after="0"/>
            </w:pPr>
            <w:r>
              <w:t>ACT</w:t>
            </w:r>
          </w:p>
        </w:tc>
        <w:tc>
          <w:tcPr>
            <w:tcW w:w="691" w:type="dxa"/>
            <w:tcBorders>
              <w:top w:val="single" w:sz="6" w:space="0" w:color="auto"/>
              <w:bottom w:val="single" w:sz="6" w:space="0" w:color="auto"/>
            </w:tcBorders>
          </w:tcPr>
          <w:p w:rsidR="00322965" w:rsidRDefault="00322965" w:rsidP="00E16186">
            <w:pPr>
              <w:pStyle w:val="TableColumnHeading"/>
              <w:spacing w:before="0" w:after="0"/>
            </w:pPr>
            <w:r>
              <w:t>NT</w:t>
            </w:r>
          </w:p>
        </w:tc>
        <w:tc>
          <w:tcPr>
            <w:tcW w:w="658" w:type="dxa"/>
            <w:tcBorders>
              <w:top w:val="single" w:sz="6" w:space="0" w:color="auto"/>
              <w:bottom w:val="single" w:sz="6" w:space="0" w:color="auto"/>
            </w:tcBorders>
          </w:tcPr>
          <w:p w:rsidR="00322965" w:rsidRPr="00666CB7" w:rsidRDefault="00322965" w:rsidP="00E16186">
            <w:pPr>
              <w:pStyle w:val="TableColumnHeading"/>
              <w:spacing w:before="0" w:after="0"/>
              <w:rPr>
                <w:sz w:val="18"/>
                <w:szCs w:val="18"/>
              </w:rPr>
            </w:pPr>
            <w:proofErr w:type="spellStart"/>
            <w:r w:rsidRPr="00666CB7">
              <w:rPr>
                <w:sz w:val="18"/>
                <w:szCs w:val="18"/>
              </w:rPr>
              <w:t>Aust</w:t>
            </w:r>
            <w:proofErr w:type="spellEnd"/>
            <w:r w:rsidRPr="00666CB7">
              <w:rPr>
                <w:sz w:val="18"/>
                <w:szCs w:val="18"/>
              </w:rPr>
              <w:t xml:space="preserve"> courts</w:t>
            </w:r>
          </w:p>
        </w:tc>
        <w:tc>
          <w:tcPr>
            <w:tcW w:w="774" w:type="dxa"/>
            <w:tcBorders>
              <w:top w:val="single" w:sz="6" w:space="0" w:color="auto"/>
              <w:bottom w:val="single" w:sz="6" w:space="0" w:color="auto"/>
            </w:tcBorders>
          </w:tcPr>
          <w:p w:rsidR="00322965" w:rsidRDefault="00322965" w:rsidP="00E16186">
            <w:pPr>
              <w:pStyle w:val="TableColumnHeading"/>
              <w:spacing w:before="0" w:after="0"/>
              <w:ind w:right="28"/>
            </w:pPr>
            <w:r>
              <w:t>Total</w:t>
            </w:r>
          </w:p>
        </w:tc>
      </w:tr>
      <w:tr w:rsidR="00322965" w:rsidRPr="00EB64F9" w:rsidTr="00D62EE8">
        <w:tc>
          <w:tcPr>
            <w:tcW w:w="8789" w:type="dxa"/>
            <w:gridSpan w:val="11"/>
          </w:tcPr>
          <w:p w:rsidR="00322965" w:rsidRPr="00EB64F9" w:rsidRDefault="00322965" w:rsidP="00322965">
            <w:pPr>
              <w:pStyle w:val="TableBodyText"/>
              <w:ind w:right="28"/>
              <w:jc w:val="left"/>
              <w:rPr>
                <w:i/>
              </w:rPr>
            </w:pPr>
            <w:r w:rsidRPr="00EB64F9">
              <w:rPr>
                <w:i/>
              </w:rPr>
              <w:t>Court</w:t>
            </w:r>
            <w:r w:rsidR="004D451E">
              <w:rPr>
                <w:i/>
              </w:rPr>
              <w:t>s</w:t>
            </w:r>
            <w:r w:rsidR="00EE4AFA">
              <w:rPr>
                <w:i/>
              </w:rPr>
              <w:t>’</w:t>
            </w:r>
            <w:r w:rsidRPr="00EB64F9">
              <w:rPr>
                <w:i/>
              </w:rPr>
              <w:t xml:space="preserve"> recurrent expenditure</w:t>
            </w:r>
          </w:p>
        </w:tc>
      </w:tr>
      <w:tr w:rsidR="000B1B7A" w:rsidRPr="00736456" w:rsidTr="00D62EE8">
        <w:tc>
          <w:tcPr>
            <w:tcW w:w="2127" w:type="dxa"/>
          </w:tcPr>
          <w:p w:rsidR="000B1B7A" w:rsidRPr="00736456" w:rsidRDefault="000B1B7A" w:rsidP="00CA1E88">
            <w:pPr>
              <w:pStyle w:val="TableBodyText"/>
              <w:spacing w:line="240" w:lineRule="auto"/>
              <w:jc w:val="left"/>
              <w:rPr>
                <w:rStyle w:val="NoteLabel"/>
              </w:rPr>
            </w:pPr>
            <w:r w:rsidRPr="00736456">
              <w:t>Civil</w:t>
            </w:r>
            <w:r w:rsidR="00410B36">
              <w:rPr>
                <w:rStyle w:val="NoteLabel"/>
              </w:rPr>
              <w:t>c, d</w:t>
            </w:r>
            <w:r>
              <w:rPr>
                <w:rStyle w:val="NoteLabel"/>
              </w:rPr>
              <w:t xml:space="preserve">, </w:t>
            </w:r>
            <w:r w:rsidR="00410B36">
              <w:rPr>
                <w:rStyle w:val="NoteLabel"/>
              </w:rPr>
              <w:t>e</w:t>
            </w:r>
            <w:r w:rsidR="00067F2E">
              <w:rPr>
                <w:rStyle w:val="NoteLabel"/>
              </w:rPr>
              <w:t>, f</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186.6</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127.5</w:t>
            </w:r>
          </w:p>
        </w:tc>
        <w:tc>
          <w:tcPr>
            <w:tcW w:w="662" w:type="dxa"/>
            <w:vAlign w:val="bottom"/>
          </w:tcPr>
          <w:p w:rsidR="000B1B7A" w:rsidRPr="000B1B7A" w:rsidRDefault="000B1B7A" w:rsidP="000B1B7A">
            <w:pPr>
              <w:pStyle w:val="TableBodyText"/>
              <w:rPr>
                <w:sz w:val="18"/>
                <w:szCs w:val="18"/>
              </w:rPr>
            </w:pPr>
            <w:r w:rsidRPr="000B1B7A">
              <w:rPr>
                <w:sz w:val="18"/>
                <w:szCs w:val="18"/>
              </w:rPr>
              <w:t xml:space="preserve">  57.4</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59.7</w:t>
            </w:r>
          </w:p>
        </w:tc>
        <w:tc>
          <w:tcPr>
            <w:tcW w:w="570" w:type="dxa"/>
            <w:vAlign w:val="bottom"/>
          </w:tcPr>
          <w:p w:rsidR="000B1B7A" w:rsidRPr="000B1B7A" w:rsidRDefault="000B1B7A" w:rsidP="000B1B7A">
            <w:pPr>
              <w:pStyle w:val="TableBodyText"/>
              <w:rPr>
                <w:sz w:val="18"/>
                <w:szCs w:val="18"/>
              </w:rPr>
            </w:pPr>
            <w:r w:rsidRPr="000B1B7A">
              <w:rPr>
                <w:sz w:val="18"/>
                <w:szCs w:val="18"/>
              </w:rPr>
              <w:t xml:space="preserve">  29.6</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7.0</w:t>
            </w:r>
          </w:p>
        </w:tc>
        <w:tc>
          <w:tcPr>
            <w:tcW w:w="567" w:type="dxa"/>
            <w:vAlign w:val="bottom"/>
          </w:tcPr>
          <w:p w:rsidR="000B1B7A" w:rsidRPr="000B1B7A" w:rsidRDefault="000B1B7A" w:rsidP="000B1B7A">
            <w:pPr>
              <w:pStyle w:val="TableBodyText"/>
              <w:rPr>
                <w:sz w:val="18"/>
                <w:szCs w:val="18"/>
              </w:rPr>
            </w:pPr>
            <w:r w:rsidRPr="000B1B7A">
              <w:rPr>
                <w:sz w:val="18"/>
                <w:szCs w:val="18"/>
              </w:rPr>
              <w:t>12.2</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10.9</w:t>
            </w:r>
          </w:p>
        </w:tc>
        <w:tc>
          <w:tcPr>
            <w:tcW w:w="658" w:type="dxa"/>
            <w:vAlign w:val="bottom"/>
          </w:tcPr>
          <w:p w:rsidR="000B1B7A" w:rsidRPr="000B1B7A" w:rsidRDefault="000B1B7A" w:rsidP="000B1B7A">
            <w:pPr>
              <w:pStyle w:val="TableBodyText"/>
              <w:rPr>
                <w:sz w:val="18"/>
                <w:szCs w:val="18"/>
              </w:rPr>
            </w:pPr>
            <w:r w:rsidRPr="000B1B7A">
              <w:rPr>
                <w:sz w:val="18"/>
                <w:szCs w:val="18"/>
              </w:rPr>
              <w:t xml:space="preserve">  95.2</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586.1</w:t>
            </w:r>
          </w:p>
        </w:tc>
      </w:tr>
      <w:tr w:rsidR="000B1B7A" w:rsidRPr="00736456" w:rsidTr="00D62EE8">
        <w:tc>
          <w:tcPr>
            <w:tcW w:w="2127" w:type="dxa"/>
          </w:tcPr>
          <w:p w:rsidR="000B1B7A" w:rsidRPr="00736456" w:rsidRDefault="000B1B7A" w:rsidP="00CA1E88">
            <w:pPr>
              <w:pStyle w:val="TableBodyText"/>
              <w:spacing w:line="240" w:lineRule="auto"/>
              <w:jc w:val="left"/>
              <w:rPr>
                <w:rStyle w:val="NoteLabel"/>
              </w:rPr>
            </w:pPr>
            <w:r w:rsidRPr="00736456">
              <w:t>Criminal</w:t>
            </w:r>
            <w:r w:rsidR="00067F2E">
              <w:rPr>
                <w:rStyle w:val="NoteLabel"/>
              </w:rPr>
              <w:t>e, f, g</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211.0</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181.5</w:t>
            </w:r>
          </w:p>
        </w:tc>
        <w:tc>
          <w:tcPr>
            <w:tcW w:w="662" w:type="dxa"/>
            <w:vAlign w:val="bottom"/>
          </w:tcPr>
          <w:p w:rsidR="000B1B7A" w:rsidRPr="000B1B7A" w:rsidRDefault="000B1B7A" w:rsidP="000B1B7A">
            <w:pPr>
              <w:pStyle w:val="TableBodyText"/>
              <w:rPr>
                <w:sz w:val="18"/>
                <w:szCs w:val="18"/>
              </w:rPr>
            </w:pPr>
            <w:r w:rsidRPr="000B1B7A">
              <w:rPr>
                <w:sz w:val="18"/>
                <w:szCs w:val="18"/>
              </w:rPr>
              <w:t>149.2</w:t>
            </w:r>
          </w:p>
        </w:tc>
        <w:tc>
          <w:tcPr>
            <w:tcW w:w="614" w:type="dxa"/>
            <w:vAlign w:val="bottom"/>
          </w:tcPr>
          <w:p w:rsidR="000B1B7A" w:rsidRPr="000B1B7A" w:rsidRDefault="000B1B7A" w:rsidP="000B1B7A">
            <w:pPr>
              <w:pStyle w:val="TableBodyText"/>
              <w:rPr>
                <w:sz w:val="18"/>
                <w:szCs w:val="18"/>
              </w:rPr>
            </w:pPr>
            <w:r w:rsidRPr="000B1B7A">
              <w:rPr>
                <w:sz w:val="18"/>
                <w:szCs w:val="18"/>
              </w:rPr>
              <w:t>134.0</w:t>
            </w:r>
          </w:p>
        </w:tc>
        <w:tc>
          <w:tcPr>
            <w:tcW w:w="570" w:type="dxa"/>
            <w:vAlign w:val="bottom"/>
          </w:tcPr>
          <w:p w:rsidR="000B1B7A" w:rsidRPr="000B1B7A" w:rsidRDefault="000B1B7A" w:rsidP="000B1B7A">
            <w:pPr>
              <w:pStyle w:val="TableBodyText"/>
              <w:rPr>
                <w:sz w:val="18"/>
                <w:szCs w:val="18"/>
              </w:rPr>
            </w:pPr>
            <w:r w:rsidRPr="000B1B7A">
              <w:rPr>
                <w:sz w:val="18"/>
                <w:szCs w:val="18"/>
              </w:rPr>
              <w:t xml:space="preserve">  68.9</w:t>
            </w:r>
          </w:p>
        </w:tc>
        <w:tc>
          <w:tcPr>
            <w:tcW w:w="567" w:type="dxa"/>
            <w:vAlign w:val="bottom"/>
          </w:tcPr>
          <w:p w:rsidR="000B1B7A" w:rsidRPr="000B1B7A" w:rsidRDefault="000B1B7A" w:rsidP="000B1B7A">
            <w:pPr>
              <w:pStyle w:val="TableBodyText"/>
              <w:rPr>
                <w:sz w:val="18"/>
                <w:szCs w:val="18"/>
              </w:rPr>
            </w:pPr>
            <w:r w:rsidRPr="000B1B7A">
              <w:rPr>
                <w:sz w:val="18"/>
                <w:szCs w:val="18"/>
              </w:rPr>
              <w:t>18.1</w:t>
            </w:r>
          </w:p>
        </w:tc>
        <w:tc>
          <w:tcPr>
            <w:tcW w:w="567" w:type="dxa"/>
            <w:vAlign w:val="bottom"/>
          </w:tcPr>
          <w:p w:rsidR="000B1B7A" w:rsidRPr="000B1B7A" w:rsidRDefault="000B1B7A" w:rsidP="000B1B7A">
            <w:pPr>
              <w:pStyle w:val="TableBodyText"/>
              <w:rPr>
                <w:sz w:val="18"/>
                <w:szCs w:val="18"/>
              </w:rPr>
            </w:pPr>
            <w:r w:rsidRPr="000B1B7A">
              <w:rPr>
                <w:sz w:val="18"/>
                <w:szCs w:val="18"/>
              </w:rPr>
              <w:t>13.3</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22.6</w:t>
            </w:r>
          </w:p>
        </w:tc>
        <w:tc>
          <w:tcPr>
            <w:tcW w:w="658" w:type="dxa"/>
            <w:vAlign w:val="bottom"/>
          </w:tcPr>
          <w:p w:rsidR="000B1B7A" w:rsidRPr="000B1B7A" w:rsidRDefault="000B1B7A" w:rsidP="000B1B7A">
            <w:pPr>
              <w:pStyle w:val="TableBodyText"/>
              <w:rPr>
                <w:sz w:val="18"/>
                <w:szCs w:val="18"/>
              </w:rPr>
            </w:pPr>
            <w:r w:rsidRPr="000B1B7A">
              <w:rPr>
                <w:sz w:val="18"/>
                <w:szCs w:val="18"/>
              </w:rPr>
              <w:t>..</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798.6</w:t>
            </w:r>
          </w:p>
        </w:tc>
      </w:tr>
      <w:tr w:rsidR="000B1B7A" w:rsidRPr="00736456" w:rsidTr="00D62EE8">
        <w:tc>
          <w:tcPr>
            <w:tcW w:w="2127" w:type="dxa"/>
          </w:tcPr>
          <w:p w:rsidR="000B1B7A" w:rsidRPr="00736456" w:rsidRDefault="000B1B7A" w:rsidP="00322965">
            <w:pPr>
              <w:pStyle w:val="TableBodyText"/>
              <w:jc w:val="left"/>
              <w:rPr>
                <w:rStyle w:val="NoteLabel"/>
              </w:rPr>
            </w:pPr>
            <w:r w:rsidRPr="00736456">
              <w:t>Family</w:t>
            </w:r>
            <w:r w:rsidR="00581166">
              <w:rPr>
                <w:rStyle w:val="NoteLabel"/>
              </w:rPr>
              <w:t>h</w:t>
            </w:r>
          </w:p>
        </w:tc>
        <w:tc>
          <w:tcPr>
            <w:tcW w:w="803" w:type="dxa"/>
            <w:vAlign w:val="bottom"/>
          </w:tcPr>
          <w:p w:rsidR="000B1B7A" w:rsidRPr="000B1B7A" w:rsidRDefault="000B1B7A" w:rsidP="000B1B7A">
            <w:pPr>
              <w:pStyle w:val="TableBodyText"/>
              <w:rPr>
                <w:sz w:val="18"/>
                <w:szCs w:val="18"/>
              </w:rPr>
            </w:pPr>
            <w:r w:rsidRPr="000B1B7A">
              <w:rPr>
                <w:sz w:val="18"/>
                <w:szCs w:val="18"/>
              </w:rPr>
              <w:t>..</w:t>
            </w:r>
          </w:p>
        </w:tc>
        <w:tc>
          <w:tcPr>
            <w:tcW w:w="756" w:type="dxa"/>
            <w:vAlign w:val="bottom"/>
          </w:tcPr>
          <w:p w:rsidR="000B1B7A" w:rsidRPr="000B1B7A" w:rsidRDefault="000B1B7A" w:rsidP="000B1B7A">
            <w:pPr>
              <w:pStyle w:val="TableBodyText"/>
              <w:rPr>
                <w:sz w:val="18"/>
                <w:szCs w:val="18"/>
              </w:rPr>
            </w:pPr>
            <w:r w:rsidRPr="000B1B7A">
              <w:rPr>
                <w:sz w:val="18"/>
                <w:szCs w:val="18"/>
              </w:rPr>
              <w:t>..</w:t>
            </w:r>
          </w:p>
        </w:tc>
        <w:tc>
          <w:tcPr>
            <w:tcW w:w="662" w:type="dxa"/>
            <w:vAlign w:val="bottom"/>
          </w:tcPr>
          <w:p w:rsidR="000B1B7A" w:rsidRPr="000B1B7A" w:rsidRDefault="000B1B7A" w:rsidP="000B1B7A">
            <w:pPr>
              <w:pStyle w:val="TableBodyText"/>
              <w:rPr>
                <w:sz w:val="18"/>
                <w:szCs w:val="18"/>
              </w:rPr>
            </w:pPr>
            <w:r w:rsidRPr="000B1B7A">
              <w:rPr>
                <w:sz w:val="18"/>
                <w:szCs w:val="18"/>
              </w:rPr>
              <w:t>..</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28.6</w:t>
            </w:r>
          </w:p>
        </w:tc>
        <w:tc>
          <w:tcPr>
            <w:tcW w:w="570"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691" w:type="dxa"/>
            <w:vAlign w:val="bottom"/>
          </w:tcPr>
          <w:p w:rsidR="000B1B7A" w:rsidRPr="000B1B7A" w:rsidRDefault="000B1B7A" w:rsidP="000B1B7A">
            <w:pPr>
              <w:pStyle w:val="TableBodyText"/>
              <w:rPr>
                <w:sz w:val="18"/>
                <w:szCs w:val="18"/>
              </w:rPr>
            </w:pPr>
            <w:r w:rsidRPr="000B1B7A">
              <w:rPr>
                <w:sz w:val="18"/>
                <w:szCs w:val="18"/>
              </w:rPr>
              <w:t>..</w:t>
            </w:r>
          </w:p>
        </w:tc>
        <w:tc>
          <w:tcPr>
            <w:tcW w:w="658" w:type="dxa"/>
            <w:vAlign w:val="bottom"/>
          </w:tcPr>
          <w:p w:rsidR="000B1B7A" w:rsidRPr="000B1B7A" w:rsidRDefault="000B1B7A" w:rsidP="000B1B7A">
            <w:pPr>
              <w:pStyle w:val="TableBodyText"/>
              <w:rPr>
                <w:sz w:val="18"/>
                <w:szCs w:val="18"/>
              </w:rPr>
            </w:pPr>
            <w:r w:rsidRPr="000B1B7A">
              <w:rPr>
                <w:sz w:val="18"/>
                <w:szCs w:val="18"/>
              </w:rPr>
              <w:t xml:space="preserve">  93.7</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122.2</w:t>
            </w:r>
          </w:p>
        </w:tc>
      </w:tr>
      <w:tr w:rsidR="000B1B7A" w:rsidRPr="00736456" w:rsidTr="00D62EE8">
        <w:tc>
          <w:tcPr>
            <w:tcW w:w="2127" w:type="dxa"/>
          </w:tcPr>
          <w:p w:rsidR="000B1B7A" w:rsidRPr="00736456" w:rsidRDefault="000B1B7A" w:rsidP="00B62945">
            <w:pPr>
              <w:pStyle w:val="TableBodyText"/>
              <w:ind w:right="16"/>
              <w:jc w:val="left"/>
              <w:rPr>
                <w:rStyle w:val="NoteLabel"/>
              </w:rPr>
            </w:pPr>
            <w:r w:rsidRPr="00736456">
              <w:t xml:space="preserve">Federal </w:t>
            </w:r>
            <w:r>
              <w:t>Circuit</w:t>
            </w:r>
            <w:proofErr w:type="spellStart"/>
            <w:r w:rsidR="00581166">
              <w:rPr>
                <w:rStyle w:val="NoteLabel"/>
              </w:rPr>
              <w:t>i</w:t>
            </w:r>
            <w:proofErr w:type="spellEnd"/>
          </w:p>
        </w:tc>
        <w:tc>
          <w:tcPr>
            <w:tcW w:w="803" w:type="dxa"/>
            <w:vAlign w:val="bottom"/>
          </w:tcPr>
          <w:p w:rsidR="000B1B7A" w:rsidRPr="000B1B7A" w:rsidRDefault="000B1B7A" w:rsidP="000B1B7A">
            <w:pPr>
              <w:pStyle w:val="TableBodyText"/>
              <w:rPr>
                <w:sz w:val="18"/>
                <w:szCs w:val="18"/>
              </w:rPr>
            </w:pPr>
            <w:r w:rsidRPr="000B1B7A">
              <w:rPr>
                <w:sz w:val="18"/>
                <w:szCs w:val="18"/>
              </w:rPr>
              <w:t>..</w:t>
            </w:r>
          </w:p>
        </w:tc>
        <w:tc>
          <w:tcPr>
            <w:tcW w:w="756" w:type="dxa"/>
            <w:vAlign w:val="bottom"/>
          </w:tcPr>
          <w:p w:rsidR="000B1B7A" w:rsidRPr="000B1B7A" w:rsidRDefault="000B1B7A" w:rsidP="000B1B7A">
            <w:pPr>
              <w:pStyle w:val="TableBodyText"/>
              <w:rPr>
                <w:sz w:val="18"/>
                <w:szCs w:val="18"/>
              </w:rPr>
            </w:pPr>
            <w:r w:rsidRPr="000B1B7A">
              <w:rPr>
                <w:sz w:val="18"/>
                <w:szCs w:val="18"/>
              </w:rPr>
              <w:t>..</w:t>
            </w:r>
          </w:p>
        </w:tc>
        <w:tc>
          <w:tcPr>
            <w:tcW w:w="662" w:type="dxa"/>
            <w:vAlign w:val="bottom"/>
          </w:tcPr>
          <w:p w:rsidR="000B1B7A" w:rsidRPr="000B1B7A" w:rsidRDefault="000B1B7A" w:rsidP="000B1B7A">
            <w:pPr>
              <w:pStyle w:val="TableBodyText"/>
              <w:rPr>
                <w:sz w:val="18"/>
                <w:szCs w:val="18"/>
              </w:rPr>
            </w:pPr>
            <w:r w:rsidRPr="000B1B7A">
              <w:rPr>
                <w:sz w:val="18"/>
                <w:szCs w:val="18"/>
              </w:rPr>
              <w:t>..</w:t>
            </w:r>
          </w:p>
        </w:tc>
        <w:tc>
          <w:tcPr>
            <w:tcW w:w="614" w:type="dxa"/>
            <w:vAlign w:val="bottom"/>
          </w:tcPr>
          <w:p w:rsidR="000B1B7A" w:rsidRPr="000B1B7A" w:rsidRDefault="000B1B7A" w:rsidP="000B1B7A">
            <w:pPr>
              <w:pStyle w:val="TableBodyText"/>
              <w:rPr>
                <w:sz w:val="18"/>
                <w:szCs w:val="18"/>
              </w:rPr>
            </w:pPr>
            <w:r w:rsidRPr="000B1B7A">
              <w:rPr>
                <w:sz w:val="18"/>
                <w:szCs w:val="18"/>
              </w:rPr>
              <w:t>..</w:t>
            </w:r>
          </w:p>
        </w:tc>
        <w:tc>
          <w:tcPr>
            <w:tcW w:w="570"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691" w:type="dxa"/>
            <w:vAlign w:val="bottom"/>
          </w:tcPr>
          <w:p w:rsidR="000B1B7A" w:rsidRPr="000B1B7A" w:rsidRDefault="000B1B7A" w:rsidP="000B1B7A">
            <w:pPr>
              <w:pStyle w:val="TableBodyText"/>
              <w:rPr>
                <w:sz w:val="18"/>
                <w:szCs w:val="18"/>
              </w:rPr>
            </w:pPr>
            <w:r w:rsidRPr="000B1B7A">
              <w:rPr>
                <w:sz w:val="18"/>
                <w:szCs w:val="18"/>
              </w:rPr>
              <w:t>..</w:t>
            </w:r>
          </w:p>
        </w:tc>
        <w:tc>
          <w:tcPr>
            <w:tcW w:w="658" w:type="dxa"/>
            <w:vAlign w:val="bottom"/>
          </w:tcPr>
          <w:p w:rsidR="000B1B7A" w:rsidRPr="000B1B7A" w:rsidRDefault="000B1B7A" w:rsidP="000B1B7A">
            <w:pPr>
              <w:pStyle w:val="TableBodyText"/>
              <w:rPr>
                <w:sz w:val="18"/>
                <w:szCs w:val="18"/>
              </w:rPr>
            </w:pPr>
            <w:r w:rsidRPr="000B1B7A">
              <w:rPr>
                <w:sz w:val="18"/>
                <w:szCs w:val="18"/>
              </w:rPr>
              <w:t>104.3</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104.3</w:t>
            </w:r>
          </w:p>
        </w:tc>
      </w:tr>
      <w:tr w:rsidR="000B1B7A" w:rsidRPr="00736456" w:rsidTr="00D62EE8">
        <w:tc>
          <w:tcPr>
            <w:tcW w:w="2127" w:type="dxa"/>
          </w:tcPr>
          <w:p w:rsidR="000B1B7A" w:rsidRPr="00736456" w:rsidRDefault="000B1B7A" w:rsidP="00322965">
            <w:pPr>
              <w:pStyle w:val="TableBodyText"/>
              <w:jc w:val="left"/>
            </w:pPr>
            <w:r w:rsidRPr="00736456">
              <w:t>Coroners’</w:t>
            </w:r>
            <w:r w:rsidR="00581166">
              <w:rPr>
                <w:rStyle w:val="NoteLabel"/>
              </w:rPr>
              <w:t>j</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5.2</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15.1</w:t>
            </w:r>
          </w:p>
        </w:tc>
        <w:tc>
          <w:tcPr>
            <w:tcW w:w="662" w:type="dxa"/>
            <w:vAlign w:val="bottom"/>
          </w:tcPr>
          <w:p w:rsidR="000B1B7A" w:rsidRPr="000B1B7A" w:rsidRDefault="000B1B7A" w:rsidP="000B1B7A">
            <w:pPr>
              <w:pStyle w:val="TableBodyText"/>
              <w:rPr>
                <w:sz w:val="18"/>
                <w:szCs w:val="18"/>
              </w:rPr>
            </w:pPr>
            <w:r w:rsidRPr="000B1B7A">
              <w:rPr>
                <w:sz w:val="18"/>
                <w:szCs w:val="18"/>
              </w:rPr>
              <w:t xml:space="preserve">  10.8</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6.2</w:t>
            </w:r>
          </w:p>
        </w:tc>
        <w:tc>
          <w:tcPr>
            <w:tcW w:w="570" w:type="dxa"/>
            <w:vAlign w:val="bottom"/>
          </w:tcPr>
          <w:p w:rsidR="000B1B7A" w:rsidRPr="000B1B7A" w:rsidRDefault="000B1B7A" w:rsidP="000B1B7A">
            <w:pPr>
              <w:pStyle w:val="TableBodyText"/>
              <w:rPr>
                <w:sz w:val="18"/>
                <w:szCs w:val="18"/>
              </w:rPr>
            </w:pPr>
            <w:r w:rsidRPr="000B1B7A">
              <w:rPr>
                <w:sz w:val="18"/>
                <w:szCs w:val="18"/>
              </w:rPr>
              <w:t xml:space="preserve">  3.1</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0.4</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1.1</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1.2</w:t>
            </w:r>
          </w:p>
        </w:tc>
        <w:tc>
          <w:tcPr>
            <w:tcW w:w="658" w:type="dxa"/>
            <w:vAlign w:val="bottom"/>
          </w:tcPr>
          <w:p w:rsidR="000B1B7A" w:rsidRPr="000B1B7A" w:rsidRDefault="000B1B7A" w:rsidP="000B1B7A">
            <w:pPr>
              <w:pStyle w:val="TableBodyText"/>
              <w:rPr>
                <w:sz w:val="18"/>
                <w:szCs w:val="18"/>
              </w:rPr>
            </w:pPr>
            <w:r w:rsidRPr="000B1B7A">
              <w:rPr>
                <w:sz w:val="18"/>
                <w:szCs w:val="18"/>
              </w:rPr>
              <w:t>..</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43.0</w:t>
            </w:r>
          </w:p>
        </w:tc>
      </w:tr>
      <w:tr w:rsidR="000B1B7A" w:rsidRPr="00736456" w:rsidTr="00D62EE8">
        <w:tc>
          <w:tcPr>
            <w:tcW w:w="2127" w:type="dxa"/>
          </w:tcPr>
          <w:p w:rsidR="000B1B7A" w:rsidRPr="00736456" w:rsidRDefault="000B1B7A" w:rsidP="00322965">
            <w:pPr>
              <w:pStyle w:val="TableBodyText"/>
              <w:jc w:val="left"/>
              <w:rPr>
                <w:rStyle w:val="NoteLabel"/>
              </w:rPr>
            </w:pPr>
            <w:r w:rsidRPr="00736456">
              <w:t>Probate — Supreme</w:t>
            </w:r>
            <w:r w:rsidR="00581166">
              <w:rPr>
                <w:rStyle w:val="NoteLabel"/>
              </w:rPr>
              <w:t>k</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0.9</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0.8</w:t>
            </w:r>
          </w:p>
        </w:tc>
        <w:tc>
          <w:tcPr>
            <w:tcW w:w="662" w:type="dxa"/>
            <w:vAlign w:val="bottom"/>
          </w:tcPr>
          <w:p w:rsidR="000B1B7A" w:rsidRPr="000B1B7A" w:rsidRDefault="000B1B7A" w:rsidP="000B1B7A">
            <w:pPr>
              <w:pStyle w:val="TableBodyText"/>
              <w:rPr>
                <w:sz w:val="18"/>
                <w:szCs w:val="18"/>
              </w:rPr>
            </w:pPr>
            <w:r w:rsidRPr="000B1B7A">
              <w:rPr>
                <w:sz w:val="18"/>
                <w:szCs w:val="18"/>
              </w:rPr>
              <w:t xml:space="preserve">  0.3</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0.5</w:t>
            </w:r>
          </w:p>
        </w:tc>
        <w:tc>
          <w:tcPr>
            <w:tcW w:w="570" w:type="dxa"/>
            <w:vAlign w:val="bottom"/>
          </w:tcPr>
          <w:p w:rsidR="000B1B7A" w:rsidRPr="000B1B7A" w:rsidRDefault="000B1B7A" w:rsidP="000B1B7A">
            <w:pPr>
              <w:pStyle w:val="TableBodyText"/>
              <w:rPr>
                <w:sz w:val="18"/>
                <w:szCs w:val="18"/>
              </w:rPr>
            </w:pPr>
            <w:r w:rsidRPr="000B1B7A">
              <w:rPr>
                <w:sz w:val="18"/>
                <w:szCs w:val="18"/>
              </w:rPr>
              <w:t xml:space="preserve">  0.6</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0.1</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0.1</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0.1</w:t>
            </w:r>
          </w:p>
        </w:tc>
        <w:tc>
          <w:tcPr>
            <w:tcW w:w="658" w:type="dxa"/>
            <w:vAlign w:val="bottom"/>
          </w:tcPr>
          <w:p w:rsidR="000B1B7A" w:rsidRPr="000B1B7A" w:rsidRDefault="000B1B7A" w:rsidP="000B1B7A">
            <w:pPr>
              <w:pStyle w:val="TableBodyText"/>
              <w:rPr>
                <w:sz w:val="18"/>
                <w:szCs w:val="18"/>
              </w:rPr>
            </w:pPr>
            <w:r w:rsidRPr="000B1B7A">
              <w:rPr>
                <w:sz w:val="18"/>
                <w:szCs w:val="18"/>
              </w:rPr>
              <w:t>..</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3.3</w:t>
            </w:r>
          </w:p>
        </w:tc>
      </w:tr>
      <w:tr w:rsidR="000B1B7A" w:rsidRPr="00C75DAB" w:rsidTr="00D62EE8">
        <w:tc>
          <w:tcPr>
            <w:tcW w:w="2127" w:type="dxa"/>
          </w:tcPr>
          <w:p w:rsidR="000B1B7A" w:rsidRPr="00C75DAB" w:rsidRDefault="000B1B7A" w:rsidP="00322965">
            <w:pPr>
              <w:pStyle w:val="TableBodyText"/>
              <w:jc w:val="left"/>
              <w:rPr>
                <w:b/>
              </w:rPr>
            </w:pPr>
            <w:r w:rsidRPr="00C75DAB">
              <w:rPr>
                <w:b/>
              </w:rPr>
              <w:t>Total</w:t>
            </w:r>
          </w:p>
        </w:tc>
        <w:tc>
          <w:tcPr>
            <w:tcW w:w="803" w:type="dxa"/>
            <w:vAlign w:val="bottom"/>
          </w:tcPr>
          <w:p w:rsidR="000B1B7A" w:rsidRPr="00792381" w:rsidRDefault="000B1B7A" w:rsidP="000B1B7A">
            <w:pPr>
              <w:pStyle w:val="TableBodyText"/>
              <w:rPr>
                <w:b/>
                <w:sz w:val="18"/>
                <w:szCs w:val="18"/>
              </w:rPr>
            </w:pPr>
            <w:r w:rsidRPr="00792381">
              <w:rPr>
                <w:b/>
                <w:sz w:val="18"/>
                <w:szCs w:val="18"/>
              </w:rPr>
              <w:t xml:space="preserve">  403.6</w:t>
            </w:r>
          </w:p>
        </w:tc>
        <w:tc>
          <w:tcPr>
            <w:tcW w:w="756" w:type="dxa"/>
            <w:vAlign w:val="bottom"/>
          </w:tcPr>
          <w:p w:rsidR="000B1B7A" w:rsidRPr="00792381" w:rsidRDefault="000B1B7A" w:rsidP="000B1B7A">
            <w:pPr>
              <w:pStyle w:val="TableBodyText"/>
              <w:rPr>
                <w:b/>
                <w:sz w:val="18"/>
                <w:szCs w:val="18"/>
              </w:rPr>
            </w:pPr>
            <w:r w:rsidRPr="00792381">
              <w:rPr>
                <w:b/>
                <w:sz w:val="18"/>
                <w:szCs w:val="18"/>
              </w:rPr>
              <w:t xml:space="preserve">  325.0</w:t>
            </w:r>
          </w:p>
        </w:tc>
        <w:tc>
          <w:tcPr>
            <w:tcW w:w="662" w:type="dxa"/>
            <w:vAlign w:val="bottom"/>
          </w:tcPr>
          <w:p w:rsidR="000B1B7A" w:rsidRPr="00792381" w:rsidRDefault="000B1B7A" w:rsidP="000B1B7A">
            <w:pPr>
              <w:pStyle w:val="TableBodyText"/>
              <w:rPr>
                <w:b/>
                <w:sz w:val="18"/>
                <w:szCs w:val="18"/>
              </w:rPr>
            </w:pPr>
            <w:r w:rsidRPr="00792381">
              <w:rPr>
                <w:b/>
                <w:sz w:val="18"/>
                <w:szCs w:val="18"/>
              </w:rPr>
              <w:t>217.6</w:t>
            </w:r>
          </w:p>
        </w:tc>
        <w:tc>
          <w:tcPr>
            <w:tcW w:w="614" w:type="dxa"/>
            <w:vAlign w:val="bottom"/>
          </w:tcPr>
          <w:p w:rsidR="000B1B7A" w:rsidRPr="00792381" w:rsidRDefault="000B1B7A" w:rsidP="000B1B7A">
            <w:pPr>
              <w:pStyle w:val="TableBodyText"/>
              <w:rPr>
                <w:b/>
                <w:sz w:val="18"/>
                <w:szCs w:val="18"/>
              </w:rPr>
            </w:pPr>
            <w:r w:rsidRPr="00792381">
              <w:rPr>
                <w:b/>
                <w:sz w:val="18"/>
                <w:szCs w:val="18"/>
              </w:rPr>
              <w:t>229.0</w:t>
            </w:r>
          </w:p>
        </w:tc>
        <w:tc>
          <w:tcPr>
            <w:tcW w:w="570" w:type="dxa"/>
            <w:vAlign w:val="bottom"/>
          </w:tcPr>
          <w:p w:rsidR="000B1B7A" w:rsidRPr="00792381" w:rsidRDefault="000B1B7A" w:rsidP="000B1B7A">
            <w:pPr>
              <w:pStyle w:val="TableBodyText"/>
              <w:rPr>
                <w:b/>
                <w:sz w:val="18"/>
                <w:szCs w:val="18"/>
              </w:rPr>
            </w:pPr>
            <w:r w:rsidRPr="00792381">
              <w:rPr>
                <w:b/>
                <w:sz w:val="18"/>
                <w:szCs w:val="18"/>
              </w:rPr>
              <w:t>102.2</w:t>
            </w:r>
          </w:p>
        </w:tc>
        <w:tc>
          <w:tcPr>
            <w:tcW w:w="567" w:type="dxa"/>
            <w:vAlign w:val="bottom"/>
          </w:tcPr>
          <w:p w:rsidR="000B1B7A" w:rsidRPr="00792381" w:rsidRDefault="000B1B7A" w:rsidP="000B1B7A">
            <w:pPr>
              <w:pStyle w:val="TableBodyText"/>
              <w:rPr>
                <w:b/>
                <w:sz w:val="18"/>
                <w:szCs w:val="18"/>
              </w:rPr>
            </w:pPr>
            <w:r w:rsidRPr="00792381">
              <w:rPr>
                <w:b/>
                <w:sz w:val="18"/>
                <w:szCs w:val="18"/>
              </w:rPr>
              <w:t>25.6</w:t>
            </w:r>
          </w:p>
        </w:tc>
        <w:tc>
          <w:tcPr>
            <w:tcW w:w="567" w:type="dxa"/>
            <w:vAlign w:val="bottom"/>
          </w:tcPr>
          <w:p w:rsidR="000B1B7A" w:rsidRPr="00792381" w:rsidRDefault="000B1B7A" w:rsidP="000B1B7A">
            <w:pPr>
              <w:pStyle w:val="TableBodyText"/>
              <w:rPr>
                <w:b/>
                <w:sz w:val="18"/>
                <w:szCs w:val="18"/>
              </w:rPr>
            </w:pPr>
            <w:r w:rsidRPr="00792381">
              <w:rPr>
                <w:b/>
                <w:sz w:val="18"/>
                <w:szCs w:val="18"/>
              </w:rPr>
              <w:t>26.6</w:t>
            </w:r>
          </w:p>
        </w:tc>
        <w:tc>
          <w:tcPr>
            <w:tcW w:w="691" w:type="dxa"/>
            <w:vAlign w:val="bottom"/>
          </w:tcPr>
          <w:p w:rsidR="000B1B7A" w:rsidRPr="00792381" w:rsidRDefault="000B1B7A" w:rsidP="000B1B7A">
            <w:pPr>
              <w:pStyle w:val="TableBodyText"/>
              <w:rPr>
                <w:b/>
                <w:sz w:val="18"/>
                <w:szCs w:val="18"/>
              </w:rPr>
            </w:pPr>
            <w:r w:rsidRPr="00792381">
              <w:rPr>
                <w:b/>
                <w:sz w:val="18"/>
                <w:szCs w:val="18"/>
              </w:rPr>
              <w:t xml:space="preserve">  34.8</w:t>
            </w:r>
          </w:p>
        </w:tc>
        <w:tc>
          <w:tcPr>
            <w:tcW w:w="658" w:type="dxa"/>
            <w:vAlign w:val="bottom"/>
          </w:tcPr>
          <w:p w:rsidR="000B1B7A" w:rsidRPr="00792381" w:rsidRDefault="000B1B7A" w:rsidP="000B1B7A">
            <w:pPr>
              <w:pStyle w:val="TableBodyText"/>
              <w:rPr>
                <w:b/>
                <w:sz w:val="18"/>
                <w:szCs w:val="18"/>
              </w:rPr>
            </w:pPr>
            <w:r w:rsidRPr="00792381">
              <w:rPr>
                <w:b/>
                <w:sz w:val="18"/>
                <w:szCs w:val="18"/>
              </w:rPr>
              <w:t>293.2</w:t>
            </w:r>
          </w:p>
        </w:tc>
        <w:tc>
          <w:tcPr>
            <w:tcW w:w="774" w:type="dxa"/>
            <w:vAlign w:val="bottom"/>
          </w:tcPr>
          <w:p w:rsidR="000B1B7A" w:rsidRPr="00792381" w:rsidRDefault="000B1B7A" w:rsidP="000B1B7A">
            <w:pPr>
              <w:pStyle w:val="TableBodyText"/>
              <w:rPr>
                <w:b/>
                <w:sz w:val="18"/>
                <w:szCs w:val="18"/>
              </w:rPr>
            </w:pPr>
            <w:r w:rsidRPr="00792381">
              <w:rPr>
                <w:b/>
                <w:sz w:val="18"/>
                <w:szCs w:val="18"/>
              </w:rPr>
              <w:t xml:space="preserve"> 1 657.6</w:t>
            </w:r>
          </w:p>
        </w:tc>
      </w:tr>
      <w:tr w:rsidR="00322965" w:rsidRPr="006F1465" w:rsidTr="00D62EE8">
        <w:tc>
          <w:tcPr>
            <w:tcW w:w="8789" w:type="dxa"/>
            <w:gridSpan w:val="11"/>
          </w:tcPr>
          <w:p w:rsidR="00322965" w:rsidRPr="006F1465" w:rsidRDefault="00322965" w:rsidP="00322965">
            <w:pPr>
              <w:pStyle w:val="TableBodyText"/>
              <w:ind w:right="28"/>
              <w:jc w:val="left"/>
              <w:rPr>
                <w:i/>
              </w:rPr>
            </w:pPr>
            <w:r w:rsidRPr="006F1465">
              <w:rPr>
                <w:i/>
              </w:rPr>
              <w:t>Court</w:t>
            </w:r>
            <w:r w:rsidR="004D451E">
              <w:rPr>
                <w:i/>
              </w:rPr>
              <w:t>s</w:t>
            </w:r>
            <w:r w:rsidR="005F0B59">
              <w:rPr>
                <w:i/>
              </w:rPr>
              <w:t>’</w:t>
            </w:r>
            <w:r w:rsidRPr="006F1465">
              <w:rPr>
                <w:i/>
              </w:rPr>
              <w:t xml:space="preserve"> </w:t>
            </w:r>
            <w:r w:rsidR="0061601B">
              <w:rPr>
                <w:i/>
              </w:rPr>
              <w:t xml:space="preserve">recurrent expenditure </w:t>
            </w:r>
            <w:r w:rsidR="003A0233">
              <w:rPr>
                <w:i/>
              </w:rPr>
              <w:t>less</w:t>
            </w:r>
            <w:r w:rsidRPr="006F1465">
              <w:rPr>
                <w:i/>
              </w:rPr>
              <w:t xml:space="preserve"> income (excluding fines)</w:t>
            </w:r>
          </w:p>
        </w:tc>
      </w:tr>
      <w:tr w:rsidR="000B1B7A" w:rsidRPr="00AD1627" w:rsidTr="00D62EE8">
        <w:tc>
          <w:tcPr>
            <w:tcW w:w="2127" w:type="dxa"/>
          </w:tcPr>
          <w:p w:rsidR="000B1B7A" w:rsidRPr="00BF7231" w:rsidRDefault="000B1B7A" w:rsidP="00322965">
            <w:pPr>
              <w:pStyle w:val="TableBodyText"/>
              <w:jc w:val="left"/>
              <w:rPr>
                <w:rStyle w:val="NoteLabel"/>
              </w:rPr>
            </w:pPr>
            <w:r w:rsidRPr="00BF7231">
              <w:t>Civil</w:t>
            </w:r>
            <w:r w:rsidR="00410B36">
              <w:rPr>
                <w:rStyle w:val="NoteLabel"/>
              </w:rPr>
              <w:t>c, d</w:t>
            </w:r>
            <w:r>
              <w:rPr>
                <w:rStyle w:val="NoteLabel"/>
              </w:rPr>
              <w:t xml:space="preserve">, </w:t>
            </w:r>
            <w:r w:rsidR="00410B36">
              <w:rPr>
                <w:rStyle w:val="NoteLabel"/>
              </w:rPr>
              <w:t>e</w:t>
            </w:r>
            <w:r w:rsidR="00C64B36">
              <w:rPr>
                <w:rStyle w:val="NoteLabel"/>
              </w:rPr>
              <w:t>, f</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117.9</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86.2</w:t>
            </w:r>
          </w:p>
        </w:tc>
        <w:tc>
          <w:tcPr>
            <w:tcW w:w="662" w:type="dxa"/>
            <w:vAlign w:val="bottom"/>
          </w:tcPr>
          <w:p w:rsidR="000B1B7A" w:rsidRPr="000B1B7A" w:rsidRDefault="000B1B7A" w:rsidP="000B1B7A">
            <w:pPr>
              <w:pStyle w:val="TableBodyText"/>
              <w:rPr>
                <w:sz w:val="18"/>
                <w:szCs w:val="18"/>
              </w:rPr>
            </w:pPr>
            <w:r w:rsidRPr="000B1B7A">
              <w:rPr>
                <w:sz w:val="18"/>
                <w:szCs w:val="18"/>
              </w:rPr>
              <w:t xml:space="preserve">  37.2</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43.5</w:t>
            </w:r>
          </w:p>
        </w:tc>
        <w:tc>
          <w:tcPr>
            <w:tcW w:w="570" w:type="dxa"/>
            <w:vAlign w:val="bottom"/>
          </w:tcPr>
          <w:p w:rsidR="000B1B7A" w:rsidRPr="000B1B7A" w:rsidRDefault="000B1B7A" w:rsidP="000B1B7A">
            <w:pPr>
              <w:pStyle w:val="TableBodyText"/>
              <w:rPr>
                <w:sz w:val="18"/>
                <w:szCs w:val="18"/>
              </w:rPr>
            </w:pPr>
            <w:r w:rsidRPr="000B1B7A">
              <w:rPr>
                <w:sz w:val="18"/>
                <w:szCs w:val="18"/>
              </w:rPr>
              <w:t>15.4</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5.3</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9.9</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10.3</w:t>
            </w:r>
          </w:p>
        </w:tc>
        <w:tc>
          <w:tcPr>
            <w:tcW w:w="658" w:type="dxa"/>
            <w:vAlign w:val="bottom"/>
          </w:tcPr>
          <w:p w:rsidR="000B1B7A" w:rsidRPr="000B1B7A" w:rsidRDefault="000B1B7A" w:rsidP="000B1B7A">
            <w:pPr>
              <w:pStyle w:val="TableBodyText"/>
              <w:rPr>
                <w:sz w:val="18"/>
                <w:szCs w:val="18"/>
              </w:rPr>
            </w:pPr>
            <w:r w:rsidRPr="000B1B7A">
              <w:rPr>
                <w:sz w:val="18"/>
                <w:szCs w:val="18"/>
              </w:rPr>
              <w:t xml:space="preserve">  74.9</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400.6</w:t>
            </w:r>
          </w:p>
        </w:tc>
      </w:tr>
      <w:tr w:rsidR="000B1B7A" w:rsidRPr="00AD1627" w:rsidTr="00D62EE8">
        <w:tc>
          <w:tcPr>
            <w:tcW w:w="2127" w:type="dxa"/>
          </w:tcPr>
          <w:p w:rsidR="000B1B7A" w:rsidRPr="00BF7231" w:rsidRDefault="000B1B7A" w:rsidP="00322965">
            <w:pPr>
              <w:pStyle w:val="TableBodyText"/>
              <w:jc w:val="left"/>
              <w:rPr>
                <w:rStyle w:val="NoteLabel"/>
              </w:rPr>
            </w:pPr>
            <w:r w:rsidRPr="00BF7231">
              <w:t>Criminal</w:t>
            </w:r>
            <w:r w:rsidR="00C64B36">
              <w:rPr>
                <w:rStyle w:val="NoteLabel"/>
              </w:rPr>
              <w:t>e, f, g</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199.1</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181.5</w:t>
            </w:r>
          </w:p>
        </w:tc>
        <w:tc>
          <w:tcPr>
            <w:tcW w:w="662" w:type="dxa"/>
            <w:vAlign w:val="bottom"/>
          </w:tcPr>
          <w:p w:rsidR="000B1B7A" w:rsidRPr="000B1B7A" w:rsidRDefault="000B1B7A" w:rsidP="000B1B7A">
            <w:pPr>
              <w:pStyle w:val="TableBodyText"/>
              <w:rPr>
                <w:sz w:val="18"/>
                <w:szCs w:val="18"/>
              </w:rPr>
            </w:pPr>
            <w:r w:rsidRPr="000B1B7A">
              <w:rPr>
                <w:sz w:val="18"/>
                <w:szCs w:val="18"/>
              </w:rPr>
              <w:t>146.7</w:t>
            </w:r>
          </w:p>
        </w:tc>
        <w:tc>
          <w:tcPr>
            <w:tcW w:w="614" w:type="dxa"/>
            <w:vAlign w:val="bottom"/>
          </w:tcPr>
          <w:p w:rsidR="000B1B7A" w:rsidRPr="000B1B7A" w:rsidRDefault="000B1B7A" w:rsidP="000B1B7A">
            <w:pPr>
              <w:pStyle w:val="TableBodyText"/>
              <w:rPr>
                <w:sz w:val="18"/>
                <w:szCs w:val="18"/>
              </w:rPr>
            </w:pPr>
            <w:r w:rsidRPr="000B1B7A">
              <w:rPr>
                <w:sz w:val="18"/>
                <w:szCs w:val="18"/>
              </w:rPr>
              <w:t>127.2</w:t>
            </w:r>
          </w:p>
        </w:tc>
        <w:tc>
          <w:tcPr>
            <w:tcW w:w="570" w:type="dxa"/>
            <w:vAlign w:val="bottom"/>
          </w:tcPr>
          <w:p w:rsidR="000B1B7A" w:rsidRPr="000B1B7A" w:rsidRDefault="000B1B7A" w:rsidP="000B1B7A">
            <w:pPr>
              <w:pStyle w:val="TableBodyText"/>
              <w:rPr>
                <w:sz w:val="18"/>
                <w:szCs w:val="18"/>
              </w:rPr>
            </w:pPr>
            <w:r w:rsidRPr="000B1B7A">
              <w:rPr>
                <w:sz w:val="18"/>
                <w:szCs w:val="18"/>
              </w:rPr>
              <w:t>63.9</w:t>
            </w:r>
          </w:p>
        </w:tc>
        <w:tc>
          <w:tcPr>
            <w:tcW w:w="567" w:type="dxa"/>
            <w:vAlign w:val="bottom"/>
          </w:tcPr>
          <w:p w:rsidR="000B1B7A" w:rsidRPr="000B1B7A" w:rsidRDefault="000B1B7A" w:rsidP="000B1B7A">
            <w:pPr>
              <w:pStyle w:val="TableBodyText"/>
              <w:rPr>
                <w:sz w:val="18"/>
                <w:szCs w:val="18"/>
              </w:rPr>
            </w:pPr>
            <w:r w:rsidRPr="000B1B7A">
              <w:rPr>
                <w:sz w:val="18"/>
                <w:szCs w:val="18"/>
              </w:rPr>
              <w:t>17.2</w:t>
            </w:r>
          </w:p>
        </w:tc>
        <w:tc>
          <w:tcPr>
            <w:tcW w:w="567" w:type="dxa"/>
            <w:vAlign w:val="bottom"/>
          </w:tcPr>
          <w:p w:rsidR="000B1B7A" w:rsidRPr="000B1B7A" w:rsidRDefault="000B1B7A" w:rsidP="000B1B7A">
            <w:pPr>
              <w:pStyle w:val="TableBodyText"/>
              <w:rPr>
                <w:sz w:val="18"/>
                <w:szCs w:val="18"/>
              </w:rPr>
            </w:pPr>
            <w:r w:rsidRPr="000B1B7A">
              <w:rPr>
                <w:sz w:val="18"/>
                <w:szCs w:val="18"/>
              </w:rPr>
              <w:t>13.2</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22.4</w:t>
            </w:r>
          </w:p>
        </w:tc>
        <w:tc>
          <w:tcPr>
            <w:tcW w:w="658" w:type="dxa"/>
            <w:vAlign w:val="bottom"/>
          </w:tcPr>
          <w:p w:rsidR="000B1B7A" w:rsidRPr="000B1B7A" w:rsidRDefault="000B1B7A" w:rsidP="000B1B7A">
            <w:pPr>
              <w:pStyle w:val="TableBodyText"/>
              <w:rPr>
                <w:sz w:val="18"/>
                <w:szCs w:val="18"/>
              </w:rPr>
            </w:pPr>
            <w:r w:rsidRPr="000B1B7A">
              <w:rPr>
                <w:sz w:val="18"/>
                <w:szCs w:val="18"/>
              </w:rPr>
              <w:t>..</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771.1</w:t>
            </w:r>
          </w:p>
        </w:tc>
      </w:tr>
      <w:tr w:rsidR="000B1B7A" w:rsidRPr="00AD1627" w:rsidTr="00D62EE8">
        <w:tc>
          <w:tcPr>
            <w:tcW w:w="2127" w:type="dxa"/>
          </w:tcPr>
          <w:p w:rsidR="000B1B7A" w:rsidRPr="00BF7231" w:rsidRDefault="000B1B7A" w:rsidP="00322965">
            <w:pPr>
              <w:pStyle w:val="TableBodyText"/>
              <w:jc w:val="left"/>
              <w:rPr>
                <w:rStyle w:val="NoteLabel"/>
              </w:rPr>
            </w:pPr>
            <w:r w:rsidRPr="00BF7231">
              <w:t>Family</w:t>
            </w:r>
            <w:r w:rsidR="00581166">
              <w:rPr>
                <w:rStyle w:val="NoteLabel"/>
              </w:rPr>
              <w:t>h</w:t>
            </w:r>
          </w:p>
        </w:tc>
        <w:tc>
          <w:tcPr>
            <w:tcW w:w="803" w:type="dxa"/>
            <w:vAlign w:val="bottom"/>
          </w:tcPr>
          <w:p w:rsidR="000B1B7A" w:rsidRPr="000B1B7A" w:rsidRDefault="000B1B7A" w:rsidP="000B1B7A">
            <w:pPr>
              <w:pStyle w:val="TableBodyText"/>
              <w:rPr>
                <w:sz w:val="18"/>
                <w:szCs w:val="18"/>
              </w:rPr>
            </w:pPr>
            <w:r w:rsidRPr="000B1B7A">
              <w:rPr>
                <w:sz w:val="18"/>
                <w:szCs w:val="18"/>
              </w:rPr>
              <w:t>..</w:t>
            </w:r>
          </w:p>
        </w:tc>
        <w:tc>
          <w:tcPr>
            <w:tcW w:w="756" w:type="dxa"/>
            <w:vAlign w:val="bottom"/>
          </w:tcPr>
          <w:p w:rsidR="000B1B7A" w:rsidRPr="000B1B7A" w:rsidRDefault="000B1B7A" w:rsidP="000B1B7A">
            <w:pPr>
              <w:pStyle w:val="TableBodyText"/>
              <w:rPr>
                <w:sz w:val="18"/>
                <w:szCs w:val="18"/>
              </w:rPr>
            </w:pPr>
            <w:r w:rsidRPr="000B1B7A">
              <w:rPr>
                <w:sz w:val="18"/>
                <w:szCs w:val="18"/>
              </w:rPr>
              <w:t>..</w:t>
            </w:r>
          </w:p>
        </w:tc>
        <w:tc>
          <w:tcPr>
            <w:tcW w:w="662" w:type="dxa"/>
            <w:vAlign w:val="bottom"/>
          </w:tcPr>
          <w:p w:rsidR="000B1B7A" w:rsidRPr="000B1B7A" w:rsidRDefault="000B1B7A" w:rsidP="000B1B7A">
            <w:pPr>
              <w:pStyle w:val="TableBodyText"/>
              <w:rPr>
                <w:sz w:val="18"/>
                <w:szCs w:val="18"/>
              </w:rPr>
            </w:pPr>
            <w:r w:rsidRPr="000B1B7A">
              <w:rPr>
                <w:sz w:val="18"/>
                <w:szCs w:val="18"/>
              </w:rPr>
              <w:t>..</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24.0</w:t>
            </w:r>
          </w:p>
        </w:tc>
        <w:tc>
          <w:tcPr>
            <w:tcW w:w="570"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691" w:type="dxa"/>
            <w:vAlign w:val="bottom"/>
          </w:tcPr>
          <w:p w:rsidR="000B1B7A" w:rsidRPr="000B1B7A" w:rsidRDefault="000B1B7A" w:rsidP="000B1B7A">
            <w:pPr>
              <w:pStyle w:val="TableBodyText"/>
              <w:rPr>
                <w:sz w:val="18"/>
                <w:szCs w:val="18"/>
              </w:rPr>
            </w:pPr>
            <w:r w:rsidRPr="000B1B7A">
              <w:rPr>
                <w:sz w:val="18"/>
                <w:szCs w:val="18"/>
              </w:rPr>
              <w:t>..</w:t>
            </w:r>
          </w:p>
        </w:tc>
        <w:tc>
          <w:tcPr>
            <w:tcW w:w="658" w:type="dxa"/>
            <w:vAlign w:val="bottom"/>
          </w:tcPr>
          <w:p w:rsidR="000B1B7A" w:rsidRPr="000B1B7A" w:rsidRDefault="000B1B7A" w:rsidP="000B1B7A">
            <w:pPr>
              <w:pStyle w:val="TableBodyText"/>
              <w:rPr>
                <w:sz w:val="18"/>
                <w:szCs w:val="18"/>
              </w:rPr>
            </w:pPr>
            <w:r w:rsidRPr="000B1B7A">
              <w:rPr>
                <w:sz w:val="18"/>
                <w:szCs w:val="18"/>
              </w:rPr>
              <w:t xml:space="preserve">  87.8</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111.8</w:t>
            </w:r>
          </w:p>
        </w:tc>
      </w:tr>
      <w:tr w:rsidR="000B1B7A" w:rsidRPr="00AD1627" w:rsidTr="00D62EE8">
        <w:tc>
          <w:tcPr>
            <w:tcW w:w="2127" w:type="dxa"/>
          </w:tcPr>
          <w:p w:rsidR="000B1B7A" w:rsidRPr="00BF7231" w:rsidRDefault="000B1B7A" w:rsidP="00581166">
            <w:pPr>
              <w:pStyle w:val="TableBodyText"/>
              <w:jc w:val="left"/>
              <w:rPr>
                <w:rStyle w:val="NoteLabel"/>
              </w:rPr>
            </w:pPr>
            <w:r w:rsidRPr="00BF7231">
              <w:t xml:space="preserve">Federal </w:t>
            </w:r>
            <w:r>
              <w:t>Circuit</w:t>
            </w:r>
            <w:proofErr w:type="spellStart"/>
            <w:r w:rsidR="00C64B36">
              <w:rPr>
                <w:rStyle w:val="NoteLabel"/>
              </w:rPr>
              <w:t>i</w:t>
            </w:r>
            <w:proofErr w:type="spellEnd"/>
          </w:p>
        </w:tc>
        <w:tc>
          <w:tcPr>
            <w:tcW w:w="803" w:type="dxa"/>
            <w:vAlign w:val="bottom"/>
          </w:tcPr>
          <w:p w:rsidR="000B1B7A" w:rsidRPr="000B1B7A" w:rsidRDefault="000B1B7A" w:rsidP="000B1B7A">
            <w:pPr>
              <w:pStyle w:val="TableBodyText"/>
              <w:rPr>
                <w:sz w:val="18"/>
                <w:szCs w:val="18"/>
              </w:rPr>
            </w:pPr>
            <w:r w:rsidRPr="000B1B7A">
              <w:rPr>
                <w:sz w:val="18"/>
                <w:szCs w:val="18"/>
              </w:rPr>
              <w:t>..</w:t>
            </w:r>
          </w:p>
        </w:tc>
        <w:tc>
          <w:tcPr>
            <w:tcW w:w="756" w:type="dxa"/>
            <w:vAlign w:val="bottom"/>
          </w:tcPr>
          <w:p w:rsidR="000B1B7A" w:rsidRPr="000B1B7A" w:rsidRDefault="000B1B7A" w:rsidP="000B1B7A">
            <w:pPr>
              <w:pStyle w:val="TableBodyText"/>
              <w:rPr>
                <w:sz w:val="18"/>
                <w:szCs w:val="18"/>
              </w:rPr>
            </w:pPr>
            <w:r w:rsidRPr="000B1B7A">
              <w:rPr>
                <w:sz w:val="18"/>
                <w:szCs w:val="18"/>
              </w:rPr>
              <w:t>..</w:t>
            </w:r>
          </w:p>
        </w:tc>
        <w:tc>
          <w:tcPr>
            <w:tcW w:w="662" w:type="dxa"/>
            <w:vAlign w:val="bottom"/>
          </w:tcPr>
          <w:p w:rsidR="000B1B7A" w:rsidRPr="000B1B7A" w:rsidRDefault="000B1B7A" w:rsidP="000B1B7A">
            <w:pPr>
              <w:pStyle w:val="TableBodyText"/>
              <w:rPr>
                <w:sz w:val="18"/>
                <w:szCs w:val="18"/>
              </w:rPr>
            </w:pPr>
            <w:r w:rsidRPr="000B1B7A">
              <w:rPr>
                <w:sz w:val="18"/>
                <w:szCs w:val="18"/>
              </w:rPr>
              <w:t>..</w:t>
            </w:r>
          </w:p>
        </w:tc>
        <w:tc>
          <w:tcPr>
            <w:tcW w:w="614" w:type="dxa"/>
            <w:vAlign w:val="bottom"/>
          </w:tcPr>
          <w:p w:rsidR="000B1B7A" w:rsidRPr="000B1B7A" w:rsidRDefault="000B1B7A" w:rsidP="000B1B7A">
            <w:pPr>
              <w:pStyle w:val="TableBodyText"/>
              <w:rPr>
                <w:sz w:val="18"/>
                <w:szCs w:val="18"/>
              </w:rPr>
            </w:pPr>
            <w:r w:rsidRPr="000B1B7A">
              <w:rPr>
                <w:sz w:val="18"/>
                <w:szCs w:val="18"/>
              </w:rPr>
              <w:t>..</w:t>
            </w:r>
          </w:p>
        </w:tc>
        <w:tc>
          <w:tcPr>
            <w:tcW w:w="570"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567" w:type="dxa"/>
            <w:vAlign w:val="bottom"/>
          </w:tcPr>
          <w:p w:rsidR="000B1B7A" w:rsidRPr="000B1B7A" w:rsidRDefault="000B1B7A" w:rsidP="000B1B7A">
            <w:pPr>
              <w:pStyle w:val="TableBodyText"/>
              <w:rPr>
                <w:sz w:val="18"/>
                <w:szCs w:val="18"/>
              </w:rPr>
            </w:pPr>
            <w:r w:rsidRPr="000B1B7A">
              <w:rPr>
                <w:sz w:val="18"/>
                <w:szCs w:val="18"/>
              </w:rPr>
              <w:t>..</w:t>
            </w:r>
          </w:p>
        </w:tc>
        <w:tc>
          <w:tcPr>
            <w:tcW w:w="691" w:type="dxa"/>
            <w:vAlign w:val="bottom"/>
          </w:tcPr>
          <w:p w:rsidR="000B1B7A" w:rsidRPr="000B1B7A" w:rsidRDefault="000B1B7A" w:rsidP="000B1B7A">
            <w:pPr>
              <w:pStyle w:val="TableBodyText"/>
              <w:rPr>
                <w:sz w:val="18"/>
                <w:szCs w:val="18"/>
              </w:rPr>
            </w:pPr>
            <w:r w:rsidRPr="000B1B7A">
              <w:rPr>
                <w:sz w:val="18"/>
                <w:szCs w:val="18"/>
              </w:rPr>
              <w:t>..</w:t>
            </w:r>
          </w:p>
        </w:tc>
        <w:tc>
          <w:tcPr>
            <w:tcW w:w="658" w:type="dxa"/>
            <w:vAlign w:val="bottom"/>
          </w:tcPr>
          <w:p w:rsidR="000B1B7A" w:rsidRPr="00A50EC8" w:rsidRDefault="000B1B7A" w:rsidP="00F41C13">
            <w:pPr>
              <w:pStyle w:val="TableBodyText"/>
              <w:rPr>
                <w:sz w:val="18"/>
                <w:szCs w:val="18"/>
              </w:rPr>
            </w:pPr>
            <w:r w:rsidRPr="00A50EC8">
              <w:rPr>
                <w:sz w:val="18"/>
                <w:szCs w:val="18"/>
              </w:rPr>
              <w:t xml:space="preserve">  </w:t>
            </w:r>
            <w:r w:rsidR="00F41C13" w:rsidRPr="00A50EC8">
              <w:rPr>
                <w:sz w:val="18"/>
                <w:szCs w:val="18"/>
              </w:rPr>
              <w:t>6</w:t>
            </w:r>
            <w:r w:rsidRPr="00A50EC8">
              <w:rPr>
                <w:sz w:val="18"/>
                <w:szCs w:val="18"/>
              </w:rPr>
              <w:t>5.</w:t>
            </w:r>
            <w:r w:rsidR="00F41C13" w:rsidRPr="00A50EC8">
              <w:rPr>
                <w:sz w:val="18"/>
                <w:szCs w:val="18"/>
              </w:rPr>
              <w:t>1</w:t>
            </w:r>
          </w:p>
        </w:tc>
        <w:tc>
          <w:tcPr>
            <w:tcW w:w="774" w:type="dxa"/>
            <w:vAlign w:val="bottom"/>
          </w:tcPr>
          <w:p w:rsidR="000B1B7A" w:rsidRPr="00A50EC8" w:rsidRDefault="000B1B7A" w:rsidP="00D34293">
            <w:pPr>
              <w:pStyle w:val="TableBodyText"/>
              <w:rPr>
                <w:sz w:val="18"/>
                <w:szCs w:val="18"/>
              </w:rPr>
            </w:pPr>
            <w:r w:rsidRPr="00A50EC8">
              <w:rPr>
                <w:sz w:val="18"/>
                <w:szCs w:val="18"/>
              </w:rPr>
              <w:t xml:space="preserve">  </w:t>
            </w:r>
            <w:r w:rsidR="00D34293" w:rsidRPr="00A50EC8">
              <w:rPr>
                <w:sz w:val="18"/>
                <w:szCs w:val="18"/>
              </w:rPr>
              <w:t>6</w:t>
            </w:r>
            <w:r w:rsidRPr="00A50EC8">
              <w:rPr>
                <w:sz w:val="18"/>
                <w:szCs w:val="18"/>
              </w:rPr>
              <w:t>5.</w:t>
            </w:r>
            <w:r w:rsidR="00D34293" w:rsidRPr="00A50EC8">
              <w:rPr>
                <w:sz w:val="18"/>
                <w:szCs w:val="18"/>
              </w:rPr>
              <w:t>1</w:t>
            </w:r>
          </w:p>
        </w:tc>
      </w:tr>
      <w:tr w:rsidR="000B1B7A" w:rsidRPr="00AD1627" w:rsidTr="00D62EE8">
        <w:tc>
          <w:tcPr>
            <w:tcW w:w="2127" w:type="dxa"/>
          </w:tcPr>
          <w:p w:rsidR="000B1B7A" w:rsidRPr="00BF7231" w:rsidRDefault="000B1B7A" w:rsidP="00322965">
            <w:pPr>
              <w:pStyle w:val="TableBodyText"/>
              <w:jc w:val="left"/>
            </w:pPr>
            <w:r w:rsidRPr="00BF7231">
              <w:t>Coroners’</w:t>
            </w:r>
            <w:r w:rsidR="00581166">
              <w:rPr>
                <w:rStyle w:val="NoteLabel"/>
              </w:rPr>
              <w:t>j</w:t>
            </w:r>
          </w:p>
        </w:tc>
        <w:tc>
          <w:tcPr>
            <w:tcW w:w="803" w:type="dxa"/>
            <w:vAlign w:val="bottom"/>
          </w:tcPr>
          <w:p w:rsidR="000B1B7A" w:rsidRPr="000B1B7A" w:rsidRDefault="000B1B7A" w:rsidP="000B1B7A">
            <w:pPr>
              <w:pStyle w:val="TableBodyText"/>
              <w:rPr>
                <w:sz w:val="18"/>
                <w:szCs w:val="18"/>
              </w:rPr>
            </w:pPr>
            <w:r w:rsidRPr="000B1B7A">
              <w:rPr>
                <w:sz w:val="18"/>
                <w:szCs w:val="18"/>
              </w:rPr>
              <w:t xml:space="preserve">  5.0</w:t>
            </w:r>
          </w:p>
        </w:tc>
        <w:tc>
          <w:tcPr>
            <w:tcW w:w="756" w:type="dxa"/>
            <w:vAlign w:val="bottom"/>
          </w:tcPr>
          <w:p w:rsidR="000B1B7A" w:rsidRPr="000B1B7A" w:rsidRDefault="000B1B7A" w:rsidP="000B1B7A">
            <w:pPr>
              <w:pStyle w:val="TableBodyText"/>
              <w:rPr>
                <w:sz w:val="18"/>
                <w:szCs w:val="18"/>
              </w:rPr>
            </w:pPr>
            <w:r w:rsidRPr="000B1B7A">
              <w:rPr>
                <w:sz w:val="18"/>
                <w:szCs w:val="18"/>
              </w:rPr>
              <w:t xml:space="preserve">  15.1</w:t>
            </w:r>
          </w:p>
        </w:tc>
        <w:tc>
          <w:tcPr>
            <w:tcW w:w="662" w:type="dxa"/>
            <w:vAlign w:val="bottom"/>
          </w:tcPr>
          <w:p w:rsidR="000B1B7A" w:rsidRPr="000B1B7A" w:rsidRDefault="000B1B7A" w:rsidP="000B1B7A">
            <w:pPr>
              <w:pStyle w:val="TableBodyText"/>
              <w:rPr>
                <w:sz w:val="18"/>
                <w:szCs w:val="18"/>
              </w:rPr>
            </w:pPr>
            <w:r w:rsidRPr="000B1B7A">
              <w:rPr>
                <w:sz w:val="18"/>
                <w:szCs w:val="18"/>
              </w:rPr>
              <w:t xml:space="preserve">  10.7</w:t>
            </w:r>
          </w:p>
        </w:tc>
        <w:tc>
          <w:tcPr>
            <w:tcW w:w="614" w:type="dxa"/>
            <w:vAlign w:val="bottom"/>
          </w:tcPr>
          <w:p w:rsidR="000B1B7A" w:rsidRPr="000B1B7A" w:rsidRDefault="000B1B7A" w:rsidP="000B1B7A">
            <w:pPr>
              <w:pStyle w:val="TableBodyText"/>
              <w:rPr>
                <w:sz w:val="18"/>
                <w:szCs w:val="18"/>
              </w:rPr>
            </w:pPr>
            <w:r w:rsidRPr="000B1B7A">
              <w:rPr>
                <w:sz w:val="18"/>
                <w:szCs w:val="18"/>
              </w:rPr>
              <w:t xml:space="preserve">  6.1</w:t>
            </w:r>
          </w:p>
        </w:tc>
        <w:tc>
          <w:tcPr>
            <w:tcW w:w="570" w:type="dxa"/>
            <w:vAlign w:val="bottom"/>
          </w:tcPr>
          <w:p w:rsidR="000B1B7A" w:rsidRPr="000B1B7A" w:rsidRDefault="000B1B7A" w:rsidP="000B1B7A">
            <w:pPr>
              <w:pStyle w:val="TableBodyText"/>
              <w:rPr>
                <w:sz w:val="18"/>
                <w:szCs w:val="18"/>
              </w:rPr>
            </w:pPr>
            <w:r w:rsidRPr="000B1B7A">
              <w:rPr>
                <w:sz w:val="18"/>
                <w:szCs w:val="18"/>
              </w:rPr>
              <w:t xml:space="preserve">  3.0</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0.4</w:t>
            </w:r>
          </w:p>
        </w:tc>
        <w:tc>
          <w:tcPr>
            <w:tcW w:w="567" w:type="dxa"/>
            <w:vAlign w:val="bottom"/>
          </w:tcPr>
          <w:p w:rsidR="000B1B7A" w:rsidRPr="000B1B7A" w:rsidRDefault="000B1B7A" w:rsidP="000B1B7A">
            <w:pPr>
              <w:pStyle w:val="TableBodyText"/>
              <w:rPr>
                <w:sz w:val="18"/>
                <w:szCs w:val="18"/>
              </w:rPr>
            </w:pPr>
            <w:r w:rsidRPr="000B1B7A">
              <w:rPr>
                <w:sz w:val="18"/>
                <w:szCs w:val="18"/>
              </w:rPr>
              <w:t xml:space="preserve">  1.0</w:t>
            </w:r>
          </w:p>
        </w:tc>
        <w:tc>
          <w:tcPr>
            <w:tcW w:w="691" w:type="dxa"/>
            <w:vAlign w:val="bottom"/>
          </w:tcPr>
          <w:p w:rsidR="000B1B7A" w:rsidRPr="000B1B7A" w:rsidRDefault="000B1B7A" w:rsidP="000B1B7A">
            <w:pPr>
              <w:pStyle w:val="TableBodyText"/>
              <w:rPr>
                <w:sz w:val="18"/>
                <w:szCs w:val="18"/>
              </w:rPr>
            </w:pPr>
            <w:r w:rsidRPr="000B1B7A">
              <w:rPr>
                <w:sz w:val="18"/>
                <w:szCs w:val="18"/>
              </w:rPr>
              <w:t xml:space="preserve">  1.2</w:t>
            </w:r>
          </w:p>
        </w:tc>
        <w:tc>
          <w:tcPr>
            <w:tcW w:w="658" w:type="dxa"/>
            <w:vAlign w:val="bottom"/>
          </w:tcPr>
          <w:p w:rsidR="000B1B7A" w:rsidRPr="000B1B7A" w:rsidRDefault="000B1B7A" w:rsidP="000B1B7A">
            <w:pPr>
              <w:pStyle w:val="TableBodyText"/>
              <w:rPr>
                <w:sz w:val="18"/>
                <w:szCs w:val="18"/>
              </w:rPr>
            </w:pPr>
            <w:r w:rsidRPr="000B1B7A">
              <w:rPr>
                <w:sz w:val="18"/>
                <w:szCs w:val="18"/>
              </w:rPr>
              <w:t>..</w:t>
            </w:r>
          </w:p>
        </w:tc>
        <w:tc>
          <w:tcPr>
            <w:tcW w:w="774" w:type="dxa"/>
            <w:vAlign w:val="bottom"/>
          </w:tcPr>
          <w:p w:rsidR="000B1B7A" w:rsidRPr="000B1B7A" w:rsidRDefault="000B1B7A" w:rsidP="000B1B7A">
            <w:pPr>
              <w:pStyle w:val="TableBodyText"/>
              <w:rPr>
                <w:sz w:val="18"/>
                <w:szCs w:val="18"/>
              </w:rPr>
            </w:pPr>
            <w:r w:rsidRPr="000B1B7A">
              <w:rPr>
                <w:sz w:val="18"/>
                <w:szCs w:val="18"/>
              </w:rPr>
              <w:t xml:space="preserve">  42.6</w:t>
            </w:r>
          </w:p>
        </w:tc>
      </w:tr>
      <w:tr w:rsidR="000B1B7A" w:rsidRPr="00AD1627" w:rsidTr="00D62EE8">
        <w:tc>
          <w:tcPr>
            <w:tcW w:w="2127" w:type="dxa"/>
          </w:tcPr>
          <w:p w:rsidR="000B1B7A" w:rsidRPr="00BF7231" w:rsidRDefault="000B1B7A" w:rsidP="00322965">
            <w:pPr>
              <w:pStyle w:val="TableBodyText"/>
              <w:jc w:val="left"/>
              <w:rPr>
                <w:rStyle w:val="NoteLabel"/>
              </w:rPr>
            </w:pPr>
            <w:r w:rsidRPr="00BF7231">
              <w:t>Probate — Supreme</w:t>
            </w:r>
            <w:r w:rsidR="00581166">
              <w:rPr>
                <w:rStyle w:val="NoteLabel"/>
              </w:rPr>
              <w:t>k</w:t>
            </w:r>
          </w:p>
        </w:tc>
        <w:tc>
          <w:tcPr>
            <w:tcW w:w="803" w:type="dxa"/>
            <w:vAlign w:val="bottom"/>
          </w:tcPr>
          <w:p w:rsidR="000B1B7A" w:rsidRPr="000B1B7A" w:rsidRDefault="00884583" w:rsidP="000B1B7A">
            <w:pPr>
              <w:pStyle w:val="TableBodyText"/>
              <w:rPr>
                <w:sz w:val="18"/>
                <w:szCs w:val="18"/>
              </w:rPr>
            </w:pPr>
            <w:r>
              <w:rPr>
                <w:sz w:val="18"/>
                <w:szCs w:val="18"/>
              </w:rPr>
              <w:t xml:space="preserve">- </w:t>
            </w:r>
            <w:r w:rsidR="000B1B7A" w:rsidRPr="000B1B7A">
              <w:rPr>
                <w:sz w:val="18"/>
                <w:szCs w:val="18"/>
              </w:rPr>
              <w:t>27</w:t>
            </w:r>
            <w:r>
              <w:rPr>
                <w:sz w:val="18"/>
                <w:szCs w:val="18"/>
              </w:rPr>
              <w:t>.1</w:t>
            </w:r>
          </w:p>
        </w:tc>
        <w:tc>
          <w:tcPr>
            <w:tcW w:w="756" w:type="dxa"/>
            <w:vAlign w:val="bottom"/>
          </w:tcPr>
          <w:p w:rsidR="000B1B7A" w:rsidRPr="000B1B7A" w:rsidRDefault="00884583" w:rsidP="000B1B7A">
            <w:pPr>
              <w:pStyle w:val="TableBodyText"/>
              <w:rPr>
                <w:sz w:val="18"/>
                <w:szCs w:val="18"/>
              </w:rPr>
            </w:pPr>
            <w:r>
              <w:rPr>
                <w:sz w:val="18"/>
                <w:szCs w:val="18"/>
              </w:rPr>
              <w:t>- 5.9</w:t>
            </w:r>
          </w:p>
        </w:tc>
        <w:tc>
          <w:tcPr>
            <w:tcW w:w="662" w:type="dxa"/>
            <w:vAlign w:val="bottom"/>
          </w:tcPr>
          <w:p w:rsidR="000B1B7A" w:rsidRPr="000B1B7A" w:rsidRDefault="00884583" w:rsidP="000B1B7A">
            <w:pPr>
              <w:pStyle w:val="TableBodyText"/>
              <w:rPr>
                <w:sz w:val="18"/>
                <w:szCs w:val="18"/>
              </w:rPr>
            </w:pPr>
            <w:r>
              <w:rPr>
                <w:sz w:val="18"/>
                <w:szCs w:val="18"/>
              </w:rPr>
              <w:t xml:space="preserve">- </w:t>
            </w:r>
            <w:r w:rsidR="000B1B7A" w:rsidRPr="000B1B7A">
              <w:rPr>
                <w:sz w:val="18"/>
                <w:szCs w:val="18"/>
              </w:rPr>
              <w:t>5</w:t>
            </w:r>
            <w:r>
              <w:rPr>
                <w:sz w:val="18"/>
                <w:szCs w:val="18"/>
              </w:rPr>
              <w:t>.2</w:t>
            </w:r>
          </w:p>
        </w:tc>
        <w:tc>
          <w:tcPr>
            <w:tcW w:w="614" w:type="dxa"/>
            <w:vAlign w:val="bottom"/>
          </w:tcPr>
          <w:p w:rsidR="000B1B7A" w:rsidRPr="000B1B7A" w:rsidRDefault="00884583" w:rsidP="00884583">
            <w:pPr>
              <w:pStyle w:val="TableBodyText"/>
              <w:rPr>
                <w:sz w:val="18"/>
                <w:szCs w:val="18"/>
              </w:rPr>
            </w:pPr>
            <w:r>
              <w:rPr>
                <w:sz w:val="18"/>
                <w:szCs w:val="18"/>
              </w:rPr>
              <w:t>- 0.8</w:t>
            </w:r>
          </w:p>
        </w:tc>
        <w:tc>
          <w:tcPr>
            <w:tcW w:w="570" w:type="dxa"/>
            <w:vAlign w:val="bottom"/>
          </w:tcPr>
          <w:p w:rsidR="000B1B7A" w:rsidRPr="000B1B7A" w:rsidRDefault="00884583" w:rsidP="000B1B7A">
            <w:pPr>
              <w:pStyle w:val="TableBodyText"/>
              <w:rPr>
                <w:sz w:val="18"/>
                <w:szCs w:val="18"/>
              </w:rPr>
            </w:pPr>
            <w:r>
              <w:rPr>
                <w:sz w:val="18"/>
                <w:szCs w:val="18"/>
              </w:rPr>
              <w:t xml:space="preserve">- </w:t>
            </w:r>
            <w:r w:rsidR="000B1B7A" w:rsidRPr="000B1B7A">
              <w:rPr>
                <w:sz w:val="18"/>
                <w:szCs w:val="18"/>
              </w:rPr>
              <w:t>5</w:t>
            </w:r>
            <w:r>
              <w:rPr>
                <w:sz w:val="18"/>
                <w:szCs w:val="18"/>
              </w:rPr>
              <w:t>.4</w:t>
            </w:r>
          </w:p>
        </w:tc>
        <w:tc>
          <w:tcPr>
            <w:tcW w:w="567" w:type="dxa"/>
            <w:vAlign w:val="bottom"/>
          </w:tcPr>
          <w:p w:rsidR="000B1B7A" w:rsidRPr="000B1B7A" w:rsidRDefault="00884583" w:rsidP="000B1B7A">
            <w:pPr>
              <w:pStyle w:val="TableBodyText"/>
              <w:rPr>
                <w:sz w:val="18"/>
                <w:szCs w:val="18"/>
              </w:rPr>
            </w:pPr>
            <w:r>
              <w:rPr>
                <w:sz w:val="18"/>
                <w:szCs w:val="18"/>
              </w:rPr>
              <w:t xml:space="preserve">- </w:t>
            </w:r>
            <w:r w:rsidR="000B1B7A" w:rsidRPr="000B1B7A">
              <w:rPr>
                <w:sz w:val="18"/>
                <w:szCs w:val="18"/>
              </w:rPr>
              <w:t>1</w:t>
            </w:r>
            <w:r>
              <w:rPr>
                <w:sz w:val="18"/>
                <w:szCs w:val="18"/>
              </w:rPr>
              <w:t>.1</w:t>
            </w:r>
          </w:p>
        </w:tc>
        <w:tc>
          <w:tcPr>
            <w:tcW w:w="567" w:type="dxa"/>
            <w:vAlign w:val="bottom"/>
          </w:tcPr>
          <w:p w:rsidR="000B1B7A" w:rsidRPr="000B1B7A" w:rsidRDefault="00884583" w:rsidP="00884583">
            <w:pPr>
              <w:pStyle w:val="TableBodyText"/>
              <w:rPr>
                <w:sz w:val="18"/>
                <w:szCs w:val="18"/>
              </w:rPr>
            </w:pPr>
            <w:r>
              <w:rPr>
                <w:sz w:val="18"/>
                <w:szCs w:val="18"/>
              </w:rPr>
              <w:t>- 0.8</w:t>
            </w:r>
          </w:p>
        </w:tc>
        <w:tc>
          <w:tcPr>
            <w:tcW w:w="691" w:type="dxa"/>
            <w:vAlign w:val="bottom"/>
          </w:tcPr>
          <w:p w:rsidR="000B1B7A" w:rsidRPr="000B1B7A" w:rsidRDefault="00884583" w:rsidP="000B1B7A">
            <w:pPr>
              <w:pStyle w:val="TableBodyText"/>
              <w:rPr>
                <w:sz w:val="18"/>
                <w:szCs w:val="18"/>
              </w:rPr>
            </w:pPr>
            <w:r>
              <w:rPr>
                <w:sz w:val="18"/>
                <w:szCs w:val="18"/>
              </w:rPr>
              <w:t xml:space="preserve">- </w:t>
            </w:r>
            <w:r w:rsidR="000B1B7A" w:rsidRPr="000B1B7A">
              <w:rPr>
                <w:sz w:val="18"/>
                <w:szCs w:val="18"/>
              </w:rPr>
              <w:t>0</w:t>
            </w:r>
            <w:r>
              <w:rPr>
                <w:sz w:val="18"/>
                <w:szCs w:val="18"/>
              </w:rPr>
              <w:t>.1</w:t>
            </w:r>
          </w:p>
        </w:tc>
        <w:tc>
          <w:tcPr>
            <w:tcW w:w="658" w:type="dxa"/>
            <w:vAlign w:val="bottom"/>
          </w:tcPr>
          <w:p w:rsidR="000B1B7A" w:rsidRPr="000B1B7A" w:rsidRDefault="000B1B7A" w:rsidP="000B1B7A">
            <w:pPr>
              <w:pStyle w:val="TableBodyText"/>
              <w:rPr>
                <w:sz w:val="18"/>
                <w:szCs w:val="18"/>
              </w:rPr>
            </w:pPr>
            <w:r w:rsidRPr="000B1B7A">
              <w:rPr>
                <w:sz w:val="18"/>
                <w:szCs w:val="18"/>
              </w:rPr>
              <w:t>..</w:t>
            </w:r>
          </w:p>
        </w:tc>
        <w:tc>
          <w:tcPr>
            <w:tcW w:w="774" w:type="dxa"/>
            <w:vAlign w:val="bottom"/>
          </w:tcPr>
          <w:p w:rsidR="000B1B7A" w:rsidRPr="000B1B7A" w:rsidRDefault="00884583" w:rsidP="000B1B7A">
            <w:pPr>
              <w:pStyle w:val="TableBodyText"/>
              <w:rPr>
                <w:sz w:val="18"/>
                <w:szCs w:val="18"/>
              </w:rPr>
            </w:pPr>
            <w:r>
              <w:rPr>
                <w:sz w:val="18"/>
                <w:szCs w:val="18"/>
              </w:rPr>
              <w:t xml:space="preserve">- </w:t>
            </w:r>
            <w:r w:rsidR="000B1B7A" w:rsidRPr="000B1B7A">
              <w:rPr>
                <w:sz w:val="18"/>
                <w:szCs w:val="18"/>
              </w:rPr>
              <w:t>46</w:t>
            </w:r>
            <w:r>
              <w:rPr>
                <w:sz w:val="18"/>
                <w:szCs w:val="18"/>
              </w:rPr>
              <w:t>.4</w:t>
            </w:r>
          </w:p>
        </w:tc>
      </w:tr>
      <w:tr w:rsidR="000B1B7A" w:rsidRPr="00A5030A" w:rsidTr="005D0E67">
        <w:tc>
          <w:tcPr>
            <w:tcW w:w="2127" w:type="dxa"/>
            <w:tcBorders>
              <w:bottom w:val="single" w:sz="4" w:space="0" w:color="auto"/>
            </w:tcBorders>
          </w:tcPr>
          <w:p w:rsidR="000B1B7A" w:rsidRPr="00C75DAB" w:rsidRDefault="000B1B7A" w:rsidP="00322965">
            <w:pPr>
              <w:pStyle w:val="TableBodyText"/>
              <w:jc w:val="left"/>
              <w:rPr>
                <w:b/>
              </w:rPr>
            </w:pPr>
            <w:r w:rsidRPr="00C75DAB">
              <w:rPr>
                <w:b/>
              </w:rPr>
              <w:t>Total</w:t>
            </w:r>
          </w:p>
        </w:tc>
        <w:tc>
          <w:tcPr>
            <w:tcW w:w="803"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295.0</w:t>
            </w:r>
          </w:p>
        </w:tc>
        <w:tc>
          <w:tcPr>
            <w:tcW w:w="756"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277.0</w:t>
            </w:r>
          </w:p>
        </w:tc>
        <w:tc>
          <w:tcPr>
            <w:tcW w:w="662"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189.3</w:t>
            </w:r>
          </w:p>
        </w:tc>
        <w:tc>
          <w:tcPr>
            <w:tcW w:w="614"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200.0</w:t>
            </w:r>
          </w:p>
        </w:tc>
        <w:tc>
          <w:tcPr>
            <w:tcW w:w="570"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77.0</w:t>
            </w:r>
          </w:p>
        </w:tc>
        <w:tc>
          <w:tcPr>
            <w:tcW w:w="567"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21.7</w:t>
            </w:r>
          </w:p>
        </w:tc>
        <w:tc>
          <w:tcPr>
            <w:tcW w:w="567"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23.3</w:t>
            </w:r>
          </w:p>
        </w:tc>
        <w:tc>
          <w:tcPr>
            <w:tcW w:w="691" w:type="dxa"/>
            <w:tcBorders>
              <w:bottom w:val="single" w:sz="4" w:space="0" w:color="auto"/>
            </w:tcBorders>
            <w:vAlign w:val="bottom"/>
          </w:tcPr>
          <w:p w:rsidR="000B1B7A" w:rsidRPr="00792381" w:rsidRDefault="000B1B7A" w:rsidP="000B1B7A">
            <w:pPr>
              <w:pStyle w:val="TableBodyText"/>
              <w:rPr>
                <w:b/>
                <w:sz w:val="18"/>
                <w:szCs w:val="18"/>
              </w:rPr>
            </w:pPr>
            <w:r w:rsidRPr="00792381">
              <w:rPr>
                <w:b/>
                <w:sz w:val="18"/>
                <w:szCs w:val="18"/>
              </w:rPr>
              <w:t>33.7</w:t>
            </w:r>
          </w:p>
        </w:tc>
        <w:tc>
          <w:tcPr>
            <w:tcW w:w="658" w:type="dxa"/>
            <w:tcBorders>
              <w:bottom w:val="single" w:sz="4" w:space="0" w:color="auto"/>
            </w:tcBorders>
            <w:vAlign w:val="bottom"/>
          </w:tcPr>
          <w:p w:rsidR="000B1B7A" w:rsidRPr="00A50EC8" w:rsidRDefault="000B1B7A" w:rsidP="0015541B">
            <w:pPr>
              <w:pStyle w:val="TableBodyText"/>
              <w:rPr>
                <w:b/>
                <w:sz w:val="18"/>
                <w:szCs w:val="18"/>
              </w:rPr>
            </w:pPr>
            <w:r w:rsidRPr="00A50EC8">
              <w:rPr>
                <w:b/>
                <w:sz w:val="18"/>
                <w:szCs w:val="18"/>
              </w:rPr>
              <w:t>2</w:t>
            </w:r>
            <w:r w:rsidR="0015541B" w:rsidRPr="00A50EC8">
              <w:rPr>
                <w:b/>
                <w:sz w:val="18"/>
                <w:szCs w:val="18"/>
              </w:rPr>
              <w:t>27</w:t>
            </w:r>
            <w:r w:rsidRPr="00A50EC8">
              <w:rPr>
                <w:b/>
                <w:sz w:val="18"/>
                <w:szCs w:val="18"/>
              </w:rPr>
              <w:t>.</w:t>
            </w:r>
            <w:r w:rsidR="0015541B" w:rsidRPr="00A50EC8">
              <w:rPr>
                <w:b/>
                <w:sz w:val="18"/>
                <w:szCs w:val="18"/>
              </w:rPr>
              <w:t>9</w:t>
            </w:r>
          </w:p>
        </w:tc>
        <w:tc>
          <w:tcPr>
            <w:tcW w:w="774" w:type="dxa"/>
            <w:tcBorders>
              <w:bottom w:val="single" w:sz="4" w:space="0" w:color="auto"/>
            </w:tcBorders>
            <w:vAlign w:val="bottom"/>
          </w:tcPr>
          <w:p w:rsidR="000B1B7A" w:rsidRPr="00A50EC8" w:rsidRDefault="000B1B7A" w:rsidP="00D34293">
            <w:pPr>
              <w:pStyle w:val="TableBodyText"/>
              <w:rPr>
                <w:b/>
                <w:sz w:val="18"/>
                <w:szCs w:val="18"/>
              </w:rPr>
            </w:pPr>
            <w:r w:rsidRPr="00A50EC8">
              <w:rPr>
                <w:b/>
                <w:sz w:val="18"/>
                <w:szCs w:val="18"/>
              </w:rPr>
              <w:t>1</w:t>
            </w:r>
            <w:r w:rsidR="00D36538" w:rsidRPr="00A50EC8">
              <w:rPr>
                <w:b/>
                <w:sz w:val="18"/>
                <w:szCs w:val="18"/>
              </w:rPr>
              <w:t xml:space="preserve"> </w:t>
            </w:r>
            <w:r w:rsidRPr="00A50EC8">
              <w:rPr>
                <w:b/>
                <w:sz w:val="18"/>
                <w:szCs w:val="18"/>
              </w:rPr>
              <w:t>3</w:t>
            </w:r>
            <w:r w:rsidR="00D34293" w:rsidRPr="00A50EC8">
              <w:rPr>
                <w:b/>
                <w:sz w:val="18"/>
                <w:szCs w:val="18"/>
              </w:rPr>
              <w:t>44</w:t>
            </w:r>
            <w:r w:rsidRPr="00A50EC8">
              <w:rPr>
                <w:b/>
                <w:sz w:val="18"/>
                <w:szCs w:val="18"/>
              </w:rPr>
              <w:t>.</w:t>
            </w:r>
            <w:r w:rsidR="00D34293" w:rsidRPr="00A50EC8">
              <w:rPr>
                <w:b/>
                <w:sz w:val="18"/>
                <w:szCs w:val="18"/>
              </w:rPr>
              <w:t>8</w:t>
            </w:r>
          </w:p>
        </w:tc>
      </w:tr>
    </w:tbl>
    <w:p w:rsidR="00C92903" w:rsidRDefault="00322965" w:rsidP="00A12CC0">
      <w:pPr>
        <w:pStyle w:val="Note"/>
      </w:pPr>
      <w:r w:rsidRPr="00322965">
        <w:rPr>
          <w:rStyle w:val="NoteLabel"/>
        </w:rPr>
        <w:t>a</w:t>
      </w:r>
      <w:r w:rsidR="00AD1627">
        <w:t xml:space="preserve"> </w:t>
      </w:r>
      <w:r w:rsidR="005344B0">
        <w:t xml:space="preserve">Totals may not sum as a result of rounding. </w:t>
      </w:r>
      <w:r w:rsidR="005344B0">
        <w:rPr>
          <w:rStyle w:val="NoteLabel"/>
        </w:rPr>
        <w:t>b</w:t>
      </w:r>
      <w:r w:rsidR="00AD1627">
        <w:t xml:space="preserve"> </w:t>
      </w:r>
      <w:r w:rsidR="005344B0">
        <w:t xml:space="preserve">Payroll </w:t>
      </w:r>
      <w:r w:rsidR="004962DD">
        <w:t>tax is excluded</w:t>
      </w:r>
      <w:r w:rsidR="005344B0">
        <w:t>.</w:t>
      </w:r>
      <w:r w:rsidR="007F0ED3">
        <w:t xml:space="preserve"> </w:t>
      </w:r>
      <w:r w:rsidR="007F0ED3" w:rsidRPr="00431C54">
        <w:rPr>
          <w:rStyle w:val="NoteLabel"/>
        </w:rPr>
        <w:t>c</w:t>
      </w:r>
      <w:r w:rsidR="00FD0338" w:rsidRPr="00431C54">
        <w:t xml:space="preserve"> </w:t>
      </w:r>
      <w:r w:rsidR="005344B0" w:rsidRPr="00195D6E">
        <w:t>Includes</w:t>
      </w:r>
      <w:r w:rsidR="005344B0">
        <w:t xml:space="preserve"> data for the </w:t>
      </w:r>
      <w:r w:rsidR="00025FE1">
        <w:t>s</w:t>
      </w:r>
      <w:r w:rsidR="00BC62E9">
        <w:t>upreme</w:t>
      </w:r>
      <w:r w:rsidR="005344B0">
        <w:t xml:space="preserve">, </w:t>
      </w:r>
      <w:r w:rsidR="00F43AAD">
        <w:t>district/county</w:t>
      </w:r>
      <w:r w:rsidR="005344B0">
        <w:t xml:space="preserve"> and </w:t>
      </w:r>
      <w:r w:rsidR="00025FE1">
        <w:t>magistrates’ c</w:t>
      </w:r>
      <w:r w:rsidR="00BC62E9">
        <w:t>ourt</w:t>
      </w:r>
      <w:r w:rsidR="005344B0">
        <w:t xml:space="preserve">s (including </w:t>
      </w:r>
      <w:r w:rsidR="00025FE1">
        <w:t>children’s c</w:t>
      </w:r>
      <w:r w:rsidR="00BC62E9">
        <w:t>ourt</w:t>
      </w:r>
      <w:r w:rsidR="005344B0">
        <w:t xml:space="preserve">s) and the Federal Court. Excludes data for probate, family courts, the Federal </w:t>
      </w:r>
      <w:r w:rsidR="00327DD1">
        <w:t xml:space="preserve">Circuit </w:t>
      </w:r>
      <w:r w:rsidR="005344B0">
        <w:t>Court</w:t>
      </w:r>
      <w:r w:rsidR="00114D20">
        <w:t xml:space="preserve"> (</w:t>
      </w:r>
      <w:proofErr w:type="spellStart"/>
      <w:r w:rsidR="00114D20">
        <w:t>F</w:t>
      </w:r>
      <w:r w:rsidR="00327DD1">
        <w:t>C</w:t>
      </w:r>
      <w:r w:rsidR="00114D20">
        <w:t>C</w:t>
      </w:r>
      <w:proofErr w:type="spellEnd"/>
      <w:r w:rsidR="00114D20">
        <w:t>)</w:t>
      </w:r>
      <w:r w:rsidR="005344B0" w:rsidRPr="00FC0E60">
        <w:t xml:space="preserve"> </w:t>
      </w:r>
      <w:r w:rsidR="005344B0">
        <w:t xml:space="preserve">and </w:t>
      </w:r>
      <w:r w:rsidR="0083737E">
        <w:t>coroners’ c</w:t>
      </w:r>
      <w:r w:rsidR="00BC62E9">
        <w:t>ourt</w:t>
      </w:r>
      <w:r w:rsidR="005344B0">
        <w:t xml:space="preserve">s. </w:t>
      </w:r>
      <w:r w:rsidR="00410B36">
        <w:rPr>
          <w:rStyle w:val="NoteLabel"/>
        </w:rPr>
        <w:t>d</w:t>
      </w:r>
      <w:r w:rsidR="00AD1627">
        <w:rPr>
          <w:rStyle w:val="NoteLabel"/>
        </w:rPr>
        <w:t xml:space="preserve"> </w:t>
      </w:r>
      <w:r w:rsidR="005344B0">
        <w:t>Data for the Federal Court</w:t>
      </w:r>
      <w:r w:rsidR="00114D20">
        <w:t xml:space="preserve"> of Australia (</w:t>
      </w:r>
      <w:proofErr w:type="spellStart"/>
      <w:r w:rsidR="00114D20">
        <w:t>FCA</w:t>
      </w:r>
      <w:proofErr w:type="spellEnd"/>
      <w:r w:rsidR="00114D20">
        <w:t>)</w:t>
      </w:r>
      <w:r w:rsidR="005344B0">
        <w:t xml:space="preserve"> </w:t>
      </w:r>
      <w:r w:rsidR="004962DD">
        <w:t>ex</w:t>
      </w:r>
      <w:r w:rsidR="005344B0">
        <w:t xml:space="preserve">clude the cost of resources provided free of charge to the </w:t>
      </w:r>
      <w:proofErr w:type="spellStart"/>
      <w:r w:rsidR="005344B0">
        <w:t>F</w:t>
      </w:r>
      <w:r w:rsidR="00327DD1">
        <w:t>C</w:t>
      </w:r>
      <w:r w:rsidR="00114D20">
        <w:t>C</w:t>
      </w:r>
      <w:proofErr w:type="spellEnd"/>
      <w:r w:rsidR="005344B0">
        <w:t xml:space="preserve">. </w:t>
      </w:r>
      <w:r w:rsidR="00410B36">
        <w:rPr>
          <w:rStyle w:val="NoteLabel"/>
        </w:rPr>
        <w:t>e</w:t>
      </w:r>
      <w:r w:rsidR="004A6CB7">
        <w:rPr>
          <w:rStyle w:val="NoteLabel"/>
        </w:rPr>
        <w:t> </w:t>
      </w:r>
      <w:r w:rsidR="00A934CF" w:rsidRPr="00107926">
        <w:t>County Court civil and criminal data include the Public Private Partnership rental and associated costs for the Victorian County Court building</w:t>
      </w:r>
      <w:r w:rsidR="005344B0" w:rsidRPr="00107926">
        <w:t>.</w:t>
      </w:r>
      <w:r w:rsidR="00486F01">
        <w:t xml:space="preserve"> </w:t>
      </w:r>
      <w:r w:rsidR="00581166">
        <w:rPr>
          <w:rStyle w:val="NoteLabel"/>
        </w:rPr>
        <w:t>f </w:t>
      </w:r>
      <w:r w:rsidR="00486F01">
        <w:t>WA civil and criminal data include associated costs relating to the Public Private Partnership for the District Court Building.</w:t>
      </w:r>
      <w:r w:rsidR="004B7689">
        <w:t xml:space="preserve"> </w:t>
      </w:r>
      <w:r w:rsidR="00486F01">
        <w:rPr>
          <w:rStyle w:val="NoteLabel"/>
        </w:rPr>
        <w:t>g</w:t>
      </w:r>
      <w:r w:rsidR="00C92043">
        <w:rPr>
          <w:rStyle w:val="NoteLabel"/>
        </w:rPr>
        <w:t xml:space="preserve"> </w:t>
      </w:r>
      <w:r w:rsidR="005344B0">
        <w:t xml:space="preserve">Includes data for </w:t>
      </w:r>
      <w:r w:rsidR="0083737E">
        <w:t>s</w:t>
      </w:r>
      <w:r w:rsidR="00BC62E9">
        <w:t>upreme</w:t>
      </w:r>
      <w:r w:rsidR="005344B0">
        <w:t xml:space="preserve">, </w:t>
      </w:r>
      <w:r w:rsidR="00F43AAD">
        <w:t>district/county</w:t>
      </w:r>
      <w:r w:rsidR="005344B0">
        <w:t xml:space="preserve"> and </w:t>
      </w:r>
      <w:r w:rsidR="0083737E">
        <w:t>magistrates’ c</w:t>
      </w:r>
      <w:r w:rsidR="00BC62E9">
        <w:t>ourt</w:t>
      </w:r>
      <w:r w:rsidR="005344B0">
        <w:t xml:space="preserve">s (including </w:t>
      </w:r>
      <w:r w:rsidR="0083737E">
        <w:t>children’s c</w:t>
      </w:r>
      <w:r w:rsidR="00BC62E9">
        <w:t>ourt</w:t>
      </w:r>
      <w:r w:rsidR="005344B0">
        <w:t xml:space="preserve">s). </w:t>
      </w:r>
      <w:r w:rsidR="00486F01">
        <w:rPr>
          <w:rStyle w:val="NoteLabel"/>
        </w:rPr>
        <w:t>h</w:t>
      </w:r>
      <w:r w:rsidR="00843F3D">
        <w:rPr>
          <w:rStyle w:val="NoteLabel"/>
        </w:rPr>
        <w:t> </w:t>
      </w:r>
      <w:r w:rsidR="001F584A">
        <w:t>Discounted (estimate) for resources and services (work of court staff and accommodation) provide</w:t>
      </w:r>
      <w:r w:rsidR="00327DD1">
        <w:t xml:space="preserve">d free of charge to the </w:t>
      </w:r>
      <w:proofErr w:type="spellStart"/>
      <w:r w:rsidR="00327DD1">
        <w:t>FC</w:t>
      </w:r>
      <w:r w:rsidR="00642992">
        <w:t>C</w:t>
      </w:r>
      <w:proofErr w:type="spellEnd"/>
      <w:r w:rsidR="001F584A">
        <w:t xml:space="preserve"> in accordance with the Federal Magistrates Act 1999 and appropriations tr</w:t>
      </w:r>
      <w:r w:rsidR="005A60CB">
        <w:t>ansferred to</w:t>
      </w:r>
      <w:r w:rsidR="00114D20">
        <w:t xml:space="preserve"> the</w:t>
      </w:r>
      <w:r w:rsidR="00327DD1">
        <w:t xml:space="preserve"> </w:t>
      </w:r>
      <w:proofErr w:type="spellStart"/>
      <w:r w:rsidR="00327DD1">
        <w:t>FC</w:t>
      </w:r>
      <w:r w:rsidR="001F584A">
        <w:t>C</w:t>
      </w:r>
      <w:proofErr w:type="spellEnd"/>
      <w:r w:rsidR="001F584A">
        <w:t xml:space="preserve"> (shown as expenditure in Family Court of Australia</w:t>
      </w:r>
      <w:r w:rsidR="00114D20">
        <w:t xml:space="preserve"> (</w:t>
      </w:r>
      <w:proofErr w:type="spellStart"/>
      <w:r w:rsidR="00114D20">
        <w:t>FCoA</w:t>
      </w:r>
      <w:proofErr w:type="spellEnd"/>
      <w:r w:rsidR="00114D20">
        <w:t>)</w:t>
      </w:r>
      <w:r w:rsidR="001F584A">
        <w:t xml:space="preserve"> annual report) arisin</w:t>
      </w:r>
      <w:r w:rsidR="005A60CB">
        <w:t>g as a result of delays in the ‘</w:t>
      </w:r>
      <w:r w:rsidR="001F584A">
        <w:t xml:space="preserve">Federal Courts Restructure’. </w:t>
      </w:r>
      <w:r w:rsidR="00901B8C">
        <w:t>In addition t</w:t>
      </w:r>
      <w:r w:rsidR="004F4EF0">
        <w:t xml:space="preserve">he </w:t>
      </w:r>
      <w:proofErr w:type="spellStart"/>
      <w:r w:rsidR="004F4EF0">
        <w:t>F</w:t>
      </w:r>
      <w:r w:rsidR="00114D20">
        <w:t>Co</w:t>
      </w:r>
      <w:r w:rsidR="004F4EF0">
        <w:t>A</w:t>
      </w:r>
      <w:proofErr w:type="spellEnd"/>
      <w:r w:rsidR="004F4EF0">
        <w:t xml:space="preserve"> </w:t>
      </w:r>
      <w:r w:rsidR="004F4EF0" w:rsidRPr="004F4EF0">
        <w:t>provides further shared services, including IT, acco</w:t>
      </w:r>
      <w:r w:rsidR="004F4EF0">
        <w:t>mmodation, work of court staff,</w:t>
      </w:r>
      <w:r w:rsidR="004F4EF0" w:rsidRPr="004F4EF0">
        <w:t xml:space="preserve"> depreciation and amortisation that cannot be quantified and </w:t>
      </w:r>
      <w:r w:rsidR="004F4EF0">
        <w:t xml:space="preserve">as such no additional discount </w:t>
      </w:r>
      <w:r w:rsidR="004F4EF0" w:rsidRPr="004F4EF0">
        <w:t>could be applied</w:t>
      </w:r>
      <w:r w:rsidR="00774B7B">
        <w:t>.</w:t>
      </w:r>
      <w:r w:rsidR="008F3E41">
        <w:t xml:space="preserve"> </w:t>
      </w:r>
      <w:proofErr w:type="spellStart"/>
      <w:r w:rsidR="00486F01">
        <w:rPr>
          <w:rStyle w:val="NoteLabel"/>
        </w:rPr>
        <w:t>i</w:t>
      </w:r>
      <w:proofErr w:type="spellEnd"/>
      <w:r w:rsidR="00DD643D">
        <w:t> </w:t>
      </w:r>
      <w:proofErr w:type="spellStart"/>
      <w:r w:rsidR="00327DD1">
        <w:t>FC</w:t>
      </w:r>
      <w:r w:rsidR="009248F5">
        <w:t>C</w:t>
      </w:r>
      <w:proofErr w:type="spellEnd"/>
      <w:r w:rsidR="009248F5">
        <w:t xml:space="preserve"> expenditure data include resources received free of charg</w:t>
      </w:r>
      <w:r w:rsidR="009D2857">
        <w:t xml:space="preserve">e from the </w:t>
      </w:r>
      <w:proofErr w:type="spellStart"/>
      <w:r w:rsidR="009D2857">
        <w:t>FC</w:t>
      </w:r>
      <w:r w:rsidR="00114D20">
        <w:t>A</w:t>
      </w:r>
      <w:proofErr w:type="spellEnd"/>
      <w:r w:rsidR="009D2857">
        <w:t xml:space="preserve"> and</w:t>
      </w:r>
      <w:r w:rsidR="009248F5">
        <w:t xml:space="preserve"> </w:t>
      </w:r>
      <w:proofErr w:type="spellStart"/>
      <w:r w:rsidR="009248F5">
        <w:t>FC</w:t>
      </w:r>
      <w:r w:rsidR="00114D20">
        <w:t>oA</w:t>
      </w:r>
      <w:proofErr w:type="spellEnd"/>
      <w:r w:rsidR="00114D20">
        <w:t>. Funds</w:t>
      </w:r>
      <w:r w:rsidR="009D2857">
        <w:t xml:space="preserve"> transferred from</w:t>
      </w:r>
      <w:r w:rsidR="00114D20">
        <w:t xml:space="preserve"> the</w:t>
      </w:r>
      <w:r w:rsidR="009D2857">
        <w:t xml:space="preserve"> </w:t>
      </w:r>
      <w:proofErr w:type="spellStart"/>
      <w:r w:rsidR="009D2857">
        <w:t>FCOA</w:t>
      </w:r>
      <w:proofErr w:type="spellEnd"/>
      <w:r w:rsidR="009D2857">
        <w:t xml:space="preserve"> and </w:t>
      </w:r>
      <w:proofErr w:type="spellStart"/>
      <w:r w:rsidR="009D2857">
        <w:t>FCA</w:t>
      </w:r>
      <w:proofErr w:type="spellEnd"/>
      <w:r w:rsidR="009D2857">
        <w:t xml:space="preserve"> as income </w:t>
      </w:r>
      <w:r w:rsidR="00A8617D">
        <w:t>are ex</w:t>
      </w:r>
      <w:r w:rsidR="009D2857">
        <w:t xml:space="preserve">cluded </w:t>
      </w:r>
      <w:r w:rsidR="00A8617D">
        <w:t>from</w:t>
      </w:r>
      <w:r w:rsidR="009D2857">
        <w:t xml:space="preserve"> the</w:t>
      </w:r>
      <w:r w:rsidR="00A8617D">
        <w:t>se</w:t>
      </w:r>
      <w:r w:rsidR="009D2857">
        <w:t xml:space="preserve"> data as these amounts are now considered equivalent to government appropriations (noting that the full appropriation amount was returned to the court due to delays in the restructure of the federal courts). </w:t>
      </w:r>
      <w:r w:rsidR="00776877">
        <w:t>Expenditure</w:t>
      </w:r>
      <w:r w:rsidR="00776877" w:rsidRPr="005E28A2">
        <w:t xml:space="preserve"> for the </w:t>
      </w:r>
      <w:proofErr w:type="spellStart"/>
      <w:r w:rsidR="00327DD1">
        <w:t>FC</w:t>
      </w:r>
      <w:r w:rsidR="009D2857">
        <w:t>C</w:t>
      </w:r>
      <w:proofErr w:type="spellEnd"/>
      <w:r w:rsidR="00776877" w:rsidRPr="005E28A2">
        <w:t xml:space="preserve"> is based on the total net expenditure </w:t>
      </w:r>
      <w:r w:rsidR="00776877">
        <w:t>for that court and</w:t>
      </w:r>
      <w:r w:rsidR="00776877" w:rsidRPr="005E28A2">
        <w:t xml:space="preserve"> does not isolat</w:t>
      </w:r>
      <w:r w:rsidR="00776877">
        <w:t>e family law work from general f</w:t>
      </w:r>
      <w:r w:rsidR="00776877" w:rsidRPr="005E28A2">
        <w:t>ederal law work</w:t>
      </w:r>
      <w:r w:rsidR="00776877">
        <w:t xml:space="preserve">. </w:t>
      </w:r>
      <w:r w:rsidR="00776877" w:rsidRPr="00244C65">
        <w:t>Some Bankruptcy and Immigr</w:t>
      </w:r>
      <w:r w:rsidR="00776877">
        <w:t>ation matters fi</w:t>
      </w:r>
      <w:r w:rsidR="00327DD1">
        <w:t xml:space="preserve">led with the </w:t>
      </w:r>
      <w:proofErr w:type="spellStart"/>
      <w:r w:rsidR="00327DD1">
        <w:t>FC</w:t>
      </w:r>
      <w:r w:rsidR="00776877">
        <w:t>C</w:t>
      </w:r>
      <w:proofErr w:type="spellEnd"/>
      <w:r w:rsidR="00776877" w:rsidRPr="00244C65">
        <w:t xml:space="preserve"> are delegated to be dealt with by F</w:t>
      </w:r>
      <w:r w:rsidR="00776877">
        <w:t>ederal Court registrars</w:t>
      </w:r>
      <w:r w:rsidR="005344B0">
        <w:t>.</w:t>
      </w:r>
      <w:r w:rsidR="00846A29">
        <w:t xml:space="preserve"> This work is funded</w:t>
      </w:r>
      <w:r w:rsidR="00327DD1">
        <w:t xml:space="preserve"> by the </w:t>
      </w:r>
      <w:proofErr w:type="spellStart"/>
      <w:r w:rsidR="00327DD1">
        <w:t>FC</w:t>
      </w:r>
      <w:r w:rsidR="000F6A2B">
        <w:t>C</w:t>
      </w:r>
      <w:proofErr w:type="spellEnd"/>
      <w:r w:rsidR="00846A29">
        <w:t xml:space="preserve"> and is therefore included in its expenditure.</w:t>
      </w:r>
      <w:r w:rsidR="005344B0">
        <w:t xml:space="preserve"> </w:t>
      </w:r>
      <w:proofErr w:type="spellStart"/>
      <w:r w:rsidR="00410B36">
        <w:rPr>
          <w:rStyle w:val="NoteLabel"/>
        </w:rPr>
        <w:t>i</w:t>
      </w:r>
      <w:proofErr w:type="spellEnd"/>
      <w:r w:rsidR="00A67768">
        <w:rPr>
          <w:rStyle w:val="NoteLabel"/>
        </w:rPr>
        <w:t> </w:t>
      </w:r>
      <w:r w:rsidR="00593710">
        <w:t>Excludes</w:t>
      </w:r>
      <w:r w:rsidR="00A35CB8" w:rsidRPr="00EB64F9">
        <w:t xml:space="preserve"> expenditure for autopsy</w:t>
      </w:r>
      <w:r w:rsidR="00593710">
        <w:t>, forensic science, pathology tests and</w:t>
      </w:r>
      <w:r w:rsidR="00B77793">
        <w:t xml:space="preserve"> body </w:t>
      </w:r>
      <w:proofErr w:type="spellStart"/>
      <w:r w:rsidR="00B77793">
        <w:t>conveyancing</w:t>
      </w:r>
      <w:proofErr w:type="spellEnd"/>
      <w:r w:rsidR="00B77793">
        <w:t xml:space="preserve"> fees as the inclusion of these</w:t>
      </w:r>
      <w:r w:rsidR="00593710">
        <w:t xml:space="preserve"> costs</w:t>
      </w:r>
      <w:r w:rsidR="00B77793">
        <w:t xml:space="preserve"> in coroner</w:t>
      </w:r>
      <w:r w:rsidR="00774B7B">
        <w:t>s’</w:t>
      </w:r>
      <w:r w:rsidR="00B77793">
        <w:t xml:space="preserve"> court expenditure</w:t>
      </w:r>
      <w:r w:rsidR="00A35CB8" w:rsidRPr="00EB64F9">
        <w:t xml:space="preserve"> var</w:t>
      </w:r>
      <w:r w:rsidR="00B77793">
        <w:t>ies</w:t>
      </w:r>
      <w:r w:rsidR="00A35CB8">
        <w:t xml:space="preserve"> between states and territories. </w:t>
      </w:r>
      <w:r w:rsidR="004405EE">
        <w:t xml:space="preserve">Expenditure data for the </w:t>
      </w:r>
      <w:r w:rsidR="003A7DA4">
        <w:t xml:space="preserve">Queensland </w:t>
      </w:r>
      <w:r w:rsidR="003A7DA4" w:rsidRPr="003A7DA4">
        <w:t>Coroners</w:t>
      </w:r>
      <w:r w:rsidR="00592D69">
        <w:t>’</w:t>
      </w:r>
      <w:r w:rsidR="004962DD">
        <w:t xml:space="preserve"> Court </w:t>
      </w:r>
      <w:r w:rsidR="004405EE">
        <w:t>and the Victorian Coroners</w:t>
      </w:r>
      <w:r w:rsidR="00592D69">
        <w:t>’</w:t>
      </w:r>
      <w:r w:rsidR="004405EE">
        <w:t xml:space="preserve"> Court </w:t>
      </w:r>
      <w:r w:rsidR="004962DD">
        <w:t>include</w:t>
      </w:r>
      <w:r w:rsidR="003A7DA4" w:rsidRPr="003A7DA4">
        <w:t xml:space="preserve"> the full costs of governm</w:t>
      </w:r>
      <w:r w:rsidR="00593710">
        <w:t>ent assisted burials/cremations</w:t>
      </w:r>
      <w:r w:rsidR="004962DD">
        <w:t>,</w:t>
      </w:r>
      <w:r w:rsidR="005C6664">
        <w:t xml:space="preserve"> legal fee</w:t>
      </w:r>
      <w:r w:rsidR="003A7DA4" w:rsidRPr="003A7DA4">
        <w:t xml:space="preserve">s incurred in briefing counsel assisting for inquests and costs of preparing matters </w:t>
      </w:r>
      <w:r w:rsidR="004405EE">
        <w:t>for</w:t>
      </w:r>
      <w:r w:rsidR="003A7DA4" w:rsidRPr="003A7DA4">
        <w:t xml:space="preserve"> inquest</w:t>
      </w:r>
      <w:r w:rsidR="00A71A58">
        <w:t>, including the costs of obtaining independent expert reports</w:t>
      </w:r>
      <w:r w:rsidR="003A7DA4" w:rsidRPr="00195D6E">
        <w:t>.</w:t>
      </w:r>
      <w:r w:rsidR="00F14407" w:rsidRPr="00195D6E">
        <w:t xml:space="preserve"> </w:t>
      </w:r>
      <w:r w:rsidR="00616CAA">
        <w:rPr>
          <w:rStyle w:val="NoteLabel"/>
        </w:rPr>
        <w:t>k</w:t>
      </w:r>
      <w:r w:rsidR="008F3E41">
        <w:t> </w:t>
      </w:r>
      <w:r w:rsidR="005344B0">
        <w:t>The true net revenue may n</w:t>
      </w:r>
      <w:r w:rsidR="004962DD">
        <w:t>ot be identified because rent and</w:t>
      </w:r>
      <w:r w:rsidR="005344B0">
        <w:t xml:space="preserve"> depreciation attributable to probate matters may be </w:t>
      </w:r>
      <w:r w:rsidR="002825DF">
        <w:t>reported with</w:t>
      </w:r>
      <w:r w:rsidR="005344B0">
        <w:t xml:space="preserve"> </w:t>
      </w:r>
      <w:r w:rsidR="002825DF">
        <w:t>data for supreme c</w:t>
      </w:r>
      <w:r w:rsidR="00BC62E9">
        <w:t>ourt</w:t>
      </w:r>
      <w:r w:rsidR="002825DF">
        <w:t>s</w:t>
      </w:r>
      <w:r w:rsidR="005344B0">
        <w:t>.</w:t>
      </w:r>
      <w:r w:rsidR="00A35CB8">
        <w:t xml:space="preserve"> </w:t>
      </w:r>
      <w:r w:rsidR="00E92ADD" w:rsidRPr="00A5030A">
        <w:t>..</w:t>
      </w:r>
      <w:r w:rsidR="00A8617D">
        <w:rPr>
          <w:b/>
        </w:rPr>
        <w:t xml:space="preserve"> </w:t>
      </w:r>
      <w:r w:rsidR="00E92ADD" w:rsidRPr="00E92ADD">
        <w:t>Not</w:t>
      </w:r>
      <w:r w:rsidR="00A8617D">
        <w:t xml:space="preserve"> </w:t>
      </w:r>
      <w:r w:rsidR="00E92ADD">
        <w:t>applicable</w:t>
      </w:r>
      <w:r w:rsidR="005344B0">
        <w:t>.</w:t>
      </w:r>
      <w:r w:rsidR="004166EE">
        <w:t xml:space="preserve"> </w:t>
      </w:r>
      <w:r w:rsidR="00EF61D2">
        <w:t xml:space="preserve"> </w:t>
      </w:r>
      <w:r w:rsidR="005344B0" w:rsidRPr="00A5030A">
        <w:t>–</w:t>
      </w:r>
      <w:r w:rsidR="004166EE">
        <w:rPr>
          <w:b/>
        </w:rPr>
        <w:t xml:space="preserve"> </w:t>
      </w:r>
      <w:r w:rsidR="005344B0">
        <w:t>Nil or rounded to zero</w:t>
      </w:r>
      <w:r>
        <w:t>.</w:t>
      </w:r>
    </w:p>
    <w:p w:rsidR="00322965" w:rsidRPr="00322965" w:rsidRDefault="00322965" w:rsidP="00C92903">
      <w:pPr>
        <w:pStyle w:val="Note"/>
      </w:pPr>
      <w:r>
        <w:rPr>
          <w:i/>
        </w:rPr>
        <w:t>Source</w:t>
      </w:r>
      <w:r>
        <w:t xml:space="preserve">: </w:t>
      </w:r>
      <w:r w:rsidR="005344B0" w:rsidRPr="00CA6CFB">
        <w:t>Australian, State and Territory court authorities and de</w:t>
      </w:r>
      <w:r w:rsidR="005344B0">
        <w:t>partments (unpublished); tables </w:t>
      </w:r>
      <w:proofErr w:type="spellStart"/>
      <w:r w:rsidR="005344B0">
        <w:t>7A.</w:t>
      </w:r>
      <w:r w:rsidR="009B4B3F">
        <w:t>11</w:t>
      </w:r>
      <w:proofErr w:type="spellEnd"/>
      <w:r w:rsidR="005344B0">
        <w:t>–</w:t>
      </w:r>
      <w:r w:rsidR="005344B0" w:rsidRPr="00CA6CFB">
        <w:t>1</w:t>
      </w:r>
      <w:r w:rsidR="009B4B3F">
        <w:t>6</w:t>
      </w:r>
      <w:r w:rsidR="005344B0" w:rsidRPr="00CA6CFB">
        <w:t>.</w:t>
      </w:r>
    </w:p>
    <w:p w:rsidR="00322965" w:rsidRDefault="00417D56" w:rsidP="00417D56">
      <w:pPr>
        <w:pStyle w:val="BodyText"/>
      </w:pPr>
      <w:r>
        <w:t>Real recurrent expenditure less income (excluding fines) on court</w:t>
      </w:r>
      <w:r w:rsidR="004D451E">
        <w:t>s</w:t>
      </w:r>
      <w:r>
        <w:t xml:space="preserve"> </w:t>
      </w:r>
      <w:r w:rsidRPr="006F1465">
        <w:t xml:space="preserve">from </w:t>
      </w:r>
      <w:r w:rsidR="00B4307A">
        <w:t>2008</w:t>
      </w:r>
      <w:r w:rsidR="00205BCF">
        <w:noBreakHyphen/>
      </w:r>
      <w:r w:rsidR="00B4307A">
        <w:t>09 to 2012</w:t>
      </w:r>
      <w:r w:rsidR="00205BCF">
        <w:noBreakHyphen/>
      </w:r>
      <w:r w:rsidR="00B4307A">
        <w:t>13</w:t>
      </w:r>
      <w:r w:rsidRPr="006F1465">
        <w:t>, for each of the Australian, State and Territory court levels</w:t>
      </w:r>
      <w:r>
        <w:t xml:space="preserve"> covered by this Rep</w:t>
      </w:r>
      <w:r w:rsidR="005763CB">
        <w:t xml:space="preserve">ort, is reported in tables </w:t>
      </w:r>
      <w:proofErr w:type="spellStart"/>
      <w:r w:rsidR="005763CB">
        <w:t>7A.14</w:t>
      </w:r>
      <w:proofErr w:type="spellEnd"/>
      <w:r w:rsidR="005763CB">
        <w:t xml:space="preserve"> and </w:t>
      </w:r>
      <w:proofErr w:type="spellStart"/>
      <w:r w:rsidR="005763CB">
        <w:t>7A.15</w:t>
      </w:r>
      <w:proofErr w:type="spellEnd"/>
      <w:r>
        <w:t>.</w:t>
      </w:r>
    </w:p>
    <w:p w:rsidR="00417D56" w:rsidRDefault="00417D56" w:rsidP="00417D56">
      <w:pPr>
        <w:pStyle w:val="Heading4"/>
      </w:pPr>
      <w:r>
        <w:lastRenderedPageBreak/>
        <w:t>Distribution of criminal and civil court expenditure</w:t>
      </w:r>
    </w:p>
    <w:p w:rsidR="00417D56" w:rsidRPr="00442933" w:rsidRDefault="00417D56" w:rsidP="00417D56">
      <w:pPr>
        <w:pStyle w:val="BodyText"/>
      </w:pPr>
      <w:r>
        <w:t xml:space="preserve">The distribution of court expenditure (less income) on magistrates’, </w:t>
      </w:r>
      <w:r w:rsidR="00F43AAD" w:rsidRPr="00442933">
        <w:t>district/county</w:t>
      </w:r>
      <w:r w:rsidRPr="00442933">
        <w:t xml:space="preserve"> and </w:t>
      </w:r>
      <w:r w:rsidR="00785BC2" w:rsidRPr="00442933">
        <w:t>supreme c</w:t>
      </w:r>
      <w:r w:rsidR="00BC62E9" w:rsidRPr="00442933">
        <w:t>ourt</w:t>
      </w:r>
      <w:r w:rsidRPr="00442933">
        <w:t xml:space="preserve">s varied across states and territories in </w:t>
      </w:r>
      <w:r w:rsidR="0070054D">
        <w:t>201</w:t>
      </w:r>
      <w:r w:rsidR="005B7F3D">
        <w:t>2</w:t>
      </w:r>
      <w:r w:rsidR="00205BCF">
        <w:noBreakHyphen/>
      </w:r>
      <w:r w:rsidR="00162250">
        <w:t>1</w:t>
      </w:r>
      <w:r w:rsidR="005B7F3D">
        <w:t>3</w:t>
      </w:r>
      <w:r w:rsidRPr="00442933">
        <w:t xml:space="preserve">. </w:t>
      </w:r>
      <w:r w:rsidRPr="00A1095A">
        <w:t xml:space="preserve">A greater proportion of funds were expended </w:t>
      </w:r>
      <w:r w:rsidR="00E4313B">
        <w:t>in the criminal</w:t>
      </w:r>
      <w:r w:rsidR="00B8347F">
        <w:t xml:space="preserve"> jurisdiction of the</w:t>
      </w:r>
      <w:r w:rsidR="00E4313B">
        <w:t xml:space="preserve"> supreme courts of</w:t>
      </w:r>
      <w:r w:rsidRPr="00A1095A">
        <w:t xml:space="preserve"> Tasmania, the ACT and the NT (u</w:t>
      </w:r>
      <w:r w:rsidR="00E21E4F">
        <w:t>nder the two-tier court system)</w:t>
      </w:r>
      <w:r w:rsidRPr="00A1095A">
        <w:t xml:space="preserve"> than</w:t>
      </w:r>
      <w:r w:rsidR="00CC1053" w:rsidRPr="00A1095A">
        <w:t xml:space="preserve"> by</w:t>
      </w:r>
      <w:r w:rsidRPr="00A1095A">
        <w:t xml:space="preserve"> the </w:t>
      </w:r>
      <w:r w:rsidR="00785BC2" w:rsidRPr="00A1095A">
        <w:t>supreme c</w:t>
      </w:r>
      <w:r w:rsidR="00BC62E9" w:rsidRPr="00A1095A">
        <w:t>ourt</w:t>
      </w:r>
      <w:r w:rsidRPr="00A1095A">
        <w:t>s of other states and territories (under the three-tier court system) (</w:t>
      </w:r>
      <w:r w:rsidR="00A76A9C" w:rsidRPr="00A1095A">
        <w:t>figure </w:t>
      </w:r>
      <w:proofErr w:type="spellStart"/>
      <w:r w:rsidR="00A76A9C" w:rsidRPr="00A1095A">
        <w:t>7</w:t>
      </w:r>
      <w:r w:rsidRPr="00A1095A">
        <w:t>.2</w:t>
      </w:r>
      <w:r w:rsidR="00B8347F">
        <w:t>a</w:t>
      </w:r>
      <w:proofErr w:type="spellEnd"/>
      <w:r w:rsidRPr="00A1095A">
        <w:t>).</w:t>
      </w:r>
    </w:p>
    <w:p w:rsidR="00417D56" w:rsidRDefault="00417D56" w:rsidP="00417D56">
      <w:pPr>
        <w:pStyle w:val="BodyText"/>
      </w:pPr>
      <w:r w:rsidRPr="00A1095A">
        <w:t xml:space="preserve">In </w:t>
      </w:r>
      <w:r w:rsidR="005B7F3D">
        <w:t>2012</w:t>
      </w:r>
      <w:r w:rsidR="00205BCF">
        <w:noBreakHyphen/>
      </w:r>
      <w:r w:rsidR="00162250">
        <w:t>1</w:t>
      </w:r>
      <w:r w:rsidR="005B7F3D">
        <w:t>3</w:t>
      </w:r>
      <w:r w:rsidRPr="00A1095A">
        <w:t xml:space="preserve">, </w:t>
      </w:r>
      <w:r w:rsidR="00785BC2" w:rsidRPr="00A1095A">
        <w:t>magistrates’ c</w:t>
      </w:r>
      <w:r w:rsidR="00BC62E9" w:rsidRPr="00A1095A">
        <w:t>ourt</w:t>
      </w:r>
      <w:r w:rsidRPr="00A1095A">
        <w:t xml:space="preserve">s in the criminal jurisdiction accounted for </w:t>
      </w:r>
      <w:r w:rsidR="00D0454A">
        <w:t xml:space="preserve">over half </w:t>
      </w:r>
      <w:r w:rsidRPr="00A1095A">
        <w:t>of recurrent expenditure (less income)</w:t>
      </w:r>
      <w:r w:rsidR="00D0454A">
        <w:t xml:space="preserve"> nationally</w:t>
      </w:r>
      <w:r w:rsidRPr="00A1095A">
        <w:t xml:space="preserve"> across State and Territory criminal courts </w:t>
      </w:r>
      <w:r w:rsidRPr="00E21E4F">
        <w:t>(</w:t>
      </w:r>
      <w:r w:rsidR="00037412">
        <w:t>55</w:t>
      </w:r>
      <w:r w:rsidR="00420EBA">
        <w:t xml:space="preserve"> </w:t>
      </w:r>
      <w:r w:rsidR="00A76A9C" w:rsidRPr="00E21E4F">
        <w:t>per cent</w:t>
      </w:r>
      <w:r w:rsidR="00CC1053" w:rsidRPr="00E21E4F">
        <w:t xml:space="preserve">). </w:t>
      </w:r>
      <w:r w:rsidR="00CC1053" w:rsidRPr="00A1095A">
        <w:t>I</w:t>
      </w:r>
      <w:r w:rsidRPr="00A1095A">
        <w:t>n the civil jurisdiction</w:t>
      </w:r>
      <w:r w:rsidR="00B8347F">
        <w:t xml:space="preserve"> (figure </w:t>
      </w:r>
      <w:proofErr w:type="spellStart"/>
      <w:r w:rsidR="00B8347F">
        <w:t>7.2b</w:t>
      </w:r>
      <w:proofErr w:type="spellEnd"/>
      <w:r w:rsidR="00B8347F">
        <w:t>)</w:t>
      </w:r>
      <w:r w:rsidRPr="00A1095A">
        <w:t xml:space="preserve">, </w:t>
      </w:r>
      <w:r w:rsidR="00785BC2" w:rsidRPr="00A1095A">
        <w:t>magistrates’ c</w:t>
      </w:r>
      <w:r w:rsidR="00BC62E9" w:rsidRPr="00A1095A">
        <w:t>ourt</w:t>
      </w:r>
      <w:r w:rsidRPr="00A1095A">
        <w:t xml:space="preserve">s accounted for </w:t>
      </w:r>
      <w:r w:rsidR="002675D3">
        <w:t xml:space="preserve">just over a third of </w:t>
      </w:r>
      <w:r w:rsidRPr="00A1095A">
        <w:t>recurrent expenditure (less income) nationa</w:t>
      </w:r>
      <w:r w:rsidR="00DF2632" w:rsidRPr="00A1095A">
        <w:t xml:space="preserve">lly </w:t>
      </w:r>
      <w:r w:rsidR="00DF2632" w:rsidRPr="00E21E4F">
        <w:t>(</w:t>
      </w:r>
      <w:r w:rsidR="00B31040">
        <w:t>36</w:t>
      </w:r>
      <w:r w:rsidR="00AE4358">
        <w:t> </w:t>
      </w:r>
      <w:r w:rsidR="00A76A9C" w:rsidRPr="00E21E4F">
        <w:t>per cent</w:t>
      </w:r>
      <w:r w:rsidRPr="00A1095A">
        <w:t>).</w:t>
      </w:r>
      <w:r w:rsidR="00B31040">
        <w:t xml:space="preserve"> There was considerably greater variability in net recurrent expenditure across jurisdictional civil courts than criminal courts.</w:t>
      </w:r>
      <w:r w:rsidRPr="00A1095A">
        <w:t xml:space="preserve"> </w:t>
      </w:r>
      <w:r w:rsidR="00E21E4F">
        <w:t>Further d</w:t>
      </w:r>
      <w:r w:rsidRPr="00A1095A">
        <w:t>etail</w:t>
      </w:r>
      <w:r w:rsidR="00E21E4F">
        <w:t>s are</w:t>
      </w:r>
      <w:r w:rsidRPr="00A1095A">
        <w:t xml:space="preserve"> contained in tables</w:t>
      </w:r>
      <w:r w:rsidR="00380865" w:rsidRPr="00A1095A">
        <w:t> </w:t>
      </w:r>
      <w:proofErr w:type="spellStart"/>
      <w:r w:rsidR="001F3805">
        <w:t>7A.1</w:t>
      </w:r>
      <w:r w:rsidR="00FC0039">
        <w:t>4</w:t>
      </w:r>
      <w:proofErr w:type="spellEnd"/>
      <w:r w:rsidR="001F3805">
        <w:t xml:space="preserve"> and </w:t>
      </w:r>
      <w:proofErr w:type="spellStart"/>
      <w:r w:rsidR="001F3805">
        <w:t>7A.1</w:t>
      </w:r>
      <w:r w:rsidR="00FC0039">
        <w:t>5</w:t>
      </w:r>
      <w:proofErr w:type="spellEnd"/>
      <w:r w:rsidRPr="00A1095A">
        <w:t>.</w:t>
      </w:r>
      <w:r>
        <w:t xml:space="preserve"> </w:t>
      </w:r>
    </w:p>
    <w:p w:rsidR="00322965" w:rsidRDefault="00417D56" w:rsidP="00417D56">
      <w:pPr>
        <w:pStyle w:val="BodyText"/>
      </w:pPr>
      <w:r>
        <w:t>Comparison of court expenditure across states and territories should</w:t>
      </w:r>
      <w:r w:rsidR="001B4499">
        <w:t xml:space="preserve"> take into</w:t>
      </w:r>
      <w:r>
        <w:t xml:space="preserve"> </w:t>
      </w:r>
      <w:r w:rsidR="00F86DE7">
        <w:t xml:space="preserve">account </w:t>
      </w:r>
      <w:r>
        <w:t>the difficulty in apportioning income and expenditure between civil and criminal jurisdictions within court levels. The apportionments are determined within individual states and territories and different approaches to apportionment are used.</w:t>
      </w:r>
    </w:p>
    <w:p w:rsidR="00417D56" w:rsidRPr="007907DB" w:rsidRDefault="00417D56">
      <w:pPr>
        <w:pStyle w:val="FigureTitle"/>
      </w:pPr>
      <w:r>
        <w:rPr>
          <w:b w:val="0"/>
        </w:rPr>
        <w:lastRenderedPageBreak/>
        <w:t xml:space="preserve">Figure </w:t>
      </w:r>
      <w:r w:rsidR="00192F6A">
        <w:rPr>
          <w:b w:val="0"/>
        </w:rPr>
        <w:t>7.</w:t>
      </w:r>
      <w:r w:rsidR="00E75B12">
        <w:rPr>
          <w:b w:val="0"/>
          <w:noProof/>
        </w:rPr>
        <w:t>2</w:t>
      </w:r>
      <w:r>
        <w:tab/>
        <w:t>Distribution of court</w:t>
      </w:r>
      <w:r w:rsidR="00161B40">
        <w:t>s</w:t>
      </w:r>
      <w:r w:rsidR="00B8347F">
        <w:t>’</w:t>
      </w:r>
      <w:r>
        <w:t xml:space="preserve"> recurrent expenditure (less </w:t>
      </w:r>
      <w:r w:rsidRPr="007907DB">
        <w:t xml:space="preserve">income), by court level, </w:t>
      </w:r>
      <w:r w:rsidR="00C53E3D">
        <w:rPr>
          <w:rFonts w:ascii="Arial Bold" w:hAnsi="Arial Bold"/>
        </w:rPr>
        <w:t>2012</w:t>
      </w:r>
      <w:r w:rsidR="00561CDC">
        <w:rPr>
          <w:rFonts w:ascii="Arial Bold" w:hAnsi="Arial Bold"/>
        </w:rPr>
        <w:t>-</w:t>
      </w:r>
      <w:r w:rsidR="006B1C06">
        <w:rPr>
          <w:rFonts w:ascii="Arial Bold" w:hAnsi="Arial Bold"/>
        </w:rPr>
        <w:t>1</w:t>
      </w:r>
      <w:r w:rsidR="00C53E3D">
        <w:rPr>
          <w:rFonts w:ascii="Arial Bold" w:hAnsi="Arial Bold"/>
        </w:rPr>
        <w:t>3</w:t>
      </w:r>
      <w:r w:rsidRPr="007907DB">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7D56" w:rsidTr="00CC1667">
        <w:tc>
          <w:tcPr>
            <w:tcW w:w="8777" w:type="dxa"/>
          </w:tcPr>
          <w:p w:rsidR="00417D56" w:rsidRPr="00A1095A" w:rsidRDefault="00417D56" w:rsidP="00F02F80">
            <w:pPr>
              <w:pStyle w:val="Figure"/>
              <w:numPr>
                <w:ilvl w:val="0"/>
                <w:numId w:val="16"/>
              </w:numPr>
              <w:rPr>
                <w:rFonts w:ascii="Arial" w:hAnsi="Arial" w:cs="Arial"/>
                <w:b/>
                <w:sz w:val="20"/>
              </w:rPr>
            </w:pPr>
            <w:r w:rsidRPr="00A1095A">
              <w:rPr>
                <w:rFonts w:ascii="Arial" w:hAnsi="Arial" w:cs="Arial"/>
                <w:b/>
                <w:sz w:val="20"/>
              </w:rPr>
              <w:t>Criminal</w:t>
            </w:r>
            <w:r w:rsidR="00576419" w:rsidRPr="00A1095A">
              <w:rPr>
                <w:rStyle w:val="NoteLabel"/>
              </w:rPr>
              <w:t>b</w:t>
            </w:r>
            <w:r w:rsidRPr="00A1095A">
              <w:rPr>
                <w:rStyle w:val="NoteLabel"/>
              </w:rPr>
              <w:t>,</w:t>
            </w:r>
            <w:r w:rsidR="00576419" w:rsidRPr="00A1095A">
              <w:rPr>
                <w:rStyle w:val="NoteLabel"/>
              </w:rPr>
              <w:t xml:space="preserve"> c</w:t>
            </w:r>
          </w:p>
          <w:p w:rsidR="00417D56" w:rsidRPr="007F0532" w:rsidRDefault="00EE3560">
            <w:pPr>
              <w:pStyle w:val="Figure"/>
              <w:rPr>
                <w:rFonts w:ascii="Arial" w:hAnsi="Arial" w:cs="Arial"/>
                <w:b/>
                <w:sz w:val="20"/>
              </w:rPr>
            </w:pPr>
            <w:r>
              <w:rPr>
                <w:noProof/>
              </w:rPr>
              <w:drawing>
                <wp:inline distT="0" distB="0" distL="0" distR="0" wp14:anchorId="51C880B9" wp14:editId="13FF14EC">
                  <wp:extent cx="5400000" cy="2700000"/>
                  <wp:effectExtent l="0" t="0" r="0" b="5715"/>
                  <wp:docPr id="1" name="Chart 1" descr="Figure 7.2 Distribution of courts' recurrent expenditure (less income), by court level, 2012-13&#10;&#10;(a) Criminal&#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17D56" w:rsidRPr="00417D56" w:rsidRDefault="00417D56" w:rsidP="00F02F80">
            <w:pPr>
              <w:pStyle w:val="Figure"/>
              <w:numPr>
                <w:ilvl w:val="0"/>
                <w:numId w:val="16"/>
              </w:numPr>
              <w:rPr>
                <w:rFonts w:ascii="Arial" w:hAnsi="Arial" w:cs="Arial"/>
                <w:b/>
                <w:sz w:val="20"/>
                <w:szCs w:val="24"/>
              </w:rPr>
            </w:pPr>
            <w:r w:rsidRPr="00A1095A">
              <w:rPr>
                <w:rFonts w:ascii="Arial" w:hAnsi="Arial" w:cs="Arial"/>
                <w:b/>
                <w:sz w:val="20"/>
              </w:rPr>
              <w:t>Civil</w:t>
            </w:r>
            <w:r w:rsidR="0075559F" w:rsidRPr="00A1095A">
              <w:rPr>
                <w:rStyle w:val="NoteLabel"/>
              </w:rPr>
              <w:t>b,</w:t>
            </w:r>
            <w:r w:rsidR="00576419" w:rsidRPr="00A1095A">
              <w:rPr>
                <w:rStyle w:val="NoteLabel"/>
              </w:rPr>
              <w:t xml:space="preserve"> c,</w:t>
            </w:r>
            <w:r w:rsidR="007275CD">
              <w:rPr>
                <w:rStyle w:val="NoteLabel"/>
              </w:rPr>
              <w:t xml:space="preserve"> d,</w:t>
            </w:r>
            <w:r w:rsidRPr="00A1095A">
              <w:rPr>
                <w:rStyle w:val="NoteLabel"/>
              </w:rPr>
              <w:t xml:space="preserve"> </w:t>
            </w:r>
            <w:r w:rsidR="00576419" w:rsidRPr="00A1095A">
              <w:rPr>
                <w:rStyle w:val="NoteLabel"/>
              </w:rPr>
              <w:t xml:space="preserve">e, </w:t>
            </w:r>
            <w:r w:rsidR="00B467AC">
              <w:rPr>
                <w:rStyle w:val="NoteLabel"/>
              </w:rPr>
              <w:t>f</w:t>
            </w:r>
          </w:p>
          <w:p w:rsidR="00417D56" w:rsidRPr="007F0532" w:rsidRDefault="009646F0">
            <w:pPr>
              <w:pStyle w:val="Figure"/>
            </w:pPr>
            <w:r>
              <w:rPr>
                <w:noProof/>
              </w:rPr>
              <w:drawing>
                <wp:inline distT="0" distB="0" distL="0" distR="0">
                  <wp:extent cx="5391150" cy="2695575"/>
                  <wp:effectExtent l="0" t="0" r="0" b="9525"/>
                  <wp:docPr id="7" name="Picture 7" descr="Figure 7.2 Distribution of courts' recurrent expenditure (less income), by court level, 2012-13&#10;&#10;(b) Civil&#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417D56" w:rsidRDefault="00417D56">
      <w:pPr>
        <w:pStyle w:val="Note"/>
      </w:pPr>
      <w:r>
        <w:rPr>
          <w:rStyle w:val="NoteLabel"/>
        </w:rPr>
        <w:t>a</w:t>
      </w:r>
      <w:r w:rsidR="00F8470F">
        <w:t xml:space="preserve"> Payroll </w:t>
      </w:r>
      <w:r w:rsidR="003B3F92">
        <w:t>tax is excluded</w:t>
      </w:r>
      <w:r w:rsidR="00F8470F">
        <w:t xml:space="preserve">. </w:t>
      </w:r>
      <w:r w:rsidR="00576419">
        <w:rPr>
          <w:rStyle w:val="NoteLabel"/>
        </w:rPr>
        <w:t>b</w:t>
      </w:r>
      <w:r w:rsidR="00F8470F">
        <w:rPr>
          <w:rStyle w:val="NoteLabel"/>
        </w:rPr>
        <w:t> </w:t>
      </w:r>
      <w:r w:rsidR="00AD2EB8">
        <w:t xml:space="preserve">There are no </w:t>
      </w:r>
      <w:r w:rsidR="00631336">
        <w:t>district/county c</w:t>
      </w:r>
      <w:r w:rsidR="00BC62E9">
        <w:t>ourt</w:t>
      </w:r>
      <w:r w:rsidR="00AD2EB8">
        <w:t xml:space="preserve">s in Tasmania, the ACT or the NT. </w:t>
      </w:r>
      <w:r w:rsidR="00576419">
        <w:rPr>
          <w:rStyle w:val="NoteLabel"/>
        </w:rPr>
        <w:t>c</w:t>
      </w:r>
      <w:r w:rsidR="00F8470F">
        <w:t> </w:t>
      </w:r>
      <w:r w:rsidR="00AD2EB8">
        <w:t xml:space="preserve">Magistrates’ courts include expenditure on </w:t>
      </w:r>
      <w:r w:rsidR="00631336">
        <w:t>children’s c</w:t>
      </w:r>
      <w:r w:rsidR="00BC62E9">
        <w:t>ourt</w:t>
      </w:r>
      <w:r w:rsidR="00AD2EB8">
        <w:t>s</w:t>
      </w:r>
      <w:r w:rsidR="00E03186">
        <w:t>.</w:t>
      </w:r>
      <w:r w:rsidR="00AD2EB8">
        <w:t xml:space="preserve"> </w:t>
      </w:r>
      <w:r w:rsidR="00E03186" w:rsidRPr="00B54F4D">
        <w:rPr>
          <w:rStyle w:val="NoteLabel"/>
        </w:rPr>
        <w:t>d</w:t>
      </w:r>
      <w:r w:rsidR="003B3F92" w:rsidRPr="00B54F4D">
        <w:t> </w:t>
      </w:r>
      <w:r w:rsidR="007275CD" w:rsidRPr="00B54F4D">
        <w:t>Supreme courts data for the civil jurisdiction exclude uncontested probate matters</w:t>
      </w:r>
      <w:r w:rsidR="009F262F">
        <w:t>.</w:t>
      </w:r>
      <w:r w:rsidR="00576419">
        <w:t xml:space="preserve"> </w:t>
      </w:r>
      <w:r w:rsidR="00E03186">
        <w:rPr>
          <w:rStyle w:val="NoteLabel"/>
        </w:rPr>
        <w:t>e</w:t>
      </w:r>
      <w:r w:rsidR="00F8470F">
        <w:t> </w:t>
      </w:r>
      <w:r w:rsidR="00DB5F6B">
        <w:t xml:space="preserve">In the civil jurisdiction, </w:t>
      </w:r>
      <w:r w:rsidR="00631336">
        <w:t>magistrates’ c</w:t>
      </w:r>
      <w:r w:rsidR="00BC62E9">
        <w:t>ourt</w:t>
      </w:r>
      <w:r w:rsidR="00DB5F6B">
        <w:t>s</w:t>
      </w:r>
      <w:r w:rsidR="0075559F">
        <w:t xml:space="preserve"> data</w:t>
      </w:r>
      <w:r w:rsidR="00F8470F">
        <w:t xml:space="preserve"> exclude expenditure on </w:t>
      </w:r>
      <w:r w:rsidR="00631336">
        <w:t>coroners’ c</w:t>
      </w:r>
      <w:r w:rsidR="00BC62E9">
        <w:t>ourt</w:t>
      </w:r>
      <w:r w:rsidR="00F8470F">
        <w:t xml:space="preserve">s (all states and territories). </w:t>
      </w:r>
      <w:proofErr w:type="spellStart"/>
      <w:r w:rsidR="00E03186">
        <w:rPr>
          <w:rStyle w:val="NoteLabel"/>
        </w:rPr>
        <w:t>f</w:t>
      </w:r>
      <w:proofErr w:type="spellEnd"/>
      <w:r w:rsidR="00F8470F">
        <w:rPr>
          <w:rStyle w:val="NoteLabel"/>
        </w:rPr>
        <w:t> </w:t>
      </w:r>
      <w:r w:rsidR="0075559F">
        <w:t xml:space="preserve">The </w:t>
      </w:r>
      <w:r w:rsidR="00F8470F">
        <w:t>Australian courts</w:t>
      </w:r>
      <w:r w:rsidR="0075559F">
        <w:t xml:space="preserve"> are not included</w:t>
      </w:r>
      <w:r w:rsidR="00F8470F">
        <w:t>.</w:t>
      </w:r>
    </w:p>
    <w:p w:rsidR="00417D56" w:rsidRPr="00520DE5" w:rsidRDefault="00487C33">
      <w:pPr>
        <w:pStyle w:val="Source"/>
      </w:pPr>
      <w:r>
        <w:rPr>
          <w:i/>
        </w:rPr>
        <w:t>S</w:t>
      </w:r>
      <w:r w:rsidR="00417D56">
        <w:rPr>
          <w:i/>
        </w:rPr>
        <w:t>ource</w:t>
      </w:r>
      <w:r w:rsidR="00417D56" w:rsidRPr="00520DE5">
        <w:t>:</w:t>
      </w:r>
      <w:r w:rsidR="00417D56">
        <w:t xml:space="preserve"> </w:t>
      </w:r>
      <w:r w:rsidR="00520DE5" w:rsidRPr="00520DE5">
        <w:t>State and Territory court authorities and dep</w:t>
      </w:r>
      <w:r w:rsidR="00DA5F68">
        <w:t xml:space="preserve">artments (unpublished); tables </w:t>
      </w:r>
      <w:proofErr w:type="spellStart"/>
      <w:r w:rsidR="00DA5F68">
        <w:t>7</w:t>
      </w:r>
      <w:r w:rsidR="00C31E39">
        <w:t>A.1</w:t>
      </w:r>
      <w:r w:rsidR="000B74D1">
        <w:t>4</w:t>
      </w:r>
      <w:proofErr w:type="spellEnd"/>
      <w:r w:rsidR="00C31E39">
        <w:t>-</w:t>
      </w:r>
      <w:r w:rsidR="00520DE5" w:rsidRPr="00520DE5">
        <w:t>1</w:t>
      </w:r>
      <w:r w:rsidR="000B74D1">
        <w:t>6</w:t>
      </w:r>
      <w:r w:rsidR="00520DE5" w:rsidRPr="00520DE5">
        <w:t>.</w:t>
      </w:r>
    </w:p>
    <w:p w:rsidR="003962E4" w:rsidRDefault="003962E4" w:rsidP="003962E4">
      <w:pPr>
        <w:pStyle w:val="Heading3"/>
      </w:pPr>
      <w:r>
        <w:lastRenderedPageBreak/>
        <w:t>Size and scope of court activity</w:t>
      </w:r>
    </w:p>
    <w:p w:rsidR="003962E4" w:rsidRDefault="003962E4" w:rsidP="003962E4">
      <w:pPr>
        <w:pStyle w:val="Heading4"/>
      </w:pPr>
      <w:proofErr w:type="spellStart"/>
      <w:r>
        <w:t>Lodgments</w:t>
      </w:r>
      <w:proofErr w:type="spellEnd"/>
    </w:p>
    <w:p w:rsidR="00417D56" w:rsidRDefault="003962E4" w:rsidP="003962E4">
      <w:pPr>
        <w:pStyle w:val="BodyText"/>
      </w:pPr>
      <w:proofErr w:type="spellStart"/>
      <w:r>
        <w:t>Lodgments</w:t>
      </w:r>
      <w:proofErr w:type="spellEnd"/>
      <w:r>
        <w:t xml:space="preserve"> are matters initiated in the court system. </w:t>
      </w:r>
      <w:r w:rsidR="00A76A9C">
        <w:t>Box 7</w:t>
      </w:r>
      <w:r>
        <w:t xml:space="preserve">.4 explains how </w:t>
      </w:r>
      <w:proofErr w:type="spellStart"/>
      <w:r>
        <w:t>lodgment</w:t>
      </w:r>
      <w:proofErr w:type="spellEnd"/>
      <w:r>
        <w:t xml:space="preserve"> data are col</w:t>
      </w:r>
      <w:r w:rsidR="000230C6">
        <w:t xml:space="preserve">lected for this chapter. </w:t>
      </w:r>
    </w:p>
    <w:p w:rsidR="00CC63C8" w:rsidRPr="00205BCF" w:rsidRDefault="00CC63C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C63C8">
        <w:tc>
          <w:tcPr>
            <w:tcW w:w="8771" w:type="dxa"/>
            <w:tcBorders>
              <w:top w:val="single" w:sz="6" w:space="0" w:color="auto"/>
              <w:bottom w:val="nil"/>
            </w:tcBorders>
          </w:tcPr>
          <w:p w:rsidR="00CC63C8" w:rsidRPr="00CC63C8" w:rsidRDefault="00CC63C8">
            <w:pPr>
              <w:pStyle w:val="BoxTitle"/>
            </w:pPr>
            <w:r>
              <w:rPr>
                <w:b w:val="0"/>
              </w:rPr>
              <w:t xml:space="preserve">Box </w:t>
            </w:r>
            <w:r w:rsidR="00192F6A">
              <w:rPr>
                <w:b w:val="0"/>
              </w:rPr>
              <w:t>7.</w:t>
            </w:r>
            <w:r w:rsidR="00E75B12">
              <w:rPr>
                <w:b w:val="0"/>
                <w:noProof/>
              </w:rPr>
              <w:t>4</w:t>
            </w:r>
            <w:r>
              <w:tab/>
            </w:r>
            <w:r w:rsidRPr="00CC63C8">
              <w:t xml:space="preserve">Explanation of </w:t>
            </w:r>
            <w:proofErr w:type="spellStart"/>
            <w:r w:rsidRPr="00CC63C8">
              <w:t>lodgment</w:t>
            </w:r>
            <w:proofErr w:type="spellEnd"/>
            <w:r w:rsidRPr="00CC63C8">
              <w:t xml:space="preserve"> data used in this chapter</w:t>
            </w:r>
          </w:p>
        </w:tc>
      </w:tr>
      <w:tr w:rsidR="00CC63C8">
        <w:trPr>
          <w:cantSplit/>
        </w:trPr>
        <w:tc>
          <w:tcPr>
            <w:tcW w:w="8771" w:type="dxa"/>
            <w:tcBorders>
              <w:top w:val="nil"/>
              <w:left w:val="single" w:sz="6" w:space="0" w:color="auto"/>
              <w:bottom w:val="nil"/>
              <w:right w:val="single" w:sz="6" w:space="0" w:color="auto"/>
            </w:tcBorders>
          </w:tcPr>
          <w:p w:rsidR="00CC63C8" w:rsidRDefault="00CC63C8" w:rsidP="00CC63C8">
            <w:pPr>
              <w:pStyle w:val="Box"/>
            </w:pPr>
            <w:proofErr w:type="spellStart"/>
            <w:r>
              <w:t>Lodgments</w:t>
            </w:r>
            <w:proofErr w:type="spellEnd"/>
            <w:r>
              <w:t xml:space="preserve"> reflect community demand for court services, such as dispute resolution and criminal justice. The different ways of counting a court’s workload reflect the variety of work undertaken within the court system. The units of measurement of workload (or counting units) used within this chapter are:</w:t>
            </w:r>
          </w:p>
          <w:p w:rsidR="00CC63C8" w:rsidRDefault="00CC63C8" w:rsidP="00CC63C8">
            <w:pPr>
              <w:pStyle w:val="BoxListBullet"/>
            </w:pPr>
            <w:r>
              <w:t>criminal courts</w:t>
            </w:r>
            <w:r w:rsidR="00505751">
              <w:t xml:space="preserve"> — </w:t>
            </w:r>
            <w:proofErr w:type="spellStart"/>
            <w:r w:rsidR="004A56EC">
              <w:t>lodgment</w:t>
            </w:r>
            <w:proofErr w:type="spellEnd"/>
            <w:r w:rsidR="004A56EC">
              <w:t xml:space="preserve"> counts are based on </w:t>
            </w:r>
            <w:r>
              <w:t>the number of defendants</w:t>
            </w:r>
          </w:p>
          <w:p w:rsidR="00CC63C8" w:rsidRDefault="00CC63C8" w:rsidP="00CC63C8">
            <w:pPr>
              <w:pStyle w:val="BoxListBullet"/>
            </w:pPr>
            <w:r>
              <w:t xml:space="preserve">civil </w:t>
            </w:r>
            <w:r w:rsidR="00487C33">
              <w:t xml:space="preserve">and family </w:t>
            </w:r>
            <w:r>
              <w:t>courts</w:t>
            </w:r>
            <w:r w:rsidR="00505751">
              <w:t xml:space="preserve"> — </w:t>
            </w:r>
            <w:proofErr w:type="spellStart"/>
            <w:r w:rsidR="003641CF">
              <w:t>lodgment</w:t>
            </w:r>
            <w:proofErr w:type="spellEnd"/>
            <w:r w:rsidR="004A56EC">
              <w:t xml:space="preserve"> counts are based on </w:t>
            </w:r>
            <w:r>
              <w:t xml:space="preserve">the number of cases (except in </w:t>
            </w:r>
            <w:r w:rsidR="00785BC2">
              <w:t>children’s c</w:t>
            </w:r>
            <w:r w:rsidR="00BC62E9">
              <w:t>ourt</w:t>
            </w:r>
            <w:r>
              <w:t>s where, if more than one child can be involved in an application, the counting unit is the number of children involved</w:t>
            </w:r>
            <w:r w:rsidR="00403A87">
              <w:t xml:space="preserve"> in the originating application</w:t>
            </w:r>
            <w:r>
              <w:t>)</w:t>
            </w:r>
          </w:p>
          <w:p w:rsidR="00CC63C8" w:rsidRDefault="00785BC2" w:rsidP="00CC63C8">
            <w:pPr>
              <w:pStyle w:val="BoxListBullet"/>
            </w:pPr>
            <w:r>
              <w:t>coroners’ c</w:t>
            </w:r>
            <w:r w:rsidR="00BC62E9">
              <w:t>ourt</w:t>
            </w:r>
            <w:r w:rsidR="00CC63C8">
              <w:t>s</w:t>
            </w:r>
            <w:r w:rsidR="00505751">
              <w:t xml:space="preserve"> — </w:t>
            </w:r>
            <w:proofErr w:type="spellStart"/>
            <w:r w:rsidR="003641CF">
              <w:t>lodgment</w:t>
            </w:r>
            <w:proofErr w:type="spellEnd"/>
            <w:r w:rsidR="004A56EC">
              <w:t xml:space="preserve"> counts are based on </w:t>
            </w:r>
            <w:r w:rsidR="00CC63C8">
              <w:t>the number of r</w:t>
            </w:r>
            <w:r w:rsidR="00B0749F">
              <w:t>eported deaths (and, if applicable</w:t>
            </w:r>
            <w:r w:rsidR="00CC63C8">
              <w:t>, reported fires).</w:t>
            </w:r>
          </w:p>
          <w:p w:rsidR="00CC63C8" w:rsidRDefault="00CC63C8" w:rsidP="00CC63C8">
            <w:pPr>
              <w:pStyle w:val="Box"/>
            </w:pPr>
            <w:r>
              <w:t xml:space="preserve">Unless otherwise noted, the following types of </w:t>
            </w:r>
            <w:proofErr w:type="spellStart"/>
            <w:r>
              <w:t>lodgment</w:t>
            </w:r>
            <w:proofErr w:type="spellEnd"/>
            <w:r>
              <w:t xml:space="preserve"> are excluded from the criminal and/or civil </w:t>
            </w:r>
            <w:proofErr w:type="spellStart"/>
            <w:r>
              <w:t>lodgment</w:t>
            </w:r>
            <w:proofErr w:type="spellEnd"/>
            <w:r>
              <w:t xml:space="preserve"> data reported in this chapter:</w:t>
            </w:r>
          </w:p>
          <w:p w:rsidR="00CC63C8" w:rsidRDefault="00CC63C8" w:rsidP="00CC63C8">
            <w:pPr>
              <w:pStyle w:val="BoxListBullet"/>
            </w:pPr>
            <w:r>
              <w:t xml:space="preserve">any </w:t>
            </w:r>
            <w:proofErr w:type="spellStart"/>
            <w:r>
              <w:t>lodgment</w:t>
            </w:r>
            <w:proofErr w:type="spellEnd"/>
            <w:r>
              <w:t xml:space="preserve"> that does not h</w:t>
            </w:r>
            <w:r w:rsidR="00B043DC">
              <w:t>ave a defendant element (for example,</w:t>
            </w:r>
            <w:r>
              <w:t xml:space="preserve"> appl</w:t>
            </w:r>
            <w:r w:rsidR="00B043DC">
              <w:t>ications for telephone taps</w:t>
            </w:r>
            <w:r>
              <w:t>)</w:t>
            </w:r>
          </w:p>
          <w:p w:rsidR="00CC63C8" w:rsidRDefault="00CC63C8" w:rsidP="00CC63C8">
            <w:pPr>
              <w:pStyle w:val="BoxListBullet"/>
            </w:pPr>
            <w:r>
              <w:t>extraordinary driver’s licence applications</w:t>
            </w:r>
          </w:p>
          <w:p w:rsidR="00CC63C8" w:rsidRDefault="00CC63C8" w:rsidP="00CC63C8">
            <w:pPr>
              <w:pStyle w:val="BoxListBullet"/>
            </w:pPr>
            <w:r>
              <w:t>bail procedures (including applications and review)</w:t>
            </w:r>
          </w:p>
          <w:p w:rsidR="00CC63C8" w:rsidRDefault="00CC63C8" w:rsidP="00CC63C8">
            <w:pPr>
              <w:pStyle w:val="BoxListBullet"/>
            </w:pPr>
            <w:r>
              <w:t>directions</w:t>
            </w:r>
          </w:p>
          <w:p w:rsidR="00CC63C8" w:rsidRDefault="00CC63C8" w:rsidP="00CC63C8">
            <w:pPr>
              <w:pStyle w:val="BoxListBullet"/>
            </w:pPr>
            <w:r>
              <w:t>warrants</w:t>
            </w:r>
          </w:p>
          <w:p w:rsidR="00CC63C8" w:rsidRDefault="00CC63C8" w:rsidP="00CC63C8">
            <w:pPr>
              <w:pStyle w:val="BoxListBullet"/>
            </w:pPr>
            <w:r>
              <w:t>admissions matters (</w:t>
            </w:r>
            <w:r w:rsidR="00C75DAB">
              <w:t>original applications to practis</w:t>
            </w:r>
            <w:r>
              <w:t>e and mutual recognition matters)</w:t>
            </w:r>
          </w:p>
          <w:p w:rsidR="00CC63C8" w:rsidRDefault="00CC63C8" w:rsidP="00CC63C8">
            <w:pPr>
              <w:pStyle w:val="BoxListBullet"/>
            </w:pPr>
            <w:r>
              <w:t>cross-claims</w:t>
            </w:r>
          </w:p>
          <w:p w:rsidR="00CC63C8" w:rsidRDefault="00CC63C8" w:rsidP="00CC63C8">
            <w:pPr>
              <w:pStyle w:val="BoxListBullet"/>
            </w:pPr>
            <w:r>
              <w:t>secondary processes</w:t>
            </w:r>
            <w:r w:rsidR="00505751">
              <w:t xml:space="preserve"> — </w:t>
            </w:r>
            <w:r>
              <w:t>for example, interlocutory matters, breaches of penalties (that is, bail, suspended sentences, probation)</w:t>
            </w:r>
          </w:p>
          <w:p w:rsidR="00812DA6" w:rsidRDefault="00CC63C8" w:rsidP="00812DA6">
            <w:pPr>
              <w:pStyle w:val="BoxListBullet"/>
            </w:pPr>
            <w:r>
              <w:t>applications for default judgments (because the application is a secondary process).</w:t>
            </w:r>
          </w:p>
          <w:p w:rsidR="00812DA6" w:rsidRPr="00812DA6" w:rsidRDefault="00812DA6">
            <w:pPr>
              <w:pStyle w:val="Box"/>
            </w:pPr>
          </w:p>
        </w:tc>
      </w:tr>
      <w:tr w:rsidR="00CC63C8">
        <w:trPr>
          <w:cantSplit/>
        </w:trPr>
        <w:tc>
          <w:tcPr>
            <w:tcW w:w="8771" w:type="dxa"/>
            <w:tcBorders>
              <w:top w:val="nil"/>
              <w:left w:val="single" w:sz="6" w:space="0" w:color="auto"/>
              <w:bottom w:val="single" w:sz="6" w:space="0" w:color="auto"/>
              <w:right w:val="single" w:sz="6" w:space="0" w:color="auto"/>
            </w:tcBorders>
          </w:tcPr>
          <w:p w:rsidR="00CC63C8" w:rsidRDefault="00CC63C8">
            <w:pPr>
              <w:pStyle w:val="Box"/>
              <w:spacing w:before="0" w:line="120" w:lineRule="exact"/>
            </w:pPr>
          </w:p>
        </w:tc>
      </w:tr>
      <w:tr w:rsidR="00CC63C8">
        <w:tc>
          <w:tcPr>
            <w:tcW w:w="8771" w:type="dxa"/>
            <w:tcBorders>
              <w:top w:val="nil"/>
              <w:left w:val="nil"/>
              <w:bottom w:val="nil"/>
              <w:right w:val="nil"/>
            </w:tcBorders>
          </w:tcPr>
          <w:p w:rsidR="00CC63C8" w:rsidRDefault="00CC63C8">
            <w:pPr>
              <w:pStyle w:val="Box"/>
              <w:keepNext w:val="0"/>
              <w:spacing w:before="60" w:after="60" w:line="80" w:lineRule="exact"/>
              <w:rPr>
                <w:b/>
                <w:color w:val="FF00FF"/>
                <w:sz w:val="14"/>
              </w:rPr>
            </w:pPr>
          </w:p>
        </w:tc>
      </w:tr>
    </w:tbl>
    <w:p w:rsidR="006B4C55" w:rsidRPr="001E01DB" w:rsidRDefault="006B4C55" w:rsidP="00624B56">
      <w:pPr>
        <w:pStyle w:val="BodyText"/>
      </w:pPr>
      <w:r>
        <w:t xml:space="preserve">Table 7.2 (criminal) and table 7.3 (civil) outline the number of </w:t>
      </w:r>
      <w:proofErr w:type="spellStart"/>
      <w:r>
        <w:t>lodgments</w:t>
      </w:r>
      <w:proofErr w:type="spellEnd"/>
      <w:r>
        <w:t xml:space="preserve"> in </w:t>
      </w:r>
      <w:r w:rsidR="00585897">
        <w:t>2012</w:t>
      </w:r>
      <w:r w:rsidR="00503FC9">
        <w:noBreakHyphen/>
      </w:r>
      <w:r w:rsidR="006B1C06">
        <w:t>1</w:t>
      </w:r>
      <w:r w:rsidR="00585897">
        <w:t>3</w:t>
      </w:r>
      <w:r w:rsidRPr="001E01DB">
        <w:t>, by court level, for the Australian courts and for each State and Territory.</w:t>
      </w:r>
    </w:p>
    <w:p w:rsidR="00A31A94" w:rsidRDefault="00A31A94" w:rsidP="00417D56">
      <w:pPr>
        <w:pStyle w:val="BodyText"/>
      </w:pPr>
      <w:r w:rsidRPr="001E01DB">
        <w:t xml:space="preserve">Nationally, in the criminal jurisdiction, there were </w:t>
      </w:r>
      <w:r w:rsidR="00AC5841">
        <w:t>780 300</w:t>
      </w:r>
      <w:r w:rsidR="00015B57">
        <w:t xml:space="preserve"> </w:t>
      </w:r>
      <w:proofErr w:type="spellStart"/>
      <w:r w:rsidRPr="001E01DB">
        <w:t>lodgments</w:t>
      </w:r>
      <w:proofErr w:type="spellEnd"/>
      <w:r w:rsidRPr="001E01DB">
        <w:t xml:space="preserve"> registered in the </w:t>
      </w:r>
      <w:r w:rsidR="00785BC2" w:rsidRPr="001E01DB">
        <w:t>s</w:t>
      </w:r>
      <w:r w:rsidR="00BC62E9" w:rsidRPr="001E01DB">
        <w:t>upreme</w:t>
      </w:r>
      <w:r w:rsidRPr="001E01DB">
        <w:t xml:space="preserve">, </w:t>
      </w:r>
      <w:r w:rsidR="00F43AAD" w:rsidRPr="001E01DB">
        <w:t>district/county</w:t>
      </w:r>
      <w:r w:rsidRPr="001E01DB">
        <w:t xml:space="preserve"> and </w:t>
      </w:r>
      <w:r w:rsidR="00785BC2" w:rsidRPr="001E01DB">
        <w:t>magistrates’ c</w:t>
      </w:r>
      <w:r w:rsidR="00BC62E9" w:rsidRPr="001E01DB">
        <w:t>ourt</w:t>
      </w:r>
      <w:r w:rsidR="00926100">
        <w:t xml:space="preserve">s </w:t>
      </w:r>
      <w:r w:rsidR="00B043DC" w:rsidRPr="001E01DB">
        <w:t>in 20</w:t>
      </w:r>
      <w:r w:rsidR="00585897">
        <w:t>12</w:t>
      </w:r>
      <w:r w:rsidR="00205BCF">
        <w:noBreakHyphen/>
      </w:r>
      <w:r w:rsidR="00585897">
        <w:t>13</w:t>
      </w:r>
      <w:r w:rsidRPr="00A31A94">
        <w:t xml:space="preserve"> (</w:t>
      </w:r>
      <w:r w:rsidR="00A76A9C">
        <w:t>table 7</w:t>
      </w:r>
      <w:r w:rsidRPr="00A31A94">
        <w:t>.2).</w:t>
      </w:r>
    </w:p>
    <w:p w:rsidR="00A31A94" w:rsidRPr="001E01DB" w:rsidRDefault="00A31A94">
      <w:pPr>
        <w:pStyle w:val="TableTitle"/>
      </w:pPr>
      <w:r w:rsidRPr="001E01DB">
        <w:rPr>
          <w:b w:val="0"/>
        </w:rPr>
        <w:lastRenderedPageBreak/>
        <w:t xml:space="preserve">Table </w:t>
      </w:r>
      <w:r w:rsidR="00192F6A" w:rsidRPr="001E01DB">
        <w:rPr>
          <w:b w:val="0"/>
        </w:rPr>
        <w:t>7.</w:t>
      </w:r>
      <w:r w:rsidR="00E75B12" w:rsidRPr="001E01DB">
        <w:rPr>
          <w:b w:val="0"/>
          <w:noProof/>
        </w:rPr>
        <w:t>2</w:t>
      </w:r>
      <w:r w:rsidR="00B55EDB" w:rsidRPr="001E01DB">
        <w:tab/>
        <w:t xml:space="preserve">Court </w:t>
      </w:r>
      <w:proofErr w:type="spellStart"/>
      <w:r w:rsidR="00B55EDB" w:rsidRPr="001E01DB">
        <w:t>lodgments</w:t>
      </w:r>
      <w:proofErr w:type="spellEnd"/>
      <w:r w:rsidR="00505751" w:rsidRPr="001E01DB">
        <w:t xml:space="preserve"> — </w:t>
      </w:r>
      <w:r w:rsidR="00B55EDB" w:rsidRPr="001E01DB">
        <w:t xml:space="preserve">criminal, by court level, </w:t>
      </w:r>
      <w:r w:rsidR="00752211">
        <w:t>2012</w:t>
      </w:r>
      <w:r w:rsidR="009F44D4">
        <w:t>-</w:t>
      </w:r>
      <w:r w:rsidR="00752211">
        <w:t>13</w:t>
      </w:r>
      <w:r w:rsidR="00B55EDB" w:rsidRPr="001E01DB">
        <w:t xml:space="preserve"> (‘000)</w:t>
      </w:r>
      <w:r w:rsidR="00B55EDB" w:rsidRPr="001E01DB">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410"/>
        <w:gridCol w:w="709"/>
        <w:gridCol w:w="850"/>
        <w:gridCol w:w="709"/>
        <w:gridCol w:w="709"/>
        <w:gridCol w:w="709"/>
        <w:gridCol w:w="567"/>
        <w:gridCol w:w="567"/>
        <w:gridCol w:w="708"/>
        <w:gridCol w:w="852"/>
      </w:tblGrid>
      <w:tr w:rsidR="00A31A94" w:rsidRPr="00EB64F9" w:rsidTr="005611F1">
        <w:tc>
          <w:tcPr>
            <w:tcW w:w="2410" w:type="dxa"/>
            <w:tcBorders>
              <w:top w:val="single" w:sz="6" w:space="0" w:color="auto"/>
              <w:bottom w:val="single" w:sz="6" w:space="0" w:color="auto"/>
            </w:tcBorders>
          </w:tcPr>
          <w:p w:rsidR="00A31A94" w:rsidRPr="00EB64F9" w:rsidRDefault="00A31A94" w:rsidP="00A31A94">
            <w:pPr>
              <w:pStyle w:val="TableColumnHeading"/>
              <w:jc w:val="left"/>
            </w:pPr>
          </w:p>
        </w:tc>
        <w:tc>
          <w:tcPr>
            <w:tcW w:w="709" w:type="dxa"/>
            <w:tcBorders>
              <w:top w:val="single" w:sz="6" w:space="0" w:color="auto"/>
              <w:bottom w:val="single" w:sz="6" w:space="0" w:color="auto"/>
            </w:tcBorders>
          </w:tcPr>
          <w:p w:rsidR="00A31A94" w:rsidRPr="00EB64F9" w:rsidRDefault="00A31A94" w:rsidP="00A31A94">
            <w:pPr>
              <w:pStyle w:val="TableColumnHeading"/>
            </w:pPr>
            <w:r w:rsidRPr="00EB64F9">
              <w:t>NSW</w:t>
            </w:r>
          </w:p>
        </w:tc>
        <w:tc>
          <w:tcPr>
            <w:tcW w:w="850" w:type="dxa"/>
            <w:tcBorders>
              <w:top w:val="single" w:sz="6" w:space="0" w:color="auto"/>
              <w:bottom w:val="single" w:sz="6" w:space="0" w:color="auto"/>
            </w:tcBorders>
          </w:tcPr>
          <w:p w:rsidR="00A31A94" w:rsidRPr="00EB64F9" w:rsidRDefault="00A31A94" w:rsidP="00A31A94">
            <w:pPr>
              <w:pStyle w:val="TableColumnHeading"/>
            </w:pPr>
            <w:r w:rsidRPr="00EB64F9">
              <w:t>Vic</w:t>
            </w:r>
          </w:p>
        </w:tc>
        <w:tc>
          <w:tcPr>
            <w:tcW w:w="709" w:type="dxa"/>
            <w:tcBorders>
              <w:top w:val="single" w:sz="6" w:space="0" w:color="auto"/>
              <w:bottom w:val="single" w:sz="6" w:space="0" w:color="auto"/>
            </w:tcBorders>
          </w:tcPr>
          <w:p w:rsidR="00A31A94" w:rsidRPr="00EB64F9" w:rsidRDefault="00A31A94" w:rsidP="00A31A94">
            <w:pPr>
              <w:pStyle w:val="TableColumnHeading"/>
            </w:pPr>
            <w:r w:rsidRPr="00EB64F9">
              <w:t>Qld</w:t>
            </w:r>
          </w:p>
        </w:tc>
        <w:tc>
          <w:tcPr>
            <w:tcW w:w="709" w:type="dxa"/>
            <w:tcBorders>
              <w:top w:val="single" w:sz="6" w:space="0" w:color="auto"/>
              <w:bottom w:val="single" w:sz="6" w:space="0" w:color="auto"/>
            </w:tcBorders>
          </w:tcPr>
          <w:p w:rsidR="00A31A94" w:rsidRPr="00EB64F9" w:rsidRDefault="00A31A94" w:rsidP="00A31A94">
            <w:pPr>
              <w:pStyle w:val="TableColumnHeading"/>
            </w:pPr>
            <w:r w:rsidRPr="00EB64F9">
              <w:t>WA</w:t>
            </w:r>
          </w:p>
        </w:tc>
        <w:tc>
          <w:tcPr>
            <w:tcW w:w="709" w:type="dxa"/>
            <w:tcBorders>
              <w:top w:val="single" w:sz="6" w:space="0" w:color="auto"/>
              <w:bottom w:val="single" w:sz="6" w:space="0" w:color="auto"/>
            </w:tcBorders>
          </w:tcPr>
          <w:p w:rsidR="00A31A94" w:rsidRPr="00EB64F9" w:rsidRDefault="00A31A94" w:rsidP="00A31A94">
            <w:pPr>
              <w:pStyle w:val="TableColumnHeading"/>
            </w:pPr>
            <w:r w:rsidRPr="00EB64F9">
              <w:t>SA</w:t>
            </w:r>
          </w:p>
        </w:tc>
        <w:tc>
          <w:tcPr>
            <w:tcW w:w="567" w:type="dxa"/>
            <w:tcBorders>
              <w:top w:val="single" w:sz="6" w:space="0" w:color="auto"/>
              <w:bottom w:val="single" w:sz="6" w:space="0" w:color="auto"/>
            </w:tcBorders>
          </w:tcPr>
          <w:p w:rsidR="00A31A94" w:rsidRPr="00EB64F9" w:rsidRDefault="00A31A94" w:rsidP="00A31A94">
            <w:pPr>
              <w:pStyle w:val="TableColumnHeading"/>
            </w:pPr>
            <w:proofErr w:type="spellStart"/>
            <w:r w:rsidRPr="00EB64F9">
              <w:t>Tas</w:t>
            </w:r>
            <w:proofErr w:type="spellEnd"/>
          </w:p>
        </w:tc>
        <w:tc>
          <w:tcPr>
            <w:tcW w:w="567" w:type="dxa"/>
            <w:tcBorders>
              <w:top w:val="single" w:sz="6" w:space="0" w:color="auto"/>
              <w:bottom w:val="single" w:sz="6" w:space="0" w:color="auto"/>
            </w:tcBorders>
          </w:tcPr>
          <w:p w:rsidR="00A31A94" w:rsidRPr="00EB64F9" w:rsidRDefault="00A31A94" w:rsidP="00A31A94">
            <w:pPr>
              <w:pStyle w:val="TableColumnHeading"/>
            </w:pPr>
            <w:r w:rsidRPr="00EB64F9">
              <w:t>ACT</w:t>
            </w:r>
          </w:p>
        </w:tc>
        <w:tc>
          <w:tcPr>
            <w:tcW w:w="708" w:type="dxa"/>
            <w:tcBorders>
              <w:top w:val="single" w:sz="6" w:space="0" w:color="auto"/>
              <w:bottom w:val="single" w:sz="6" w:space="0" w:color="auto"/>
            </w:tcBorders>
          </w:tcPr>
          <w:p w:rsidR="00A31A94" w:rsidRPr="00EB64F9" w:rsidRDefault="00A31A94" w:rsidP="00A31A94">
            <w:pPr>
              <w:pStyle w:val="TableColumnHeading"/>
            </w:pPr>
            <w:r w:rsidRPr="00EB64F9">
              <w:t>NT</w:t>
            </w:r>
          </w:p>
        </w:tc>
        <w:tc>
          <w:tcPr>
            <w:tcW w:w="852" w:type="dxa"/>
            <w:tcBorders>
              <w:top w:val="single" w:sz="6" w:space="0" w:color="auto"/>
              <w:bottom w:val="single" w:sz="6" w:space="0" w:color="auto"/>
            </w:tcBorders>
          </w:tcPr>
          <w:p w:rsidR="00A31A94" w:rsidRPr="00EB64F9" w:rsidRDefault="00A31A94" w:rsidP="00A31A94">
            <w:pPr>
              <w:pStyle w:val="TableColumnHeading"/>
              <w:ind w:right="28"/>
            </w:pPr>
            <w:r w:rsidRPr="00EB64F9">
              <w:t>Total</w:t>
            </w:r>
          </w:p>
        </w:tc>
      </w:tr>
      <w:tr w:rsidR="00792381" w:rsidRPr="00EB64F9" w:rsidTr="005611F1">
        <w:tc>
          <w:tcPr>
            <w:tcW w:w="2410" w:type="dxa"/>
          </w:tcPr>
          <w:p w:rsidR="00792381" w:rsidRPr="00EB64F9" w:rsidRDefault="00792381" w:rsidP="00B065B3">
            <w:pPr>
              <w:pStyle w:val="TableBodyText"/>
              <w:jc w:val="left"/>
            </w:pPr>
            <w:r w:rsidRPr="00EB64F9">
              <w:t>Supreme</w:t>
            </w:r>
            <w:r>
              <w:rPr>
                <w:rStyle w:val="NoteLabel"/>
              </w:rPr>
              <w:t>b</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0.5</w:t>
            </w:r>
          </w:p>
        </w:tc>
        <w:tc>
          <w:tcPr>
            <w:tcW w:w="850" w:type="dxa"/>
            <w:vAlign w:val="bottom"/>
          </w:tcPr>
          <w:p w:rsidR="00792381" w:rsidRPr="00792381" w:rsidRDefault="00792381" w:rsidP="00792381">
            <w:pPr>
              <w:pStyle w:val="TableBodyText"/>
              <w:rPr>
                <w:sz w:val="18"/>
                <w:szCs w:val="18"/>
              </w:rPr>
            </w:pPr>
            <w:r w:rsidRPr="00792381">
              <w:rPr>
                <w:sz w:val="18"/>
                <w:szCs w:val="18"/>
              </w:rPr>
              <w:t xml:space="preserve">  0.4</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1.2</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0.7</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0.3</w:t>
            </w:r>
          </w:p>
        </w:tc>
        <w:tc>
          <w:tcPr>
            <w:tcW w:w="567" w:type="dxa"/>
            <w:vAlign w:val="bottom"/>
          </w:tcPr>
          <w:p w:rsidR="00792381" w:rsidRPr="00792381" w:rsidRDefault="00792381" w:rsidP="00792381">
            <w:pPr>
              <w:pStyle w:val="TableBodyText"/>
              <w:rPr>
                <w:sz w:val="18"/>
                <w:szCs w:val="18"/>
              </w:rPr>
            </w:pPr>
            <w:r w:rsidRPr="00792381">
              <w:rPr>
                <w:sz w:val="18"/>
                <w:szCs w:val="18"/>
              </w:rPr>
              <w:t xml:space="preserve">  0.6</w:t>
            </w:r>
          </w:p>
        </w:tc>
        <w:tc>
          <w:tcPr>
            <w:tcW w:w="567" w:type="dxa"/>
            <w:vAlign w:val="bottom"/>
          </w:tcPr>
          <w:p w:rsidR="00792381" w:rsidRPr="00792381" w:rsidRDefault="00792381" w:rsidP="00792381">
            <w:pPr>
              <w:pStyle w:val="TableBodyText"/>
              <w:rPr>
                <w:sz w:val="18"/>
                <w:szCs w:val="18"/>
              </w:rPr>
            </w:pPr>
            <w:r w:rsidRPr="00792381">
              <w:rPr>
                <w:sz w:val="18"/>
                <w:szCs w:val="18"/>
              </w:rPr>
              <w:t xml:space="preserve">  0.3</w:t>
            </w:r>
          </w:p>
        </w:tc>
        <w:tc>
          <w:tcPr>
            <w:tcW w:w="708" w:type="dxa"/>
            <w:vAlign w:val="bottom"/>
          </w:tcPr>
          <w:p w:rsidR="00792381" w:rsidRPr="00792381" w:rsidRDefault="00792381" w:rsidP="00792381">
            <w:pPr>
              <w:pStyle w:val="TableBodyText"/>
              <w:rPr>
                <w:sz w:val="18"/>
                <w:szCs w:val="18"/>
              </w:rPr>
            </w:pPr>
            <w:r w:rsidRPr="00792381">
              <w:rPr>
                <w:sz w:val="18"/>
                <w:szCs w:val="18"/>
              </w:rPr>
              <w:t xml:space="preserve">  0.5</w:t>
            </w:r>
          </w:p>
        </w:tc>
        <w:tc>
          <w:tcPr>
            <w:tcW w:w="852" w:type="dxa"/>
            <w:vAlign w:val="bottom"/>
          </w:tcPr>
          <w:p w:rsidR="00792381" w:rsidRPr="00792381" w:rsidRDefault="00792381" w:rsidP="00792381">
            <w:pPr>
              <w:pStyle w:val="TableBodyText"/>
              <w:rPr>
                <w:sz w:val="18"/>
                <w:szCs w:val="18"/>
              </w:rPr>
            </w:pPr>
            <w:r w:rsidRPr="00792381">
              <w:rPr>
                <w:sz w:val="18"/>
                <w:szCs w:val="18"/>
              </w:rPr>
              <w:t xml:space="preserve">  4.5</w:t>
            </w:r>
          </w:p>
        </w:tc>
      </w:tr>
      <w:tr w:rsidR="00792381" w:rsidRPr="00EB64F9" w:rsidTr="005611F1">
        <w:tc>
          <w:tcPr>
            <w:tcW w:w="2410" w:type="dxa"/>
          </w:tcPr>
          <w:p w:rsidR="00792381" w:rsidRPr="00EB64F9" w:rsidRDefault="00792381" w:rsidP="00A31A94">
            <w:pPr>
              <w:pStyle w:val="TableBodyText"/>
              <w:jc w:val="left"/>
              <w:rPr>
                <w:rStyle w:val="NoteLabel"/>
              </w:rPr>
            </w:pPr>
            <w:r>
              <w:t>District/county</w:t>
            </w:r>
            <w:r>
              <w:rPr>
                <w:rStyle w:val="NoteLabel"/>
              </w:rPr>
              <w:t>b</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10.5</w:t>
            </w:r>
          </w:p>
        </w:tc>
        <w:tc>
          <w:tcPr>
            <w:tcW w:w="850" w:type="dxa"/>
            <w:vAlign w:val="bottom"/>
          </w:tcPr>
          <w:p w:rsidR="00792381" w:rsidRPr="00792381" w:rsidRDefault="00792381" w:rsidP="00792381">
            <w:pPr>
              <w:pStyle w:val="TableBodyText"/>
              <w:rPr>
                <w:sz w:val="18"/>
                <w:szCs w:val="18"/>
              </w:rPr>
            </w:pPr>
            <w:r w:rsidRPr="00792381">
              <w:rPr>
                <w:sz w:val="18"/>
                <w:szCs w:val="18"/>
              </w:rPr>
              <w:t xml:space="preserve">  5.4</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5.1</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2.0</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2.3</w:t>
            </w:r>
          </w:p>
        </w:tc>
        <w:tc>
          <w:tcPr>
            <w:tcW w:w="567" w:type="dxa"/>
            <w:vAlign w:val="bottom"/>
          </w:tcPr>
          <w:p w:rsidR="00792381" w:rsidRPr="00792381" w:rsidRDefault="00792381" w:rsidP="00792381">
            <w:pPr>
              <w:pStyle w:val="TableBodyText"/>
              <w:rPr>
                <w:sz w:val="18"/>
                <w:szCs w:val="18"/>
              </w:rPr>
            </w:pPr>
            <w:r w:rsidRPr="00792381">
              <w:rPr>
                <w:sz w:val="18"/>
                <w:szCs w:val="18"/>
              </w:rPr>
              <w:t>..</w:t>
            </w:r>
          </w:p>
        </w:tc>
        <w:tc>
          <w:tcPr>
            <w:tcW w:w="567" w:type="dxa"/>
            <w:vAlign w:val="bottom"/>
          </w:tcPr>
          <w:p w:rsidR="00792381" w:rsidRPr="00792381" w:rsidRDefault="00792381" w:rsidP="00792381">
            <w:pPr>
              <w:pStyle w:val="TableBodyText"/>
              <w:rPr>
                <w:sz w:val="18"/>
                <w:szCs w:val="18"/>
              </w:rPr>
            </w:pPr>
            <w:r w:rsidRPr="00792381">
              <w:rPr>
                <w:sz w:val="18"/>
                <w:szCs w:val="18"/>
              </w:rPr>
              <w:t>..</w:t>
            </w:r>
          </w:p>
        </w:tc>
        <w:tc>
          <w:tcPr>
            <w:tcW w:w="708" w:type="dxa"/>
            <w:vAlign w:val="bottom"/>
          </w:tcPr>
          <w:p w:rsidR="00792381" w:rsidRPr="00792381" w:rsidRDefault="00792381" w:rsidP="00792381">
            <w:pPr>
              <w:pStyle w:val="TableBodyText"/>
              <w:rPr>
                <w:sz w:val="18"/>
                <w:szCs w:val="18"/>
              </w:rPr>
            </w:pPr>
            <w:r w:rsidRPr="00792381">
              <w:rPr>
                <w:sz w:val="18"/>
                <w:szCs w:val="18"/>
              </w:rPr>
              <w:t>..</w:t>
            </w:r>
          </w:p>
        </w:tc>
        <w:tc>
          <w:tcPr>
            <w:tcW w:w="852" w:type="dxa"/>
            <w:vAlign w:val="bottom"/>
          </w:tcPr>
          <w:p w:rsidR="00792381" w:rsidRPr="00792381" w:rsidRDefault="00792381" w:rsidP="00792381">
            <w:pPr>
              <w:pStyle w:val="TableBodyText"/>
              <w:rPr>
                <w:sz w:val="18"/>
                <w:szCs w:val="18"/>
              </w:rPr>
            </w:pPr>
            <w:r w:rsidRPr="00792381">
              <w:rPr>
                <w:sz w:val="18"/>
                <w:szCs w:val="18"/>
              </w:rPr>
              <w:t xml:space="preserve">  25.2</w:t>
            </w:r>
          </w:p>
        </w:tc>
      </w:tr>
      <w:tr w:rsidR="00792381" w:rsidRPr="00EB64F9" w:rsidTr="005611F1">
        <w:tc>
          <w:tcPr>
            <w:tcW w:w="2410" w:type="dxa"/>
          </w:tcPr>
          <w:p w:rsidR="00792381" w:rsidRPr="00EB64F9" w:rsidRDefault="00792381" w:rsidP="00A31A94">
            <w:pPr>
              <w:pStyle w:val="TableBodyText"/>
              <w:jc w:val="left"/>
              <w:rPr>
                <w:rStyle w:val="NoteLabel"/>
              </w:rPr>
            </w:pPr>
            <w:r>
              <w:t>Magistrates’</w:t>
            </w:r>
            <w:r w:rsidRPr="00EB64F9">
              <w:t xml:space="preserve"> (total)</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163.1</w:t>
            </w:r>
          </w:p>
        </w:tc>
        <w:tc>
          <w:tcPr>
            <w:tcW w:w="850" w:type="dxa"/>
            <w:vAlign w:val="bottom"/>
          </w:tcPr>
          <w:p w:rsidR="00792381" w:rsidRPr="00792381" w:rsidRDefault="00792381" w:rsidP="00792381">
            <w:pPr>
              <w:pStyle w:val="TableBodyText"/>
              <w:rPr>
                <w:sz w:val="18"/>
                <w:szCs w:val="18"/>
              </w:rPr>
            </w:pPr>
            <w:r w:rsidRPr="00792381">
              <w:rPr>
                <w:sz w:val="18"/>
                <w:szCs w:val="18"/>
              </w:rPr>
              <w:t xml:space="preserve">  196.2</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200.2</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90.8</w:t>
            </w:r>
          </w:p>
        </w:tc>
        <w:tc>
          <w:tcPr>
            <w:tcW w:w="709" w:type="dxa"/>
            <w:vAlign w:val="bottom"/>
          </w:tcPr>
          <w:p w:rsidR="00792381" w:rsidRPr="00792381" w:rsidRDefault="00792381" w:rsidP="00792381">
            <w:pPr>
              <w:pStyle w:val="TableBodyText"/>
              <w:rPr>
                <w:sz w:val="18"/>
                <w:szCs w:val="18"/>
              </w:rPr>
            </w:pPr>
            <w:r w:rsidRPr="00792381">
              <w:rPr>
                <w:sz w:val="18"/>
                <w:szCs w:val="18"/>
              </w:rPr>
              <w:t xml:space="preserve">  59.7</w:t>
            </w:r>
          </w:p>
        </w:tc>
        <w:tc>
          <w:tcPr>
            <w:tcW w:w="567" w:type="dxa"/>
            <w:vAlign w:val="bottom"/>
          </w:tcPr>
          <w:p w:rsidR="00792381" w:rsidRPr="00792381" w:rsidRDefault="00792381" w:rsidP="00792381">
            <w:pPr>
              <w:pStyle w:val="TableBodyText"/>
              <w:rPr>
                <w:sz w:val="18"/>
                <w:szCs w:val="18"/>
              </w:rPr>
            </w:pPr>
            <w:r w:rsidRPr="00792381">
              <w:rPr>
                <w:sz w:val="18"/>
                <w:szCs w:val="18"/>
              </w:rPr>
              <w:t>17.4</w:t>
            </w:r>
          </w:p>
        </w:tc>
        <w:tc>
          <w:tcPr>
            <w:tcW w:w="567" w:type="dxa"/>
            <w:vAlign w:val="bottom"/>
          </w:tcPr>
          <w:p w:rsidR="00792381" w:rsidRPr="00792381" w:rsidRDefault="00792381" w:rsidP="00792381">
            <w:pPr>
              <w:pStyle w:val="TableBodyText"/>
              <w:rPr>
                <w:sz w:val="18"/>
                <w:szCs w:val="18"/>
              </w:rPr>
            </w:pPr>
            <w:r w:rsidRPr="00792381">
              <w:rPr>
                <w:sz w:val="18"/>
                <w:szCs w:val="18"/>
              </w:rPr>
              <w:t xml:space="preserve">  5.5</w:t>
            </w:r>
          </w:p>
        </w:tc>
        <w:tc>
          <w:tcPr>
            <w:tcW w:w="708" w:type="dxa"/>
            <w:vAlign w:val="bottom"/>
          </w:tcPr>
          <w:p w:rsidR="00792381" w:rsidRPr="00792381" w:rsidRDefault="00792381" w:rsidP="00792381">
            <w:pPr>
              <w:pStyle w:val="TableBodyText"/>
              <w:rPr>
                <w:sz w:val="18"/>
                <w:szCs w:val="18"/>
              </w:rPr>
            </w:pPr>
            <w:r w:rsidRPr="00792381">
              <w:rPr>
                <w:sz w:val="18"/>
                <w:szCs w:val="18"/>
              </w:rPr>
              <w:t xml:space="preserve">  17.5</w:t>
            </w:r>
          </w:p>
        </w:tc>
        <w:tc>
          <w:tcPr>
            <w:tcW w:w="852" w:type="dxa"/>
            <w:vAlign w:val="bottom"/>
          </w:tcPr>
          <w:p w:rsidR="00792381" w:rsidRPr="00792381" w:rsidRDefault="00792381" w:rsidP="00792381">
            <w:pPr>
              <w:pStyle w:val="TableBodyText"/>
              <w:rPr>
                <w:sz w:val="18"/>
                <w:szCs w:val="18"/>
              </w:rPr>
            </w:pPr>
            <w:r w:rsidRPr="00792381">
              <w:rPr>
                <w:sz w:val="18"/>
                <w:szCs w:val="18"/>
              </w:rPr>
              <w:t xml:space="preserve">  750.5</w:t>
            </w:r>
          </w:p>
        </w:tc>
      </w:tr>
      <w:tr w:rsidR="00792381" w:rsidRPr="00EB64F9" w:rsidTr="005611F1">
        <w:tc>
          <w:tcPr>
            <w:tcW w:w="2410" w:type="dxa"/>
          </w:tcPr>
          <w:p w:rsidR="00792381" w:rsidRPr="00EB64F9" w:rsidRDefault="00792381" w:rsidP="00A31A94">
            <w:pPr>
              <w:pStyle w:val="TableBodyText"/>
              <w:ind w:left="284"/>
              <w:jc w:val="left"/>
              <w:rPr>
                <w:i/>
              </w:rPr>
            </w:pPr>
            <w:r>
              <w:rPr>
                <w:i/>
              </w:rPr>
              <w:t>Magistrates’</w:t>
            </w:r>
            <w:r w:rsidRPr="00EB64F9">
              <w:rPr>
                <w:i/>
              </w:rPr>
              <w:t xml:space="preserve"> (only)</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153.1</w:t>
            </w:r>
          </w:p>
        </w:tc>
        <w:tc>
          <w:tcPr>
            <w:tcW w:w="850" w:type="dxa"/>
            <w:vAlign w:val="bottom"/>
          </w:tcPr>
          <w:p w:rsidR="00792381" w:rsidRPr="00792381" w:rsidRDefault="00792381" w:rsidP="00792381">
            <w:pPr>
              <w:pStyle w:val="TableBodyText"/>
              <w:rPr>
                <w:i/>
                <w:iCs/>
                <w:sz w:val="18"/>
                <w:szCs w:val="18"/>
              </w:rPr>
            </w:pPr>
            <w:r w:rsidRPr="00792381">
              <w:rPr>
                <w:i/>
                <w:iCs/>
                <w:sz w:val="18"/>
                <w:szCs w:val="18"/>
              </w:rPr>
              <w:t xml:space="preserve">  175.3</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188.5</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83.9</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54.4</w:t>
            </w:r>
          </w:p>
        </w:tc>
        <w:tc>
          <w:tcPr>
            <w:tcW w:w="567" w:type="dxa"/>
            <w:vAlign w:val="bottom"/>
          </w:tcPr>
          <w:p w:rsidR="00792381" w:rsidRPr="00792381" w:rsidRDefault="00792381" w:rsidP="00792381">
            <w:pPr>
              <w:pStyle w:val="TableBodyText"/>
              <w:rPr>
                <w:i/>
                <w:iCs/>
                <w:sz w:val="18"/>
                <w:szCs w:val="18"/>
              </w:rPr>
            </w:pPr>
            <w:r w:rsidRPr="00792381">
              <w:rPr>
                <w:i/>
                <w:iCs/>
                <w:sz w:val="18"/>
                <w:szCs w:val="18"/>
              </w:rPr>
              <w:t>15.9</w:t>
            </w:r>
          </w:p>
        </w:tc>
        <w:tc>
          <w:tcPr>
            <w:tcW w:w="567" w:type="dxa"/>
            <w:vAlign w:val="bottom"/>
          </w:tcPr>
          <w:p w:rsidR="00792381" w:rsidRPr="00792381" w:rsidRDefault="00792381" w:rsidP="00792381">
            <w:pPr>
              <w:pStyle w:val="TableBodyText"/>
              <w:rPr>
                <w:i/>
                <w:iCs/>
                <w:sz w:val="18"/>
                <w:szCs w:val="18"/>
              </w:rPr>
            </w:pPr>
            <w:r w:rsidRPr="00792381">
              <w:rPr>
                <w:i/>
                <w:iCs/>
                <w:sz w:val="18"/>
                <w:szCs w:val="18"/>
              </w:rPr>
              <w:t xml:space="preserve">  5.1</w:t>
            </w:r>
          </w:p>
        </w:tc>
        <w:tc>
          <w:tcPr>
            <w:tcW w:w="708" w:type="dxa"/>
            <w:vAlign w:val="bottom"/>
          </w:tcPr>
          <w:p w:rsidR="00792381" w:rsidRPr="00792381" w:rsidRDefault="00792381" w:rsidP="00792381">
            <w:pPr>
              <w:pStyle w:val="TableBodyText"/>
              <w:rPr>
                <w:i/>
                <w:iCs/>
                <w:sz w:val="18"/>
                <w:szCs w:val="18"/>
              </w:rPr>
            </w:pPr>
            <w:r w:rsidRPr="00792381">
              <w:rPr>
                <w:i/>
                <w:iCs/>
                <w:sz w:val="18"/>
                <w:szCs w:val="18"/>
              </w:rPr>
              <w:t xml:space="preserve">  15.5</w:t>
            </w:r>
          </w:p>
        </w:tc>
        <w:tc>
          <w:tcPr>
            <w:tcW w:w="852" w:type="dxa"/>
            <w:vAlign w:val="bottom"/>
          </w:tcPr>
          <w:p w:rsidR="00792381" w:rsidRPr="00792381" w:rsidRDefault="00792381" w:rsidP="00792381">
            <w:pPr>
              <w:pStyle w:val="TableBodyText"/>
              <w:rPr>
                <w:i/>
                <w:iCs/>
                <w:sz w:val="18"/>
                <w:szCs w:val="18"/>
              </w:rPr>
            </w:pPr>
            <w:r w:rsidRPr="00792381">
              <w:rPr>
                <w:i/>
                <w:iCs/>
                <w:sz w:val="18"/>
                <w:szCs w:val="18"/>
              </w:rPr>
              <w:t xml:space="preserve">  691.7</w:t>
            </w:r>
          </w:p>
        </w:tc>
      </w:tr>
      <w:tr w:rsidR="00792381" w:rsidRPr="00EB64F9" w:rsidTr="00990B51">
        <w:tc>
          <w:tcPr>
            <w:tcW w:w="2410" w:type="dxa"/>
          </w:tcPr>
          <w:p w:rsidR="00792381" w:rsidRPr="00EB64F9" w:rsidRDefault="00792381" w:rsidP="00A31A94">
            <w:pPr>
              <w:pStyle w:val="TableBodyText"/>
              <w:ind w:left="284"/>
              <w:jc w:val="left"/>
              <w:rPr>
                <w:i/>
              </w:rPr>
            </w:pPr>
            <w:r w:rsidRPr="00EB64F9">
              <w:rPr>
                <w:i/>
              </w:rPr>
              <w:t>Children’s</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10.0</w:t>
            </w:r>
          </w:p>
        </w:tc>
        <w:tc>
          <w:tcPr>
            <w:tcW w:w="850" w:type="dxa"/>
            <w:vAlign w:val="bottom"/>
          </w:tcPr>
          <w:p w:rsidR="00792381" w:rsidRPr="00792381" w:rsidRDefault="00792381" w:rsidP="00792381">
            <w:pPr>
              <w:pStyle w:val="TableBodyText"/>
              <w:rPr>
                <w:i/>
                <w:iCs/>
                <w:sz w:val="18"/>
                <w:szCs w:val="18"/>
              </w:rPr>
            </w:pPr>
            <w:r w:rsidRPr="00792381">
              <w:rPr>
                <w:i/>
                <w:iCs/>
                <w:sz w:val="18"/>
                <w:szCs w:val="18"/>
              </w:rPr>
              <w:t xml:space="preserve">  20.8</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11.7</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6.9</w:t>
            </w:r>
          </w:p>
        </w:tc>
        <w:tc>
          <w:tcPr>
            <w:tcW w:w="709" w:type="dxa"/>
            <w:vAlign w:val="bottom"/>
          </w:tcPr>
          <w:p w:rsidR="00792381" w:rsidRPr="00792381" w:rsidRDefault="00792381" w:rsidP="00792381">
            <w:pPr>
              <w:pStyle w:val="TableBodyText"/>
              <w:rPr>
                <w:i/>
                <w:iCs/>
                <w:sz w:val="18"/>
                <w:szCs w:val="18"/>
              </w:rPr>
            </w:pPr>
            <w:r w:rsidRPr="00792381">
              <w:rPr>
                <w:i/>
                <w:iCs/>
                <w:sz w:val="18"/>
                <w:szCs w:val="18"/>
              </w:rPr>
              <w:t xml:space="preserve">  5.4</w:t>
            </w:r>
          </w:p>
        </w:tc>
        <w:tc>
          <w:tcPr>
            <w:tcW w:w="567" w:type="dxa"/>
            <w:vAlign w:val="bottom"/>
          </w:tcPr>
          <w:p w:rsidR="00792381" w:rsidRPr="00792381" w:rsidRDefault="00792381" w:rsidP="00792381">
            <w:pPr>
              <w:pStyle w:val="TableBodyText"/>
              <w:rPr>
                <w:i/>
                <w:iCs/>
                <w:sz w:val="18"/>
                <w:szCs w:val="18"/>
              </w:rPr>
            </w:pPr>
            <w:r w:rsidRPr="00792381">
              <w:rPr>
                <w:i/>
                <w:iCs/>
                <w:sz w:val="18"/>
                <w:szCs w:val="18"/>
              </w:rPr>
              <w:t xml:space="preserve">  1.6</w:t>
            </w:r>
          </w:p>
        </w:tc>
        <w:tc>
          <w:tcPr>
            <w:tcW w:w="567" w:type="dxa"/>
            <w:vAlign w:val="bottom"/>
          </w:tcPr>
          <w:p w:rsidR="00792381" w:rsidRPr="00792381" w:rsidRDefault="00792381" w:rsidP="00792381">
            <w:pPr>
              <w:pStyle w:val="TableBodyText"/>
              <w:rPr>
                <w:i/>
                <w:iCs/>
                <w:sz w:val="18"/>
                <w:szCs w:val="18"/>
              </w:rPr>
            </w:pPr>
            <w:r w:rsidRPr="00792381">
              <w:rPr>
                <w:i/>
                <w:iCs/>
                <w:sz w:val="18"/>
                <w:szCs w:val="18"/>
              </w:rPr>
              <w:t xml:space="preserve">  0.4</w:t>
            </w:r>
          </w:p>
        </w:tc>
        <w:tc>
          <w:tcPr>
            <w:tcW w:w="708" w:type="dxa"/>
            <w:vAlign w:val="bottom"/>
          </w:tcPr>
          <w:p w:rsidR="00792381" w:rsidRPr="00792381" w:rsidRDefault="00792381" w:rsidP="00792381">
            <w:pPr>
              <w:pStyle w:val="TableBodyText"/>
              <w:rPr>
                <w:i/>
                <w:iCs/>
                <w:sz w:val="18"/>
                <w:szCs w:val="18"/>
              </w:rPr>
            </w:pPr>
            <w:r w:rsidRPr="00792381">
              <w:rPr>
                <w:i/>
                <w:iCs/>
                <w:sz w:val="18"/>
                <w:szCs w:val="18"/>
              </w:rPr>
              <w:t xml:space="preserve">  2.0</w:t>
            </w:r>
          </w:p>
        </w:tc>
        <w:tc>
          <w:tcPr>
            <w:tcW w:w="852" w:type="dxa"/>
            <w:vAlign w:val="bottom"/>
          </w:tcPr>
          <w:p w:rsidR="00792381" w:rsidRPr="00792381" w:rsidRDefault="00792381" w:rsidP="00792381">
            <w:pPr>
              <w:pStyle w:val="TableBodyText"/>
              <w:rPr>
                <w:i/>
                <w:iCs/>
                <w:sz w:val="18"/>
                <w:szCs w:val="18"/>
              </w:rPr>
            </w:pPr>
            <w:r w:rsidRPr="00792381">
              <w:rPr>
                <w:i/>
                <w:iCs/>
                <w:sz w:val="18"/>
                <w:szCs w:val="18"/>
              </w:rPr>
              <w:t xml:space="preserve">  58.8</w:t>
            </w:r>
          </w:p>
        </w:tc>
      </w:tr>
      <w:tr w:rsidR="00792381" w:rsidRPr="00EB64F9" w:rsidTr="00990B51">
        <w:tc>
          <w:tcPr>
            <w:tcW w:w="2410" w:type="dxa"/>
            <w:tcBorders>
              <w:bottom w:val="single" w:sz="4" w:space="0" w:color="auto"/>
            </w:tcBorders>
          </w:tcPr>
          <w:p w:rsidR="00792381" w:rsidRPr="00EB64F9" w:rsidRDefault="00792381" w:rsidP="00A31A94">
            <w:pPr>
              <w:pStyle w:val="TableBodyText"/>
              <w:jc w:val="left"/>
              <w:rPr>
                <w:b/>
              </w:rPr>
            </w:pPr>
            <w:r w:rsidRPr="00EB64F9">
              <w:rPr>
                <w:b/>
              </w:rPr>
              <w:t>All criminal courts</w:t>
            </w:r>
          </w:p>
        </w:tc>
        <w:tc>
          <w:tcPr>
            <w:tcW w:w="709"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174.1</w:t>
            </w:r>
          </w:p>
        </w:tc>
        <w:tc>
          <w:tcPr>
            <w:tcW w:w="850"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202.0</w:t>
            </w:r>
          </w:p>
        </w:tc>
        <w:tc>
          <w:tcPr>
            <w:tcW w:w="709"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206.6</w:t>
            </w:r>
          </w:p>
        </w:tc>
        <w:tc>
          <w:tcPr>
            <w:tcW w:w="709"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93.5</w:t>
            </w:r>
          </w:p>
        </w:tc>
        <w:tc>
          <w:tcPr>
            <w:tcW w:w="709"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62.3</w:t>
            </w:r>
          </w:p>
        </w:tc>
        <w:tc>
          <w:tcPr>
            <w:tcW w:w="567"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18.0</w:t>
            </w:r>
          </w:p>
        </w:tc>
        <w:tc>
          <w:tcPr>
            <w:tcW w:w="567"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5.8</w:t>
            </w:r>
          </w:p>
        </w:tc>
        <w:tc>
          <w:tcPr>
            <w:tcW w:w="708"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18.0</w:t>
            </w:r>
          </w:p>
        </w:tc>
        <w:tc>
          <w:tcPr>
            <w:tcW w:w="852" w:type="dxa"/>
            <w:tcBorders>
              <w:bottom w:val="single" w:sz="4" w:space="0" w:color="auto"/>
            </w:tcBorders>
            <w:vAlign w:val="bottom"/>
          </w:tcPr>
          <w:p w:rsidR="00792381" w:rsidRPr="00792381" w:rsidRDefault="00792381" w:rsidP="00792381">
            <w:pPr>
              <w:pStyle w:val="TableBodyText"/>
              <w:rPr>
                <w:b/>
                <w:bCs/>
                <w:sz w:val="18"/>
                <w:szCs w:val="18"/>
              </w:rPr>
            </w:pPr>
            <w:r w:rsidRPr="00792381">
              <w:rPr>
                <w:b/>
                <w:bCs/>
                <w:sz w:val="18"/>
                <w:szCs w:val="18"/>
              </w:rPr>
              <w:t xml:space="preserve">  780.3</w:t>
            </w:r>
          </w:p>
        </w:tc>
      </w:tr>
    </w:tbl>
    <w:p w:rsidR="00A31A94" w:rsidRDefault="00A31A94" w:rsidP="00941392">
      <w:pPr>
        <w:pStyle w:val="Note"/>
      </w:pPr>
      <w:r w:rsidRPr="00A31A94">
        <w:rPr>
          <w:rStyle w:val="NoteLabel"/>
        </w:rPr>
        <w:t>a</w:t>
      </w:r>
      <w:r w:rsidR="00C87184">
        <w:t> Totals may not add as a result of rounding</w:t>
      </w:r>
      <w:r w:rsidR="00C87184" w:rsidRPr="00B54F4D">
        <w:t>.</w:t>
      </w:r>
      <w:r w:rsidR="00BF5922" w:rsidRPr="00B54F4D">
        <w:t xml:space="preserve"> </w:t>
      </w:r>
      <w:r w:rsidR="00BF5922" w:rsidRPr="00B54F4D">
        <w:rPr>
          <w:rStyle w:val="NoteLabel"/>
        </w:rPr>
        <w:t>b</w:t>
      </w:r>
      <w:r w:rsidR="00BF5922" w:rsidRPr="00B54F4D">
        <w:t> </w:t>
      </w:r>
      <w:r w:rsidR="003641CF" w:rsidRPr="00B54F4D">
        <w:t>Queensland</w:t>
      </w:r>
      <w:r w:rsidR="003641CF" w:rsidRPr="003641CF">
        <w:t xml:space="preserve"> Supreme</w:t>
      </w:r>
      <w:r w:rsidR="002B49E7">
        <w:t xml:space="preserve"> and District</w:t>
      </w:r>
      <w:r w:rsidR="003641CF" w:rsidRPr="003641CF">
        <w:t xml:space="preserve"> Court data for the number of originating criminal </w:t>
      </w:r>
      <w:proofErr w:type="spellStart"/>
      <w:r w:rsidR="005D414E">
        <w:t>lodgment</w:t>
      </w:r>
      <w:r w:rsidR="003641CF" w:rsidRPr="003641CF">
        <w:t>s</w:t>
      </w:r>
      <w:proofErr w:type="spellEnd"/>
      <w:r w:rsidR="00067FB9">
        <w:t xml:space="preserve"> are</w:t>
      </w:r>
      <w:r w:rsidR="003641CF" w:rsidRPr="003641CF">
        <w:t xml:space="preserve"> based on a count of the number of defendants who had a</w:t>
      </w:r>
      <w:r w:rsidR="00CA0EE5">
        <w:t xml:space="preserve"> Court Reco</w:t>
      </w:r>
      <w:r w:rsidR="00067FB9">
        <w:t>rd entered on the computerised case management s</w:t>
      </w:r>
      <w:r w:rsidR="00CA0EE5">
        <w:t xml:space="preserve">ystem </w:t>
      </w:r>
      <w:r w:rsidR="003641CF" w:rsidRPr="003641CF">
        <w:t>in the financial year, it is not a count of the number of defendants committed to the Supreme</w:t>
      </w:r>
      <w:r w:rsidR="00F43AAD">
        <w:t>/</w:t>
      </w:r>
      <w:r w:rsidR="002B49E7">
        <w:t>District</w:t>
      </w:r>
      <w:r w:rsidR="003641CF" w:rsidRPr="003641CF">
        <w:t xml:space="preserve"> Court for trial or sentencing.</w:t>
      </w:r>
      <w:r w:rsidR="000F6E21" w:rsidRPr="000F6E21">
        <w:rPr>
          <w:rStyle w:val="NoteLabel"/>
        </w:rPr>
        <w:t xml:space="preserve"> </w:t>
      </w:r>
      <w:r w:rsidR="00C87184">
        <w:t xml:space="preserve"> </w:t>
      </w:r>
      <w:r w:rsidR="00E92ADD">
        <w:rPr>
          <w:b/>
        </w:rPr>
        <w:t>.. </w:t>
      </w:r>
      <w:r w:rsidR="00E92ADD" w:rsidRPr="00E92ADD">
        <w:t>Not</w:t>
      </w:r>
      <w:r w:rsidR="00E92ADD">
        <w:t> applicable</w:t>
      </w:r>
      <w:r w:rsidR="00C87184">
        <w:t>.</w:t>
      </w:r>
    </w:p>
    <w:p w:rsidR="00A31A94" w:rsidRPr="00F241C5" w:rsidRDefault="00A31A94" w:rsidP="00A31A94">
      <w:pPr>
        <w:pStyle w:val="Source"/>
      </w:pPr>
      <w:r>
        <w:rPr>
          <w:i/>
        </w:rPr>
        <w:t>Source</w:t>
      </w:r>
      <w:r w:rsidRPr="00F241C5">
        <w:t>:</w:t>
      </w:r>
      <w:r>
        <w:t xml:space="preserve"> </w:t>
      </w:r>
      <w:r w:rsidR="00F241C5" w:rsidRPr="00F241C5">
        <w:t xml:space="preserve">State and Territory court authorities and departments (unpublished); </w:t>
      </w:r>
      <w:r w:rsidR="00A76A9C">
        <w:t>table </w:t>
      </w:r>
      <w:proofErr w:type="spellStart"/>
      <w:r w:rsidR="00A76A9C">
        <w:t>7</w:t>
      </w:r>
      <w:r w:rsidR="00F241C5" w:rsidRPr="00F241C5">
        <w:t>A.1</w:t>
      </w:r>
      <w:proofErr w:type="spellEnd"/>
      <w:r w:rsidR="00F241C5" w:rsidRPr="00F241C5">
        <w:t>.</w:t>
      </w:r>
    </w:p>
    <w:p w:rsidR="004C6C00" w:rsidRDefault="00B33C0A" w:rsidP="00AE7876">
      <w:pPr>
        <w:pStyle w:val="BodyText"/>
      </w:pPr>
      <w:r>
        <w:t>Nationally,</w:t>
      </w:r>
      <w:r w:rsidR="00816064">
        <w:t xml:space="preserve"> </w:t>
      </w:r>
      <w:r w:rsidR="003D2D0C">
        <w:t xml:space="preserve">482 400 </w:t>
      </w:r>
      <w:r w:rsidR="00457729" w:rsidRPr="00D025E3">
        <w:t xml:space="preserve">cases were lodged in civil </w:t>
      </w:r>
      <w:r w:rsidR="00624B56" w:rsidRPr="00D025E3">
        <w:t>jurisdiction courts (excluding f</w:t>
      </w:r>
      <w:r w:rsidR="00457729" w:rsidRPr="00D025E3">
        <w:t>amily c</w:t>
      </w:r>
      <w:r w:rsidR="001679ED" w:rsidRPr="00D025E3">
        <w:t xml:space="preserve">ourts, the Federal </w:t>
      </w:r>
      <w:r w:rsidR="00CD2DC8">
        <w:t>Circuit</w:t>
      </w:r>
      <w:r w:rsidR="001679ED" w:rsidRPr="00D025E3">
        <w:t xml:space="preserve"> C</w:t>
      </w:r>
      <w:r w:rsidR="00457729" w:rsidRPr="00D025E3">
        <w:t>ourt,</w:t>
      </w:r>
      <w:r w:rsidR="00032566" w:rsidRPr="00D025E3">
        <w:t xml:space="preserve"> coroners’ and probate courts), comprising </w:t>
      </w:r>
      <w:r w:rsidR="003D2D0C">
        <w:t>476 600</w:t>
      </w:r>
      <w:r w:rsidR="00585897">
        <w:t xml:space="preserve"> </w:t>
      </w:r>
      <w:r w:rsidR="00032566" w:rsidRPr="00D025E3">
        <w:t>cases in the</w:t>
      </w:r>
      <w:r w:rsidR="004C6C00" w:rsidRPr="00D025E3">
        <w:t xml:space="preserve"> State and Territory </w:t>
      </w:r>
      <w:r w:rsidR="00785BC2" w:rsidRPr="00D025E3">
        <w:t>s</w:t>
      </w:r>
      <w:r w:rsidR="00BC62E9" w:rsidRPr="00D025E3">
        <w:t>upreme</w:t>
      </w:r>
      <w:r w:rsidR="004C6C00" w:rsidRPr="00D025E3">
        <w:t xml:space="preserve">, </w:t>
      </w:r>
      <w:r w:rsidR="00F43AAD" w:rsidRPr="00D025E3">
        <w:t>district/county</w:t>
      </w:r>
      <w:r w:rsidR="00032566" w:rsidRPr="00D025E3">
        <w:t xml:space="preserve"> and </w:t>
      </w:r>
      <w:r w:rsidR="00785BC2" w:rsidRPr="00D025E3">
        <w:t>magistrates’ c</w:t>
      </w:r>
      <w:r w:rsidR="00BC62E9" w:rsidRPr="00D025E3">
        <w:t>ourt</w:t>
      </w:r>
      <w:r w:rsidR="00032566" w:rsidRPr="00D025E3">
        <w:t xml:space="preserve">s, and </w:t>
      </w:r>
      <w:r w:rsidR="003D2D0C">
        <w:t>5800</w:t>
      </w:r>
      <w:r w:rsidR="00032566" w:rsidRPr="00D025E3">
        <w:t xml:space="preserve"> cases in the Federal Court </w:t>
      </w:r>
      <w:r w:rsidR="00AE7876" w:rsidRPr="00D025E3">
        <w:t>(</w:t>
      </w:r>
      <w:r w:rsidR="00A76A9C" w:rsidRPr="00D025E3">
        <w:t>table 7</w:t>
      </w:r>
      <w:r w:rsidR="00A83AB1" w:rsidRPr="00D025E3">
        <w:t xml:space="preserve">.3). </w:t>
      </w:r>
      <w:r w:rsidR="00032566" w:rsidRPr="00D025E3">
        <w:t xml:space="preserve">In the states and territories, </w:t>
      </w:r>
      <w:r w:rsidR="00A83AB1" w:rsidRPr="00D025E3">
        <w:t xml:space="preserve">an additional </w:t>
      </w:r>
      <w:r w:rsidR="003D2D0C">
        <w:t>67 800</w:t>
      </w:r>
      <w:r w:rsidR="00585897">
        <w:t xml:space="preserve"> </w:t>
      </w:r>
      <w:r w:rsidR="00AE7876" w:rsidRPr="00D025E3">
        <w:t>probate</w:t>
      </w:r>
      <w:r w:rsidR="001C47B9" w:rsidRPr="00D025E3">
        <w:t xml:space="preserve"> matters were</w:t>
      </w:r>
      <w:r w:rsidR="00AE7876" w:rsidRPr="00D025E3">
        <w:t xml:space="preserve"> lodg</w:t>
      </w:r>
      <w:r w:rsidR="00032566" w:rsidRPr="00D025E3">
        <w:t>ed</w:t>
      </w:r>
      <w:r w:rsidR="00727EF0" w:rsidRPr="00D025E3">
        <w:t xml:space="preserve"> in the </w:t>
      </w:r>
      <w:r w:rsidR="00785BC2" w:rsidRPr="00D025E3">
        <w:t>supreme c</w:t>
      </w:r>
      <w:r w:rsidR="00BC62E9" w:rsidRPr="00D025E3">
        <w:t>ourt</w:t>
      </w:r>
      <w:r w:rsidR="004C6C00" w:rsidRPr="00D025E3">
        <w:t xml:space="preserve">s. </w:t>
      </w:r>
    </w:p>
    <w:p w:rsidR="00BC3C66" w:rsidRPr="00BC3C66" w:rsidRDefault="00BC3C66" w:rsidP="0053662C">
      <w:pPr>
        <w:pStyle w:val="BodyText"/>
        <w:rPr>
          <w:szCs w:val="26"/>
        </w:rPr>
      </w:pPr>
      <w:r w:rsidRPr="00BC3C66">
        <w:rPr>
          <w:szCs w:val="26"/>
        </w:rPr>
        <w:t>In the Australian court jurisdiction</w:t>
      </w:r>
      <w:r w:rsidR="00965F63">
        <w:rPr>
          <w:szCs w:val="26"/>
        </w:rPr>
        <w:t xml:space="preserve">, approximately </w:t>
      </w:r>
      <w:r w:rsidR="00EC2B59">
        <w:rPr>
          <w:szCs w:val="26"/>
        </w:rPr>
        <w:t>5800</w:t>
      </w:r>
      <w:r w:rsidR="00965F63">
        <w:rPr>
          <w:szCs w:val="26"/>
        </w:rPr>
        <w:t xml:space="preserve"> cases were </w:t>
      </w:r>
      <w:r w:rsidRPr="00BC3C66">
        <w:rPr>
          <w:szCs w:val="26"/>
        </w:rPr>
        <w:t xml:space="preserve">lodged in the Federal Court, </w:t>
      </w:r>
      <w:r w:rsidR="00EC2B59">
        <w:rPr>
          <w:szCs w:val="26"/>
        </w:rPr>
        <w:t>89 600</w:t>
      </w:r>
      <w:r w:rsidR="007628FB">
        <w:rPr>
          <w:szCs w:val="26"/>
        </w:rPr>
        <w:t xml:space="preserve"> </w:t>
      </w:r>
      <w:r w:rsidRPr="00BC3C66">
        <w:rPr>
          <w:szCs w:val="26"/>
        </w:rPr>
        <w:t xml:space="preserve">(civil and family law) matters were lodged in the Federal </w:t>
      </w:r>
      <w:r w:rsidR="00CD2DC8">
        <w:rPr>
          <w:szCs w:val="26"/>
        </w:rPr>
        <w:t>Circuit</w:t>
      </w:r>
      <w:r w:rsidRPr="00BC3C66">
        <w:rPr>
          <w:szCs w:val="26"/>
        </w:rPr>
        <w:t xml:space="preserve"> Court, and a further</w:t>
      </w:r>
      <w:r w:rsidR="00965F63">
        <w:rPr>
          <w:szCs w:val="26"/>
        </w:rPr>
        <w:t xml:space="preserve"> </w:t>
      </w:r>
      <w:r w:rsidR="00EC2B59">
        <w:rPr>
          <w:szCs w:val="26"/>
        </w:rPr>
        <w:t>33 100</w:t>
      </w:r>
      <w:r w:rsidR="007628FB">
        <w:rPr>
          <w:szCs w:val="26"/>
        </w:rPr>
        <w:t xml:space="preserve"> </w:t>
      </w:r>
      <w:r w:rsidR="00965F63">
        <w:rPr>
          <w:szCs w:val="26"/>
        </w:rPr>
        <w:t xml:space="preserve">family law matters were </w:t>
      </w:r>
      <w:r w:rsidRPr="00BC3C66">
        <w:rPr>
          <w:szCs w:val="26"/>
        </w:rPr>
        <w:t>filed in the Family Court of Australia (</w:t>
      </w:r>
      <w:r w:rsidR="00EC2B59">
        <w:rPr>
          <w:szCs w:val="26"/>
        </w:rPr>
        <w:t>18 200</w:t>
      </w:r>
      <w:r w:rsidRPr="00BC3C66">
        <w:rPr>
          <w:szCs w:val="26"/>
        </w:rPr>
        <w:t xml:space="preserve">) </w:t>
      </w:r>
      <w:r w:rsidR="002529DB">
        <w:rPr>
          <w:szCs w:val="26"/>
        </w:rPr>
        <w:t>and Family Court of WA (</w:t>
      </w:r>
      <w:r w:rsidR="00EC2B59">
        <w:rPr>
          <w:szCs w:val="26"/>
        </w:rPr>
        <w:t>14 900</w:t>
      </w:r>
      <w:r w:rsidR="00965F63" w:rsidRPr="001C1785">
        <w:rPr>
          <w:szCs w:val="26"/>
        </w:rPr>
        <w:t>)</w:t>
      </w:r>
      <w:r w:rsidR="00965F63">
        <w:rPr>
          <w:szCs w:val="26"/>
        </w:rPr>
        <w:t>.</w:t>
      </w:r>
    </w:p>
    <w:p w:rsidR="00AE7876" w:rsidRDefault="00785BC2" w:rsidP="00BC3C66">
      <w:pPr>
        <w:pStyle w:val="BodyText"/>
      </w:pPr>
      <w:r w:rsidRPr="00D025E3">
        <w:t>In the c</w:t>
      </w:r>
      <w:r w:rsidR="004C6C00" w:rsidRPr="00D025E3">
        <w:t>oroners</w:t>
      </w:r>
      <w:r w:rsidRPr="00D025E3">
        <w:t>’</w:t>
      </w:r>
      <w:r w:rsidR="004C6C00" w:rsidRPr="00D025E3">
        <w:t xml:space="preserve"> courts, there were </w:t>
      </w:r>
      <w:r w:rsidR="00415AB5">
        <w:t>22 600</w:t>
      </w:r>
      <w:r w:rsidR="00907F5F">
        <w:t xml:space="preserve"> </w:t>
      </w:r>
      <w:r w:rsidR="00AE7876" w:rsidRPr="00D025E3">
        <w:t>reported deaths and fires. Reporting rates</w:t>
      </w:r>
      <w:r w:rsidR="00AE7876">
        <w:t xml:space="preserve"> for deaths reported to a coroner varied across jurisdictions as a result of different reporting requirements. Deaths in institutions (s</w:t>
      </w:r>
      <w:r w:rsidR="00236430">
        <w:t>uch as nursing homes) of people</w:t>
      </w:r>
      <w:r w:rsidR="00AE7876">
        <w:t xml:space="preserve"> suffering int</w:t>
      </w:r>
      <w:r w:rsidR="00236430">
        <w:t>ellectual impairment of any type</w:t>
      </w:r>
      <w:r w:rsidR="00AE7876">
        <w:t>, for example, must be reported in SA but not in other jurisdictions. Reporting requirements also vary for fires. Fires may be reported and investigated at the discretion of the coroner in NSW, Victoria, Tasmania and the ACT, bu</w:t>
      </w:r>
      <w:r>
        <w:t>t are excluded from the coroner</w:t>
      </w:r>
      <w:r w:rsidR="00AE7876">
        <w:t>s</w:t>
      </w:r>
      <w:r>
        <w:t>’</w:t>
      </w:r>
      <w:r w:rsidR="00AE7876">
        <w:t xml:space="preserve"> jurisdiction in Queensland, WA, SA and the NT. A disaggregation of </w:t>
      </w:r>
      <w:r>
        <w:t>coroners’ c</w:t>
      </w:r>
      <w:r w:rsidR="00BC62E9">
        <w:t>ourt</w:t>
      </w:r>
      <w:r w:rsidR="00767B0E">
        <w:t>s</w:t>
      </w:r>
      <w:r w:rsidR="00AE7876">
        <w:t xml:space="preserve"> data by reported deaths and fires is in </w:t>
      </w:r>
      <w:r w:rsidR="00A76A9C">
        <w:t>table </w:t>
      </w:r>
      <w:proofErr w:type="spellStart"/>
      <w:r w:rsidR="00A76A9C">
        <w:t>7</w:t>
      </w:r>
      <w:r w:rsidR="00AE7876">
        <w:t>A.</w:t>
      </w:r>
      <w:r w:rsidR="00415AB5">
        <w:t>3</w:t>
      </w:r>
      <w:proofErr w:type="spellEnd"/>
      <w:r w:rsidR="00AE7876">
        <w:t>.</w:t>
      </w:r>
    </w:p>
    <w:p w:rsidR="00F177FC" w:rsidRPr="00F54553" w:rsidRDefault="00F177FC">
      <w:pPr>
        <w:pStyle w:val="TableTitle"/>
      </w:pPr>
      <w:r w:rsidRPr="00F54553">
        <w:rPr>
          <w:b w:val="0"/>
        </w:rPr>
        <w:lastRenderedPageBreak/>
        <w:t xml:space="preserve">Table </w:t>
      </w:r>
      <w:r w:rsidR="00192F6A" w:rsidRPr="00F54553">
        <w:rPr>
          <w:b w:val="0"/>
        </w:rPr>
        <w:t>7.</w:t>
      </w:r>
      <w:r w:rsidR="00E75B12" w:rsidRPr="00F54553">
        <w:rPr>
          <w:b w:val="0"/>
          <w:noProof/>
        </w:rPr>
        <w:t>3</w:t>
      </w:r>
      <w:r w:rsidRPr="00F54553">
        <w:tab/>
        <w:t xml:space="preserve">Court </w:t>
      </w:r>
      <w:proofErr w:type="spellStart"/>
      <w:r w:rsidRPr="00F54553">
        <w:t>lodgments</w:t>
      </w:r>
      <w:proofErr w:type="spellEnd"/>
      <w:r w:rsidR="00505751" w:rsidRPr="00F54553">
        <w:t xml:space="preserve"> — </w:t>
      </w:r>
      <w:r w:rsidRPr="00F54553">
        <w:t xml:space="preserve">civil, by court level, </w:t>
      </w:r>
      <w:r w:rsidR="00907F5F">
        <w:t>2012</w:t>
      </w:r>
      <w:r w:rsidR="007E6EFB">
        <w:t>-</w:t>
      </w:r>
      <w:r w:rsidR="006B1C06">
        <w:t>1</w:t>
      </w:r>
      <w:r w:rsidR="00907F5F">
        <w:t>3</w:t>
      </w:r>
      <w:r w:rsidRPr="00F54553">
        <w:t xml:space="preserve"> (‘000)</w:t>
      </w:r>
      <w:r w:rsidRPr="00F54553">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127"/>
        <w:gridCol w:w="850"/>
        <w:gridCol w:w="709"/>
        <w:gridCol w:w="567"/>
        <w:gridCol w:w="709"/>
        <w:gridCol w:w="708"/>
        <w:gridCol w:w="567"/>
        <w:gridCol w:w="567"/>
        <w:gridCol w:w="567"/>
        <w:gridCol w:w="709"/>
        <w:gridCol w:w="710"/>
      </w:tblGrid>
      <w:tr w:rsidR="00F177FC" w:rsidRPr="00F54553" w:rsidTr="0004795A">
        <w:tc>
          <w:tcPr>
            <w:tcW w:w="2127" w:type="dxa"/>
            <w:tcBorders>
              <w:top w:val="single" w:sz="6" w:space="0" w:color="auto"/>
              <w:bottom w:val="single" w:sz="6" w:space="0" w:color="auto"/>
            </w:tcBorders>
          </w:tcPr>
          <w:p w:rsidR="00F177FC" w:rsidRPr="00F54553" w:rsidRDefault="00F177FC" w:rsidP="00F177FC">
            <w:pPr>
              <w:pStyle w:val="TableColumnHeading"/>
              <w:jc w:val="left"/>
            </w:pPr>
          </w:p>
        </w:tc>
        <w:tc>
          <w:tcPr>
            <w:tcW w:w="850" w:type="dxa"/>
            <w:tcBorders>
              <w:top w:val="single" w:sz="6" w:space="0" w:color="auto"/>
              <w:bottom w:val="single" w:sz="6" w:space="0" w:color="auto"/>
            </w:tcBorders>
          </w:tcPr>
          <w:p w:rsidR="00F177FC" w:rsidRPr="00F54553" w:rsidRDefault="00F177FC">
            <w:pPr>
              <w:pStyle w:val="TableColumnHeading"/>
            </w:pPr>
            <w:r w:rsidRPr="00F54553">
              <w:t>NSW</w:t>
            </w:r>
            <w:r w:rsidR="004F3CD7" w:rsidRPr="00F54553">
              <w:rPr>
                <w:rStyle w:val="NoteLabel"/>
                <w:b w:val="0"/>
              </w:rPr>
              <w:t xml:space="preserve"> </w:t>
            </w:r>
          </w:p>
        </w:tc>
        <w:tc>
          <w:tcPr>
            <w:tcW w:w="709" w:type="dxa"/>
            <w:tcBorders>
              <w:top w:val="single" w:sz="6" w:space="0" w:color="auto"/>
              <w:bottom w:val="single" w:sz="6" w:space="0" w:color="auto"/>
            </w:tcBorders>
          </w:tcPr>
          <w:p w:rsidR="00F177FC" w:rsidRPr="00F54553" w:rsidRDefault="00F177FC" w:rsidP="00F177FC">
            <w:pPr>
              <w:pStyle w:val="TableColumnHeading"/>
            </w:pPr>
            <w:r w:rsidRPr="00F54553">
              <w:t>Vic</w:t>
            </w:r>
          </w:p>
        </w:tc>
        <w:tc>
          <w:tcPr>
            <w:tcW w:w="567" w:type="dxa"/>
            <w:tcBorders>
              <w:top w:val="single" w:sz="6" w:space="0" w:color="auto"/>
              <w:bottom w:val="single" w:sz="6" w:space="0" w:color="auto"/>
            </w:tcBorders>
          </w:tcPr>
          <w:p w:rsidR="00F177FC" w:rsidRPr="00F54553" w:rsidRDefault="00F177FC" w:rsidP="00F177FC">
            <w:pPr>
              <w:pStyle w:val="TableColumnHeading"/>
            </w:pPr>
            <w:r w:rsidRPr="00F54553">
              <w:t>Qld</w:t>
            </w:r>
          </w:p>
        </w:tc>
        <w:tc>
          <w:tcPr>
            <w:tcW w:w="709" w:type="dxa"/>
            <w:tcBorders>
              <w:top w:val="single" w:sz="6" w:space="0" w:color="auto"/>
              <w:bottom w:val="single" w:sz="6" w:space="0" w:color="auto"/>
            </w:tcBorders>
          </w:tcPr>
          <w:p w:rsidR="00F177FC" w:rsidRPr="00F54553" w:rsidRDefault="00F177FC" w:rsidP="00F177FC">
            <w:pPr>
              <w:pStyle w:val="TableColumnHeading"/>
            </w:pPr>
            <w:r w:rsidRPr="00F54553">
              <w:t>WA</w:t>
            </w:r>
          </w:p>
        </w:tc>
        <w:tc>
          <w:tcPr>
            <w:tcW w:w="708" w:type="dxa"/>
            <w:tcBorders>
              <w:top w:val="single" w:sz="6" w:space="0" w:color="auto"/>
              <w:bottom w:val="single" w:sz="6" w:space="0" w:color="auto"/>
            </w:tcBorders>
          </w:tcPr>
          <w:p w:rsidR="00F177FC" w:rsidRPr="00F54553" w:rsidRDefault="00F177FC" w:rsidP="00F177FC">
            <w:pPr>
              <w:pStyle w:val="TableColumnHeading"/>
            </w:pPr>
            <w:r w:rsidRPr="00F54553">
              <w:t>SA</w:t>
            </w:r>
          </w:p>
        </w:tc>
        <w:tc>
          <w:tcPr>
            <w:tcW w:w="567" w:type="dxa"/>
            <w:tcBorders>
              <w:top w:val="single" w:sz="6" w:space="0" w:color="auto"/>
              <w:bottom w:val="single" w:sz="6" w:space="0" w:color="auto"/>
            </w:tcBorders>
          </w:tcPr>
          <w:p w:rsidR="00F177FC" w:rsidRPr="00F54553" w:rsidRDefault="00F177FC" w:rsidP="00F177FC">
            <w:pPr>
              <w:pStyle w:val="TableColumnHeading"/>
            </w:pPr>
            <w:proofErr w:type="spellStart"/>
            <w:r w:rsidRPr="00F54553">
              <w:t>Tas</w:t>
            </w:r>
            <w:proofErr w:type="spellEnd"/>
          </w:p>
        </w:tc>
        <w:tc>
          <w:tcPr>
            <w:tcW w:w="567" w:type="dxa"/>
            <w:tcBorders>
              <w:top w:val="single" w:sz="6" w:space="0" w:color="auto"/>
              <w:bottom w:val="single" w:sz="6" w:space="0" w:color="auto"/>
            </w:tcBorders>
          </w:tcPr>
          <w:p w:rsidR="00F177FC" w:rsidRPr="00F54553" w:rsidRDefault="00F177FC" w:rsidP="00F177FC">
            <w:pPr>
              <w:pStyle w:val="TableColumnHeading"/>
            </w:pPr>
            <w:r w:rsidRPr="00F54553">
              <w:t>ACT</w:t>
            </w:r>
          </w:p>
        </w:tc>
        <w:tc>
          <w:tcPr>
            <w:tcW w:w="567" w:type="dxa"/>
            <w:tcBorders>
              <w:top w:val="single" w:sz="6" w:space="0" w:color="auto"/>
              <w:bottom w:val="single" w:sz="6" w:space="0" w:color="auto"/>
            </w:tcBorders>
          </w:tcPr>
          <w:p w:rsidR="00F177FC" w:rsidRPr="00F54553" w:rsidRDefault="00F177FC" w:rsidP="00F177FC">
            <w:pPr>
              <w:pStyle w:val="TableColumnHeading"/>
            </w:pPr>
            <w:r w:rsidRPr="00F54553">
              <w:t>NT</w:t>
            </w:r>
          </w:p>
        </w:tc>
        <w:tc>
          <w:tcPr>
            <w:tcW w:w="709" w:type="dxa"/>
            <w:tcBorders>
              <w:top w:val="single" w:sz="6" w:space="0" w:color="auto"/>
              <w:bottom w:val="single" w:sz="4" w:space="0" w:color="auto"/>
            </w:tcBorders>
          </w:tcPr>
          <w:p w:rsidR="00F177FC" w:rsidRPr="00F54553" w:rsidRDefault="00F177FC" w:rsidP="00F177FC">
            <w:pPr>
              <w:pStyle w:val="TableColumnHeading"/>
              <w:ind w:right="28"/>
            </w:pPr>
            <w:proofErr w:type="spellStart"/>
            <w:r w:rsidRPr="00F54553">
              <w:t>Aust</w:t>
            </w:r>
            <w:proofErr w:type="spellEnd"/>
            <w:r w:rsidRPr="00F54553">
              <w:t xml:space="preserve"> courts</w:t>
            </w:r>
          </w:p>
        </w:tc>
        <w:tc>
          <w:tcPr>
            <w:tcW w:w="710" w:type="dxa"/>
            <w:tcBorders>
              <w:top w:val="single" w:sz="6" w:space="0" w:color="auto"/>
              <w:bottom w:val="single" w:sz="4" w:space="0" w:color="auto"/>
            </w:tcBorders>
          </w:tcPr>
          <w:p w:rsidR="00F177FC" w:rsidRPr="00F54553" w:rsidRDefault="00F177FC" w:rsidP="00F177FC">
            <w:pPr>
              <w:pStyle w:val="TableColumnHeading"/>
              <w:ind w:right="28"/>
            </w:pPr>
            <w:r w:rsidRPr="00F54553">
              <w:t>Total</w:t>
            </w:r>
          </w:p>
        </w:tc>
      </w:tr>
      <w:tr w:rsidR="00B679F8" w:rsidRPr="00F54553" w:rsidTr="0004795A">
        <w:tc>
          <w:tcPr>
            <w:tcW w:w="2127" w:type="dxa"/>
          </w:tcPr>
          <w:p w:rsidR="00B679F8" w:rsidRPr="00F54553" w:rsidRDefault="00B679F8" w:rsidP="00F177FC">
            <w:pPr>
              <w:pStyle w:val="TableBodyText"/>
              <w:jc w:val="left"/>
              <w:rPr>
                <w:rStyle w:val="NoteLabel"/>
              </w:rPr>
            </w:pPr>
            <w:r w:rsidRPr="00F54553">
              <w:t>Supreme (excl</w:t>
            </w:r>
            <w:r>
              <w:t>.</w:t>
            </w:r>
            <w:r w:rsidRPr="00F54553">
              <w:t xml:space="preserve"> probate)</w:t>
            </w:r>
            <w:r>
              <w:t>/</w:t>
            </w:r>
            <w:r w:rsidRPr="00F54553">
              <w:t>Federal</w:t>
            </w:r>
            <w:r>
              <w:rPr>
                <w:rStyle w:val="NoteLabel"/>
              </w:rPr>
              <w:t>b</w:t>
            </w:r>
          </w:p>
        </w:tc>
        <w:tc>
          <w:tcPr>
            <w:tcW w:w="850" w:type="dxa"/>
            <w:vAlign w:val="bottom"/>
          </w:tcPr>
          <w:p w:rsidR="00B679F8" w:rsidRPr="00B679F8" w:rsidRDefault="00B679F8" w:rsidP="00B679F8">
            <w:pPr>
              <w:pStyle w:val="TableBodyText"/>
              <w:rPr>
                <w:sz w:val="18"/>
                <w:szCs w:val="18"/>
              </w:rPr>
            </w:pPr>
            <w:r w:rsidRPr="00B679F8">
              <w:rPr>
                <w:sz w:val="18"/>
                <w:szCs w:val="18"/>
              </w:rPr>
              <w:t xml:space="preserve">  9.4</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7.1</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3.8</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2.6</w:t>
            </w:r>
          </w:p>
        </w:tc>
        <w:tc>
          <w:tcPr>
            <w:tcW w:w="708" w:type="dxa"/>
            <w:vAlign w:val="bottom"/>
          </w:tcPr>
          <w:p w:rsidR="00B679F8" w:rsidRPr="00B679F8" w:rsidRDefault="00B679F8" w:rsidP="00B679F8">
            <w:pPr>
              <w:pStyle w:val="TableBodyText"/>
              <w:rPr>
                <w:sz w:val="18"/>
                <w:szCs w:val="18"/>
              </w:rPr>
            </w:pPr>
            <w:r w:rsidRPr="00B679F8">
              <w:rPr>
                <w:sz w:val="18"/>
                <w:szCs w:val="18"/>
              </w:rPr>
              <w:t xml:space="preserve">  1.3</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1.1</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0.6</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0.3</w:t>
            </w:r>
          </w:p>
        </w:tc>
        <w:tc>
          <w:tcPr>
            <w:tcW w:w="709" w:type="dxa"/>
            <w:tcBorders>
              <w:top w:val="single" w:sz="4" w:space="0" w:color="auto"/>
            </w:tcBorders>
            <w:vAlign w:val="bottom"/>
          </w:tcPr>
          <w:p w:rsidR="00B679F8" w:rsidRPr="00B679F8" w:rsidRDefault="00B679F8" w:rsidP="00B679F8">
            <w:pPr>
              <w:pStyle w:val="TableBodyText"/>
              <w:rPr>
                <w:sz w:val="18"/>
                <w:szCs w:val="18"/>
              </w:rPr>
            </w:pPr>
            <w:r w:rsidRPr="00B679F8">
              <w:rPr>
                <w:sz w:val="18"/>
                <w:szCs w:val="18"/>
              </w:rPr>
              <w:t xml:space="preserve">  5.8</w:t>
            </w:r>
          </w:p>
        </w:tc>
        <w:tc>
          <w:tcPr>
            <w:tcW w:w="710" w:type="dxa"/>
            <w:tcBorders>
              <w:top w:val="single" w:sz="4" w:space="0" w:color="auto"/>
            </w:tcBorders>
            <w:vAlign w:val="bottom"/>
          </w:tcPr>
          <w:p w:rsidR="00B679F8" w:rsidRPr="00B679F8" w:rsidRDefault="00B679F8" w:rsidP="00B679F8">
            <w:pPr>
              <w:pStyle w:val="TableBodyText"/>
              <w:rPr>
                <w:sz w:val="18"/>
                <w:szCs w:val="18"/>
              </w:rPr>
            </w:pPr>
            <w:r w:rsidRPr="00B679F8">
              <w:rPr>
                <w:sz w:val="18"/>
                <w:szCs w:val="18"/>
              </w:rPr>
              <w:t xml:space="preserve">  31.9</w:t>
            </w:r>
          </w:p>
        </w:tc>
      </w:tr>
      <w:tr w:rsidR="00B679F8" w:rsidRPr="00F54553" w:rsidTr="0004795A">
        <w:tc>
          <w:tcPr>
            <w:tcW w:w="2127" w:type="dxa"/>
          </w:tcPr>
          <w:p w:rsidR="00B679F8" w:rsidRPr="00F54553" w:rsidRDefault="00B679F8" w:rsidP="00F177FC">
            <w:pPr>
              <w:pStyle w:val="TableBodyText"/>
              <w:jc w:val="left"/>
              <w:rPr>
                <w:rStyle w:val="NoteLabel"/>
              </w:rPr>
            </w:pPr>
            <w:r w:rsidRPr="00F54553">
              <w:t>District/County</w:t>
            </w:r>
            <w:r>
              <w:rPr>
                <w:rStyle w:val="NoteLabel"/>
              </w:rPr>
              <w:t xml:space="preserve"> </w:t>
            </w:r>
          </w:p>
        </w:tc>
        <w:tc>
          <w:tcPr>
            <w:tcW w:w="850" w:type="dxa"/>
            <w:vAlign w:val="bottom"/>
          </w:tcPr>
          <w:p w:rsidR="00B679F8" w:rsidRPr="00B679F8" w:rsidRDefault="00B679F8" w:rsidP="00B679F8">
            <w:pPr>
              <w:pStyle w:val="TableBodyText"/>
              <w:rPr>
                <w:sz w:val="18"/>
                <w:szCs w:val="18"/>
              </w:rPr>
            </w:pPr>
            <w:r w:rsidRPr="00B679F8">
              <w:rPr>
                <w:sz w:val="18"/>
                <w:szCs w:val="18"/>
              </w:rPr>
              <w:t xml:space="preserve">  7.5</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6.8</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5.6</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4.6</w:t>
            </w:r>
          </w:p>
        </w:tc>
        <w:tc>
          <w:tcPr>
            <w:tcW w:w="708" w:type="dxa"/>
            <w:vAlign w:val="bottom"/>
          </w:tcPr>
          <w:p w:rsidR="00B679F8" w:rsidRPr="00B679F8" w:rsidRDefault="00B679F8" w:rsidP="00B679F8">
            <w:pPr>
              <w:pStyle w:val="TableBodyText"/>
              <w:rPr>
                <w:sz w:val="18"/>
                <w:szCs w:val="18"/>
              </w:rPr>
            </w:pPr>
            <w:r w:rsidRPr="00B679F8">
              <w:rPr>
                <w:sz w:val="18"/>
                <w:szCs w:val="18"/>
              </w:rPr>
              <w:t xml:space="preserve">  3.1</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27.6</w:t>
            </w:r>
          </w:p>
        </w:tc>
      </w:tr>
      <w:tr w:rsidR="00B679F8" w:rsidRPr="00F54553" w:rsidTr="0004795A">
        <w:tc>
          <w:tcPr>
            <w:tcW w:w="2127" w:type="dxa"/>
          </w:tcPr>
          <w:p w:rsidR="00B679F8" w:rsidRPr="00E0672B" w:rsidRDefault="00B679F8" w:rsidP="00F177FC">
            <w:pPr>
              <w:pStyle w:val="TableBodyText"/>
              <w:jc w:val="left"/>
              <w:rPr>
                <w:rStyle w:val="NoteLabel"/>
              </w:rPr>
            </w:pPr>
            <w:r w:rsidRPr="00F54553">
              <w:t>Magistrates’ (total)</w:t>
            </w:r>
          </w:p>
        </w:tc>
        <w:tc>
          <w:tcPr>
            <w:tcW w:w="850" w:type="dxa"/>
            <w:vAlign w:val="bottom"/>
          </w:tcPr>
          <w:p w:rsidR="00B679F8" w:rsidRPr="00B679F8" w:rsidRDefault="00B679F8" w:rsidP="00B679F8">
            <w:pPr>
              <w:pStyle w:val="TableBodyText"/>
              <w:rPr>
                <w:sz w:val="18"/>
                <w:szCs w:val="18"/>
              </w:rPr>
            </w:pPr>
            <w:r w:rsidRPr="00B679F8">
              <w:rPr>
                <w:sz w:val="18"/>
                <w:szCs w:val="18"/>
              </w:rPr>
              <w:t xml:space="preserve">  155.6</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105.0</w:t>
            </w:r>
          </w:p>
        </w:tc>
        <w:tc>
          <w:tcPr>
            <w:tcW w:w="567" w:type="dxa"/>
            <w:vAlign w:val="bottom"/>
          </w:tcPr>
          <w:p w:rsidR="00B679F8" w:rsidRPr="00B679F8" w:rsidRDefault="00B679F8" w:rsidP="00B679F8">
            <w:pPr>
              <w:pStyle w:val="TableBodyText"/>
              <w:rPr>
                <w:sz w:val="18"/>
                <w:szCs w:val="18"/>
              </w:rPr>
            </w:pPr>
            <w:r w:rsidRPr="00B679F8">
              <w:rPr>
                <w:sz w:val="18"/>
                <w:szCs w:val="18"/>
              </w:rPr>
              <w:t>59.2</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53.7</w:t>
            </w:r>
          </w:p>
        </w:tc>
        <w:tc>
          <w:tcPr>
            <w:tcW w:w="708" w:type="dxa"/>
            <w:vAlign w:val="bottom"/>
          </w:tcPr>
          <w:p w:rsidR="00B679F8" w:rsidRPr="00B679F8" w:rsidRDefault="00B679F8" w:rsidP="00B679F8">
            <w:pPr>
              <w:pStyle w:val="TableBodyText"/>
              <w:rPr>
                <w:sz w:val="18"/>
                <w:szCs w:val="18"/>
              </w:rPr>
            </w:pPr>
            <w:r w:rsidRPr="00B679F8">
              <w:rPr>
                <w:sz w:val="18"/>
                <w:szCs w:val="18"/>
              </w:rPr>
              <w:t xml:space="preserve">  30.1</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8.2</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4.1</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7.1</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422.9</w:t>
            </w:r>
          </w:p>
        </w:tc>
      </w:tr>
      <w:tr w:rsidR="00B679F8" w:rsidRPr="00F54553" w:rsidTr="0004795A">
        <w:tc>
          <w:tcPr>
            <w:tcW w:w="2127" w:type="dxa"/>
          </w:tcPr>
          <w:p w:rsidR="00B679F8" w:rsidRPr="00F54553" w:rsidRDefault="00B679F8" w:rsidP="00F177FC">
            <w:pPr>
              <w:pStyle w:val="TableBodyText"/>
              <w:ind w:left="284" w:right="0"/>
              <w:jc w:val="left"/>
              <w:rPr>
                <w:rStyle w:val="NoteLabel"/>
              </w:rPr>
            </w:pPr>
            <w:r w:rsidRPr="00D957E7">
              <w:rPr>
                <w:i/>
              </w:rPr>
              <w:t>Magistrates’ (only)</w:t>
            </w:r>
          </w:p>
        </w:tc>
        <w:tc>
          <w:tcPr>
            <w:tcW w:w="850" w:type="dxa"/>
            <w:vAlign w:val="bottom"/>
          </w:tcPr>
          <w:p w:rsidR="00B679F8" w:rsidRPr="00B679F8" w:rsidRDefault="00B679F8" w:rsidP="00B679F8">
            <w:pPr>
              <w:pStyle w:val="TableBodyText"/>
              <w:rPr>
                <w:sz w:val="18"/>
                <w:szCs w:val="18"/>
              </w:rPr>
            </w:pPr>
            <w:r w:rsidRPr="00B679F8">
              <w:rPr>
                <w:sz w:val="18"/>
                <w:szCs w:val="18"/>
              </w:rPr>
              <w:t xml:space="preserve">  146.8</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98.6</w:t>
            </w:r>
          </w:p>
        </w:tc>
        <w:tc>
          <w:tcPr>
            <w:tcW w:w="567" w:type="dxa"/>
            <w:vAlign w:val="bottom"/>
          </w:tcPr>
          <w:p w:rsidR="00B679F8" w:rsidRPr="00B679F8" w:rsidRDefault="00B679F8" w:rsidP="00B679F8">
            <w:pPr>
              <w:pStyle w:val="TableBodyText"/>
              <w:rPr>
                <w:sz w:val="18"/>
                <w:szCs w:val="18"/>
              </w:rPr>
            </w:pPr>
            <w:r w:rsidRPr="00B679F8">
              <w:rPr>
                <w:sz w:val="18"/>
                <w:szCs w:val="18"/>
              </w:rPr>
              <w:t>55.2</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50.6</w:t>
            </w:r>
          </w:p>
        </w:tc>
        <w:tc>
          <w:tcPr>
            <w:tcW w:w="708" w:type="dxa"/>
            <w:vAlign w:val="bottom"/>
          </w:tcPr>
          <w:p w:rsidR="00B679F8" w:rsidRPr="00B679F8" w:rsidRDefault="00B679F8" w:rsidP="00B679F8">
            <w:pPr>
              <w:pStyle w:val="TableBodyText"/>
              <w:rPr>
                <w:sz w:val="18"/>
                <w:szCs w:val="18"/>
              </w:rPr>
            </w:pPr>
            <w:r w:rsidRPr="00B679F8">
              <w:rPr>
                <w:sz w:val="18"/>
                <w:szCs w:val="18"/>
              </w:rPr>
              <w:t xml:space="preserve">  28.9</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7.8</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4.0</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6.7</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398.7</w:t>
            </w:r>
          </w:p>
        </w:tc>
      </w:tr>
      <w:tr w:rsidR="00B679F8" w:rsidRPr="00F54553" w:rsidTr="0004795A">
        <w:tc>
          <w:tcPr>
            <w:tcW w:w="2127" w:type="dxa"/>
          </w:tcPr>
          <w:p w:rsidR="00B679F8" w:rsidRPr="00F54553" w:rsidRDefault="00B679F8" w:rsidP="00F177FC">
            <w:pPr>
              <w:pStyle w:val="TableBodyText"/>
              <w:ind w:left="284"/>
              <w:jc w:val="left"/>
            </w:pPr>
            <w:r w:rsidRPr="00D957E7">
              <w:rPr>
                <w:i/>
              </w:rPr>
              <w:t>Children’s</w:t>
            </w:r>
            <w:r>
              <w:rPr>
                <w:rStyle w:val="NoteLabel"/>
              </w:rPr>
              <w:t>c, d, e</w:t>
            </w:r>
          </w:p>
        </w:tc>
        <w:tc>
          <w:tcPr>
            <w:tcW w:w="850" w:type="dxa"/>
            <w:vAlign w:val="bottom"/>
          </w:tcPr>
          <w:p w:rsidR="00B679F8" w:rsidRPr="00B679F8" w:rsidRDefault="00B679F8" w:rsidP="00B679F8">
            <w:pPr>
              <w:pStyle w:val="TableBodyText"/>
              <w:rPr>
                <w:sz w:val="18"/>
                <w:szCs w:val="18"/>
              </w:rPr>
            </w:pPr>
            <w:r w:rsidRPr="00B679F8">
              <w:rPr>
                <w:sz w:val="18"/>
                <w:szCs w:val="18"/>
              </w:rPr>
              <w:t xml:space="preserve">  8.8</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6.4</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4.0</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3.1</w:t>
            </w:r>
          </w:p>
        </w:tc>
        <w:tc>
          <w:tcPr>
            <w:tcW w:w="708" w:type="dxa"/>
            <w:vAlign w:val="bottom"/>
          </w:tcPr>
          <w:p w:rsidR="00B679F8" w:rsidRPr="00B679F8" w:rsidRDefault="00B679F8" w:rsidP="00B679F8">
            <w:pPr>
              <w:pStyle w:val="TableBodyText"/>
              <w:rPr>
                <w:sz w:val="18"/>
                <w:szCs w:val="18"/>
              </w:rPr>
            </w:pPr>
            <w:r w:rsidRPr="00B679F8">
              <w:rPr>
                <w:sz w:val="18"/>
                <w:szCs w:val="18"/>
              </w:rPr>
              <w:t xml:space="preserve">  1.2</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0.4</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0.1</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0.4</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24.2</w:t>
            </w:r>
          </w:p>
        </w:tc>
      </w:tr>
      <w:tr w:rsidR="00B679F8" w:rsidRPr="00A37B20" w:rsidTr="0004795A">
        <w:tc>
          <w:tcPr>
            <w:tcW w:w="2127" w:type="dxa"/>
          </w:tcPr>
          <w:p w:rsidR="00B679F8" w:rsidRPr="00F54553" w:rsidRDefault="00B679F8" w:rsidP="00F177FC">
            <w:pPr>
              <w:pStyle w:val="TableBodyText"/>
              <w:jc w:val="left"/>
              <w:rPr>
                <w:b/>
              </w:rPr>
            </w:pPr>
            <w:r w:rsidRPr="00F54553">
              <w:rPr>
                <w:b/>
              </w:rPr>
              <w:t>All civil courts</w:t>
            </w:r>
          </w:p>
        </w:tc>
        <w:tc>
          <w:tcPr>
            <w:tcW w:w="850" w:type="dxa"/>
            <w:vAlign w:val="bottom"/>
          </w:tcPr>
          <w:p w:rsidR="00B679F8" w:rsidRPr="00B679F8" w:rsidRDefault="00B679F8" w:rsidP="00B679F8">
            <w:pPr>
              <w:pStyle w:val="TableBodyText"/>
              <w:rPr>
                <w:b/>
                <w:bCs/>
                <w:sz w:val="18"/>
                <w:szCs w:val="18"/>
              </w:rPr>
            </w:pPr>
            <w:r w:rsidRPr="00B679F8">
              <w:rPr>
                <w:b/>
                <w:bCs/>
                <w:sz w:val="18"/>
                <w:szCs w:val="18"/>
              </w:rPr>
              <w:t xml:space="preserve">  172.5</w:t>
            </w:r>
          </w:p>
        </w:tc>
        <w:tc>
          <w:tcPr>
            <w:tcW w:w="709" w:type="dxa"/>
            <w:vAlign w:val="bottom"/>
          </w:tcPr>
          <w:p w:rsidR="00B679F8" w:rsidRPr="00B679F8" w:rsidRDefault="00B679F8" w:rsidP="00B679F8">
            <w:pPr>
              <w:pStyle w:val="TableBodyText"/>
              <w:rPr>
                <w:b/>
                <w:bCs/>
                <w:sz w:val="18"/>
                <w:szCs w:val="18"/>
              </w:rPr>
            </w:pPr>
            <w:r w:rsidRPr="00B679F8">
              <w:rPr>
                <w:b/>
                <w:bCs/>
                <w:sz w:val="18"/>
                <w:szCs w:val="18"/>
              </w:rPr>
              <w:t xml:space="preserve">  118.9</w:t>
            </w:r>
          </w:p>
        </w:tc>
        <w:tc>
          <w:tcPr>
            <w:tcW w:w="567" w:type="dxa"/>
            <w:vAlign w:val="bottom"/>
          </w:tcPr>
          <w:p w:rsidR="00B679F8" w:rsidRPr="00B679F8" w:rsidRDefault="00B679F8" w:rsidP="00B679F8">
            <w:pPr>
              <w:pStyle w:val="TableBodyText"/>
              <w:rPr>
                <w:b/>
                <w:bCs/>
                <w:sz w:val="18"/>
                <w:szCs w:val="18"/>
              </w:rPr>
            </w:pPr>
            <w:r w:rsidRPr="00B679F8">
              <w:rPr>
                <w:b/>
                <w:bCs/>
                <w:sz w:val="18"/>
                <w:szCs w:val="18"/>
              </w:rPr>
              <w:t>68.6</w:t>
            </w:r>
          </w:p>
        </w:tc>
        <w:tc>
          <w:tcPr>
            <w:tcW w:w="709" w:type="dxa"/>
            <w:vAlign w:val="bottom"/>
          </w:tcPr>
          <w:p w:rsidR="00B679F8" w:rsidRPr="00B679F8" w:rsidRDefault="00B679F8" w:rsidP="00B679F8">
            <w:pPr>
              <w:pStyle w:val="TableBodyText"/>
              <w:rPr>
                <w:b/>
                <w:bCs/>
                <w:sz w:val="18"/>
                <w:szCs w:val="18"/>
              </w:rPr>
            </w:pPr>
            <w:r w:rsidRPr="00B679F8">
              <w:rPr>
                <w:b/>
                <w:bCs/>
                <w:sz w:val="18"/>
                <w:szCs w:val="18"/>
              </w:rPr>
              <w:t xml:space="preserve">  60.8</w:t>
            </w:r>
          </w:p>
        </w:tc>
        <w:tc>
          <w:tcPr>
            <w:tcW w:w="708" w:type="dxa"/>
            <w:vAlign w:val="bottom"/>
          </w:tcPr>
          <w:p w:rsidR="00B679F8" w:rsidRPr="00B679F8" w:rsidRDefault="00B679F8" w:rsidP="00B679F8">
            <w:pPr>
              <w:pStyle w:val="TableBodyText"/>
              <w:rPr>
                <w:b/>
                <w:bCs/>
                <w:sz w:val="18"/>
                <w:szCs w:val="18"/>
              </w:rPr>
            </w:pPr>
            <w:r w:rsidRPr="00B679F8">
              <w:rPr>
                <w:b/>
                <w:bCs/>
                <w:sz w:val="18"/>
                <w:szCs w:val="18"/>
              </w:rPr>
              <w:t xml:space="preserve">  34.5</w:t>
            </w:r>
          </w:p>
        </w:tc>
        <w:tc>
          <w:tcPr>
            <w:tcW w:w="567" w:type="dxa"/>
            <w:vAlign w:val="bottom"/>
          </w:tcPr>
          <w:p w:rsidR="00B679F8" w:rsidRPr="00B679F8" w:rsidRDefault="00B679F8" w:rsidP="00B679F8">
            <w:pPr>
              <w:pStyle w:val="TableBodyText"/>
              <w:rPr>
                <w:b/>
                <w:bCs/>
                <w:sz w:val="18"/>
                <w:szCs w:val="18"/>
              </w:rPr>
            </w:pPr>
            <w:r w:rsidRPr="00B679F8">
              <w:rPr>
                <w:b/>
                <w:bCs/>
                <w:sz w:val="18"/>
                <w:szCs w:val="18"/>
              </w:rPr>
              <w:t xml:space="preserve">  9.3</w:t>
            </w:r>
          </w:p>
        </w:tc>
        <w:tc>
          <w:tcPr>
            <w:tcW w:w="567" w:type="dxa"/>
            <w:vAlign w:val="bottom"/>
          </w:tcPr>
          <w:p w:rsidR="00B679F8" w:rsidRPr="00B679F8" w:rsidRDefault="00B679F8" w:rsidP="00B679F8">
            <w:pPr>
              <w:pStyle w:val="TableBodyText"/>
              <w:rPr>
                <w:b/>
                <w:bCs/>
                <w:sz w:val="18"/>
                <w:szCs w:val="18"/>
              </w:rPr>
            </w:pPr>
            <w:r w:rsidRPr="00B679F8">
              <w:rPr>
                <w:b/>
                <w:bCs/>
                <w:sz w:val="18"/>
                <w:szCs w:val="18"/>
              </w:rPr>
              <w:t xml:space="preserve">  4.7</w:t>
            </w:r>
          </w:p>
        </w:tc>
        <w:tc>
          <w:tcPr>
            <w:tcW w:w="567" w:type="dxa"/>
            <w:vAlign w:val="bottom"/>
          </w:tcPr>
          <w:p w:rsidR="00B679F8" w:rsidRPr="00B679F8" w:rsidRDefault="00B679F8" w:rsidP="00B679F8">
            <w:pPr>
              <w:pStyle w:val="TableBodyText"/>
              <w:rPr>
                <w:b/>
                <w:bCs/>
                <w:sz w:val="18"/>
                <w:szCs w:val="18"/>
              </w:rPr>
            </w:pPr>
            <w:r w:rsidRPr="00B679F8">
              <w:rPr>
                <w:b/>
                <w:bCs/>
                <w:sz w:val="18"/>
                <w:szCs w:val="18"/>
              </w:rPr>
              <w:t xml:space="preserve">  7.3</w:t>
            </w:r>
          </w:p>
        </w:tc>
        <w:tc>
          <w:tcPr>
            <w:tcW w:w="709" w:type="dxa"/>
            <w:vAlign w:val="bottom"/>
          </w:tcPr>
          <w:p w:rsidR="00B679F8" w:rsidRPr="00B679F8" w:rsidRDefault="00B679F8" w:rsidP="00B679F8">
            <w:pPr>
              <w:pStyle w:val="TableBodyText"/>
              <w:rPr>
                <w:b/>
                <w:bCs/>
                <w:sz w:val="18"/>
                <w:szCs w:val="18"/>
              </w:rPr>
            </w:pPr>
            <w:r w:rsidRPr="00B679F8">
              <w:rPr>
                <w:b/>
                <w:bCs/>
                <w:sz w:val="18"/>
                <w:szCs w:val="18"/>
              </w:rPr>
              <w:t xml:space="preserve">  5.8</w:t>
            </w:r>
          </w:p>
        </w:tc>
        <w:tc>
          <w:tcPr>
            <w:tcW w:w="710" w:type="dxa"/>
            <w:vAlign w:val="bottom"/>
          </w:tcPr>
          <w:p w:rsidR="00B679F8" w:rsidRPr="00B679F8" w:rsidRDefault="00B679F8" w:rsidP="00B679F8">
            <w:pPr>
              <w:pStyle w:val="TableBodyText"/>
              <w:rPr>
                <w:b/>
                <w:bCs/>
                <w:sz w:val="18"/>
                <w:szCs w:val="18"/>
              </w:rPr>
            </w:pPr>
            <w:r w:rsidRPr="00B679F8">
              <w:rPr>
                <w:b/>
                <w:bCs/>
                <w:sz w:val="18"/>
                <w:szCs w:val="18"/>
              </w:rPr>
              <w:t xml:space="preserve">  482.4</w:t>
            </w:r>
          </w:p>
        </w:tc>
      </w:tr>
      <w:tr w:rsidR="00B679F8" w:rsidRPr="00F54553" w:rsidTr="0004795A">
        <w:tc>
          <w:tcPr>
            <w:tcW w:w="2127" w:type="dxa"/>
          </w:tcPr>
          <w:p w:rsidR="00B679F8" w:rsidRPr="00F54553" w:rsidRDefault="00B679F8" w:rsidP="00F177FC">
            <w:pPr>
              <w:pStyle w:val="TableBodyText"/>
              <w:jc w:val="left"/>
            </w:pPr>
            <w:r w:rsidRPr="00F54553">
              <w:t>Family</w:t>
            </w:r>
            <w:r>
              <w:rPr>
                <w:rStyle w:val="NoteLabel"/>
              </w:rPr>
              <w:t>f</w:t>
            </w:r>
          </w:p>
        </w:tc>
        <w:tc>
          <w:tcPr>
            <w:tcW w:w="850"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14.9</w:t>
            </w:r>
          </w:p>
        </w:tc>
        <w:tc>
          <w:tcPr>
            <w:tcW w:w="708"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18.2</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33.1</w:t>
            </w:r>
          </w:p>
        </w:tc>
      </w:tr>
      <w:tr w:rsidR="00B679F8" w:rsidRPr="00F54553" w:rsidTr="0004795A">
        <w:tc>
          <w:tcPr>
            <w:tcW w:w="2127" w:type="dxa"/>
          </w:tcPr>
          <w:p w:rsidR="00B679F8" w:rsidRPr="00D77E9B" w:rsidRDefault="00B679F8" w:rsidP="00F96CD0">
            <w:pPr>
              <w:pStyle w:val="TableBodyText"/>
              <w:jc w:val="left"/>
              <w:rPr>
                <w:rStyle w:val="NoteLabel"/>
              </w:rPr>
            </w:pPr>
            <w:r w:rsidRPr="00F54553">
              <w:t xml:space="preserve">Federal </w:t>
            </w:r>
            <w:r>
              <w:t>Circuit</w:t>
            </w:r>
            <w:r>
              <w:rPr>
                <w:rStyle w:val="NoteLabel"/>
              </w:rPr>
              <w:t>f</w:t>
            </w:r>
          </w:p>
        </w:tc>
        <w:tc>
          <w:tcPr>
            <w:tcW w:w="850"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708"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567" w:type="dxa"/>
            <w:vAlign w:val="bottom"/>
          </w:tcPr>
          <w:p w:rsidR="00B679F8" w:rsidRPr="00B679F8" w:rsidRDefault="00B679F8" w:rsidP="00B679F8">
            <w:pPr>
              <w:pStyle w:val="TableBodyText"/>
              <w:rPr>
                <w:sz w:val="18"/>
                <w:szCs w:val="18"/>
              </w:rPr>
            </w:pPr>
            <w:r w:rsidRPr="00B679F8">
              <w:rPr>
                <w:sz w:val="18"/>
                <w:szCs w:val="18"/>
              </w:rPr>
              <w:t>..</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89.6</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89.6</w:t>
            </w:r>
          </w:p>
        </w:tc>
      </w:tr>
      <w:tr w:rsidR="00B679F8" w:rsidRPr="00F54553" w:rsidTr="0004795A">
        <w:tc>
          <w:tcPr>
            <w:tcW w:w="2127" w:type="dxa"/>
          </w:tcPr>
          <w:p w:rsidR="00B679F8" w:rsidRPr="00F54553" w:rsidRDefault="00B679F8" w:rsidP="00584FFF">
            <w:pPr>
              <w:pStyle w:val="TableBodyText"/>
              <w:jc w:val="left"/>
            </w:pPr>
            <w:r w:rsidRPr="00F54553">
              <w:t>Coroners’</w:t>
            </w:r>
          </w:p>
        </w:tc>
        <w:tc>
          <w:tcPr>
            <w:tcW w:w="850" w:type="dxa"/>
            <w:vAlign w:val="bottom"/>
          </w:tcPr>
          <w:p w:rsidR="00B679F8" w:rsidRPr="00B679F8" w:rsidRDefault="00B679F8" w:rsidP="00B679F8">
            <w:pPr>
              <w:pStyle w:val="TableBodyText"/>
              <w:rPr>
                <w:sz w:val="18"/>
                <w:szCs w:val="18"/>
              </w:rPr>
            </w:pPr>
            <w:r w:rsidRPr="00B679F8">
              <w:rPr>
                <w:sz w:val="18"/>
                <w:szCs w:val="18"/>
              </w:rPr>
              <w:t xml:space="preserve">  5.4</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5.9</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4.8</w:t>
            </w:r>
          </w:p>
        </w:tc>
        <w:tc>
          <w:tcPr>
            <w:tcW w:w="709" w:type="dxa"/>
            <w:vAlign w:val="bottom"/>
          </w:tcPr>
          <w:p w:rsidR="00B679F8" w:rsidRPr="00B679F8" w:rsidRDefault="00B679F8" w:rsidP="00B679F8">
            <w:pPr>
              <w:pStyle w:val="TableBodyText"/>
              <w:rPr>
                <w:sz w:val="18"/>
                <w:szCs w:val="18"/>
              </w:rPr>
            </w:pPr>
            <w:r w:rsidRPr="00B679F8">
              <w:rPr>
                <w:sz w:val="18"/>
                <w:szCs w:val="18"/>
              </w:rPr>
              <w:t xml:space="preserve">  2.2</w:t>
            </w:r>
          </w:p>
        </w:tc>
        <w:tc>
          <w:tcPr>
            <w:tcW w:w="708" w:type="dxa"/>
            <w:vAlign w:val="bottom"/>
          </w:tcPr>
          <w:p w:rsidR="00B679F8" w:rsidRPr="00B679F8" w:rsidRDefault="00B679F8" w:rsidP="00B679F8">
            <w:pPr>
              <w:pStyle w:val="TableBodyText"/>
              <w:rPr>
                <w:sz w:val="18"/>
                <w:szCs w:val="18"/>
              </w:rPr>
            </w:pPr>
            <w:r w:rsidRPr="00B679F8">
              <w:rPr>
                <w:sz w:val="18"/>
                <w:szCs w:val="18"/>
              </w:rPr>
              <w:t xml:space="preserve">  2.2</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0.6</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1.3</w:t>
            </w:r>
          </w:p>
        </w:tc>
        <w:tc>
          <w:tcPr>
            <w:tcW w:w="567" w:type="dxa"/>
            <w:vAlign w:val="bottom"/>
          </w:tcPr>
          <w:p w:rsidR="00B679F8" w:rsidRPr="00B679F8" w:rsidRDefault="00B679F8" w:rsidP="00B679F8">
            <w:pPr>
              <w:pStyle w:val="TableBodyText"/>
              <w:rPr>
                <w:sz w:val="18"/>
                <w:szCs w:val="18"/>
              </w:rPr>
            </w:pPr>
            <w:r w:rsidRPr="00B679F8">
              <w:rPr>
                <w:sz w:val="18"/>
                <w:szCs w:val="18"/>
              </w:rPr>
              <w:t xml:space="preserve">  0.3</w:t>
            </w:r>
          </w:p>
        </w:tc>
        <w:tc>
          <w:tcPr>
            <w:tcW w:w="709" w:type="dxa"/>
            <w:vAlign w:val="bottom"/>
          </w:tcPr>
          <w:p w:rsidR="00B679F8" w:rsidRPr="00B679F8" w:rsidRDefault="00B679F8" w:rsidP="00B679F8">
            <w:pPr>
              <w:pStyle w:val="TableBodyText"/>
              <w:rPr>
                <w:sz w:val="18"/>
                <w:szCs w:val="18"/>
              </w:rPr>
            </w:pPr>
            <w:r w:rsidRPr="00B679F8">
              <w:rPr>
                <w:sz w:val="18"/>
                <w:szCs w:val="18"/>
              </w:rPr>
              <w:t>..</w:t>
            </w:r>
          </w:p>
        </w:tc>
        <w:tc>
          <w:tcPr>
            <w:tcW w:w="710" w:type="dxa"/>
            <w:vAlign w:val="bottom"/>
          </w:tcPr>
          <w:p w:rsidR="00B679F8" w:rsidRPr="00B679F8" w:rsidRDefault="00B679F8" w:rsidP="00B679F8">
            <w:pPr>
              <w:pStyle w:val="TableBodyText"/>
              <w:rPr>
                <w:sz w:val="18"/>
                <w:szCs w:val="18"/>
              </w:rPr>
            </w:pPr>
            <w:r w:rsidRPr="00B679F8">
              <w:rPr>
                <w:sz w:val="18"/>
                <w:szCs w:val="18"/>
              </w:rPr>
              <w:t xml:space="preserve">  22.6</w:t>
            </w:r>
          </w:p>
        </w:tc>
      </w:tr>
      <w:tr w:rsidR="00B679F8" w:rsidRPr="00F54553" w:rsidTr="0004795A">
        <w:tc>
          <w:tcPr>
            <w:tcW w:w="2127" w:type="dxa"/>
            <w:tcBorders>
              <w:bottom w:val="single" w:sz="6" w:space="0" w:color="auto"/>
            </w:tcBorders>
          </w:tcPr>
          <w:p w:rsidR="00B679F8" w:rsidRPr="00F54553" w:rsidRDefault="00B679F8" w:rsidP="00F177FC">
            <w:pPr>
              <w:pStyle w:val="TableBodyText"/>
              <w:jc w:val="left"/>
            </w:pPr>
            <w:r w:rsidRPr="00F54553">
              <w:t xml:space="preserve">Probate — Supreme </w:t>
            </w:r>
          </w:p>
        </w:tc>
        <w:tc>
          <w:tcPr>
            <w:tcW w:w="850"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23.8</w:t>
            </w:r>
          </w:p>
        </w:tc>
        <w:tc>
          <w:tcPr>
            <w:tcW w:w="709"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19.3</w:t>
            </w:r>
          </w:p>
        </w:tc>
        <w:tc>
          <w:tcPr>
            <w:tcW w:w="567"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9.2</w:t>
            </w:r>
          </w:p>
        </w:tc>
        <w:tc>
          <w:tcPr>
            <w:tcW w:w="709"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6.4</w:t>
            </w:r>
          </w:p>
        </w:tc>
        <w:tc>
          <w:tcPr>
            <w:tcW w:w="708"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5.8</w:t>
            </w:r>
          </w:p>
        </w:tc>
        <w:tc>
          <w:tcPr>
            <w:tcW w:w="567"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2.3</w:t>
            </w:r>
          </w:p>
        </w:tc>
        <w:tc>
          <w:tcPr>
            <w:tcW w:w="567"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0.7</w:t>
            </w:r>
          </w:p>
        </w:tc>
        <w:tc>
          <w:tcPr>
            <w:tcW w:w="567"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0.2</w:t>
            </w:r>
          </w:p>
        </w:tc>
        <w:tc>
          <w:tcPr>
            <w:tcW w:w="709"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w:t>
            </w:r>
          </w:p>
        </w:tc>
        <w:tc>
          <w:tcPr>
            <w:tcW w:w="710" w:type="dxa"/>
            <w:tcBorders>
              <w:bottom w:val="single" w:sz="6" w:space="0" w:color="auto"/>
            </w:tcBorders>
            <w:vAlign w:val="bottom"/>
          </w:tcPr>
          <w:p w:rsidR="00B679F8" w:rsidRPr="00B679F8" w:rsidRDefault="00B679F8" w:rsidP="00B679F8">
            <w:pPr>
              <w:pStyle w:val="TableBodyText"/>
              <w:rPr>
                <w:sz w:val="18"/>
                <w:szCs w:val="18"/>
              </w:rPr>
            </w:pPr>
            <w:r w:rsidRPr="00B679F8">
              <w:rPr>
                <w:sz w:val="18"/>
                <w:szCs w:val="18"/>
              </w:rPr>
              <w:t xml:space="preserve">  67.8</w:t>
            </w:r>
          </w:p>
        </w:tc>
      </w:tr>
    </w:tbl>
    <w:p w:rsidR="00F177FC" w:rsidRDefault="00F177FC" w:rsidP="00941392">
      <w:pPr>
        <w:pStyle w:val="Note"/>
      </w:pPr>
      <w:r w:rsidRPr="00F177FC">
        <w:rPr>
          <w:rStyle w:val="NoteLabel"/>
        </w:rPr>
        <w:t>a</w:t>
      </w:r>
      <w:r w:rsidRPr="00EB64F9">
        <w:rPr>
          <w:szCs w:val="18"/>
        </w:rPr>
        <w:sym w:font="Symbol" w:char="F020"/>
      </w:r>
      <w:r w:rsidRPr="00EB64F9">
        <w:t>Totals may not add as a result of rounding.</w:t>
      </w:r>
      <w:r w:rsidR="00FE2908">
        <w:t xml:space="preserve"> </w:t>
      </w:r>
      <w:r w:rsidR="003E6369" w:rsidRPr="00B54F4D">
        <w:rPr>
          <w:rStyle w:val="NoteLabel"/>
        </w:rPr>
        <w:t>b</w:t>
      </w:r>
      <w:r w:rsidR="003E6369" w:rsidRPr="00B54F4D">
        <w:t> </w:t>
      </w:r>
      <w:r w:rsidR="006C766E" w:rsidRPr="00B54F4D">
        <w:t>Some Bankruptcy</w:t>
      </w:r>
      <w:r w:rsidR="006C766E" w:rsidRPr="00D77E9B">
        <w:t xml:space="preserve"> and Immigr</w:t>
      </w:r>
      <w:r w:rsidR="006C766E">
        <w:t xml:space="preserve">ation matters filed with the Federal </w:t>
      </w:r>
      <w:r w:rsidR="00421ECA">
        <w:t>Circuit</w:t>
      </w:r>
      <w:r w:rsidR="006C766E">
        <w:t xml:space="preserve"> Court</w:t>
      </w:r>
      <w:r w:rsidR="006C766E" w:rsidRPr="00D77E9B">
        <w:t xml:space="preserve"> are delegated to be dealt with by Federal Court registrars. Those matt</w:t>
      </w:r>
      <w:r w:rsidR="006C766E">
        <w:t xml:space="preserve">ers finalised by Federal Court registrars are counted as part of the Federal </w:t>
      </w:r>
      <w:r w:rsidR="00421ECA">
        <w:t>Circuit</w:t>
      </w:r>
      <w:r w:rsidR="006C766E">
        <w:t xml:space="preserve"> Court</w:t>
      </w:r>
      <w:r w:rsidR="006C766E" w:rsidRPr="00D77E9B">
        <w:t xml:space="preserve"> matters as they </w:t>
      </w:r>
      <w:r w:rsidR="006C766E">
        <w:t xml:space="preserve">are filed and funded by the Federal </w:t>
      </w:r>
      <w:r w:rsidR="00421ECA">
        <w:t>Circuit</w:t>
      </w:r>
      <w:r w:rsidR="006C766E">
        <w:t xml:space="preserve"> Court</w:t>
      </w:r>
      <w:r w:rsidR="006C766E" w:rsidRPr="00D77E9B">
        <w:t>.</w:t>
      </w:r>
      <w:r w:rsidR="006C766E">
        <w:t xml:space="preserve"> Previously these matters were also included in Federal courts data but they </w:t>
      </w:r>
      <w:r w:rsidR="00DD643D">
        <w:t xml:space="preserve">are </w:t>
      </w:r>
      <w:r w:rsidR="006C766E">
        <w:t>now</w:t>
      </w:r>
      <w:r w:rsidR="00DD643D">
        <w:t xml:space="preserve"> </w:t>
      </w:r>
      <w:r w:rsidR="006C766E">
        <w:t>excluded</w:t>
      </w:r>
      <w:r w:rsidR="006C766E" w:rsidRPr="00FE3767">
        <w:t>.</w:t>
      </w:r>
      <w:r w:rsidR="0092550F" w:rsidRPr="00FE3767">
        <w:t xml:space="preserve"> </w:t>
      </w:r>
      <w:r w:rsidR="00FD4B13" w:rsidRPr="00B54F4D">
        <w:rPr>
          <w:rStyle w:val="NoteLabel"/>
        </w:rPr>
        <w:t>c</w:t>
      </w:r>
      <w:r w:rsidR="005301DD" w:rsidRPr="00B54F4D">
        <w:rPr>
          <w:rStyle w:val="NoteLabel"/>
        </w:rPr>
        <w:t> </w:t>
      </w:r>
      <w:r w:rsidR="005301DD" w:rsidRPr="00B54F4D">
        <w:t xml:space="preserve">NSW </w:t>
      </w:r>
      <w:proofErr w:type="spellStart"/>
      <w:r w:rsidR="00AC0A5B" w:rsidRPr="00B54F4D">
        <w:t>lodg</w:t>
      </w:r>
      <w:r w:rsidR="005301DD" w:rsidRPr="00B54F4D">
        <w:t>ment</w:t>
      </w:r>
      <w:proofErr w:type="spellEnd"/>
      <w:r w:rsidR="005301DD">
        <w:t xml:space="preserve"> data for children in the civil court </w:t>
      </w:r>
      <w:r w:rsidR="00C60BD9">
        <w:t>are</w:t>
      </w:r>
      <w:r w:rsidR="005301DD">
        <w:t xml:space="preserve"> based on a count of</w:t>
      </w:r>
      <w:r w:rsidR="005301DD" w:rsidRPr="005301DD">
        <w:t xml:space="preserve"> </w:t>
      </w:r>
      <w:r w:rsidR="005301DD">
        <w:t xml:space="preserve">each child listed in all new </w:t>
      </w:r>
      <w:r w:rsidR="005301DD" w:rsidRPr="005301DD">
        <w:t>applications for care and protection</w:t>
      </w:r>
      <w:r w:rsidR="005301DD">
        <w:t>, not just the originating application.</w:t>
      </w:r>
      <w:r w:rsidR="001C75EB">
        <w:t xml:space="preserve"> </w:t>
      </w:r>
      <w:r w:rsidR="00FD4B13">
        <w:rPr>
          <w:rStyle w:val="NoteLabel"/>
        </w:rPr>
        <w:t>d</w:t>
      </w:r>
      <w:r w:rsidR="00827724">
        <w:t> </w:t>
      </w:r>
      <w:r w:rsidR="007B0DFD" w:rsidRPr="007B0DFD">
        <w:t>Queensland Children</w:t>
      </w:r>
      <w:r w:rsidR="007B0DFD">
        <w:t>’</w:t>
      </w:r>
      <w:r w:rsidR="007B0DFD" w:rsidRPr="007B0DFD">
        <w:t xml:space="preserve">s Court data for civil cases is based on a count of cases, not the number of children involved in the care and protection </w:t>
      </w:r>
      <w:r w:rsidRPr="00EB64F9">
        <w:t xml:space="preserve">case. </w:t>
      </w:r>
      <w:r w:rsidR="00FD4B13">
        <w:rPr>
          <w:rStyle w:val="NoteLabel"/>
        </w:rPr>
        <w:t>e</w:t>
      </w:r>
      <w:r>
        <w:rPr>
          <w:rStyle w:val="NoteLabel"/>
        </w:rPr>
        <w:t> </w:t>
      </w:r>
      <w:r w:rsidRPr="00EB64F9">
        <w:t>In the NT a perpetual file is held for each child, therefore additional applications are not lodged separately but as part of the original application.</w:t>
      </w:r>
      <w:r>
        <w:t xml:space="preserve"> </w:t>
      </w:r>
      <w:r w:rsidR="00FD4B13">
        <w:rPr>
          <w:rStyle w:val="NoteLabel"/>
        </w:rPr>
        <w:t>f</w:t>
      </w:r>
      <w:r w:rsidR="00B40348">
        <w:t xml:space="preserve"> Family Court of Australia </w:t>
      </w:r>
      <w:r w:rsidR="00C60BD9">
        <w:t>data do</w:t>
      </w:r>
      <w:r w:rsidR="00B40348" w:rsidRPr="00301856">
        <w:t xml:space="preserve"> not include instances w</w:t>
      </w:r>
      <w:r w:rsidR="002316AA">
        <w:t xml:space="preserve">here </w:t>
      </w:r>
      <w:r w:rsidR="007A59CD">
        <w:t xml:space="preserve">its </w:t>
      </w:r>
      <w:r w:rsidR="002316AA">
        <w:t>r</w:t>
      </w:r>
      <w:r w:rsidR="00B40348" w:rsidRPr="00301856">
        <w:t xml:space="preserve">egistrars are given delegation to conduct Federal </w:t>
      </w:r>
      <w:r w:rsidR="00421ECA">
        <w:t>Circuit</w:t>
      </w:r>
      <w:r w:rsidR="00B40348" w:rsidRPr="00301856">
        <w:t xml:space="preserve"> Court divorce applications</w:t>
      </w:r>
      <w:r w:rsidR="007A59CD">
        <w:t xml:space="preserve">, or when conducting conciliation conferences on Federal </w:t>
      </w:r>
      <w:r w:rsidR="00421ECA">
        <w:t>Circuit</w:t>
      </w:r>
      <w:r w:rsidR="007A59CD">
        <w:t xml:space="preserve"> Court matters</w:t>
      </w:r>
      <w:r w:rsidR="00B40348">
        <w:t>.</w:t>
      </w:r>
      <w:r w:rsidR="007A59CD">
        <w:t xml:space="preserve"> These services are provided free of charge to the Federal </w:t>
      </w:r>
      <w:r w:rsidR="00090B1B">
        <w:t>Circuit</w:t>
      </w:r>
      <w:r w:rsidR="007A59CD">
        <w:t xml:space="preserve"> Court.</w:t>
      </w:r>
      <w:r w:rsidR="00ED72FC">
        <w:t xml:space="preserve"> </w:t>
      </w:r>
      <w:r w:rsidR="00E92ADD">
        <w:rPr>
          <w:b/>
        </w:rPr>
        <w:t>.. </w:t>
      </w:r>
      <w:r w:rsidR="00E92ADD" w:rsidRPr="00E92ADD">
        <w:t>Not</w:t>
      </w:r>
      <w:r w:rsidR="00E92ADD">
        <w:t> applicable</w:t>
      </w:r>
      <w:r w:rsidRPr="00EB64F9">
        <w:t>.</w:t>
      </w:r>
    </w:p>
    <w:p w:rsidR="00F177FC" w:rsidRDefault="00F177FC" w:rsidP="00F177FC">
      <w:pPr>
        <w:pStyle w:val="Source"/>
      </w:pPr>
      <w:r>
        <w:rPr>
          <w:i/>
        </w:rPr>
        <w:t>Source</w:t>
      </w:r>
      <w:r>
        <w:t xml:space="preserve">: </w:t>
      </w:r>
      <w:r w:rsidR="00CA385B">
        <w:t xml:space="preserve">Australian, </w:t>
      </w:r>
      <w:r w:rsidRPr="00F177FC">
        <w:t>State and Territory court authorities and de</w:t>
      </w:r>
      <w:r w:rsidR="00CA385B">
        <w:t xml:space="preserve">partments (unpublished); </w:t>
      </w:r>
      <w:r w:rsidR="00A76A9C">
        <w:t>table </w:t>
      </w:r>
      <w:proofErr w:type="spellStart"/>
      <w:r w:rsidR="00A76A9C">
        <w:t>7</w:t>
      </w:r>
      <w:r w:rsidRPr="00F177FC">
        <w:t>A.</w:t>
      </w:r>
      <w:r w:rsidR="00461B69">
        <w:t>3</w:t>
      </w:r>
      <w:proofErr w:type="spellEnd"/>
      <w:r w:rsidRPr="00F177FC">
        <w:t>.</w:t>
      </w:r>
    </w:p>
    <w:p w:rsidR="00F574C0" w:rsidRDefault="003F7A5B" w:rsidP="00F574C0">
      <w:pPr>
        <w:pStyle w:val="BodyText"/>
      </w:pPr>
      <w:r>
        <w:t xml:space="preserve">The number of </w:t>
      </w:r>
      <w:proofErr w:type="spellStart"/>
      <w:r>
        <w:t>lodgments</w:t>
      </w:r>
      <w:proofErr w:type="spellEnd"/>
      <w:r>
        <w:t xml:space="preserve"> per 100 </w:t>
      </w:r>
      <w:r w:rsidR="00F574C0">
        <w:t xml:space="preserve">000 people can be used to assist in understanding the comparative workload of a court in relation to the population size of </w:t>
      </w:r>
      <w:r>
        <w:t xml:space="preserve">the State or Territory. Tables </w:t>
      </w:r>
      <w:proofErr w:type="spellStart"/>
      <w:r>
        <w:t>7A.</w:t>
      </w:r>
      <w:r w:rsidR="00461B69">
        <w:t>4</w:t>
      </w:r>
      <w:proofErr w:type="spellEnd"/>
      <w:r>
        <w:t xml:space="preserve"> and </w:t>
      </w:r>
      <w:proofErr w:type="spellStart"/>
      <w:r>
        <w:t>7</w:t>
      </w:r>
      <w:r w:rsidR="00F574C0">
        <w:t>A.</w:t>
      </w:r>
      <w:r w:rsidR="00461B69">
        <w:t>5</w:t>
      </w:r>
      <w:proofErr w:type="spellEnd"/>
      <w:r w:rsidR="00F574C0">
        <w:t xml:space="preserve"> provide data on criminal and civ</w:t>
      </w:r>
      <w:r>
        <w:t xml:space="preserve">il </w:t>
      </w:r>
      <w:proofErr w:type="spellStart"/>
      <w:r>
        <w:t>lodgments</w:t>
      </w:r>
      <w:proofErr w:type="spellEnd"/>
      <w:r>
        <w:t xml:space="preserve"> (per</w:t>
      </w:r>
      <w:r w:rsidR="00054D95">
        <w:t> </w:t>
      </w:r>
      <w:r>
        <w:t>100 </w:t>
      </w:r>
      <w:r w:rsidR="00F574C0">
        <w:t>000 people) respectively for each State and Territory.</w:t>
      </w:r>
    </w:p>
    <w:p w:rsidR="00F574C0" w:rsidRDefault="00F574C0" w:rsidP="00F574C0">
      <w:pPr>
        <w:pStyle w:val="Heading5"/>
      </w:pPr>
      <w:r>
        <w:t xml:space="preserve">Distribution of court </w:t>
      </w:r>
      <w:proofErr w:type="spellStart"/>
      <w:r>
        <w:t>lodgments</w:t>
      </w:r>
      <w:proofErr w:type="spellEnd"/>
    </w:p>
    <w:p w:rsidR="00CB7DFB" w:rsidRDefault="00F574C0" w:rsidP="00F574C0">
      <w:pPr>
        <w:pStyle w:val="BodyText"/>
      </w:pPr>
      <w:r w:rsidRPr="00AB66C0">
        <w:t>The</w:t>
      </w:r>
      <w:r w:rsidR="00FA45B6">
        <w:t xml:space="preserve"> vast</w:t>
      </w:r>
      <w:r w:rsidRPr="00AB66C0">
        <w:t xml:space="preserve"> majority of both criminal and civil matters in Australi</w:t>
      </w:r>
      <w:r w:rsidR="00777C1B" w:rsidRPr="00AB66C0">
        <w:t xml:space="preserve">a in </w:t>
      </w:r>
      <w:r w:rsidR="001D4ED6">
        <w:t>2</w:t>
      </w:r>
      <w:r w:rsidR="00DA68DA">
        <w:t>012</w:t>
      </w:r>
      <w:r w:rsidR="00205BCF">
        <w:noBreakHyphen/>
      </w:r>
      <w:r w:rsidR="00DA68DA">
        <w:t>13</w:t>
      </w:r>
      <w:r w:rsidR="00777C1B" w:rsidRPr="00AB66C0">
        <w:t xml:space="preserve"> were lodged in magistrates’ c</w:t>
      </w:r>
      <w:r w:rsidR="00BC62E9" w:rsidRPr="00AB66C0">
        <w:t>ourt</w:t>
      </w:r>
      <w:r w:rsidRPr="00AB66C0">
        <w:t>s (</w:t>
      </w:r>
      <w:r w:rsidR="00A76A9C" w:rsidRPr="00AB66C0">
        <w:t>table 7</w:t>
      </w:r>
      <w:r w:rsidRPr="00AB66C0">
        <w:t xml:space="preserve">.4). </w:t>
      </w:r>
    </w:p>
    <w:p w:rsidR="00CB7DFB" w:rsidRPr="000B6D4F" w:rsidRDefault="00CB7DFB">
      <w:pPr>
        <w:pStyle w:val="TableTitle"/>
      </w:pPr>
      <w:r w:rsidRPr="000B6D4F">
        <w:rPr>
          <w:b w:val="0"/>
        </w:rPr>
        <w:lastRenderedPageBreak/>
        <w:t xml:space="preserve">Table </w:t>
      </w:r>
      <w:r w:rsidR="00192F6A" w:rsidRPr="000B6D4F">
        <w:rPr>
          <w:b w:val="0"/>
        </w:rPr>
        <w:t>7.</w:t>
      </w:r>
      <w:r w:rsidR="00E75B12" w:rsidRPr="000B6D4F">
        <w:rPr>
          <w:b w:val="0"/>
          <w:noProof/>
        </w:rPr>
        <w:t>4</w:t>
      </w:r>
      <w:r w:rsidR="00F17D60" w:rsidRPr="000B6D4F">
        <w:tab/>
        <w:t xml:space="preserve">Distribution of court </w:t>
      </w:r>
      <w:proofErr w:type="spellStart"/>
      <w:r w:rsidR="00F17D60" w:rsidRPr="000B6D4F">
        <w:t>lodgments</w:t>
      </w:r>
      <w:proofErr w:type="spellEnd"/>
      <w:r w:rsidR="00F17D60" w:rsidRPr="000B6D4F">
        <w:t xml:space="preserve">, by court level, </w:t>
      </w:r>
      <w:r w:rsidR="00907F5F">
        <w:t>2012</w:t>
      </w:r>
      <w:r w:rsidR="003270B7">
        <w:t>-</w:t>
      </w:r>
      <w:r w:rsidR="006B1C06">
        <w:t>1</w:t>
      </w:r>
      <w:r w:rsidR="00907F5F">
        <w:t>3</w:t>
      </w:r>
      <w:r w:rsidR="00F17D60" w:rsidRPr="000B6D4F">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127"/>
        <w:gridCol w:w="567"/>
        <w:gridCol w:w="708"/>
        <w:gridCol w:w="709"/>
        <w:gridCol w:w="709"/>
        <w:gridCol w:w="709"/>
        <w:gridCol w:w="708"/>
        <w:gridCol w:w="709"/>
        <w:gridCol w:w="567"/>
        <w:gridCol w:w="567"/>
        <w:gridCol w:w="710"/>
      </w:tblGrid>
      <w:tr w:rsidR="00CB7DFB" w:rsidRPr="000B6D4F" w:rsidTr="00795D64">
        <w:tc>
          <w:tcPr>
            <w:tcW w:w="2127" w:type="dxa"/>
            <w:tcBorders>
              <w:top w:val="single" w:sz="6" w:space="0" w:color="auto"/>
              <w:bottom w:val="single" w:sz="6" w:space="0" w:color="auto"/>
            </w:tcBorders>
          </w:tcPr>
          <w:p w:rsidR="00CB7DFB" w:rsidRPr="000B6D4F" w:rsidRDefault="00CB7DFB" w:rsidP="00CB7DFB">
            <w:pPr>
              <w:pStyle w:val="TableColumnHeading"/>
              <w:jc w:val="left"/>
            </w:pPr>
          </w:p>
        </w:tc>
        <w:tc>
          <w:tcPr>
            <w:tcW w:w="567" w:type="dxa"/>
            <w:tcBorders>
              <w:top w:val="single" w:sz="6" w:space="0" w:color="auto"/>
              <w:bottom w:val="single" w:sz="6" w:space="0" w:color="auto"/>
            </w:tcBorders>
          </w:tcPr>
          <w:p w:rsidR="00CB7DFB" w:rsidRPr="000B6D4F" w:rsidRDefault="00CB7DFB" w:rsidP="00CB7DFB">
            <w:pPr>
              <w:pStyle w:val="TableColumnHeading"/>
            </w:pPr>
            <w:r w:rsidRPr="000B6D4F">
              <w:t>Unit</w:t>
            </w:r>
          </w:p>
        </w:tc>
        <w:tc>
          <w:tcPr>
            <w:tcW w:w="708" w:type="dxa"/>
            <w:tcBorders>
              <w:top w:val="single" w:sz="6" w:space="0" w:color="auto"/>
              <w:bottom w:val="single" w:sz="6" w:space="0" w:color="auto"/>
            </w:tcBorders>
          </w:tcPr>
          <w:p w:rsidR="00CB7DFB" w:rsidRPr="000B6D4F" w:rsidRDefault="00CB7DFB" w:rsidP="00CB7DFB">
            <w:pPr>
              <w:pStyle w:val="TableColumnHeading"/>
            </w:pPr>
            <w:r w:rsidRPr="000B6D4F">
              <w:t>NSW</w:t>
            </w:r>
          </w:p>
        </w:tc>
        <w:tc>
          <w:tcPr>
            <w:tcW w:w="709" w:type="dxa"/>
            <w:tcBorders>
              <w:top w:val="single" w:sz="6" w:space="0" w:color="auto"/>
              <w:bottom w:val="single" w:sz="6" w:space="0" w:color="auto"/>
            </w:tcBorders>
          </w:tcPr>
          <w:p w:rsidR="00CB7DFB" w:rsidRPr="000B6D4F" w:rsidRDefault="00CB7DFB" w:rsidP="00CB7DFB">
            <w:pPr>
              <w:pStyle w:val="TableColumnHeading"/>
            </w:pPr>
            <w:r w:rsidRPr="000B6D4F">
              <w:t>Vic</w:t>
            </w:r>
          </w:p>
        </w:tc>
        <w:tc>
          <w:tcPr>
            <w:tcW w:w="709" w:type="dxa"/>
            <w:tcBorders>
              <w:top w:val="single" w:sz="6" w:space="0" w:color="auto"/>
              <w:bottom w:val="single" w:sz="6" w:space="0" w:color="auto"/>
            </w:tcBorders>
          </w:tcPr>
          <w:p w:rsidR="00CB7DFB" w:rsidRPr="000B6D4F" w:rsidRDefault="00CB7DFB" w:rsidP="00CB7DFB">
            <w:pPr>
              <w:pStyle w:val="TableColumnHeading"/>
            </w:pPr>
            <w:r w:rsidRPr="000B6D4F">
              <w:t>Qld</w:t>
            </w:r>
          </w:p>
        </w:tc>
        <w:tc>
          <w:tcPr>
            <w:tcW w:w="709" w:type="dxa"/>
            <w:tcBorders>
              <w:top w:val="single" w:sz="6" w:space="0" w:color="auto"/>
              <w:bottom w:val="single" w:sz="6" w:space="0" w:color="auto"/>
            </w:tcBorders>
          </w:tcPr>
          <w:p w:rsidR="00CB7DFB" w:rsidRPr="000B6D4F" w:rsidRDefault="00CB7DFB" w:rsidP="00CB7DFB">
            <w:pPr>
              <w:pStyle w:val="TableColumnHeading"/>
            </w:pPr>
            <w:r w:rsidRPr="000B6D4F">
              <w:t>WA</w:t>
            </w:r>
          </w:p>
        </w:tc>
        <w:tc>
          <w:tcPr>
            <w:tcW w:w="708" w:type="dxa"/>
            <w:tcBorders>
              <w:top w:val="single" w:sz="6" w:space="0" w:color="auto"/>
              <w:bottom w:val="single" w:sz="6" w:space="0" w:color="auto"/>
            </w:tcBorders>
          </w:tcPr>
          <w:p w:rsidR="00CB7DFB" w:rsidRPr="000B6D4F" w:rsidRDefault="00CB7DFB" w:rsidP="00CB7DFB">
            <w:pPr>
              <w:pStyle w:val="TableColumnHeading"/>
            </w:pPr>
            <w:r w:rsidRPr="000B6D4F">
              <w:t>SA</w:t>
            </w:r>
          </w:p>
        </w:tc>
        <w:tc>
          <w:tcPr>
            <w:tcW w:w="709" w:type="dxa"/>
            <w:tcBorders>
              <w:top w:val="single" w:sz="6" w:space="0" w:color="auto"/>
              <w:bottom w:val="single" w:sz="6" w:space="0" w:color="auto"/>
            </w:tcBorders>
          </w:tcPr>
          <w:p w:rsidR="00CB7DFB" w:rsidRPr="000B6D4F" w:rsidRDefault="00CB7DFB" w:rsidP="00CB7DFB">
            <w:pPr>
              <w:pStyle w:val="TableColumnHeading"/>
            </w:pPr>
            <w:proofErr w:type="spellStart"/>
            <w:r w:rsidRPr="000B6D4F">
              <w:t>Tas</w:t>
            </w:r>
            <w:proofErr w:type="spellEnd"/>
          </w:p>
        </w:tc>
        <w:tc>
          <w:tcPr>
            <w:tcW w:w="567" w:type="dxa"/>
            <w:tcBorders>
              <w:top w:val="single" w:sz="6" w:space="0" w:color="auto"/>
              <w:bottom w:val="single" w:sz="6" w:space="0" w:color="auto"/>
            </w:tcBorders>
          </w:tcPr>
          <w:p w:rsidR="00CB7DFB" w:rsidRPr="000B6D4F" w:rsidRDefault="00CB7DFB" w:rsidP="00CB7DFB">
            <w:pPr>
              <w:pStyle w:val="TableColumnHeading"/>
            </w:pPr>
            <w:r w:rsidRPr="000B6D4F">
              <w:t>ACT</w:t>
            </w:r>
          </w:p>
        </w:tc>
        <w:tc>
          <w:tcPr>
            <w:tcW w:w="567" w:type="dxa"/>
            <w:tcBorders>
              <w:top w:val="single" w:sz="6" w:space="0" w:color="auto"/>
              <w:bottom w:val="single" w:sz="6" w:space="0" w:color="auto"/>
            </w:tcBorders>
          </w:tcPr>
          <w:p w:rsidR="00CB7DFB" w:rsidRPr="000B6D4F" w:rsidRDefault="00CB7DFB" w:rsidP="00CB7DFB">
            <w:pPr>
              <w:pStyle w:val="TableColumnHeading"/>
              <w:ind w:right="28"/>
            </w:pPr>
            <w:r w:rsidRPr="000B6D4F">
              <w:t>NT</w:t>
            </w:r>
          </w:p>
        </w:tc>
        <w:tc>
          <w:tcPr>
            <w:tcW w:w="710" w:type="dxa"/>
            <w:tcBorders>
              <w:top w:val="single" w:sz="6" w:space="0" w:color="auto"/>
              <w:bottom w:val="single" w:sz="6" w:space="0" w:color="auto"/>
            </w:tcBorders>
          </w:tcPr>
          <w:p w:rsidR="00CB7DFB" w:rsidRPr="000B6D4F" w:rsidRDefault="00CB7DFB" w:rsidP="00CB7DFB">
            <w:pPr>
              <w:pStyle w:val="TableColumnHeading"/>
              <w:ind w:right="28"/>
            </w:pPr>
            <w:r w:rsidRPr="000B6D4F">
              <w:t>Total</w:t>
            </w:r>
          </w:p>
        </w:tc>
      </w:tr>
      <w:tr w:rsidR="00CB7DFB" w:rsidRPr="000B6D4F" w:rsidTr="00795D64">
        <w:trPr>
          <w:trHeight w:val="227"/>
        </w:trPr>
        <w:tc>
          <w:tcPr>
            <w:tcW w:w="2127" w:type="dxa"/>
          </w:tcPr>
          <w:p w:rsidR="00CB7DFB" w:rsidRPr="000B6D4F" w:rsidRDefault="00CB7DFB" w:rsidP="00CB7DFB">
            <w:pPr>
              <w:pStyle w:val="TableBodyText"/>
              <w:jc w:val="left"/>
              <w:rPr>
                <w:i/>
              </w:rPr>
            </w:pPr>
            <w:r w:rsidRPr="000B6D4F">
              <w:rPr>
                <w:i/>
              </w:rPr>
              <w:t>Criminal courts</w:t>
            </w:r>
          </w:p>
        </w:tc>
        <w:tc>
          <w:tcPr>
            <w:tcW w:w="567" w:type="dxa"/>
          </w:tcPr>
          <w:p w:rsidR="00CB7DFB" w:rsidRPr="000B6D4F" w:rsidRDefault="00CB7DFB" w:rsidP="00CB7DFB">
            <w:pPr>
              <w:pStyle w:val="TableBodyText"/>
            </w:pPr>
          </w:p>
        </w:tc>
        <w:tc>
          <w:tcPr>
            <w:tcW w:w="708" w:type="dxa"/>
          </w:tcPr>
          <w:p w:rsidR="00CB7DFB" w:rsidRPr="000B6D4F" w:rsidRDefault="00CB7DFB" w:rsidP="00CB7DFB">
            <w:pPr>
              <w:pStyle w:val="TableBodyText"/>
            </w:pPr>
          </w:p>
        </w:tc>
        <w:tc>
          <w:tcPr>
            <w:tcW w:w="709" w:type="dxa"/>
          </w:tcPr>
          <w:p w:rsidR="00CB7DFB" w:rsidRPr="000B6D4F" w:rsidRDefault="00CB7DFB" w:rsidP="00CB7DFB">
            <w:pPr>
              <w:pStyle w:val="TableBodyText"/>
            </w:pPr>
          </w:p>
        </w:tc>
        <w:tc>
          <w:tcPr>
            <w:tcW w:w="709" w:type="dxa"/>
          </w:tcPr>
          <w:p w:rsidR="00CB7DFB" w:rsidRPr="000B6D4F" w:rsidRDefault="00CB7DFB" w:rsidP="00CB7DFB">
            <w:pPr>
              <w:pStyle w:val="TableBodyText"/>
            </w:pPr>
          </w:p>
        </w:tc>
        <w:tc>
          <w:tcPr>
            <w:tcW w:w="709" w:type="dxa"/>
          </w:tcPr>
          <w:p w:rsidR="00CB7DFB" w:rsidRPr="000B6D4F" w:rsidRDefault="00CB7DFB" w:rsidP="00CB7DFB">
            <w:pPr>
              <w:pStyle w:val="TableBodyText"/>
            </w:pPr>
          </w:p>
        </w:tc>
        <w:tc>
          <w:tcPr>
            <w:tcW w:w="708" w:type="dxa"/>
          </w:tcPr>
          <w:p w:rsidR="00CB7DFB" w:rsidRPr="000B6D4F" w:rsidRDefault="00CB7DFB" w:rsidP="00CB7DFB">
            <w:pPr>
              <w:pStyle w:val="TableBodyText"/>
            </w:pPr>
          </w:p>
        </w:tc>
        <w:tc>
          <w:tcPr>
            <w:tcW w:w="709" w:type="dxa"/>
          </w:tcPr>
          <w:p w:rsidR="00CB7DFB" w:rsidRPr="000B6D4F" w:rsidRDefault="00CB7DFB" w:rsidP="00CB7DFB">
            <w:pPr>
              <w:pStyle w:val="TableBodyText"/>
            </w:pPr>
          </w:p>
        </w:tc>
        <w:tc>
          <w:tcPr>
            <w:tcW w:w="567" w:type="dxa"/>
          </w:tcPr>
          <w:p w:rsidR="00CB7DFB" w:rsidRPr="000B6D4F" w:rsidRDefault="00CB7DFB" w:rsidP="00CB7DFB">
            <w:pPr>
              <w:pStyle w:val="TableBodyText"/>
            </w:pPr>
          </w:p>
        </w:tc>
        <w:tc>
          <w:tcPr>
            <w:tcW w:w="567" w:type="dxa"/>
            <w:tcBorders>
              <w:top w:val="single" w:sz="6" w:space="0" w:color="auto"/>
            </w:tcBorders>
          </w:tcPr>
          <w:p w:rsidR="00CB7DFB" w:rsidRPr="000B6D4F" w:rsidRDefault="00CB7DFB" w:rsidP="00CB7DFB">
            <w:pPr>
              <w:pStyle w:val="TableBodyText"/>
              <w:ind w:right="28"/>
            </w:pPr>
          </w:p>
        </w:tc>
        <w:tc>
          <w:tcPr>
            <w:tcW w:w="710" w:type="dxa"/>
            <w:tcBorders>
              <w:top w:val="single" w:sz="6" w:space="0" w:color="auto"/>
            </w:tcBorders>
          </w:tcPr>
          <w:p w:rsidR="00CB7DFB" w:rsidRPr="000B6D4F" w:rsidRDefault="00CB7DFB" w:rsidP="00CB7DFB">
            <w:pPr>
              <w:pStyle w:val="TableBodyText"/>
              <w:ind w:right="28"/>
            </w:pPr>
          </w:p>
        </w:tc>
      </w:tr>
      <w:tr w:rsidR="008357A5" w:rsidRPr="000B6D4F" w:rsidTr="00795D64">
        <w:tc>
          <w:tcPr>
            <w:tcW w:w="2127" w:type="dxa"/>
          </w:tcPr>
          <w:p w:rsidR="008357A5" w:rsidRPr="000B6D4F" w:rsidRDefault="008357A5" w:rsidP="00CB7DFB">
            <w:pPr>
              <w:pStyle w:val="TableBodyText"/>
              <w:jc w:val="left"/>
            </w:pPr>
            <w:r w:rsidRPr="000B6D4F">
              <w:t>Supreme</w:t>
            </w:r>
          </w:p>
        </w:tc>
        <w:tc>
          <w:tcPr>
            <w:tcW w:w="567" w:type="dxa"/>
            <w:vAlign w:val="bottom"/>
          </w:tcPr>
          <w:p w:rsidR="008357A5" w:rsidRPr="000B6D4F" w:rsidRDefault="008357A5" w:rsidP="00CB7DFB">
            <w:pPr>
              <w:pStyle w:val="TableBodyText"/>
            </w:pPr>
            <w:r w:rsidRPr="000B6D4F">
              <w:t>%</w:t>
            </w:r>
          </w:p>
        </w:tc>
        <w:tc>
          <w:tcPr>
            <w:tcW w:w="708" w:type="dxa"/>
            <w:vAlign w:val="bottom"/>
          </w:tcPr>
          <w:p w:rsidR="008357A5" w:rsidRPr="008357A5" w:rsidRDefault="008357A5" w:rsidP="008357A5">
            <w:pPr>
              <w:pStyle w:val="TableBodyText"/>
              <w:rPr>
                <w:sz w:val="18"/>
                <w:szCs w:val="18"/>
              </w:rPr>
            </w:pPr>
            <w:r w:rsidRPr="008357A5">
              <w:rPr>
                <w:sz w:val="18"/>
                <w:szCs w:val="18"/>
              </w:rPr>
              <w:t>0.3</w:t>
            </w:r>
          </w:p>
        </w:tc>
        <w:tc>
          <w:tcPr>
            <w:tcW w:w="709" w:type="dxa"/>
            <w:vAlign w:val="bottom"/>
          </w:tcPr>
          <w:p w:rsidR="008357A5" w:rsidRPr="008357A5" w:rsidRDefault="008357A5" w:rsidP="008357A5">
            <w:pPr>
              <w:pStyle w:val="TableBodyText"/>
              <w:rPr>
                <w:sz w:val="18"/>
                <w:szCs w:val="18"/>
              </w:rPr>
            </w:pPr>
            <w:r w:rsidRPr="008357A5">
              <w:rPr>
                <w:sz w:val="18"/>
                <w:szCs w:val="18"/>
              </w:rPr>
              <w:t>0.2</w:t>
            </w:r>
          </w:p>
        </w:tc>
        <w:tc>
          <w:tcPr>
            <w:tcW w:w="709" w:type="dxa"/>
            <w:vAlign w:val="bottom"/>
          </w:tcPr>
          <w:p w:rsidR="008357A5" w:rsidRPr="008357A5" w:rsidRDefault="008357A5" w:rsidP="008357A5">
            <w:pPr>
              <w:pStyle w:val="TableBodyText"/>
              <w:rPr>
                <w:sz w:val="18"/>
                <w:szCs w:val="18"/>
              </w:rPr>
            </w:pPr>
            <w:r w:rsidRPr="008357A5">
              <w:rPr>
                <w:sz w:val="18"/>
                <w:szCs w:val="18"/>
              </w:rPr>
              <w:t>0.6</w:t>
            </w:r>
          </w:p>
        </w:tc>
        <w:tc>
          <w:tcPr>
            <w:tcW w:w="709" w:type="dxa"/>
            <w:vAlign w:val="bottom"/>
          </w:tcPr>
          <w:p w:rsidR="008357A5" w:rsidRPr="008357A5" w:rsidRDefault="008357A5" w:rsidP="008357A5">
            <w:pPr>
              <w:pStyle w:val="TableBodyText"/>
              <w:rPr>
                <w:sz w:val="18"/>
                <w:szCs w:val="18"/>
              </w:rPr>
            </w:pPr>
            <w:r w:rsidRPr="008357A5">
              <w:rPr>
                <w:sz w:val="18"/>
                <w:szCs w:val="18"/>
              </w:rPr>
              <w:t>0.8</w:t>
            </w:r>
          </w:p>
        </w:tc>
        <w:tc>
          <w:tcPr>
            <w:tcW w:w="708" w:type="dxa"/>
            <w:vAlign w:val="bottom"/>
          </w:tcPr>
          <w:p w:rsidR="008357A5" w:rsidRPr="008357A5" w:rsidRDefault="008357A5" w:rsidP="008357A5">
            <w:pPr>
              <w:pStyle w:val="TableBodyText"/>
              <w:rPr>
                <w:sz w:val="18"/>
                <w:szCs w:val="18"/>
              </w:rPr>
            </w:pPr>
            <w:r w:rsidRPr="008357A5">
              <w:rPr>
                <w:sz w:val="18"/>
                <w:szCs w:val="18"/>
              </w:rPr>
              <w:t>0.5</w:t>
            </w:r>
          </w:p>
        </w:tc>
        <w:tc>
          <w:tcPr>
            <w:tcW w:w="709" w:type="dxa"/>
            <w:vAlign w:val="bottom"/>
          </w:tcPr>
          <w:p w:rsidR="008357A5" w:rsidRPr="008357A5" w:rsidRDefault="008357A5" w:rsidP="008357A5">
            <w:pPr>
              <w:pStyle w:val="TableBodyText"/>
              <w:rPr>
                <w:sz w:val="18"/>
                <w:szCs w:val="18"/>
              </w:rPr>
            </w:pPr>
            <w:r w:rsidRPr="008357A5">
              <w:rPr>
                <w:sz w:val="18"/>
                <w:szCs w:val="18"/>
              </w:rPr>
              <w:t>3.1</w:t>
            </w:r>
          </w:p>
        </w:tc>
        <w:tc>
          <w:tcPr>
            <w:tcW w:w="567" w:type="dxa"/>
            <w:vAlign w:val="bottom"/>
          </w:tcPr>
          <w:p w:rsidR="008357A5" w:rsidRPr="008357A5" w:rsidRDefault="008357A5" w:rsidP="008357A5">
            <w:pPr>
              <w:pStyle w:val="TableBodyText"/>
              <w:rPr>
                <w:sz w:val="18"/>
                <w:szCs w:val="18"/>
              </w:rPr>
            </w:pPr>
            <w:r w:rsidRPr="008357A5">
              <w:rPr>
                <w:sz w:val="18"/>
                <w:szCs w:val="18"/>
              </w:rPr>
              <w:t>4.9</w:t>
            </w:r>
          </w:p>
        </w:tc>
        <w:tc>
          <w:tcPr>
            <w:tcW w:w="567" w:type="dxa"/>
            <w:vAlign w:val="bottom"/>
          </w:tcPr>
          <w:p w:rsidR="008357A5" w:rsidRPr="008357A5" w:rsidRDefault="008357A5" w:rsidP="008357A5">
            <w:pPr>
              <w:pStyle w:val="TableBodyText"/>
              <w:rPr>
                <w:sz w:val="18"/>
                <w:szCs w:val="18"/>
              </w:rPr>
            </w:pPr>
            <w:r w:rsidRPr="008357A5">
              <w:rPr>
                <w:sz w:val="18"/>
                <w:szCs w:val="18"/>
              </w:rPr>
              <w:t>2.8</w:t>
            </w:r>
          </w:p>
        </w:tc>
        <w:tc>
          <w:tcPr>
            <w:tcW w:w="710" w:type="dxa"/>
            <w:vAlign w:val="bottom"/>
          </w:tcPr>
          <w:p w:rsidR="008357A5" w:rsidRPr="008357A5" w:rsidRDefault="008357A5" w:rsidP="008357A5">
            <w:pPr>
              <w:pStyle w:val="TableBodyText"/>
              <w:rPr>
                <w:sz w:val="18"/>
                <w:szCs w:val="18"/>
              </w:rPr>
            </w:pPr>
            <w:r w:rsidRPr="008357A5">
              <w:rPr>
                <w:sz w:val="18"/>
                <w:szCs w:val="18"/>
              </w:rPr>
              <w:t>0.6</w:t>
            </w:r>
          </w:p>
        </w:tc>
      </w:tr>
      <w:tr w:rsidR="008357A5" w:rsidRPr="000B6D4F" w:rsidTr="00795D64">
        <w:tc>
          <w:tcPr>
            <w:tcW w:w="2127" w:type="dxa"/>
          </w:tcPr>
          <w:p w:rsidR="008357A5" w:rsidRPr="000B6D4F" w:rsidRDefault="008357A5" w:rsidP="00CB7DFB">
            <w:pPr>
              <w:pStyle w:val="TableBodyText"/>
              <w:jc w:val="left"/>
              <w:rPr>
                <w:rStyle w:val="NoteLabel"/>
              </w:rPr>
            </w:pPr>
            <w:r w:rsidRPr="000B6D4F">
              <w:t>District/county</w:t>
            </w:r>
          </w:p>
        </w:tc>
        <w:tc>
          <w:tcPr>
            <w:tcW w:w="567" w:type="dxa"/>
            <w:vAlign w:val="bottom"/>
          </w:tcPr>
          <w:p w:rsidR="008357A5" w:rsidRPr="000B6D4F" w:rsidRDefault="008357A5" w:rsidP="00CB7DFB">
            <w:pPr>
              <w:pStyle w:val="TableBodyText"/>
            </w:pPr>
            <w:r w:rsidRPr="000B6D4F">
              <w:t>%</w:t>
            </w:r>
          </w:p>
        </w:tc>
        <w:tc>
          <w:tcPr>
            <w:tcW w:w="708" w:type="dxa"/>
            <w:vAlign w:val="bottom"/>
          </w:tcPr>
          <w:p w:rsidR="008357A5" w:rsidRPr="008357A5" w:rsidRDefault="008357A5" w:rsidP="008357A5">
            <w:pPr>
              <w:pStyle w:val="TableBodyText"/>
              <w:rPr>
                <w:sz w:val="18"/>
                <w:szCs w:val="18"/>
              </w:rPr>
            </w:pPr>
            <w:r w:rsidRPr="008357A5">
              <w:rPr>
                <w:sz w:val="18"/>
                <w:szCs w:val="18"/>
              </w:rPr>
              <w:t>6.0</w:t>
            </w:r>
          </w:p>
        </w:tc>
        <w:tc>
          <w:tcPr>
            <w:tcW w:w="709" w:type="dxa"/>
            <w:vAlign w:val="bottom"/>
          </w:tcPr>
          <w:p w:rsidR="008357A5" w:rsidRPr="008357A5" w:rsidRDefault="008357A5" w:rsidP="008357A5">
            <w:pPr>
              <w:pStyle w:val="TableBodyText"/>
              <w:rPr>
                <w:sz w:val="18"/>
                <w:szCs w:val="18"/>
              </w:rPr>
            </w:pPr>
            <w:r w:rsidRPr="008357A5">
              <w:rPr>
                <w:sz w:val="18"/>
                <w:szCs w:val="18"/>
              </w:rPr>
              <w:t>2.7</w:t>
            </w:r>
          </w:p>
        </w:tc>
        <w:tc>
          <w:tcPr>
            <w:tcW w:w="709" w:type="dxa"/>
            <w:vAlign w:val="bottom"/>
          </w:tcPr>
          <w:p w:rsidR="008357A5" w:rsidRPr="008357A5" w:rsidRDefault="008357A5" w:rsidP="008357A5">
            <w:pPr>
              <w:pStyle w:val="TableBodyText"/>
              <w:rPr>
                <w:sz w:val="18"/>
                <w:szCs w:val="18"/>
              </w:rPr>
            </w:pPr>
            <w:r w:rsidRPr="008357A5">
              <w:rPr>
                <w:sz w:val="18"/>
                <w:szCs w:val="18"/>
              </w:rPr>
              <w:t>2.5</w:t>
            </w:r>
          </w:p>
        </w:tc>
        <w:tc>
          <w:tcPr>
            <w:tcW w:w="709" w:type="dxa"/>
            <w:vAlign w:val="bottom"/>
          </w:tcPr>
          <w:p w:rsidR="008357A5" w:rsidRPr="008357A5" w:rsidRDefault="008357A5" w:rsidP="008357A5">
            <w:pPr>
              <w:pStyle w:val="TableBodyText"/>
              <w:rPr>
                <w:sz w:val="18"/>
                <w:szCs w:val="18"/>
              </w:rPr>
            </w:pPr>
            <w:r w:rsidRPr="008357A5">
              <w:rPr>
                <w:sz w:val="18"/>
                <w:szCs w:val="18"/>
              </w:rPr>
              <w:t>2.1</w:t>
            </w:r>
          </w:p>
        </w:tc>
        <w:tc>
          <w:tcPr>
            <w:tcW w:w="708" w:type="dxa"/>
            <w:vAlign w:val="bottom"/>
          </w:tcPr>
          <w:p w:rsidR="008357A5" w:rsidRPr="008357A5" w:rsidRDefault="008357A5" w:rsidP="008357A5">
            <w:pPr>
              <w:pStyle w:val="TableBodyText"/>
              <w:rPr>
                <w:sz w:val="18"/>
                <w:szCs w:val="18"/>
              </w:rPr>
            </w:pPr>
            <w:r w:rsidRPr="008357A5">
              <w:rPr>
                <w:sz w:val="18"/>
                <w:szCs w:val="18"/>
              </w:rPr>
              <w:t>3.7</w:t>
            </w:r>
          </w:p>
        </w:tc>
        <w:tc>
          <w:tcPr>
            <w:tcW w:w="709" w:type="dxa"/>
            <w:vAlign w:val="bottom"/>
          </w:tcPr>
          <w:p w:rsidR="008357A5" w:rsidRPr="008357A5" w:rsidRDefault="008357A5" w:rsidP="008357A5">
            <w:pPr>
              <w:pStyle w:val="TableBodyText"/>
              <w:rPr>
                <w:sz w:val="18"/>
                <w:szCs w:val="18"/>
              </w:rPr>
            </w:pPr>
            <w:r w:rsidRPr="008357A5">
              <w:rPr>
                <w:sz w:val="18"/>
                <w:szCs w:val="18"/>
              </w:rPr>
              <w:t>..</w:t>
            </w:r>
          </w:p>
        </w:tc>
        <w:tc>
          <w:tcPr>
            <w:tcW w:w="567" w:type="dxa"/>
            <w:vAlign w:val="bottom"/>
          </w:tcPr>
          <w:p w:rsidR="008357A5" w:rsidRPr="008357A5" w:rsidRDefault="008357A5" w:rsidP="008357A5">
            <w:pPr>
              <w:pStyle w:val="TableBodyText"/>
              <w:rPr>
                <w:sz w:val="18"/>
                <w:szCs w:val="18"/>
              </w:rPr>
            </w:pPr>
            <w:r w:rsidRPr="008357A5">
              <w:rPr>
                <w:sz w:val="18"/>
                <w:szCs w:val="18"/>
              </w:rPr>
              <w:t>..</w:t>
            </w:r>
          </w:p>
        </w:tc>
        <w:tc>
          <w:tcPr>
            <w:tcW w:w="567" w:type="dxa"/>
            <w:vAlign w:val="bottom"/>
          </w:tcPr>
          <w:p w:rsidR="008357A5" w:rsidRPr="008357A5" w:rsidRDefault="008357A5" w:rsidP="008357A5">
            <w:pPr>
              <w:pStyle w:val="TableBodyText"/>
              <w:rPr>
                <w:sz w:val="18"/>
                <w:szCs w:val="18"/>
              </w:rPr>
            </w:pPr>
            <w:r w:rsidRPr="008357A5">
              <w:rPr>
                <w:sz w:val="18"/>
                <w:szCs w:val="18"/>
              </w:rPr>
              <w:t>..</w:t>
            </w:r>
          </w:p>
        </w:tc>
        <w:tc>
          <w:tcPr>
            <w:tcW w:w="710" w:type="dxa"/>
            <w:vAlign w:val="bottom"/>
          </w:tcPr>
          <w:p w:rsidR="008357A5" w:rsidRPr="008357A5" w:rsidRDefault="008357A5" w:rsidP="008357A5">
            <w:pPr>
              <w:pStyle w:val="TableBodyText"/>
              <w:rPr>
                <w:sz w:val="18"/>
                <w:szCs w:val="18"/>
              </w:rPr>
            </w:pPr>
            <w:r w:rsidRPr="008357A5">
              <w:rPr>
                <w:sz w:val="18"/>
                <w:szCs w:val="18"/>
              </w:rPr>
              <w:t>3.2</w:t>
            </w:r>
          </w:p>
        </w:tc>
      </w:tr>
      <w:tr w:rsidR="008357A5" w:rsidRPr="000B6D4F" w:rsidTr="00795D64">
        <w:tc>
          <w:tcPr>
            <w:tcW w:w="2127" w:type="dxa"/>
          </w:tcPr>
          <w:p w:rsidR="008357A5" w:rsidRPr="000B6D4F" w:rsidRDefault="008357A5" w:rsidP="00CB7DFB">
            <w:pPr>
              <w:pStyle w:val="TableBodyText"/>
              <w:jc w:val="left"/>
              <w:rPr>
                <w:rStyle w:val="NoteLabel"/>
              </w:rPr>
            </w:pPr>
            <w:r w:rsidRPr="000B6D4F">
              <w:t>Magistrates’ (total)</w:t>
            </w:r>
          </w:p>
        </w:tc>
        <w:tc>
          <w:tcPr>
            <w:tcW w:w="567" w:type="dxa"/>
            <w:vAlign w:val="bottom"/>
          </w:tcPr>
          <w:p w:rsidR="008357A5" w:rsidRPr="000B6D4F" w:rsidRDefault="008357A5" w:rsidP="00CB7DFB">
            <w:pPr>
              <w:pStyle w:val="TableBodyText"/>
            </w:pPr>
            <w:r w:rsidRPr="000B6D4F">
              <w:t>%</w:t>
            </w:r>
          </w:p>
        </w:tc>
        <w:tc>
          <w:tcPr>
            <w:tcW w:w="708" w:type="dxa"/>
            <w:vAlign w:val="bottom"/>
          </w:tcPr>
          <w:p w:rsidR="008357A5" w:rsidRPr="008357A5" w:rsidRDefault="008357A5" w:rsidP="008357A5">
            <w:pPr>
              <w:pStyle w:val="TableBodyText"/>
              <w:rPr>
                <w:sz w:val="18"/>
                <w:szCs w:val="18"/>
              </w:rPr>
            </w:pPr>
            <w:r w:rsidRPr="008357A5">
              <w:rPr>
                <w:sz w:val="18"/>
                <w:szCs w:val="18"/>
              </w:rPr>
              <w:t>93.7</w:t>
            </w:r>
          </w:p>
        </w:tc>
        <w:tc>
          <w:tcPr>
            <w:tcW w:w="709" w:type="dxa"/>
            <w:vAlign w:val="bottom"/>
          </w:tcPr>
          <w:p w:rsidR="008357A5" w:rsidRPr="008357A5" w:rsidRDefault="008357A5" w:rsidP="008357A5">
            <w:pPr>
              <w:pStyle w:val="TableBodyText"/>
              <w:rPr>
                <w:sz w:val="18"/>
                <w:szCs w:val="18"/>
              </w:rPr>
            </w:pPr>
            <w:r w:rsidRPr="008357A5">
              <w:rPr>
                <w:sz w:val="18"/>
                <w:szCs w:val="18"/>
              </w:rPr>
              <w:t>97.1</w:t>
            </w:r>
          </w:p>
        </w:tc>
        <w:tc>
          <w:tcPr>
            <w:tcW w:w="709" w:type="dxa"/>
            <w:vAlign w:val="bottom"/>
          </w:tcPr>
          <w:p w:rsidR="008357A5" w:rsidRPr="008357A5" w:rsidRDefault="008357A5" w:rsidP="008357A5">
            <w:pPr>
              <w:pStyle w:val="TableBodyText"/>
              <w:rPr>
                <w:sz w:val="18"/>
                <w:szCs w:val="18"/>
              </w:rPr>
            </w:pPr>
            <w:r w:rsidRPr="008357A5">
              <w:rPr>
                <w:sz w:val="18"/>
                <w:szCs w:val="18"/>
              </w:rPr>
              <w:t>96.9</w:t>
            </w:r>
          </w:p>
        </w:tc>
        <w:tc>
          <w:tcPr>
            <w:tcW w:w="709" w:type="dxa"/>
            <w:vAlign w:val="bottom"/>
          </w:tcPr>
          <w:p w:rsidR="008357A5" w:rsidRPr="008357A5" w:rsidRDefault="008357A5" w:rsidP="008357A5">
            <w:pPr>
              <w:pStyle w:val="TableBodyText"/>
              <w:rPr>
                <w:sz w:val="18"/>
                <w:szCs w:val="18"/>
              </w:rPr>
            </w:pPr>
            <w:r w:rsidRPr="008357A5">
              <w:rPr>
                <w:sz w:val="18"/>
                <w:szCs w:val="18"/>
              </w:rPr>
              <w:t>97.1</w:t>
            </w:r>
          </w:p>
        </w:tc>
        <w:tc>
          <w:tcPr>
            <w:tcW w:w="708" w:type="dxa"/>
            <w:vAlign w:val="bottom"/>
          </w:tcPr>
          <w:p w:rsidR="008357A5" w:rsidRPr="008357A5" w:rsidRDefault="008357A5" w:rsidP="008357A5">
            <w:pPr>
              <w:pStyle w:val="TableBodyText"/>
              <w:rPr>
                <w:sz w:val="18"/>
                <w:szCs w:val="18"/>
              </w:rPr>
            </w:pPr>
            <w:r w:rsidRPr="008357A5">
              <w:rPr>
                <w:sz w:val="18"/>
                <w:szCs w:val="18"/>
              </w:rPr>
              <w:t>95.8</w:t>
            </w:r>
          </w:p>
        </w:tc>
        <w:tc>
          <w:tcPr>
            <w:tcW w:w="709" w:type="dxa"/>
            <w:vAlign w:val="bottom"/>
          </w:tcPr>
          <w:p w:rsidR="008357A5" w:rsidRPr="008357A5" w:rsidRDefault="008357A5" w:rsidP="008357A5">
            <w:pPr>
              <w:pStyle w:val="TableBodyText"/>
              <w:rPr>
                <w:sz w:val="18"/>
                <w:szCs w:val="18"/>
              </w:rPr>
            </w:pPr>
            <w:r w:rsidRPr="008357A5">
              <w:rPr>
                <w:sz w:val="18"/>
                <w:szCs w:val="18"/>
              </w:rPr>
              <w:t>96.9</w:t>
            </w:r>
          </w:p>
        </w:tc>
        <w:tc>
          <w:tcPr>
            <w:tcW w:w="567" w:type="dxa"/>
            <w:vAlign w:val="bottom"/>
          </w:tcPr>
          <w:p w:rsidR="008357A5" w:rsidRPr="008357A5" w:rsidRDefault="008357A5" w:rsidP="008357A5">
            <w:pPr>
              <w:pStyle w:val="TableBodyText"/>
              <w:rPr>
                <w:sz w:val="18"/>
                <w:szCs w:val="18"/>
              </w:rPr>
            </w:pPr>
            <w:r w:rsidRPr="008357A5">
              <w:rPr>
                <w:sz w:val="18"/>
                <w:szCs w:val="18"/>
              </w:rPr>
              <w:t>95.1</w:t>
            </w:r>
          </w:p>
        </w:tc>
        <w:tc>
          <w:tcPr>
            <w:tcW w:w="567" w:type="dxa"/>
            <w:vAlign w:val="bottom"/>
          </w:tcPr>
          <w:p w:rsidR="008357A5" w:rsidRPr="008357A5" w:rsidRDefault="008357A5" w:rsidP="008357A5">
            <w:pPr>
              <w:pStyle w:val="TableBodyText"/>
              <w:rPr>
                <w:sz w:val="18"/>
                <w:szCs w:val="18"/>
              </w:rPr>
            </w:pPr>
            <w:r w:rsidRPr="008357A5">
              <w:rPr>
                <w:sz w:val="18"/>
                <w:szCs w:val="18"/>
              </w:rPr>
              <w:t>97.2</w:t>
            </w:r>
          </w:p>
        </w:tc>
        <w:tc>
          <w:tcPr>
            <w:tcW w:w="710" w:type="dxa"/>
            <w:vAlign w:val="bottom"/>
          </w:tcPr>
          <w:p w:rsidR="008357A5" w:rsidRPr="008357A5" w:rsidRDefault="008357A5" w:rsidP="008357A5">
            <w:pPr>
              <w:pStyle w:val="TableBodyText"/>
              <w:rPr>
                <w:sz w:val="18"/>
                <w:szCs w:val="18"/>
              </w:rPr>
            </w:pPr>
            <w:r w:rsidRPr="008357A5">
              <w:rPr>
                <w:sz w:val="18"/>
                <w:szCs w:val="18"/>
              </w:rPr>
              <w:t>96.2</w:t>
            </w:r>
          </w:p>
        </w:tc>
      </w:tr>
      <w:tr w:rsidR="008357A5" w:rsidRPr="000B6D4F" w:rsidTr="00795D64">
        <w:tc>
          <w:tcPr>
            <w:tcW w:w="2127" w:type="dxa"/>
          </w:tcPr>
          <w:p w:rsidR="008357A5" w:rsidRPr="000B6D4F" w:rsidRDefault="008357A5" w:rsidP="00CB7DFB">
            <w:pPr>
              <w:pStyle w:val="TableBodyText"/>
              <w:jc w:val="left"/>
              <w:rPr>
                <w:rStyle w:val="NoteLabel"/>
              </w:rPr>
            </w:pPr>
            <w:r w:rsidRPr="000B6D4F">
              <w:rPr>
                <w:b/>
              </w:rPr>
              <w:t>All criminal courts</w:t>
            </w:r>
            <w:r>
              <w:rPr>
                <w:rStyle w:val="NoteLabel"/>
              </w:rPr>
              <w:t>b</w:t>
            </w:r>
          </w:p>
        </w:tc>
        <w:tc>
          <w:tcPr>
            <w:tcW w:w="567" w:type="dxa"/>
            <w:vAlign w:val="bottom"/>
          </w:tcPr>
          <w:p w:rsidR="008357A5" w:rsidRPr="000B6D4F" w:rsidRDefault="008357A5" w:rsidP="00CB7DFB">
            <w:pPr>
              <w:pStyle w:val="TableBodyText"/>
              <w:rPr>
                <w:b/>
              </w:rPr>
            </w:pPr>
            <w:r w:rsidRPr="000B6D4F">
              <w:rPr>
                <w:b/>
              </w:rPr>
              <w:t xml:space="preserve">‘000 </w:t>
            </w:r>
          </w:p>
        </w:tc>
        <w:tc>
          <w:tcPr>
            <w:tcW w:w="708" w:type="dxa"/>
            <w:vAlign w:val="bottom"/>
          </w:tcPr>
          <w:p w:rsidR="008357A5" w:rsidRPr="008357A5" w:rsidRDefault="008357A5" w:rsidP="008357A5">
            <w:pPr>
              <w:pStyle w:val="TableBodyText"/>
              <w:rPr>
                <w:sz w:val="18"/>
                <w:szCs w:val="18"/>
              </w:rPr>
            </w:pPr>
            <w:r w:rsidRPr="008357A5">
              <w:rPr>
                <w:sz w:val="18"/>
                <w:szCs w:val="18"/>
              </w:rPr>
              <w:t xml:space="preserve">  174.1</w:t>
            </w:r>
          </w:p>
        </w:tc>
        <w:tc>
          <w:tcPr>
            <w:tcW w:w="709" w:type="dxa"/>
            <w:vAlign w:val="bottom"/>
          </w:tcPr>
          <w:p w:rsidR="008357A5" w:rsidRPr="008357A5" w:rsidRDefault="008357A5" w:rsidP="008357A5">
            <w:pPr>
              <w:pStyle w:val="TableBodyText"/>
              <w:rPr>
                <w:sz w:val="18"/>
                <w:szCs w:val="18"/>
              </w:rPr>
            </w:pPr>
            <w:r w:rsidRPr="008357A5">
              <w:rPr>
                <w:sz w:val="18"/>
                <w:szCs w:val="18"/>
              </w:rPr>
              <w:t xml:space="preserve">  202.0</w:t>
            </w:r>
          </w:p>
        </w:tc>
        <w:tc>
          <w:tcPr>
            <w:tcW w:w="709" w:type="dxa"/>
            <w:vAlign w:val="bottom"/>
          </w:tcPr>
          <w:p w:rsidR="008357A5" w:rsidRPr="008357A5" w:rsidRDefault="008357A5" w:rsidP="008357A5">
            <w:pPr>
              <w:pStyle w:val="TableBodyText"/>
              <w:rPr>
                <w:sz w:val="18"/>
                <w:szCs w:val="18"/>
              </w:rPr>
            </w:pPr>
            <w:r w:rsidRPr="008357A5">
              <w:rPr>
                <w:sz w:val="18"/>
                <w:szCs w:val="18"/>
              </w:rPr>
              <w:t xml:space="preserve">  206.6</w:t>
            </w:r>
          </w:p>
        </w:tc>
        <w:tc>
          <w:tcPr>
            <w:tcW w:w="709" w:type="dxa"/>
            <w:vAlign w:val="bottom"/>
          </w:tcPr>
          <w:p w:rsidR="008357A5" w:rsidRPr="008357A5" w:rsidRDefault="008357A5" w:rsidP="008357A5">
            <w:pPr>
              <w:pStyle w:val="TableBodyText"/>
              <w:rPr>
                <w:sz w:val="18"/>
                <w:szCs w:val="18"/>
              </w:rPr>
            </w:pPr>
            <w:r w:rsidRPr="008357A5">
              <w:rPr>
                <w:sz w:val="18"/>
                <w:szCs w:val="18"/>
              </w:rPr>
              <w:t xml:space="preserve">  93.5</w:t>
            </w:r>
          </w:p>
        </w:tc>
        <w:tc>
          <w:tcPr>
            <w:tcW w:w="708" w:type="dxa"/>
            <w:vAlign w:val="bottom"/>
          </w:tcPr>
          <w:p w:rsidR="008357A5" w:rsidRPr="008357A5" w:rsidRDefault="008357A5" w:rsidP="008357A5">
            <w:pPr>
              <w:pStyle w:val="TableBodyText"/>
              <w:rPr>
                <w:sz w:val="18"/>
                <w:szCs w:val="18"/>
              </w:rPr>
            </w:pPr>
            <w:r w:rsidRPr="008357A5">
              <w:rPr>
                <w:sz w:val="18"/>
                <w:szCs w:val="18"/>
              </w:rPr>
              <w:t xml:space="preserve">  62.3</w:t>
            </w:r>
          </w:p>
        </w:tc>
        <w:tc>
          <w:tcPr>
            <w:tcW w:w="709" w:type="dxa"/>
            <w:vAlign w:val="bottom"/>
          </w:tcPr>
          <w:p w:rsidR="008357A5" w:rsidRPr="008357A5" w:rsidRDefault="008357A5" w:rsidP="008357A5">
            <w:pPr>
              <w:pStyle w:val="TableBodyText"/>
              <w:rPr>
                <w:sz w:val="18"/>
                <w:szCs w:val="18"/>
              </w:rPr>
            </w:pPr>
            <w:r w:rsidRPr="008357A5">
              <w:rPr>
                <w:sz w:val="18"/>
                <w:szCs w:val="18"/>
              </w:rPr>
              <w:t xml:space="preserve">  18.0</w:t>
            </w:r>
          </w:p>
        </w:tc>
        <w:tc>
          <w:tcPr>
            <w:tcW w:w="567" w:type="dxa"/>
            <w:vAlign w:val="bottom"/>
          </w:tcPr>
          <w:p w:rsidR="008357A5" w:rsidRPr="008357A5" w:rsidRDefault="008357A5" w:rsidP="008357A5">
            <w:pPr>
              <w:pStyle w:val="TableBodyText"/>
              <w:rPr>
                <w:sz w:val="18"/>
                <w:szCs w:val="18"/>
              </w:rPr>
            </w:pPr>
            <w:r w:rsidRPr="008357A5">
              <w:rPr>
                <w:sz w:val="18"/>
                <w:szCs w:val="18"/>
              </w:rPr>
              <w:t xml:space="preserve">  5.8</w:t>
            </w:r>
          </w:p>
        </w:tc>
        <w:tc>
          <w:tcPr>
            <w:tcW w:w="567" w:type="dxa"/>
            <w:vAlign w:val="bottom"/>
          </w:tcPr>
          <w:p w:rsidR="008357A5" w:rsidRPr="008357A5" w:rsidRDefault="008357A5" w:rsidP="008357A5">
            <w:pPr>
              <w:pStyle w:val="TableBodyText"/>
              <w:rPr>
                <w:sz w:val="18"/>
                <w:szCs w:val="18"/>
              </w:rPr>
            </w:pPr>
            <w:r w:rsidRPr="008357A5">
              <w:rPr>
                <w:sz w:val="18"/>
                <w:szCs w:val="18"/>
              </w:rPr>
              <w:t>18.0</w:t>
            </w:r>
          </w:p>
        </w:tc>
        <w:tc>
          <w:tcPr>
            <w:tcW w:w="710" w:type="dxa"/>
            <w:vAlign w:val="bottom"/>
          </w:tcPr>
          <w:p w:rsidR="008357A5" w:rsidRPr="008357A5" w:rsidRDefault="008357A5" w:rsidP="008357A5">
            <w:pPr>
              <w:pStyle w:val="TableBodyText"/>
              <w:rPr>
                <w:sz w:val="18"/>
                <w:szCs w:val="18"/>
              </w:rPr>
            </w:pPr>
            <w:r w:rsidRPr="008357A5">
              <w:rPr>
                <w:sz w:val="18"/>
                <w:szCs w:val="18"/>
              </w:rPr>
              <w:t xml:space="preserve">  780.3</w:t>
            </w:r>
          </w:p>
        </w:tc>
      </w:tr>
      <w:tr w:rsidR="003D07EB" w:rsidRPr="000B6D4F" w:rsidTr="00795D64">
        <w:tc>
          <w:tcPr>
            <w:tcW w:w="2127" w:type="dxa"/>
          </w:tcPr>
          <w:p w:rsidR="003D07EB" w:rsidRPr="000B6D4F" w:rsidRDefault="003D07EB" w:rsidP="00CB7DFB">
            <w:pPr>
              <w:pStyle w:val="TableBodyText"/>
              <w:jc w:val="left"/>
            </w:pPr>
          </w:p>
        </w:tc>
        <w:tc>
          <w:tcPr>
            <w:tcW w:w="567" w:type="dxa"/>
            <w:vAlign w:val="bottom"/>
          </w:tcPr>
          <w:p w:rsidR="003D07EB" w:rsidRPr="000B6D4F" w:rsidRDefault="003D07EB" w:rsidP="00CB7DFB">
            <w:pPr>
              <w:pStyle w:val="TableBodyText"/>
            </w:pPr>
          </w:p>
        </w:tc>
        <w:tc>
          <w:tcPr>
            <w:tcW w:w="708" w:type="dxa"/>
            <w:vAlign w:val="bottom"/>
          </w:tcPr>
          <w:p w:rsidR="003D07EB" w:rsidRPr="000B6D4F" w:rsidRDefault="003D07EB" w:rsidP="00022515">
            <w:pPr>
              <w:pStyle w:val="TableBodyText"/>
            </w:pPr>
          </w:p>
        </w:tc>
        <w:tc>
          <w:tcPr>
            <w:tcW w:w="709" w:type="dxa"/>
            <w:vAlign w:val="bottom"/>
          </w:tcPr>
          <w:p w:rsidR="003D07EB" w:rsidRPr="000B6D4F" w:rsidRDefault="003D07EB" w:rsidP="00022515">
            <w:pPr>
              <w:pStyle w:val="TableBodyText"/>
            </w:pPr>
          </w:p>
        </w:tc>
        <w:tc>
          <w:tcPr>
            <w:tcW w:w="709" w:type="dxa"/>
            <w:vAlign w:val="bottom"/>
          </w:tcPr>
          <w:p w:rsidR="003D07EB" w:rsidRPr="000B6D4F" w:rsidRDefault="003D07EB" w:rsidP="00022515">
            <w:pPr>
              <w:pStyle w:val="TableBodyText"/>
            </w:pPr>
          </w:p>
        </w:tc>
        <w:tc>
          <w:tcPr>
            <w:tcW w:w="709" w:type="dxa"/>
            <w:vAlign w:val="bottom"/>
          </w:tcPr>
          <w:p w:rsidR="003D07EB" w:rsidRPr="000B6D4F" w:rsidRDefault="003D07EB" w:rsidP="00022515">
            <w:pPr>
              <w:pStyle w:val="TableBodyText"/>
            </w:pPr>
          </w:p>
        </w:tc>
        <w:tc>
          <w:tcPr>
            <w:tcW w:w="708" w:type="dxa"/>
            <w:vAlign w:val="bottom"/>
          </w:tcPr>
          <w:p w:rsidR="003D07EB" w:rsidRPr="000B6D4F" w:rsidRDefault="003D07EB" w:rsidP="00022515">
            <w:pPr>
              <w:pStyle w:val="TableBodyText"/>
            </w:pPr>
          </w:p>
        </w:tc>
        <w:tc>
          <w:tcPr>
            <w:tcW w:w="709" w:type="dxa"/>
            <w:vAlign w:val="bottom"/>
          </w:tcPr>
          <w:p w:rsidR="003D07EB" w:rsidRPr="000B6D4F" w:rsidRDefault="003D07EB" w:rsidP="00022515">
            <w:pPr>
              <w:pStyle w:val="TableBodyText"/>
            </w:pPr>
          </w:p>
        </w:tc>
        <w:tc>
          <w:tcPr>
            <w:tcW w:w="567" w:type="dxa"/>
            <w:vAlign w:val="bottom"/>
          </w:tcPr>
          <w:p w:rsidR="003D07EB" w:rsidRPr="000B6D4F" w:rsidRDefault="003D07EB" w:rsidP="00022515">
            <w:pPr>
              <w:pStyle w:val="TableBodyText"/>
            </w:pPr>
          </w:p>
        </w:tc>
        <w:tc>
          <w:tcPr>
            <w:tcW w:w="567" w:type="dxa"/>
            <w:vAlign w:val="bottom"/>
          </w:tcPr>
          <w:p w:rsidR="003D07EB" w:rsidRPr="000B6D4F" w:rsidRDefault="003D07EB" w:rsidP="00022515">
            <w:pPr>
              <w:pStyle w:val="TableBodyText"/>
            </w:pPr>
          </w:p>
        </w:tc>
        <w:tc>
          <w:tcPr>
            <w:tcW w:w="710" w:type="dxa"/>
            <w:vAlign w:val="bottom"/>
          </w:tcPr>
          <w:p w:rsidR="003D07EB" w:rsidRPr="000B6D4F" w:rsidRDefault="003D07EB" w:rsidP="00022515">
            <w:pPr>
              <w:pStyle w:val="TableBodyText"/>
            </w:pPr>
          </w:p>
        </w:tc>
      </w:tr>
      <w:tr w:rsidR="003D07EB" w:rsidRPr="000B6D4F" w:rsidTr="00795D64">
        <w:tc>
          <w:tcPr>
            <w:tcW w:w="2127" w:type="dxa"/>
          </w:tcPr>
          <w:p w:rsidR="003D07EB" w:rsidRPr="000B6D4F" w:rsidRDefault="003D07EB" w:rsidP="00CB7DFB">
            <w:pPr>
              <w:pStyle w:val="TableBodyText"/>
              <w:jc w:val="left"/>
              <w:rPr>
                <w:i/>
              </w:rPr>
            </w:pPr>
            <w:r w:rsidRPr="000B6D4F">
              <w:rPr>
                <w:i/>
              </w:rPr>
              <w:t>Civil courts</w:t>
            </w:r>
          </w:p>
        </w:tc>
        <w:tc>
          <w:tcPr>
            <w:tcW w:w="567" w:type="dxa"/>
            <w:vAlign w:val="bottom"/>
          </w:tcPr>
          <w:p w:rsidR="003D07EB" w:rsidRPr="000B6D4F" w:rsidRDefault="003D07EB" w:rsidP="00CB7DFB">
            <w:pPr>
              <w:pStyle w:val="TableBodyText"/>
              <w:rPr>
                <w:b/>
                <w:bCs/>
              </w:rPr>
            </w:pPr>
          </w:p>
        </w:tc>
        <w:tc>
          <w:tcPr>
            <w:tcW w:w="708" w:type="dxa"/>
            <w:vAlign w:val="bottom"/>
          </w:tcPr>
          <w:p w:rsidR="003D07EB" w:rsidRPr="000B6D4F" w:rsidRDefault="003D07EB" w:rsidP="00022515">
            <w:pPr>
              <w:pStyle w:val="TableBodyText"/>
              <w:rPr>
                <w:b/>
                <w:bCs/>
              </w:rPr>
            </w:pPr>
          </w:p>
        </w:tc>
        <w:tc>
          <w:tcPr>
            <w:tcW w:w="709" w:type="dxa"/>
            <w:vAlign w:val="bottom"/>
          </w:tcPr>
          <w:p w:rsidR="003D07EB" w:rsidRPr="000B6D4F" w:rsidRDefault="003D07EB" w:rsidP="00022515">
            <w:pPr>
              <w:pStyle w:val="TableBodyText"/>
              <w:rPr>
                <w:b/>
                <w:bCs/>
              </w:rPr>
            </w:pPr>
          </w:p>
        </w:tc>
        <w:tc>
          <w:tcPr>
            <w:tcW w:w="709" w:type="dxa"/>
            <w:vAlign w:val="bottom"/>
          </w:tcPr>
          <w:p w:rsidR="003D07EB" w:rsidRPr="000B6D4F" w:rsidRDefault="003D07EB" w:rsidP="00022515">
            <w:pPr>
              <w:pStyle w:val="TableBodyText"/>
              <w:rPr>
                <w:b/>
                <w:bCs/>
              </w:rPr>
            </w:pPr>
          </w:p>
        </w:tc>
        <w:tc>
          <w:tcPr>
            <w:tcW w:w="709" w:type="dxa"/>
            <w:vAlign w:val="bottom"/>
          </w:tcPr>
          <w:p w:rsidR="003D07EB" w:rsidRPr="000B6D4F" w:rsidRDefault="003D07EB" w:rsidP="00022515">
            <w:pPr>
              <w:pStyle w:val="TableBodyText"/>
              <w:rPr>
                <w:b/>
                <w:bCs/>
              </w:rPr>
            </w:pPr>
          </w:p>
        </w:tc>
        <w:tc>
          <w:tcPr>
            <w:tcW w:w="708" w:type="dxa"/>
            <w:vAlign w:val="bottom"/>
          </w:tcPr>
          <w:p w:rsidR="003D07EB" w:rsidRPr="000B6D4F" w:rsidRDefault="003D07EB" w:rsidP="00022515">
            <w:pPr>
              <w:pStyle w:val="TableBodyText"/>
              <w:rPr>
                <w:b/>
                <w:bCs/>
              </w:rPr>
            </w:pPr>
          </w:p>
        </w:tc>
        <w:tc>
          <w:tcPr>
            <w:tcW w:w="709" w:type="dxa"/>
            <w:vAlign w:val="bottom"/>
          </w:tcPr>
          <w:p w:rsidR="003D07EB" w:rsidRPr="000B6D4F" w:rsidRDefault="003D07EB" w:rsidP="00022515">
            <w:pPr>
              <w:pStyle w:val="TableBodyText"/>
              <w:rPr>
                <w:b/>
                <w:bCs/>
              </w:rPr>
            </w:pPr>
          </w:p>
        </w:tc>
        <w:tc>
          <w:tcPr>
            <w:tcW w:w="567" w:type="dxa"/>
            <w:vAlign w:val="bottom"/>
          </w:tcPr>
          <w:p w:rsidR="003D07EB" w:rsidRPr="000B6D4F" w:rsidRDefault="003D07EB" w:rsidP="00022515">
            <w:pPr>
              <w:pStyle w:val="TableBodyText"/>
              <w:rPr>
                <w:b/>
                <w:bCs/>
              </w:rPr>
            </w:pPr>
          </w:p>
        </w:tc>
        <w:tc>
          <w:tcPr>
            <w:tcW w:w="567" w:type="dxa"/>
            <w:vAlign w:val="bottom"/>
          </w:tcPr>
          <w:p w:rsidR="003D07EB" w:rsidRPr="000B6D4F" w:rsidRDefault="003D07EB" w:rsidP="00022515">
            <w:pPr>
              <w:pStyle w:val="TableBodyText"/>
              <w:rPr>
                <w:b/>
                <w:bCs/>
              </w:rPr>
            </w:pPr>
          </w:p>
        </w:tc>
        <w:tc>
          <w:tcPr>
            <w:tcW w:w="710" w:type="dxa"/>
            <w:vAlign w:val="bottom"/>
          </w:tcPr>
          <w:p w:rsidR="003D07EB" w:rsidRPr="000B6D4F" w:rsidRDefault="003D07EB" w:rsidP="00022515">
            <w:pPr>
              <w:pStyle w:val="TableBodyText"/>
              <w:rPr>
                <w:b/>
                <w:bCs/>
              </w:rPr>
            </w:pPr>
          </w:p>
        </w:tc>
      </w:tr>
      <w:tr w:rsidR="008357A5" w:rsidRPr="000B6D4F" w:rsidTr="00795D64">
        <w:tc>
          <w:tcPr>
            <w:tcW w:w="2127" w:type="dxa"/>
          </w:tcPr>
          <w:p w:rsidR="008357A5" w:rsidRPr="000B6D4F" w:rsidRDefault="008357A5" w:rsidP="00B065B3">
            <w:pPr>
              <w:pStyle w:val="TableBodyText"/>
              <w:jc w:val="left"/>
              <w:rPr>
                <w:rStyle w:val="NoteLabel"/>
              </w:rPr>
            </w:pPr>
            <w:r w:rsidRPr="000B6D4F">
              <w:t>Supreme</w:t>
            </w:r>
          </w:p>
        </w:tc>
        <w:tc>
          <w:tcPr>
            <w:tcW w:w="567" w:type="dxa"/>
            <w:vAlign w:val="bottom"/>
          </w:tcPr>
          <w:p w:rsidR="008357A5" w:rsidRPr="000B6D4F" w:rsidRDefault="008357A5" w:rsidP="00CB7DFB">
            <w:pPr>
              <w:pStyle w:val="TableBodyText"/>
            </w:pPr>
            <w:r w:rsidRPr="000B6D4F">
              <w:t>%</w:t>
            </w:r>
          </w:p>
        </w:tc>
        <w:tc>
          <w:tcPr>
            <w:tcW w:w="708" w:type="dxa"/>
            <w:vAlign w:val="bottom"/>
          </w:tcPr>
          <w:p w:rsidR="008357A5" w:rsidRPr="008357A5" w:rsidRDefault="008357A5" w:rsidP="008357A5">
            <w:pPr>
              <w:pStyle w:val="TableBodyText"/>
              <w:rPr>
                <w:sz w:val="18"/>
                <w:szCs w:val="18"/>
              </w:rPr>
            </w:pPr>
            <w:r w:rsidRPr="008357A5">
              <w:rPr>
                <w:sz w:val="18"/>
                <w:szCs w:val="18"/>
              </w:rPr>
              <w:t>5.5</w:t>
            </w:r>
          </w:p>
        </w:tc>
        <w:tc>
          <w:tcPr>
            <w:tcW w:w="709" w:type="dxa"/>
            <w:vAlign w:val="bottom"/>
          </w:tcPr>
          <w:p w:rsidR="008357A5" w:rsidRPr="008357A5" w:rsidRDefault="008357A5" w:rsidP="008357A5">
            <w:pPr>
              <w:pStyle w:val="TableBodyText"/>
              <w:rPr>
                <w:sz w:val="18"/>
                <w:szCs w:val="18"/>
              </w:rPr>
            </w:pPr>
            <w:r w:rsidRPr="008357A5">
              <w:rPr>
                <w:sz w:val="18"/>
                <w:szCs w:val="18"/>
              </w:rPr>
              <w:t>5.9</w:t>
            </w:r>
          </w:p>
        </w:tc>
        <w:tc>
          <w:tcPr>
            <w:tcW w:w="709" w:type="dxa"/>
            <w:vAlign w:val="bottom"/>
          </w:tcPr>
          <w:p w:rsidR="008357A5" w:rsidRPr="008357A5" w:rsidRDefault="008357A5" w:rsidP="008357A5">
            <w:pPr>
              <w:pStyle w:val="TableBodyText"/>
              <w:rPr>
                <w:sz w:val="18"/>
                <w:szCs w:val="18"/>
              </w:rPr>
            </w:pPr>
            <w:r w:rsidRPr="008357A5">
              <w:rPr>
                <w:sz w:val="18"/>
                <w:szCs w:val="18"/>
              </w:rPr>
              <w:t>5.5</w:t>
            </w:r>
          </w:p>
        </w:tc>
        <w:tc>
          <w:tcPr>
            <w:tcW w:w="709" w:type="dxa"/>
            <w:vAlign w:val="bottom"/>
          </w:tcPr>
          <w:p w:rsidR="008357A5" w:rsidRPr="008357A5" w:rsidRDefault="008357A5" w:rsidP="008357A5">
            <w:pPr>
              <w:pStyle w:val="TableBodyText"/>
              <w:rPr>
                <w:sz w:val="18"/>
                <w:szCs w:val="18"/>
              </w:rPr>
            </w:pPr>
            <w:r w:rsidRPr="008357A5">
              <w:rPr>
                <w:sz w:val="18"/>
                <w:szCs w:val="18"/>
              </w:rPr>
              <w:t>4.2</w:t>
            </w:r>
          </w:p>
        </w:tc>
        <w:tc>
          <w:tcPr>
            <w:tcW w:w="708" w:type="dxa"/>
            <w:vAlign w:val="bottom"/>
          </w:tcPr>
          <w:p w:rsidR="008357A5" w:rsidRPr="008357A5" w:rsidRDefault="008357A5" w:rsidP="008357A5">
            <w:pPr>
              <w:pStyle w:val="TableBodyText"/>
              <w:rPr>
                <w:sz w:val="18"/>
                <w:szCs w:val="18"/>
              </w:rPr>
            </w:pPr>
            <w:r w:rsidRPr="008357A5">
              <w:rPr>
                <w:sz w:val="18"/>
                <w:szCs w:val="18"/>
              </w:rPr>
              <w:t>3.6</w:t>
            </w:r>
          </w:p>
        </w:tc>
        <w:tc>
          <w:tcPr>
            <w:tcW w:w="709" w:type="dxa"/>
            <w:vAlign w:val="bottom"/>
          </w:tcPr>
          <w:p w:rsidR="008357A5" w:rsidRPr="008357A5" w:rsidRDefault="008357A5" w:rsidP="008357A5">
            <w:pPr>
              <w:pStyle w:val="TableBodyText"/>
              <w:rPr>
                <w:sz w:val="18"/>
                <w:szCs w:val="18"/>
              </w:rPr>
            </w:pPr>
            <w:r w:rsidRPr="008357A5">
              <w:rPr>
                <w:sz w:val="18"/>
                <w:szCs w:val="18"/>
              </w:rPr>
              <w:t>12.2</w:t>
            </w:r>
          </w:p>
        </w:tc>
        <w:tc>
          <w:tcPr>
            <w:tcW w:w="567" w:type="dxa"/>
            <w:vAlign w:val="bottom"/>
          </w:tcPr>
          <w:p w:rsidR="008357A5" w:rsidRPr="008357A5" w:rsidRDefault="008357A5" w:rsidP="008357A5">
            <w:pPr>
              <w:pStyle w:val="TableBodyText"/>
              <w:rPr>
                <w:sz w:val="18"/>
                <w:szCs w:val="18"/>
              </w:rPr>
            </w:pPr>
            <w:r w:rsidRPr="008357A5">
              <w:rPr>
                <w:sz w:val="18"/>
                <w:szCs w:val="18"/>
              </w:rPr>
              <w:t>12.0</w:t>
            </w:r>
          </w:p>
        </w:tc>
        <w:tc>
          <w:tcPr>
            <w:tcW w:w="567" w:type="dxa"/>
            <w:vAlign w:val="bottom"/>
          </w:tcPr>
          <w:p w:rsidR="008357A5" w:rsidRPr="008357A5" w:rsidRDefault="008357A5" w:rsidP="008357A5">
            <w:pPr>
              <w:pStyle w:val="TableBodyText"/>
              <w:rPr>
                <w:sz w:val="18"/>
                <w:szCs w:val="18"/>
              </w:rPr>
            </w:pPr>
            <w:r w:rsidRPr="008357A5">
              <w:rPr>
                <w:sz w:val="18"/>
                <w:szCs w:val="18"/>
              </w:rPr>
              <w:t>3.5</w:t>
            </w:r>
          </w:p>
        </w:tc>
        <w:tc>
          <w:tcPr>
            <w:tcW w:w="710" w:type="dxa"/>
            <w:vAlign w:val="bottom"/>
          </w:tcPr>
          <w:p w:rsidR="008357A5" w:rsidRPr="008357A5" w:rsidRDefault="008357A5" w:rsidP="008357A5">
            <w:pPr>
              <w:pStyle w:val="TableBodyText"/>
              <w:rPr>
                <w:sz w:val="18"/>
                <w:szCs w:val="18"/>
              </w:rPr>
            </w:pPr>
            <w:r w:rsidRPr="008357A5">
              <w:rPr>
                <w:sz w:val="18"/>
                <w:szCs w:val="18"/>
              </w:rPr>
              <w:t>0.1</w:t>
            </w:r>
          </w:p>
        </w:tc>
      </w:tr>
      <w:tr w:rsidR="008357A5" w:rsidRPr="000B6D4F" w:rsidTr="00795D64">
        <w:tc>
          <w:tcPr>
            <w:tcW w:w="2127" w:type="dxa"/>
          </w:tcPr>
          <w:p w:rsidR="008357A5" w:rsidRPr="000B6D4F" w:rsidRDefault="008357A5" w:rsidP="00CB7DFB">
            <w:pPr>
              <w:pStyle w:val="TableBodyText"/>
              <w:jc w:val="left"/>
            </w:pPr>
            <w:r w:rsidRPr="000B6D4F">
              <w:t>District/county</w:t>
            </w:r>
          </w:p>
        </w:tc>
        <w:tc>
          <w:tcPr>
            <w:tcW w:w="567" w:type="dxa"/>
            <w:vAlign w:val="bottom"/>
          </w:tcPr>
          <w:p w:rsidR="008357A5" w:rsidRPr="000B6D4F" w:rsidRDefault="008357A5" w:rsidP="00CB7DFB">
            <w:pPr>
              <w:pStyle w:val="TableBodyText"/>
            </w:pPr>
            <w:r w:rsidRPr="000B6D4F">
              <w:t>%</w:t>
            </w:r>
          </w:p>
        </w:tc>
        <w:tc>
          <w:tcPr>
            <w:tcW w:w="708" w:type="dxa"/>
            <w:vAlign w:val="bottom"/>
          </w:tcPr>
          <w:p w:rsidR="008357A5" w:rsidRPr="008357A5" w:rsidRDefault="008357A5" w:rsidP="008357A5">
            <w:pPr>
              <w:pStyle w:val="TableBodyText"/>
              <w:rPr>
                <w:sz w:val="18"/>
                <w:szCs w:val="18"/>
              </w:rPr>
            </w:pPr>
            <w:r w:rsidRPr="008357A5">
              <w:rPr>
                <w:sz w:val="18"/>
                <w:szCs w:val="18"/>
              </w:rPr>
              <w:t>4.3</w:t>
            </w:r>
          </w:p>
        </w:tc>
        <w:tc>
          <w:tcPr>
            <w:tcW w:w="709" w:type="dxa"/>
            <w:vAlign w:val="bottom"/>
          </w:tcPr>
          <w:p w:rsidR="008357A5" w:rsidRPr="008357A5" w:rsidRDefault="008357A5" w:rsidP="008357A5">
            <w:pPr>
              <w:pStyle w:val="TableBodyText"/>
              <w:rPr>
                <w:sz w:val="18"/>
                <w:szCs w:val="18"/>
              </w:rPr>
            </w:pPr>
            <w:r w:rsidRPr="008357A5">
              <w:rPr>
                <w:sz w:val="18"/>
                <w:szCs w:val="18"/>
              </w:rPr>
              <w:t>5.8</w:t>
            </w:r>
          </w:p>
        </w:tc>
        <w:tc>
          <w:tcPr>
            <w:tcW w:w="709" w:type="dxa"/>
            <w:vAlign w:val="bottom"/>
          </w:tcPr>
          <w:p w:rsidR="008357A5" w:rsidRPr="008357A5" w:rsidRDefault="008357A5" w:rsidP="008357A5">
            <w:pPr>
              <w:pStyle w:val="TableBodyText"/>
              <w:rPr>
                <w:sz w:val="18"/>
                <w:szCs w:val="18"/>
              </w:rPr>
            </w:pPr>
            <w:r w:rsidRPr="008357A5">
              <w:rPr>
                <w:sz w:val="18"/>
                <w:szCs w:val="18"/>
              </w:rPr>
              <w:t>8.2</w:t>
            </w:r>
          </w:p>
        </w:tc>
        <w:tc>
          <w:tcPr>
            <w:tcW w:w="709" w:type="dxa"/>
            <w:vAlign w:val="bottom"/>
          </w:tcPr>
          <w:p w:rsidR="008357A5" w:rsidRPr="008357A5" w:rsidRDefault="008357A5" w:rsidP="008357A5">
            <w:pPr>
              <w:pStyle w:val="TableBodyText"/>
              <w:rPr>
                <w:sz w:val="18"/>
                <w:szCs w:val="18"/>
              </w:rPr>
            </w:pPr>
            <w:r w:rsidRPr="008357A5">
              <w:rPr>
                <w:sz w:val="18"/>
                <w:szCs w:val="18"/>
              </w:rPr>
              <w:t>7.5</w:t>
            </w:r>
          </w:p>
        </w:tc>
        <w:tc>
          <w:tcPr>
            <w:tcW w:w="708" w:type="dxa"/>
            <w:vAlign w:val="bottom"/>
          </w:tcPr>
          <w:p w:rsidR="008357A5" w:rsidRPr="008357A5" w:rsidRDefault="008357A5" w:rsidP="008357A5">
            <w:pPr>
              <w:pStyle w:val="TableBodyText"/>
              <w:rPr>
                <w:sz w:val="18"/>
                <w:szCs w:val="18"/>
              </w:rPr>
            </w:pPr>
            <w:r w:rsidRPr="008357A5">
              <w:rPr>
                <w:sz w:val="18"/>
                <w:szCs w:val="18"/>
              </w:rPr>
              <w:t>9.0</w:t>
            </w:r>
          </w:p>
        </w:tc>
        <w:tc>
          <w:tcPr>
            <w:tcW w:w="709" w:type="dxa"/>
            <w:vAlign w:val="bottom"/>
          </w:tcPr>
          <w:p w:rsidR="008357A5" w:rsidRPr="008357A5" w:rsidRDefault="008357A5" w:rsidP="008357A5">
            <w:pPr>
              <w:pStyle w:val="TableBodyText"/>
              <w:rPr>
                <w:sz w:val="18"/>
                <w:szCs w:val="18"/>
              </w:rPr>
            </w:pPr>
            <w:r w:rsidRPr="008357A5">
              <w:rPr>
                <w:sz w:val="18"/>
                <w:szCs w:val="18"/>
              </w:rPr>
              <w:t>..</w:t>
            </w:r>
          </w:p>
        </w:tc>
        <w:tc>
          <w:tcPr>
            <w:tcW w:w="567" w:type="dxa"/>
            <w:vAlign w:val="bottom"/>
          </w:tcPr>
          <w:p w:rsidR="008357A5" w:rsidRPr="008357A5" w:rsidRDefault="008357A5" w:rsidP="008357A5">
            <w:pPr>
              <w:pStyle w:val="TableBodyText"/>
              <w:rPr>
                <w:sz w:val="18"/>
                <w:szCs w:val="18"/>
              </w:rPr>
            </w:pPr>
            <w:r w:rsidRPr="008357A5">
              <w:rPr>
                <w:sz w:val="18"/>
                <w:szCs w:val="18"/>
              </w:rPr>
              <w:t>..</w:t>
            </w:r>
          </w:p>
        </w:tc>
        <w:tc>
          <w:tcPr>
            <w:tcW w:w="567" w:type="dxa"/>
            <w:vAlign w:val="bottom"/>
          </w:tcPr>
          <w:p w:rsidR="008357A5" w:rsidRPr="008357A5" w:rsidRDefault="008357A5" w:rsidP="008357A5">
            <w:pPr>
              <w:pStyle w:val="TableBodyText"/>
              <w:rPr>
                <w:sz w:val="18"/>
                <w:szCs w:val="18"/>
              </w:rPr>
            </w:pPr>
            <w:r w:rsidRPr="008357A5">
              <w:rPr>
                <w:sz w:val="18"/>
                <w:szCs w:val="18"/>
              </w:rPr>
              <w:t>..</w:t>
            </w:r>
          </w:p>
        </w:tc>
        <w:tc>
          <w:tcPr>
            <w:tcW w:w="710" w:type="dxa"/>
            <w:vAlign w:val="bottom"/>
          </w:tcPr>
          <w:p w:rsidR="008357A5" w:rsidRPr="008357A5" w:rsidRDefault="008357A5" w:rsidP="008357A5">
            <w:pPr>
              <w:pStyle w:val="TableBodyText"/>
              <w:rPr>
                <w:sz w:val="18"/>
                <w:szCs w:val="18"/>
              </w:rPr>
            </w:pPr>
            <w:r w:rsidRPr="008357A5">
              <w:rPr>
                <w:sz w:val="18"/>
                <w:szCs w:val="18"/>
              </w:rPr>
              <w:t>5.8</w:t>
            </w:r>
          </w:p>
        </w:tc>
      </w:tr>
      <w:tr w:rsidR="008357A5" w:rsidRPr="000B6D4F" w:rsidTr="00795D64">
        <w:tc>
          <w:tcPr>
            <w:tcW w:w="2127" w:type="dxa"/>
          </w:tcPr>
          <w:p w:rsidR="008357A5" w:rsidRPr="000B6D4F" w:rsidRDefault="008357A5" w:rsidP="00CB7DFB">
            <w:pPr>
              <w:pStyle w:val="TableBodyText"/>
              <w:jc w:val="left"/>
            </w:pPr>
            <w:r w:rsidRPr="000B6D4F">
              <w:t>Magistrates’ (total)</w:t>
            </w:r>
          </w:p>
        </w:tc>
        <w:tc>
          <w:tcPr>
            <w:tcW w:w="567" w:type="dxa"/>
            <w:vAlign w:val="bottom"/>
          </w:tcPr>
          <w:p w:rsidR="008357A5" w:rsidRPr="000B6D4F" w:rsidRDefault="008357A5" w:rsidP="00CB7DFB">
            <w:pPr>
              <w:pStyle w:val="TableBodyText"/>
            </w:pPr>
            <w:r w:rsidRPr="000B6D4F">
              <w:t>%</w:t>
            </w:r>
          </w:p>
        </w:tc>
        <w:tc>
          <w:tcPr>
            <w:tcW w:w="708" w:type="dxa"/>
            <w:vAlign w:val="bottom"/>
          </w:tcPr>
          <w:p w:rsidR="008357A5" w:rsidRPr="008357A5" w:rsidRDefault="008357A5" w:rsidP="008357A5">
            <w:pPr>
              <w:pStyle w:val="TableBodyText"/>
              <w:rPr>
                <w:sz w:val="18"/>
                <w:szCs w:val="18"/>
              </w:rPr>
            </w:pPr>
            <w:r w:rsidRPr="008357A5">
              <w:rPr>
                <w:sz w:val="18"/>
                <w:szCs w:val="18"/>
              </w:rPr>
              <w:t>90.2</w:t>
            </w:r>
          </w:p>
        </w:tc>
        <w:tc>
          <w:tcPr>
            <w:tcW w:w="709" w:type="dxa"/>
            <w:vAlign w:val="bottom"/>
          </w:tcPr>
          <w:p w:rsidR="008357A5" w:rsidRPr="008357A5" w:rsidRDefault="008357A5" w:rsidP="008357A5">
            <w:pPr>
              <w:pStyle w:val="TableBodyText"/>
              <w:rPr>
                <w:sz w:val="18"/>
                <w:szCs w:val="18"/>
              </w:rPr>
            </w:pPr>
            <w:r w:rsidRPr="008357A5">
              <w:rPr>
                <w:sz w:val="18"/>
                <w:szCs w:val="18"/>
              </w:rPr>
              <w:t>88.3</w:t>
            </w:r>
          </w:p>
        </w:tc>
        <w:tc>
          <w:tcPr>
            <w:tcW w:w="709" w:type="dxa"/>
            <w:vAlign w:val="bottom"/>
          </w:tcPr>
          <w:p w:rsidR="008357A5" w:rsidRPr="008357A5" w:rsidRDefault="008357A5" w:rsidP="008357A5">
            <w:pPr>
              <w:pStyle w:val="TableBodyText"/>
              <w:rPr>
                <w:sz w:val="18"/>
                <w:szCs w:val="18"/>
              </w:rPr>
            </w:pPr>
            <w:r w:rsidRPr="008357A5">
              <w:rPr>
                <w:sz w:val="18"/>
                <w:szCs w:val="18"/>
              </w:rPr>
              <w:t>86.3</w:t>
            </w:r>
          </w:p>
        </w:tc>
        <w:tc>
          <w:tcPr>
            <w:tcW w:w="709" w:type="dxa"/>
            <w:vAlign w:val="bottom"/>
          </w:tcPr>
          <w:p w:rsidR="008357A5" w:rsidRPr="008357A5" w:rsidRDefault="008357A5" w:rsidP="008357A5">
            <w:pPr>
              <w:pStyle w:val="TableBodyText"/>
              <w:rPr>
                <w:sz w:val="18"/>
                <w:szCs w:val="18"/>
              </w:rPr>
            </w:pPr>
            <w:r w:rsidRPr="008357A5">
              <w:rPr>
                <w:sz w:val="18"/>
                <w:szCs w:val="18"/>
              </w:rPr>
              <w:t>88.2</w:t>
            </w:r>
          </w:p>
        </w:tc>
        <w:tc>
          <w:tcPr>
            <w:tcW w:w="708" w:type="dxa"/>
            <w:vAlign w:val="bottom"/>
          </w:tcPr>
          <w:p w:rsidR="008357A5" w:rsidRPr="008357A5" w:rsidRDefault="008357A5" w:rsidP="008357A5">
            <w:pPr>
              <w:pStyle w:val="TableBodyText"/>
              <w:rPr>
                <w:sz w:val="18"/>
                <w:szCs w:val="18"/>
              </w:rPr>
            </w:pPr>
            <w:r w:rsidRPr="008357A5">
              <w:rPr>
                <w:sz w:val="18"/>
                <w:szCs w:val="18"/>
              </w:rPr>
              <w:t>87.3</w:t>
            </w:r>
          </w:p>
        </w:tc>
        <w:tc>
          <w:tcPr>
            <w:tcW w:w="709" w:type="dxa"/>
            <w:vAlign w:val="bottom"/>
          </w:tcPr>
          <w:p w:rsidR="008357A5" w:rsidRPr="008357A5" w:rsidRDefault="008357A5" w:rsidP="008357A5">
            <w:pPr>
              <w:pStyle w:val="TableBodyText"/>
              <w:rPr>
                <w:sz w:val="18"/>
                <w:szCs w:val="18"/>
              </w:rPr>
            </w:pPr>
            <w:r w:rsidRPr="008357A5">
              <w:rPr>
                <w:sz w:val="18"/>
                <w:szCs w:val="18"/>
              </w:rPr>
              <w:t>87.8</w:t>
            </w:r>
          </w:p>
        </w:tc>
        <w:tc>
          <w:tcPr>
            <w:tcW w:w="567" w:type="dxa"/>
            <w:vAlign w:val="bottom"/>
          </w:tcPr>
          <w:p w:rsidR="008357A5" w:rsidRPr="008357A5" w:rsidRDefault="008357A5" w:rsidP="008357A5">
            <w:pPr>
              <w:pStyle w:val="TableBodyText"/>
              <w:rPr>
                <w:sz w:val="18"/>
                <w:szCs w:val="18"/>
              </w:rPr>
            </w:pPr>
            <w:r w:rsidRPr="008357A5">
              <w:rPr>
                <w:sz w:val="18"/>
                <w:szCs w:val="18"/>
              </w:rPr>
              <w:t>88.0</w:t>
            </w:r>
          </w:p>
        </w:tc>
        <w:tc>
          <w:tcPr>
            <w:tcW w:w="567" w:type="dxa"/>
            <w:vAlign w:val="bottom"/>
          </w:tcPr>
          <w:p w:rsidR="008357A5" w:rsidRPr="008357A5" w:rsidRDefault="008357A5" w:rsidP="008357A5">
            <w:pPr>
              <w:pStyle w:val="TableBodyText"/>
              <w:rPr>
                <w:sz w:val="18"/>
                <w:szCs w:val="18"/>
              </w:rPr>
            </w:pPr>
            <w:r w:rsidRPr="008357A5">
              <w:rPr>
                <w:sz w:val="18"/>
                <w:szCs w:val="18"/>
              </w:rPr>
              <w:t>96.5</w:t>
            </w:r>
          </w:p>
        </w:tc>
        <w:tc>
          <w:tcPr>
            <w:tcW w:w="710" w:type="dxa"/>
            <w:vAlign w:val="bottom"/>
          </w:tcPr>
          <w:p w:rsidR="008357A5" w:rsidRPr="008357A5" w:rsidRDefault="008357A5" w:rsidP="008357A5">
            <w:pPr>
              <w:pStyle w:val="TableBodyText"/>
              <w:rPr>
                <w:sz w:val="18"/>
                <w:szCs w:val="18"/>
              </w:rPr>
            </w:pPr>
            <w:r w:rsidRPr="008357A5">
              <w:rPr>
                <w:sz w:val="18"/>
                <w:szCs w:val="18"/>
              </w:rPr>
              <w:t>88.7</w:t>
            </w:r>
          </w:p>
        </w:tc>
      </w:tr>
      <w:tr w:rsidR="008357A5" w:rsidRPr="000B6D4F" w:rsidTr="00795D64">
        <w:tc>
          <w:tcPr>
            <w:tcW w:w="2127" w:type="dxa"/>
            <w:tcBorders>
              <w:bottom w:val="single" w:sz="6" w:space="0" w:color="auto"/>
            </w:tcBorders>
          </w:tcPr>
          <w:p w:rsidR="008357A5" w:rsidRPr="000B6D4F" w:rsidRDefault="008357A5" w:rsidP="00CB7DFB">
            <w:pPr>
              <w:pStyle w:val="TableBodyText"/>
              <w:jc w:val="left"/>
              <w:rPr>
                <w:rStyle w:val="NoteLabel"/>
              </w:rPr>
            </w:pPr>
            <w:r w:rsidRPr="000B6D4F">
              <w:rPr>
                <w:b/>
              </w:rPr>
              <w:t>All civil courts</w:t>
            </w:r>
            <w:r>
              <w:rPr>
                <w:rStyle w:val="NoteLabel"/>
              </w:rPr>
              <w:t>c</w:t>
            </w:r>
          </w:p>
        </w:tc>
        <w:tc>
          <w:tcPr>
            <w:tcW w:w="567" w:type="dxa"/>
            <w:tcBorders>
              <w:bottom w:val="single" w:sz="6" w:space="0" w:color="auto"/>
            </w:tcBorders>
            <w:vAlign w:val="bottom"/>
          </w:tcPr>
          <w:p w:rsidR="008357A5" w:rsidRPr="000B6D4F" w:rsidRDefault="008357A5" w:rsidP="00CB7DFB">
            <w:pPr>
              <w:pStyle w:val="TableBodyText"/>
              <w:rPr>
                <w:b/>
              </w:rPr>
            </w:pPr>
            <w:r w:rsidRPr="000B6D4F">
              <w:rPr>
                <w:b/>
              </w:rPr>
              <w:t xml:space="preserve">‘000 </w:t>
            </w:r>
          </w:p>
        </w:tc>
        <w:tc>
          <w:tcPr>
            <w:tcW w:w="708"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172.5</w:t>
            </w:r>
          </w:p>
        </w:tc>
        <w:tc>
          <w:tcPr>
            <w:tcW w:w="709"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118.9</w:t>
            </w:r>
          </w:p>
        </w:tc>
        <w:tc>
          <w:tcPr>
            <w:tcW w:w="709"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68.6</w:t>
            </w:r>
          </w:p>
        </w:tc>
        <w:tc>
          <w:tcPr>
            <w:tcW w:w="709"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60.8</w:t>
            </w:r>
          </w:p>
        </w:tc>
        <w:tc>
          <w:tcPr>
            <w:tcW w:w="708"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34.5</w:t>
            </w:r>
          </w:p>
        </w:tc>
        <w:tc>
          <w:tcPr>
            <w:tcW w:w="709"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9.3</w:t>
            </w:r>
          </w:p>
        </w:tc>
        <w:tc>
          <w:tcPr>
            <w:tcW w:w="567"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4.7</w:t>
            </w:r>
          </w:p>
        </w:tc>
        <w:tc>
          <w:tcPr>
            <w:tcW w:w="567"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7.3</w:t>
            </w:r>
          </w:p>
        </w:tc>
        <w:tc>
          <w:tcPr>
            <w:tcW w:w="710" w:type="dxa"/>
            <w:tcBorders>
              <w:bottom w:val="single" w:sz="6" w:space="0" w:color="auto"/>
            </w:tcBorders>
            <w:vAlign w:val="bottom"/>
          </w:tcPr>
          <w:p w:rsidR="008357A5" w:rsidRPr="008357A5" w:rsidRDefault="008357A5" w:rsidP="008357A5">
            <w:pPr>
              <w:pStyle w:val="TableBodyText"/>
              <w:rPr>
                <w:sz w:val="18"/>
                <w:szCs w:val="18"/>
              </w:rPr>
            </w:pPr>
            <w:r w:rsidRPr="008357A5">
              <w:rPr>
                <w:sz w:val="18"/>
                <w:szCs w:val="18"/>
              </w:rPr>
              <w:t xml:space="preserve">  476.6</w:t>
            </w:r>
          </w:p>
        </w:tc>
      </w:tr>
    </w:tbl>
    <w:p w:rsidR="00CB7DFB" w:rsidRDefault="00CB7DFB" w:rsidP="00233182">
      <w:pPr>
        <w:pStyle w:val="Note"/>
      </w:pPr>
      <w:r w:rsidRPr="00CB7DFB">
        <w:rPr>
          <w:rStyle w:val="NoteLabel"/>
        </w:rPr>
        <w:t>a</w:t>
      </w:r>
      <w:r>
        <w:t xml:space="preserve"> Totals may not add as a result of rounding.</w:t>
      </w:r>
      <w:r w:rsidR="00F41FB2">
        <w:t xml:space="preserve"> </w:t>
      </w:r>
      <w:r w:rsidR="00F41FB2" w:rsidRPr="00B54F4D">
        <w:rPr>
          <w:rStyle w:val="NoteLabel"/>
        </w:rPr>
        <w:t>b</w:t>
      </w:r>
      <w:r w:rsidR="00F41FB2" w:rsidRPr="00B54F4D">
        <w:t> </w:t>
      </w:r>
      <w:r w:rsidRPr="00B54F4D">
        <w:t xml:space="preserve">Excludes probate matters. </w:t>
      </w:r>
      <w:r w:rsidR="00767899" w:rsidRPr="00B54F4D">
        <w:rPr>
          <w:rStyle w:val="NoteLabel"/>
        </w:rPr>
        <w:t>c</w:t>
      </w:r>
      <w:r w:rsidRPr="00B54F4D">
        <w:rPr>
          <w:rStyle w:val="NoteLabel"/>
        </w:rPr>
        <w:t> </w:t>
      </w:r>
      <w:r w:rsidRPr="00FE3767">
        <w:t>Excludes</w:t>
      </w:r>
      <w:r>
        <w:t xml:space="preserve"> data for the Federal Court, family courts</w:t>
      </w:r>
      <w:r w:rsidR="00666A2D">
        <w:t xml:space="preserve">, the Federal </w:t>
      </w:r>
      <w:r w:rsidR="00E55B44">
        <w:t>Circuit</w:t>
      </w:r>
      <w:r w:rsidR="00666A2D">
        <w:t xml:space="preserve"> Court</w:t>
      </w:r>
      <w:r>
        <w:t xml:space="preserve"> and </w:t>
      </w:r>
      <w:r w:rsidR="00777C1B">
        <w:t>coroners’ c</w:t>
      </w:r>
      <w:r w:rsidR="00BC62E9">
        <w:t>ourt</w:t>
      </w:r>
      <w:r>
        <w:t xml:space="preserve">s. </w:t>
      </w:r>
      <w:r w:rsidR="00E92ADD">
        <w:rPr>
          <w:b/>
        </w:rPr>
        <w:t>.. </w:t>
      </w:r>
      <w:r w:rsidR="00E92ADD" w:rsidRPr="00E92ADD">
        <w:t>Not</w:t>
      </w:r>
      <w:r w:rsidR="00E92ADD">
        <w:t> applicable</w:t>
      </w:r>
      <w:r>
        <w:t>.</w:t>
      </w:r>
    </w:p>
    <w:p w:rsidR="00CB7DFB" w:rsidRPr="00D4673D" w:rsidRDefault="00CB7DFB" w:rsidP="00CB7DFB">
      <w:pPr>
        <w:pStyle w:val="Source"/>
      </w:pPr>
      <w:r>
        <w:rPr>
          <w:i/>
        </w:rPr>
        <w:t>Source</w:t>
      </w:r>
      <w:r>
        <w:t xml:space="preserve">: </w:t>
      </w:r>
      <w:r w:rsidR="00CA385B">
        <w:t xml:space="preserve">State </w:t>
      </w:r>
      <w:r w:rsidR="00D4673D" w:rsidRPr="00D4673D">
        <w:t>and Territory court authorities and dep</w:t>
      </w:r>
      <w:r w:rsidR="00CA385B">
        <w:t>artments (unpublished); tables </w:t>
      </w:r>
      <w:proofErr w:type="spellStart"/>
      <w:r w:rsidR="00D4673D">
        <w:t>7</w:t>
      </w:r>
      <w:r w:rsidR="00C00075">
        <w:t>A.1</w:t>
      </w:r>
      <w:proofErr w:type="spellEnd"/>
      <w:r w:rsidR="009C1239">
        <w:t xml:space="preserve">; </w:t>
      </w:r>
      <w:proofErr w:type="spellStart"/>
      <w:r w:rsidR="009C1239">
        <w:t>7A.3</w:t>
      </w:r>
      <w:proofErr w:type="spellEnd"/>
      <w:r w:rsidR="00D4673D" w:rsidRPr="00D4673D">
        <w:t>.</w:t>
      </w:r>
    </w:p>
    <w:p w:rsidR="00285107" w:rsidRDefault="00285107" w:rsidP="00285107">
      <w:pPr>
        <w:pStyle w:val="Heading4"/>
      </w:pPr>
      <w:r>
        <w:t>Finalisations</w:t>
      </w:r>
    </w:p>
    <w:p w:rsidR="00285107" w:rsidRDefault="00285107" w:rsidP="00285107">
      <w:pPr>
        <w:pStyle w:val="BodyText"/>
      </w:pPr>
      <w:r>
        <w:t xml:space="preserve">Finalisations represent the completion of matters in the court system. Each </w:t>
      </w:r>
      <w:proofErr w:type="spellStart"/>
      <w:r>
        <w:t>lodgment</w:t>
      </w:r>
      <w:proofErr w:type="spellEnd"/>
      <w:r>
        <w:t xml:space="preserve"> can be finalised only once. Matters may be finalised by adjudication, transfer</w:t>
      </w:r>
      <w:r w:rsidR="00123FE2">
        <w:t>,</w:t>
      </w:r>
      <w:r>
        <w:t xml:space="preserve"> or another non-adjudicated method (such as withdrawal</w:t>
      </w:r>
      <w:r w:rsidR="008A4F47">
        <w:t xml:space="preserve"> of a matter by the prosecution</w:t>
      </w:r>
      <w:r>
        <w:t xml:space="preserve"> or settlement by the parties</w:t>
      </w:r>
      <w:r w:rsidR="008A4F47">
        <w:t xml:space="preserve"> involved</w:t>
      </w:r>
      <w:r>
        <w:t>).</w:t>
      </w:r>
    </w:p>
    <w:p w:rsidR="00285107" w:rsidRPr="007907DB" w:rsidRDefault="006B7A38" w:rsidP="00285107">
      <w:pPr>
        <w:pStyle w:val="BodyText"/>
      </w:pPr>
      <w:r w:rsidRPr="007907DB">
        <w:t>Tables 7.</w:t>
      </w:r>
      <w:r w:rsidR="003D75A9" w:rsidRPr="007907DB">
        <w:t>5 (criminal) and 7</w:t>
      </w:r>
      <w:r w:rsidR="00285107" w:rsidRPr="007907DB">
        <w:t xml:space="preserve">.6 (civil) outline the number of finalisations in </w:t>
      </w:r>
      <w:r w:rsidR="00ED74C6">
        <w:t>20</w:t>
      </w:r>
      <w:r w:rsidR="00C0042E">
        <w:t>12</w:t>
      </w:r>
      <w:r w:rsidR="00205BCF">
        <w:noBreakHyphen/>
      </w:r>
      <w:r w:rsidR="00C0042E">
        <w:t>13</w:t>
      </w:r>
      <w:r w:rsidR="00285107" w:rsidRPr="007907DB">
        <w:t xml:space="preserve">, by court level, for the Australian courts and each State and Territory. </w:t>
      </w:r>
      <w:proofErr w:type="spellStart"/>
      <w:r w:rsidR="00285107" w:rsidRPr="007907DB">
        <w:t>Lodgments</w:t>
      </w:r>
      <w:proofErr w:type="spellEnd"/>
      <w:r w:rsidR="00285107" w:rsidRPr="007907DB">
        <w:t xml:space="preserve"> </w:t>
      </w:r>
      <w:r w:rsidR="00E13ABE">
        <w:t>will</w:t>
      </w:r>
      <w:r w:rsidR="00285107" w:rsidRPr="007907DB">
        <w:t xml:space="preserve"> not equal finalisations in any given year because not all matters lodged in one year will be finalised in the same year.</w:t>
      </w:r>
    </w:p>
    <w:p w:rsidR="00285107" w:rsidRPr="007907DB" w:rsidRDefault="003D75A9" w:rsidP="00941392">
      <w:pPr>
        <w:pStyle w:val="BodyText"/>
      </w:pPr>
      <w:r w:rsidRPr="007907DB">
        <w:t xml:space="preserve">In </w:t>
      </w:r>
      <w:r w:rsidR="00C0042E">
        <w:t>2012</w:t>
      </w:r>
      <w:r w:rsidR="00205BCF">
        <w:noBreakHyphen/>
      </w:r>
      <w:r w:rsidR="00C0042E">
        <w:t>13</w:t>
      </w:r>
      <w:r w:rsidR="00D72689">
        <w:t>, there were</w:t>
      </w:r>
      <w:r w:rsidRPr="007907DB">
        <w:t xml:space="preserve"> </w:t>
      </w:r>
      <w:r w:rsidR="00B96C93">
        <w:t>786 900</w:t>
      </w:r>
      <w:r w:rsidR="00BE1202">
        <w:t xml:space="preserve"> </w:t>
      </w:r>
      <w:r w:rsidR="00285107" w:rsidRPr="007907DB">
        <w:t xml:space="preserve">criminal finalisations in the </w:t>
      </w:r>
      <w:r w:rsidR="006A22B8" w:rsidRPr="007907DB">
        <w:t>s</w:t>
      </w:r>
      <w:r w:rsidR="00BC62E9" w:rsidRPr="007907DB">
        <w:t>upreme</w:t>
      </w:r>
      <w:r w:rsidR="00285107" w:rsidRPr="007907DB">
        <w:t xml:space="preserve">, </w:t>
      </w:r>
      <w:r w:rsidR="00F43AAD" w:rsidRPr="007907DB">
        <w:t>district/county</w:t>
      </w:r>
      <w:r w:rsidR="00285107" w:rsidRPr="007907DB">
        <w:t xml:space="preserve"> and </w:t>
      </w:r>
      <w:r w:rsidR="006A22B8" w:rsidRPr="007907DB">
        <w:t>m</w:t>
      </w:r>
      <w:r w:rsidR="00BC62E9" w:rsidRPr="007907DB">
        <w:t>agistra</w:t>
      </w:r>
      <w:r w:rsidR="006A22B8" w:rsidRPr="007907DB">
        <w:t>tes’ c</w:t>
      </w:r>
      <w:r w:rsidR="00BC62E9" w:rsidRPr="007907DB">
        <w:t>ourt</w:t>
      </w:r>
      <w:r w:rsidR="00D72689">
        <w:t>s</w:t>
      </w:r>
      <w:r w:rsidR="00E75964" w:rsidRPr="007907DB">
        <w:t xml:space="preserve"> </w:t>
      </w:r>
      <w:r w:rsidR="00384712" w:rsidRPr="007907DB">
        <w:t>(</w:t>
      </w:r>
      <w:r w:rsidR="00A76A9C" w:rsidRPr="000A0BE0">
        <w:t>table 7</w:t>
      </w:r>
      <w:r w:rsidR="00285107" w:rsidRPr="000A0BE0">
        <w:t>.5).</w:t>
      </w:r>
    </w:p>
    <w:p w:rsidR="00864DBF" w:rsidRPr="00EA54A1" w:rsidRDefault="00864DBF">
      <w:pPr>
        <w:pStyle w:val="TableTitle"/>
      </w:pPr>
      <w:r w:rsidRPr="00EA54A1">
        <w:rPr>
          <w:b w:val="0"/>
        </w:rPr>
        <w:t>Table 7.</w:t>
      </w:r>
      <w:r w:rsidR="00E75B12" w:rsidRPr="00EA54A1">
        <w:rPr>
          <w:b w:val="0"/>
          <w:noProof/>
        </w:rPr>
        <w:t>5</w:t>
      </w:r>
      <w:r w:rsidR="00F17D60" w:rsidRPr="00EA54A1">
        <w:tab/>
        <w:t>Court finalisations</w:t>
      </w:r>
      <w:r w:rsidR="00505751" w:rsidRPr="00EA54A1">
        <w:t xml:space="preserve"> — </w:t>
      </w:r>
      <w:r w:rsidR="00F17D60" w:rsidRPr="00EA54A1">
        <w:t xml:space="preserve">criminal, </w:t>
      </w:r>
      <w:r w:rsidR="00BE1202">
        <w:t>2012</w:t>
      </w:r>
      <w:r w:rsidR="00603AF7">
        <w:t>-</w:t>
      </w:r>
      <w:r w:rsidR="00BE1202">
        <w:t>13</w:t>
      </w:r>
      <w:r w:rsidR="00F17D60" w:rsidRPr="00EA54A1">
        <w:t xml:space="preserve"> (‘000)</w:t>
      </w:r>
      <w:r w:rsidR="00F17D60" w:rsidRPr="00EA54A1">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410"/>
        <w:gridCol w:w="709"/>
        <w:gridCol w:w="850"/>
        <w:gridCol w:w="851"/>
        <w:gridCol w:w="709"/>
        <w:gridCol w:w="708"/>
        <w:gridCol w:w="567"/>
        <w:gridCol w:w="567"/>
        <w:gridCol w:w="567"/>
        <w:gridCol w:w="852"/>
      </w:tblGrid>
      <w:tr w:rsidR="00864DBF" w:rsidTr="00272DEF">
        <w:tc>
          <w:tcPr>
            <w:tcW w:w="2410" w:type="dxa"/>
            <w:tcBorders>
              <w:top w:val="single" w:sz="6" w:space="0" w:color="auto"/>
              <w:bottom w:val="single" w:sz="6" w:space="0" w:color="auto"/>
            </w:tcBorders>
          </w:tcPr>
          <w:p w:rsidR="00864DBF" w:rsidRDefault="00864DBF" w:rsidP="00864DBF">
            <w:pPr>
              <w:pStyle w:val="TableColumnHeading"/>
              <w:jc w:val="left"/>
            </w:pPr>
          </w:p>
        </w:tc>
        <w:tc>
          <w:tcPr>
            <w:tcW w:w="709" w:type="dxa"/>
            <w:tcBorders>
              <w:top w:val="single" w:sz="6" w:space="0" w:color="auto"/>
              <w:bottom w:val="single" w:sz="6" w:space="0" w:color="auto"/>
            </w:tcBorders>
          </w:tcPr>
          <w:p w:rsidR="00864DBF" w:rsidRDefault="00864DBF" w:rsidP="00864DBF">
            <w:pPr>
              <w:pStyle w:val="TableColumnHeading"/>
            </w:pPr>
            <w:r>
              <w:t>NSW</w:t>
            </w:r>
          </w:p>
        </w:tc>
        <w:tc>
          <w:tcPr>
            <w:tcW w:w="850" w:type="dxa"/>
            <w:tcBorders>
              <w:top w:val="single" w:sz="6" w:space="0" w:color="auto"/>
              <w:bottom w:val="single" w:sz="6" w:space="0" w:color="auto"/>
            </w:tcBorders>
          </w:tcPr>
          <w:p w:rsidR="00864DBF" w:rsidRDefault="00864DBF" w:rsidP="00864DBF">
            <w:pPr>
              <w:pStyle w:val="TableColumnHeading"/>
            </w:pPr>
            <w:r>
              <w:t>Vic</w:t>
            </w:r>
          </w:p>
        </w:tc>
        <w:tc>
          <w:tcPr>
            <w:tcW w:w="851" w:type="dxa"/>
            <w:tcBorders>
              <w:top w:val="single" w:sz="6" w:space="0" w:color="auto"/>
              <w:bottom w:val="single" w:sz="6" w:space="0" w:color="auto"/>
            </w:tcBorders>
          </w:tcPr>
          <w:p w:rsidR="00864DBF" w:rsidRDefault="00864DBF" w:rsidP="00864DBF">
            <w:pPr>
              <w:pStyle w:val="TableColumnHeading"/>
            </w:pPr>
            <w:r>
              <w:t>Qld</w:t>
            </w:r>
          </w:p>
        </w:tc>
        <w:tc>
          <w:tcPr>
            <w:tcW w:w="709" w:type="dxa"/>
            <w:tcBorders>
              <w:top w:val="single" w:sz="6" w:space="0" w:color="auto"/>
              <w:bottom w:val="single" w:sz="6" w:space="0" w:color="auto"/>
            </w:tcBorders>
          </w:tcPr>
          <w:p w:rsidR="00864DBF" w:rsidRDefault="00864DBF" w:rsidP="00864DBF">
            <w:pPr>
              <w:pStyle w:val="TableColumnHeading"/>
            </w:pPr>
            <w:r>
              <w:t>WA</w:t>
            </w:r>
          </w:p>
        </w:tc>
        <w:tc>
          <w:tcPr>
            <w:tcW w:w="708" w:type="dxa"/>
            <w:tcBorders>
              <w:top w:val="single" w:sz="6" w:space="0" w:color="auto"/>
              <w:bottom w:val="single" w:sz="6" w:space="0" w:color="auto"/>
            </w:tcBorders>
          </w:tcPr>
          <w:p w:rsidR="00864DBF" w:rsidRDefault="00864DBF" w:rsidP="00864DBF">
            <w:pPr>
              <w:pStyle w:val="TableColumnHeading"/>
            </w:pPr>
            <w:r>
              <w:t>SA</w:t>
            </w:r>
          </w:p>
        </w:tc>
        <w:tc>
          <w:tcPr>
            <w:tcW w:w="567" w:type="dxa"/>
            <w:tcBorders>
              <w:top w:val="single" w:sz="6" w:space="0" w:color="auto"/>
              <w:bottom w:val="single" w:sz="6" w:space="0" w:color="auto"/>
            </w:tcBorders>
          </w:tcPr>
          <w:p w:rsidR="00864DBF" w:rsidRDefault="00864DBF" w:rsidP="00864DBF">
            <w:pPr>
              <w:pStyle w:val="TableColumnHeading"/>
            </w:pPr>
            <w:proofErr w:type="spellStart"/>
            <w:r>
              <w:t>Tas</w:t>
            </w:r>
            <w:proofErr w:type="spellEnd"/>
          </w:p>
        </w:tc>
        <w:tc>
          <w:tcPr>
            <w:tcW w:w="567" w:type="dxa"/>
            <w:tcBorders>
              <w:top w:val="single" w:sz="6" w:space="0" w:color="auto"/>
              <w:bottom w:val="single" w:sz="6" w:space="0" w:color="auto"/>
            </w:tcBorders>
          </w:tcPr>
          <w:p w:rsidR="00864DBF" w:rsidRDefault="00864DBF" w:rsidP="00864DBF">
            <w:pPr>
              <w:pStyle w:val="TableColumnHeading"/>
            </w:pPr>
            <w:r>
              <w:t>ACT</w:t>
            </w:r>
          </w:p>
        </w:tc>
        <w:tc>
          <w:tcPr>
            <w:tcW w:w="567" w:type="dxa"/>
            <w:tcBorders>
              <w:top w:val="single" w:sz="6" w:space="0" w:color="auto"/>
              <w:bottom w:val="single" w:sz="6" w:space="0" w:color="auto"/>
            </w:tcBorders>
          </w:tcPr>
          <w:p w:rsidR="00864DBF" w:rsidRDefault="00864DBF" w:rsidP="00864DBF">
            <w:pPr>
              <w:pStyle w:val="TableColumnHeading"/>
            </w:pPr>
            <w:r>
              <w:t>NT</w:t>
            </w:r>
          </w:p>
        </w:tc>
        <w:tc>
          <w:tcPr>
            <w:tcW w:w="852" w:type="dxa"/>
            <w:tcBorders>
              <w:top w:val="single" w:sz="6" w:space="0" w:color="auto"/>
              <w:bottom w:val="single" w:sz="6" w:space="0" w:color="auto"/>
            </w:tcBorders>
          </w:tcPr>
          <w:p w:rsidR="00864DBF" w:rsidRDefault="00864DBF" w:rsidP="00864DBF">
            <w:pPr>
              <w:pStyle w:val="TableColumnHeading"/>
              <w:ind w:right="28"/>
            </w:pPr>
            <w:r>
              <w:t>Total</w:t>
            </w:r>
          </w:p>
        </w:tc>
      </w:tr>
      <w:tr w:rsidR="0024447C" w:rsidRPr="008A4961" w:rsidTr="00B24C2F">
        <w:tc>
          <w:tcPr>
            <w:tcW w:w="2410" w:type="dxa"/>
          </w:tcPr>
          <w:p w:rsidR="0024447C" w:rsidRPr="008A4961" w:rsidRDefault="0024447C" w:rsidP="00864DBF">
            <w:pPr>
              <w:pStyle w:val="TableBodyText"/>
              <w:jc w:val="left"/>
            </w:pPr>
            <w:r>
              <w:t>Supreme</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0.5</w:t>
            </w:r>
          </w:p>
        </w:tc>
        <w:tc>
          <w:tcPr>
            <w:tcW w:w="850" w:type="dxa"/>
            <w:vAlign w:val="bottom"/>
          </w:tcPr>
          <w:p w:rsidR="0024447C" w:rsidRPr="0061250C" w:rsidRDefault="0024447C" w:rsidP="0024447C">
            <w:pPr>
              <w:pStyle w:val="TableBodyText"/>
              <w:rPr>
                <w:sz w:val="18"/>
                <w:szCs w:val="18"/>
              </w:rPr>
            </w:pPr>
            <w:r w:rsidRPr="0061250C">
              <w:rPr>
                <w:sz w:val="18"/>
                <w:szCs w:val="18"/>
              </w:rPr>
              <w:t xml:space="preserve">  0.5</w:t>
            </w:r>
          </w:p>
        </w:tc>
        <w:tc>
          <w:tcPr>
            <w:tcW w:w="851" w:type="dxa"/>
            <w:vAlign w:val="bottom"/>
          </w:tcPr>
          <w:p w:rsidR="0024447C" w:rsidRPr="0061250C" w:rsidRDefault="0024447C" w:rsidP="0024447C">
            <w:pPr>
              <w:pStyle w:val="TableBodyText"/>
              <w:rPr>
                <w:sz w:val="18"/>
                <w:szCs w:val="18"/>
              </w:rPr>
            </w:pPr>
            <w:r w:rsidRPr="0061250C">
              <w:rPr>
                <w:sz w:val="18"/>
                <w:szCs w:val="18"/>
              </w:rPr>
              <w:t xml:space="preserve">  1.3</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0.7</w:t>
            </w:r>
          </w:p>
        </w:tc>
        <w:tc>
          <w:tcPr>
            <w:tcW w:w="708" w:type="dxa"/>
            <w:vAlign w:val="bottom"/>
          </w:tcPr>
          <w:p w:rsidR="0024447C" w:rsidRPr="0061250C" w:rsidRDefault="0024447C" w:rsidP="0024447C">
            <w:pPr>
              <w:pStyle w:val="TableBodyText"/>
              <w:rPr>
                <w:sz w:val="18"/>
                <w:szCs w:val="18"/>
              </w:rPr>
            </w:pPr>
            <w:r w:rsidRPr="0061250C">
              <w:rPr>
                <w:sz w:val="18"/>
                <w:szCs w:val="18"/>
              </w:rPr>
              <w:t xml:space="preserve">  0.3</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0.6</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0.4</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0.5</w:t>
            </w:r>
          </w:p>
        </w:tc>
        <w:tc>
          <w:tcPr>
            <w:tcW w:w="852" w:type="dxa"/>
            <w:vAlign w:val="bottom"/>
          </w:tcPr>
          <w:p w:rsidR="0024447C" w:rsidRPr="0061250C" w:rsidRDefault="0024447C" w:rsidP="0024447C">
            <w:pPr>
              <w:pStyle w:val="TableBodyText"/>
              <w:rPr>
                <w:sz w:val="18"/>
                <w:szCs w:val="18"/>
              </w:rPr>
            </w:pPr>
            <w:r w:rsidRPr="0061250C">
              <w:rPr>
                <w:sz w:val="18"/>
                <w:szCs w:val="18"/>
              </w:rPr>
              <w:t xml:space="preserve">  4.8</w:t>
            </w:r>
          </w:p>
        </w:tc>
      </w:tr>
      <w:tr w:rsidR="0024447C" w:rsidRPr="008A4961" w:rsidTr="00B24C2F">
        <w:tc>
          <w:tcPr>
            <w:tcW w:w="2410" w:type="dxa"/>
          </w:tcPr>
          <w:p w:rsidR="0024447C" w:rsidRPr="008A4961" w:rsidRDefault="0024447C" w:rsidP="00864DBF">
            <w:pPr>
              <w:pStyle w:val="TableBodyText"/>
              <w:jc w:val="left"/>
              <w:rPr>
                <w:rStyle w:val="NoteLabel"/>
              </w:rPr>
            </w:pPr>
            <w:r w:rsidRPr="008A4961">
              <w:t>District/County</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10.0</w:t>
            </w:r>
          </w:p>
        </w:tc>
        <w:tc>
          <w:tcPr>
            <w:tcW w:w="850" w:type="dxa"/>
            <w:vAlign w:val="bottom"/>
          </w:tcPr>
          <w:p w:rsidR="0024447C" w:rsidRPr="0061250C" w:rsidRDefault="0024447C" w:rsidP="0024447C">
            <w:pPr>
              <w:pStyle w:val="TableBodyText"/>
              <w:rPr>
                <w:sz w:val="18"/>
                <w:szCs w:val="18"/>
              </w:rPr>
            </w:pPr>
            <w:r w:rsidRPr="0061250C">
              <w:rPr>
                <w:sz w:val="18"/>
                <w:szCs w:val="18"/>
              </w:rPr>
              <w:t xml:space="preserve">  5.0</w:t>
            </w:r>
          </w:p>
        </w:tc>
        <w:tc>
          <w:tcPr>
            <w:tcW w:w="851" w:type="dxa"/>
            <w:vAlign w:val="bottom"/>
          </w:tcPr>
          <w:p w:rsidR="0024447C" w:rsidRPr="0061250C" w:rsidRDefault="0024447C" w:rsidP="0024447C">
            <w:pPr>
              <w:pStyle w:val="TableBodyText"/>
              <w:rPr>
                <w:sz w:val="18"/>
                <w:szCs w:val="18"/>
              </w:rPr>
            </w:pPr>
            <w:r w:rsidRPr="0061250C">
              <w:rPr>
                <w:sz w:val="18"/>
                <w:szCs w:val="18"/>
              </w:rPr>
              <w:t xml:space="preserve">  6.1</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2.0</w:t>
            </w:r>
          </w:p>
        </w:tc>
        <w:tc>
          <w:tcPr>
            <w:tcW w:w="708" w:type="dxa"/>
            <w:vAlign w:val="bottom"/>
          </w:tcPr>
          <w:p w:rsidR="0024447C" w:rsidRPr="0061250C" w:rsidRDefault="0024447C" w:rsidP="0024447C">
            <w:pPr>
              <w:pStyle w:val="TableBodyText"/>
              <w:rPr>
                <w:sz w:val="18"/>
                <w:szCs w:val="18"/>
              </w:rPr>
            </w:pPr>
            <w:r w:rsidRPr="0061250C">
              <w:rPr>
                <w:sz w:val="18"/>
                <w:szCs w:val="18"/>
              </w:rPr>
              <w:t xml:space="preserve">  2.2</w:t>
            </w:r>
          </w:p>
        </w:tc>
        <w:tc>
          <w:tcPr>
            <w:tcW w:w="567" w:type="dxa"/>
            <w:vAlign w:val="bottom"/>
          </w:tcPr>
          <w:p w:rsidR="0024447C" w:rsidRPr="0061250C" w:rsidRDefault="0024447C" w:rsidP="0024447C">
            <w:pPr>
              <w:pStyle w:val="TableBodyText"/>
              <w:rPr>
                <w:sz w:val="18"/>
                <w:szCs w:val="18"/>
              </w:rPr>
            </w:pPr>
            <w:r w:rsidRPr="0061250C">
              <w:rPr>
                <w:sz w:val="18"/>
                <w:szCs w:val="18"/>
              </w:rPr>
              <w:t>..</w:t>
            </w:r>
          </w:p>
        </w:tc>
        <w:tc>
          <w:tcPr>
            <w:tcW w:w="567" w:type="dxa"/>
            <w:vAlign w:val="bottom"/>
          </w:tcPr>
          <w:p w:rsidR="0024447C" w:rsidRPr="0061250C" w:rsidRDefault="0024447C" w:rsidP="0024447C">
            <w:pPr>
              <w:pStyle w:val="TableBodyText"/>
              <w:rPr>
                <w:sz w:val="18"/>
                <w:szCs w:val="18"/>
              </w:rPr>
            </w:pPr>
            <w:r w:rsidRPr="0061250C">
              <w:rPr>
                <w:sz w:val="18"/>
                <w:szCs w:val="18"/>
              </w:rPr>
              <w:t>..</w:t>
            </w:r>
          </w:p>
        </w:tc>
        <w:tc>
          <w:tcPr>
            <w:tcW w:w="567" w:type="dxa"/>
            <w:vAlign w:val="bottom"/>
          </w:tcPr>
          <w:p w:rsidR="0024447C" w:rsidRPr="0061250C" w:rsidRDefault="0024447C" w:rsidP="0024447C">
            <w:pPr>
              <w:pStyle w:val="TableBodyText"/>
              <w:rPr>
                <w:sz w:val="18"/>
                <w:szCs w:val="18"/>
              </w:rPr>
            </w:pPr>
            <w:r w:rsidRPr="0061250C">
              <w:rPr>
                <w:sz w:val="18"/>
                <w:szCs w:val="18"/>
              </w:rPr>
              <w:t>..</w:t>
            </w:r>
          </w:p>
        </w:tc>
        <w:tc>
          <w:tcPr>
            <w:tcW w:w="852" w:type="dxa"/>
            <w:vAlign w:val="bottom"/>
          </w:tcPr>
          <w:p w:rsidR="0024447C" w:rsidRPr="0061250C" w:rsidRDefault="0024447C" w:rsidP="0024447C">
            <w:pPr>
              <w:pStyle w:val="TableBodyText"/>
              <w:rPr>
                <w:sz w:val="18"/>
                <w:szCs w:val="18"/>
              </w:rPr>
            </w:pPr>
            <w:r w:rsidRPr="0061250C">
              <w:rPr>
                <w:sz w:val="18"/>
                <w:szCs w:val="18"/>
              </w:rPr>
              <w:t>25.4</w:t>
            </w:r>
          </w:p>
        </w:tc>
      </w:tr>
      <w:tr w:rsidR="0024447C" w:rsidRPr="008A4961" w:rsidTr="00B24C2F">
        <w:tc>
          <w:tcPr>
            <w:tcW w:w="2410" w:type="dxa"/>
          </w:tcPr>
          <w:p w:rsidR="0024447C" w:rsidRPr="008A4961" w:rsidRDefault="0024447C" w:rsidP="00864DBF">
            <w:pPr>
              <w:pStyle w:val="TableBodyText"/>
              <w:jc w:val="left"/>
              <w:rPr>
                <w:rStyle w:val="NoteLabel"/>
              </w:rPr>
            </w:pPr>
            <w:r w:rsidRPr="008A4961">
              <w:t>Magistrates’ (total)</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160.6</w:t>
            </w:r>
          </w:p>
        </w:tc>
        <w:tc>
          <w:tcPr>
            <w:tcW w:w="850" w:type="dxa"/>
            <w:vAlign w:val="bottom"/>
          </w:tcPr>
          <w:p w:rsidR="0024447C" w:rsidRPr="0061250C" w:rsidRDefault="0024447C" w:rsidP="0024447C">
            <w:pPr>
              <w:pStyle w:val="TableBodyText"/>
              <w:rPr>
                <w:sz w:val="18"/>
                <w:szCs w:val="18"/>
              </w:rPr>
            </w:pPr>
            <w:r w:rsidRPr="0061250C">
              <w:rPr>
                <w:sz w:val="18"/>
                <w:szCs w:val="18"/>
              </w:rPr>
              <w:t xml:space="preserve">  210.5</w:t>
            </w:r>
          </w:p>
        </w:tc>
        <w:tc>
          <w:tcPr>
            <w:tcW w:w="851" w:type="dxa"/>
            <w:vAlign w:val="bottom"/>
          </w:tcPr>
          <w:p w:rsidR="0024447C" w:rsidRPr="0061250C" w:rsidRDefault="0024447C" w:rsidP="0024447C">
            <w:pPr>
              <w:pStyle w:val="TableBodyText"/>
              <w:rPr>
                <w:sz w:val="18"/>
                <w:szCs w:val="18"/>
              </w:rPr>
            </w:pPr>
            <w:r w:rsidRPr="0061250C">
              <w:rPr>
                <w:sz w:val="18"/>
                <w:szCs w:val="18"/>
              </w:rPr>
              <w:t xml:space="preserve">  196.4</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87.0</w:t>
            </w:r>
          </w:p>
        </w:tc>
        <w:tc>
          <w:tcPr>
            <w:tcW w:w="708" w:type="dxa"/>
            <w:vAlign w:val="bottom"/>
          </w:tcPr>
          <w:p w:rsidR="0024447C" w:rsidRPr="0061250C" w:rsidRDefault="0024447C" w:rsidP="0024447C">
            <w:pPr>
              <w:pStyle w:val="TableBodyText"/>
              <w:rPr>
                <w:sz w:val="18"/>
                <w:szCs w:val="18"/>
              </w:rPr>
            </w:pPr>
            <w:r w:rsidRPr="0061250C">
              <w:rPr>
                <w:sz w:val="18"/>
                <w:szCs w:val="18"/>
              </w:rPr>
              <w:t xml:space="preserve">  60.2</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17.9</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5.5</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18.7</w:t>
            </w:r>
          </w:p>
        </w:tc>
        <w:tc>
          <w:tcPr>
            <w:tcW w:w="852" w:type="dxa"/>
            <w:vAlign w:val="bottom"/>
          </w:tcPr>
          <w:p w:rsidR="0024447C" w:rsidRPr="0061250C" w:rsidRDefault="0024447C" w:rsidP="0024447C">
            <w:pPr>
              <w:pStyle w:val="TableBodyText"/>
              <w:rPr>
                <w:sz w:val="18"/>
                <w:szCs w:val="18"/>
              </w:rPr>
            </w:pPr>
            <w:r w:rsidRPr="0061250C">
              <w:rPr>
                <w:sz w:val="18"/>
                <w:szCs w:val="18"/>
              </w:rPr>
              <w:t xml:space="preserve">  756.7</w:t>
            </w:r>
          </w:p>
        </w:tc>
      </w:tr>
      <w:tr w:rsidR="0024447C" w:rsidRPr="008A4961" w:rsidTr="00B24C2F">
        <w:tc>
          <w:tcPr>
            <w:tcW w:w="2410" w:type="dxa"/>
          </w:tcPr>
          <w:p w:rsidR="0024447C" w:rsidRPr="00D034AA" w:rsidRDefault="0024447C" w:rsidP="00864DBF">
            <w:pPr>
              <w:pStyle w:val="TableBodyText"/>
              <w:ind w:left="284"/>
              <w:jc w:val="left"/>
              <w:rPr>
                <w:i/>
              </w:rPr>
            </w:pPr>
            <w:r w:rsidRPr="00D034AA">
              <w:rPr>
                <w:i/>
              </w:rPr>
              <w:t>Magistrates’ (only)</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150.6</w:t>
            </w:r>
          </w:p>
        </w:tc>
        <w:tc>
          <w:tcPr>
            <w:tcW w:w="850" w:type="dxa"/>
            <w:vAlign w:val="bottom"/>
          </w:tcPr>
          <w:p w:rsidR="0024447C" w:rsidRPr="0061250C" w:rsidRDefault="0024447C" w:rsidP="0024447C">
            <w:pPr>
              <w:pStyle w:val="TableBodyText"/>
              <w:rPr>
                <w:sz w:val="18"/>
                <w:szCs w:val="18"/>
              </w:rPr>
            </w:pPr>
            <w:r w:rsidRPr="0061250C">
              <w:rPr>
                <w:sz w:val="18"/>
                <w:szCs w:val="18"/>
              </w:rPr>
              <w:t xml:space="preserve">  188.5</w:t>
            </w:r>
          </w:p>
        </w:tc>
        <w:tc>
          <w:tcPr>
            <w:tcW w:w="851" w:type="dxa"/>
            <w:vAlign w:val="bottom"/>
          </w:tcPr>
          <w:p w:rsidR="0024447C" w:rsidRPr="0061250C" w:rsidRDefault="0024447C" w:rsidP="0024447C">
            <w:pPr>
              <w:pStyle w:val="TableBodyText"/>
              <w:rPr>
                <w:sz w:val="18"/>
                <w:szCs w:val="18"/>
              </w:rPr>
            </w:pPr>
            <w:r w:rsidRPr="0061250C">
              <w:rPr>
                <w:sz w:val="18"/>
                <w:szCs w:val="18"/>
              </w:rPr>
              <w:t xml:space="preserve">  183.8</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80.2</w:t>
            </w:r>
          </w:p>
        </w:tc>
        <w:tc>
          <w:tcPr>
            <w:tcW w:w="708" w:type="dxa"/>
            <w:vAlign w:val="bottom"/>
          </w:tcPr>
          <w:p w:rsidR="0024447C" w:rsidRPr="0061250C" w:rsidRDefault="0024447C" w:rsidP="0024447C">
            <w:pPr>
              <w:pStyle w:val="TableBodyText"/>
              <w:rPr>
                <w:sz w:val="18"/>
                <w:szCs w:val="18"/>
              </w:rPr>
            </w:pPr>
            <w:r w:rsidRPr="0061250C">
              <w:rPr>
                <w:sz w:val="18"/>
                <w:szCs w:val="18"/>
              </w:rPr>
              <w:t xml:space="preserve">  54.8</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16.2</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5.1</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16.6</w:t>
            </w:r>
          </w:p>
        </w:tc>
        <w:tc>
          <w:tcPr>
            <w:tcW w:w="852" w:type="dxa"/>
            <w:vAlign w:val="bottom"/>
          </w:tcPr>
          <w:p w:rsidR="0024447C" w:rsidRPr="0061250C" w:rsidRDefault="0024447C" w:rsidP="0024447C">
            <w:pPr>
              <w:pStyle w:val="TableBodyText"/>
              <w:rPr>
                <w:sz w:val="18"/>
                <w:szCs w:val="18"/>
              </w:rPr>
            </w:pPr>
            <w:r w:rsidRPr="0061250C">
              <w:rPr>
                <w:sz w:val="18"/>
                <w:szCs w:val="18"/>
              </w:rPr>
              <w:t xml:space="preserve">  695.8</w:t>
            </w:r>
          </w:p>
        </w:tc>
      </w:tr>
      <w:tr w:rsidR="0024447C" w:rsidRPr="008A4961" w:rsidTr="00990B51">
        <w:tc>
          <w:tcPr>
            <w:tcW w:w="2410" w:type="dxa"/>
          </w:tcPr>
          <w:p w:rsidR="0024447C" w:rsidRPr="00D034AA" w:rsidRDefault="0024447C" w:rsidP="00864DBF">
            <w:pPr>
              <w:pStyle w:val="TableBodyText"/>
              <w:ind w:left="284"/>
              <w:jc w:val="left"/>
              <w:rPr>
                <w:rStyle w:val="NoteLabel"/>
                <w:i/>
              </w:rPr>
            </w:pPr>
            <w:r w:rsidRPr="00D034AA">
              <w:rPr>
                <w:i/>
              </w:rPr>
              <w:t>Children’s</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10.0</w:t>
            </w:r>
          </w:p>
        </w:tc>
        <w:tc>
          <w:tcPr>
            <w:tcW w:w="850" w:type="dxa"/>
            <w:vAlign w:val="bottom"/>
          </w:tcPr>
          <w:p w:rsidR="0024447C" w:rsidRPr="0061250C" w:rsidRDefault="0024447C" w:rsidP="0024447C">
            <w:pPr>
              <w:pStyle w:val="TableBodyText"/>
              <w:rPr>
                <w:sz w:val="18"/>
                <w:szCs w:val="18"/>
              </w:rPr>
            </w:pPr>
            <w:r w:rsidRPr="0061250C">
              <w:rPr>
                <w:sz w:val="18"/>
                <w:szCs w:val="18"/>
              </w:rPr>
              <w:t xml:space="preserve">  22.0</w:t>
            </w:r>
          </w:p>
        </w:tc>
        <w:tc>
          <w:tcPr>
            <w:tcW w:w="851" w:type="dxa"/>
            <w:vAlign w:val="bottom"/>
          </w:tcPr>
          <w:p w:rsidR="0024447C" w:rsidRPr="0061250C" w:rsidRDefault="0024447C" w:rsidP="0024447C">
            <w:pPr>
              <w:pStyle w:val="TableBodyText"/>
              <w:rPr>
                <w:sz w:val="18"/>
                <w:szCs w:val="18"/>
              </w:rPr>
            </w:pPr>
            <w:r w:rsidRPr="0061250C">
              <w:rPr>
                <w:sz w:val="18"/>
                <w:szCs w:val="18"/>
              </w:rPr>
              <w:t xml:space="preserve">  12.5</w:t>
            </w:r>
          </w:p>
        </w:tc>
        <w:tc>
          <w:tcPr>
            <w:tcW w:w="709" w:type="dxa"/>
            <w:vAlign w:val="bottom"/>
          </w:tcPr>
          <w:p w:rsidR="0024447C" w:rsidRPr="0061250C" w:rsidRDefault="0024447C" w:rsidP="0024447C">
            <w:pPr>
              <w:pStyle w:val="TableBodyText"/>
              <w:rPr>
                <w:sz w:val="18"/>
                <w:szCs w:val="18"/>
              </w:rPr>
            </w:pPr>
            <w:r w:rsidRPr="0061250C">
              <w:rPr>
                <w:sz w:val="18"/>
                <w:szCs w:val="18"/>
              </w:rPr>
              <w:t xml:space="preserve">  6.8</w:t>
            </w:r>
          </w:p>
        </w:tc>
        <w:tc>
          <w:tcPr>
            <w:tcW w:w="708" w:type="dxa"/>
            <w:vAlign w:val="bottom"/>
          </w:tcPr>
          <w:p w:rsidR="0024447C" w:rsidRPr="0061250C" w:rsidRDefault="0024447C" w:rsidP="0024447C">
            <w:pPr>
              <w:pStyle w:val="TableBodyText"/>
              <w:rPr>
                <w:sz w:val="18"/>
                <w:szCs w:val="18"/>
              </w:rPr>
            </w:pPr>
            <w:r w:rsidRPr="0061250C">
              <w:rPr>
                <w:sz w:val="18"/>
                <w:szCs w:val="18"/>
              </w:rPr>
              <w:t xml:space="preserve">  5.4</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1.7</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0.5</w:t>
            </w:r>
          </w:p>
        </w:tc>
        <w:tc>
          <w:tcPr>
            <w:tcW w:w="567" w:type="dxa"/>
            <w:vAlign w:val="bottom"/>
          </w:tcPr>
          <w:p w:rsidR="0024447C" w:rsidRPr="0061250C" w:rsidRDefault="0024447C" w:rsidP="0024447C">
            <w:pPr>
              <w:pStyle w:val="TableBodyText"/>
              <w:rPr>
                <w:sz w:val="18"/>
                <w:szCs w:val="18"/>
              </w:rPr>
            </w:pPr>
            <w:r w:rsidRPr="0061250C">
              <w:rPr>
                <w:sz w:val="18"/>
                <w:szCs w:val="18"/>
              </w:rPr>
              <w:t xml:space="preserve">  2.1</w:t>
            </w:r>
          </w:p>
        </w:tc>
        <w:tc>
          <w:tcPr>
            <w:tcW w:w="852" w:type="dxa"/>
            <w:vAlign w:val="bottom"/>
          </w:tcPr>
          <w:p w:rsidR="0024447C" w:rsidRPr="0061250C" w:rsidRDefault="0024447C" w:rsidP="0024447C">
            <w:pPr>
              <w:pStyle w:val="TableBodyText"/>
              <w:rPr>
                <w:sz w:val="18"/>
                <w:szCs w:val="18"/>
              </w:rPr>
            </w:pPr>
            <w:r w:rsidRPr="0061250C">
              <w:rPr>
                <w:sz w:val="18"/>
                <w:szCs w:val="18"/>
              </w:rPr>
              <w:t xml:space="preserve">  60.9</w:t>
            </w:r>
          </w:p>
        </w:tc>
      </w:tr>
      <w:tr w:rsidR="0024447C" w:rsidRPr="00EA54A1" w:rsidTr="00990B51">
        <w:tc>
          <w:tcPr>
            <w:tcW w:w="2410" w:type="dxa"/>
            <w:tcBorders>
              <w:bottom w:val="single" w:sz="4" w:space="0" w:color="auto"/>
            </w:tcBorders>
          </w:tcPr>
          <w:p w:rsidR="0024447C" w:rsidRPr="00EA54A1" w:rsidRDefault="0024447C" w:rsidP="00864DBF">
            <w:pPr>
              <w:pStyle w:val="TableBodyText"/>
              <w:jc w:val="left"/>
              <w:rPr>
                <w:b/>
              </w:rPr>
            </w:pPr>
            <w:r w:rsidRPr="00EA54A1">
              <w:rPr>
                <w:b/>
              </w:rPr>
              <w:t>All criminal courts</w:t>
            </w:r>
          </w:p>
        </w:tc>
        <w:tc>
          <w:tcPr>
            <w:tcW w:w="709"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171.1</w:t>
            </w:r>
          </w:p>
        </w:tc>
        <w:tc>
          <w:tcPr>
            <w:tcW w:w="850"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216.0</w:t>
            </w:r>
          </w:p>
        </w:tc>
        <w:tc>
          <w:tcPr>
            <w:tcW w:w="851"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203.8</w:t>
            </w:r>
          </w:p>
        </w:tc>
        <w:tc>
          <w:tcPr>
            <w:tcW w:w="709"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89.8</w:t>
            </w:r>
          </w:p>
        </w:tc>
        <w:tc>
          <w:tcPr>
            <w:tcW w:w="708"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62.7</w:t>
            </w:r>
          </w:p>
        </w:tc>
        <w:tc>
          <w:tcPr>
            <w:tcW w:w="567"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18.4</w:t>
            </w:r>
          </w:p>
        </w:tc>
        <w:tc>
          <w:tcPr>
            <w:tcW w:w="567"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6.0</w:t>
            </w:r>
          </w:p>
        </w:tc>
        <w:tc>
          <w:tcPr>
            <w:tcW w:w="567"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19.2</w:t>
            </w:r>
          </w:p>
        </w:tc>
        <w:tc>
          <w:tcPr>
            <w:tcW w:w="852" w:type="dxa"/>
            <w:tcBorders>
              <w:bottom w:val="single" w:sz="4" w:space="0" w:color="auto"/>
            </w:tcBorders>
            <w:vAlign w:val="bottom"/>
          </w:tcPr>
          <w:p w:rsidR="0024447C" w:rsidRPr="0061250C" w:rsidRDefault="0024447C" w:rsidP="0024447C">
            <w:pPr>
              <w:pStyle w:val="TableBodyText"/>
              <w:rPr>
                <w:b/>
                <w:bCs/>
                <w:sz w:val="18"/>
                <w:szCs w:val="18"/>
              </w:rPr>
            </w:pPr>
            <w:r w:rsidRPr="0061250C">
              <w:rPr>
                <w:b/>
                <w:bCs/>
                <w:sz w:val="18"/>
                <w:szCs w:val="18"/>
              </w:rPr>
              <w:t>786.9</w:t>
            </w:r>
          </w:p>
        </w:tc>
      </w:tr>
    </w:tbl>
    <w:p w:rsidR="00864DBF" w:rsidRDefault="00864DBF" w:rsidP="00941392">
      <w:pPr>
        <w:pStyle w:val="Note"/>
      </w:pPr>
      <w:r w:rsidRPr="00864DBF">
        <w:rPr>
          <w:rStyle w:val="NoteLabel"/>
        </w:rPr>
        <w:t>a</w:t>
      </w:r>
      <w:r w:rsidR="00143DD2">
        <w:t> </w:t>
      </w:r>
      <w:r w:rsidRPr="00B54F4D">
        <w:t xml:space="preserve">Totals may </w:t>
      </w:r>
      <w:r w:rsidR="00F6723A" w:rsidRPr="00B54F4D">
        <w:t>not add as a result of rounding</w:t>
      </w:r>
      <w:r w:rsidR="001A384A" w:rsidRPr="00B54F4D">
        <w:t>.</w:t>
      </w:r>
      <w:r w:rsidR="00B24C2F" w:rsidRPr="00B54F4D">
        <w:t xml:space="preserve"> </w:t>
      </w:r>
      <w:r w:rsidR="00E92ADD" w:rsidRPr="00B54F4D">
        <w:rPr>
          <w:b/>
        </w:rPr>
        <w:t>.. </w:t>
      </w:r>
      <w:r w:rsidR="00E92ADD" w:rsidRPr="00B54F4D">
        <w:t>Not applicable</w:t>
      </w:r>
    </w:p>
    <w:p w:rsidR="00864DBF" w:rsidRDefault="00864DBF" w:rsidP="00A031DD">
      <w:pPr>
        <w:pStyle w:val="Source"/>
        <w:spacing w:after="0"/>
      </w:pPr>
      <w:r>
        <w:rPr>
          <w:i/>
        </w:rPr>
        <w:t>Source</w:t>
      </w:r>
      <w:r w:rsidR="00CA385B">
        <w:t xml:space="preserve">: State </w:t>
      </w:r>
      <w:r>
        <w:t xml:space="preserve">and Territory court authorities and departments (unpublished); </w:t>
      </w:r>
      <w:r w:rsidR="00A76A9C">
        <w:t>table </w:t>
      </w:r>
      <w:proofErr w:type="spellStart"/>
      <w:r w:rsidR="00A76A9C">
        <w:t>7</w:t>
      </w:r>
      <w:r>
        <w:t>A.</w:t>
      </w:r>
      <w:r w:rsidR="00B82184">
        <w:t>6</w:t>
      </w:r>
      <w:proofErr w:type="spellEnd"/>
      <w:r>
        <w:t>.</w:t>
      </w:r>
    </w:p>
    <w:p w:rsidR="00205854" w:rsidRPr="00205854" w:rsidRDefault="00205854" w:rsidP="00941392">
      <w:pPr>
        <w:pStyle w:val="BodyText"/>
        <w:pBdr>
          <w:bar w:val="single" w:sz="4" w:color="auto"/>
        </w:pBdr>
      </w:pPr>
      <w:r w:rsidRPr="007907DB">
        <w:lastRenderedPageBreak/>
        <w:t xml:space="preserve">Nationally, in </w:t>
      </w:r>
      <w:r w:rsidR="00342899">
        <w:t>2012</w:t>
      </w:r>
      <w:r w:rsidR="00205BCF">
        <w:noBreakHyphen/>
      </w:r>
      <w:r w:rsidR="00342899">
        <w:t>13</w:t>
      </w:r>
      <w:r w:rsidRPr="007907DB">
        <w:t>,</w:t>
      </w:r>
      <w:r w:rsidR="00342899">
        <w:t xml:space="preserve"> </w:t>
      </w:r>
      <w:r w:rsidR="00240412" w:rsidRPr="00B24A87">
        <w:t>49</w:t>
      </w:r>
      <w:r w:rsidR="00766EAE" w:rsidRPr="00B24A87">
        <w:t>1</w:t>
      </w:r>
      <w:r w:rsidR="00240412" w:rsidRPr="00B24A87">
        <w:t> </w:t>
      </w:r>
      <w:r w:rsidR="00766EAE" w:rsidRPr="00B24A87">
        <w:t>2</w:t>
      </w:r>
      <w:r w:rsidR="00240412" w:rsidRPr="00B24A87">
        <w:t>00</w:t>
      </w:r>
      <w:r w:rsidRPr="007907DB">
        <w:t xml:space="preserve"> cases were finalised in the civil jurisdiction (excluding family courts, the Federal </w:t>
      </w:r>
      <w:r w:rsidR="00E55B44">
        <w:t>Circuit</w:t>
      </w:r>
      <w:r w:rsidRPr="007907DB">
        <w:t xml:space="preserve"> Court</w:t>
      </w:r>
      <w:r>
        <w:t>, coroners’ and probate courts)</w:t>
      </w:r>
      <w:r w:rsidRPr="007907DB">
        <w:t xml:space="preserve"> comprising </w:t>
      </w:r>
      <w:r w:rsidR="00240412" w:rsidRPr="00B24A87">
        <w:t>48</w:t>
      </w:r>
      <w:r w:rsidR="008D7B21" w:rsidRPr="00B24A87">
        <w:t>4</w:t>
      </w:r>
      <w:r w:rsidR="00240412" w:rsidRPr="00B24A87">
        <w:t> </w:t>
      </w:r>
      <w:r w:rsidR="008D7B21" w:rsidRPr="00B24A87">
        <w:t>6</w:t>
      </w:r>
      <w:r w:rsidR="00240412" w:rsidRPr="00B24A87">
        <w:t>00</w:t>
      </w:r>
      <w:r w:rsidR="00342899">
        <w:t xml:space="preserve"> </w:t>
      </w:r>
      <w:r w:rsidRPr="007907DB">
        <w:t xml:space="preserve">civil cases finalised in State and Territory supreme, district/county and magistrates’ courts, and </w:t>
      </w:r>
      <w:r w:rsidR="00240412">
        <w:t>6600</w:t>
      </w:r>
      <w:r w:rsidRPr="007907DB">
        <w:t xml:space="preserve"> cases finalised in the Federal Court. In addition, the Federal </w:t>
      </w:r>
      <w:r w:rsidR="00E55B44">
        <w:t>Circuit</w:t>
      </w:r>
      <w:r w:rsidRPr="007907DB">
        <w:t xml:space="preserve"> Court finalised </w:t>
      </w:r>
      <w:r w:rsidR="003D35A2">
        <w:t>90 600</w:t>
      </w:r>
      <w:r w:rsidRPr="007907DB">
        <w:t xml:space="preserve"> matters (mainly</w:t>
      </w:r>
      <w:r>
        <w:t xml:space="preserve"> family law forms </w:t>
      </w:r>
      <w:r w:rsidR="00C82F20">
        <w:t xml:space="preserve">and </w:t>
      </w:r>
      <w:r>
        <w:t xml:space="preserve">some federal law cases) and the two family courts finalised </w:t>
      </w:r>
      <w:r w:rsidR="0075612B">
        <w:t>34 000</w:t>
      </w:r>
      <w:r w:rsidRPr="007907DB">
        <w:t xml:space="preserve"> matters. The Family Court of WA processes a mixture of work that includes elements of the work dealt with by the different federal courts. There were around </w:t>
      </w:r>
      <w:r w:rsidR="00E02505">
        <w:t>22 700</w:t>
      </w:r>
      <w:r w:rsidRPr="007907DB">
        <w:t xml:space="preserve"> finalisations (involving reported deaths and fires) in coroners’ courts</w:t>
      </w:r>
      <w:r>
        <w:t xml:space="preserve"> (table 7.6).</w:t>
      </w:r>
    </w:p>
    <w:p w:rsidR="00864DBF" w:rsidRPr="005E6DA1" w:rsidRDefault="00864DBF">
      <w:pPr>
        <w:pStyle w:val="TableTitle"/>
      </w:pPr>
      <w:r w:rsidRPr="005E6DA1">
        <w:rPr>
          <w:b w:val="0"/>
        </w:rPr>
        <w:t>Table 7.</w:t>
      </w:r>
      <w:r w:rsidR="00E75B12" w:rsidRPr="005E6DA1">
        <w:rPr>
          <w:b w:val="0"/>
          <w:noProof/>
        </w:rPr>
        <w:t>6</w:t>
      </w:r>
      <w:r w:rsidRPr="005E6DA1">
        <w:tab/>
      </w:r>
      <w:r w:rsidR="00F17D60" w:rsidRPr="005E6DA1">
        <w:t>Court finalisations</w:t>
      </w:r>
      <w:r w:rsidR="00505751" w:rsidRPr="005E6DA1">
        <w:t xml:space="preserve"> — </w:t>
      </w:r>
      <w:r w:rsidR="00736DEC" w:rsidRPr="005E6DA1">
        <w:t xml:space="preserve">civil, </w:t>
      </w:r>
      <w:r w:rsidR="00342899">
        <w:t>2012</w:t>
      </w:r>
      <w:r w:rsidR="00806EBC">
        <w:t>-</w:t>
      </w:r>
      <w:r w:rsidR="00342899">
        <w:t>13</w:t>
      </w:r>
      <w:r w:rsidR="00736DEC" w:rsidRPr="005E6DA1">
        <w:t xml:space="preserve"> (‘</w:t>
      </w:r>
      <w:r w:rsidR="00F17D60" w:rsidRPr="005E6DA1">
        <w:t>000)</w:t>
      </w:r>
      <w:r w:rsidR="00F17D60" w:rsidRPr="005E6DA1">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268"/>
        <w:gridCol w:w="709"/>
        <w:gridCol w:w="595"/>
        <w:gridCol w:w="652"/>
        <w:gridCol w:w="652"/>
        <w:gridCol w:w="653"/>
        <w:gridCol w:w="652"/>
        <w:gridCol w:w="652"/>
        <w:gridCol w:w="652"/>
        <w:gridCol w:w="652"/>
        <w:gridCol w:w="653"/>
      </w:tblGrid>
      <w:tr w:rsidR="00776F16" w:rsidTr="000867E9">
        <w:tc>
          <w:tcPr>
            <w:tcW w:w="2268" w:type="dxa"/>
            <w:tcBorders>
              <w:top w:val="single" w:sz="6" w:space="0" w:color="auto"/>
              <w:bottom w:val="single" w:sz="4" w:space="0" w:color="auto"/>
            </w:tcBorders>
          </w:tcPr>
          <w:p w:rsidR="00776F16" w:rsidRDefault="00776F16" w:rsidP="00776F16">
            <w:pPr>
              <w:pStyle w:val="TableColumnHeading"/>
              <w:jc w:val="left"/>
            </w:pPr>
          </w:p>
        </w:tc>
        <w:tc>
          <w:tcPr>
            <w:tcW w:w="709" w:type="dxa"/>
            <w:tcBorders>
              <w:top w:val="single" w:sz="6" w:space="0" w:color="auto"/>
              <w:bottom w:val="single" w:sz="4" w:space="0" w:color="auto"/>
            </w:tcBorders>
          </w:tcPr>
          <w:p w:rsidR="00776F16" w:rsidRDefault="00776F16" w:rsidP="00776F16">
            <w:pPr>
              <w:pStyle w:val="TableColumnHeading"/>
            </w:pPr>
            <w:r>
              <w:t>NSW</w:t>
            </w:r>
          </w:p>
        </w:tc>
        <w:tc>
          <w:tcPr>
            <w:tcW w:w="595" w:type="dxa"/>
            <w:tcBorders>
              <w:top w:val="single" w:sz="6" w:space="0" w:color="auto"/>
              <w:bottom w:val="single" w:sz="4" w:space="0" w:color="auto"/>
            </w:tcBorders>
          </w:tcPr>
          <w:p w:rsidR="00776F16" w:rsidRPr="009D7C90" w:rsidRDefault="00776F16" w:rsidP="00776F16">
            <w:pPr>
              <w:pStyle w:val="TableColumnHeading"/>
              <w:rPr>
                <w:rStyle w:val="NoteLabel"/>
              </w:rPr>
            </w:pPr>
            <w:r>
              <w:t>Vic</w:t>
            </w:r>
          </w:p>
        </w:tc>
        <w:tc>
          <w:tcPr>
            <w:tcW w:w="652" w:type="dxa"/>
            <w:tcBorders>
              <w:top w:val="single" w:sz="6" w:space="0" w:color="auto"/>
              <w:bottom w:val="single" w:sz="4" w:space="0" w:color="auto"/>
            </w:tcBorders>
          </w:tcPr>
          <w:p w:rsidR="00776F16" w:rsidRDefault="00776F16" w:rsidP="00776F16">
            <w:pPr>
              <w:pStyle w:val="TableColumnHeading"/>
            </w:pPr>
            <w:r>
              <w:t>Qld</w:t>
            </w:r>
            <w:r w:rsidR="00530CF8" w:rsidRPr="00716213">
              <w:rPr>
                <w:rStyle w:val="NoteLabel"/>
                <w:i w:val="0"/>
              </w:rPr>
              <w:t>b</w:t>
            </w:r>
          </w:p>
        </w:tc>
        <w:tc>
          <w:tcPr>
            <w:tcW w:w="652" w:type="dxa"/>
            <w:tcBorders>
              <w:top w:val="single" w:sz="6" w:space="0" w:color="auto"/>
              <w:bottom w:val="single" w:sz="4" w:space="0" w:color="auto"/>
            </w:tcBorders>
          </w:tcPr>
          <w:p w:rsidR="00776F16" w:rsidRDefault="00776F16" w:rsidP="00776F16">
            <w:pPr>
              <w:pStyle w:val="TableColumnHeading"/>
            </w:pPr>
            <w:r>
              <w:t>WA</w:t>
            </w:r>
          </w:p>
        </w:tc>
        <w:tc>
          <w:tcPr>
            <w:tcW w:w="653" w:type="dxa"/>
            <w:tcBorders>
              <w:top w:val="single" w:sz="6" w:space="0" w:color="auto"/>
              <w:bottom w:val="single" w:sz="4" w:space="0" w:color="auto"/>
            </w:tcBorders>
          </w:tcPr>
          <w:p w:rsidR="00776F16" w:rsidRDefault="00776F16" w:rsidP="00776F16">
            <w:pPr>
              <w:pStyle w:val="TableColumnHeading"/>
            </w:pPr>
            <w:r>
              <w:t>SA</w:t>
            </w:r>
          </w:p>
        </w:tc>
        <w:tc>
          <w:tcPr>
            <w:tcW w:w="652" w:type="dxa"/>
            <w:tcBorders>
              <w:top w:val="single" w:sz="6" w:space="0" w:color="auto"/>
              <w:bottom w:val="single" w:sz="4" w:space="0" w:color="auto"/>
            </w:tcBorders>
          </w:tcPr>
          <w:p w:rsidR="00776F16" w:rsidRDefault="00776F16" w:rsidP="00776F16">
            <w:pPr>
              <w:pStyle w:val="TableColumnHeading"/>
            </w:pPr>
            <w:proofErr w:type="spellStart"/>
            <w:r>
              <w:t>Tas</w:t>
            </w:r>
            <w:proofErr w:type="spellEnd"/>
          </w:p>
        </w:tc>
        <w:tc>
          <w:tcPr>
            <w:tcW w:w="652" w:type="dxa"/>
            <w:tcBorders>
              <w:top w:val="single" w:sz="6" w:space="0" w:color="auto"/>
              <w:bottom w:val="single" w:sz="4" w:space="0" w:color="auto"/>
            </w:tcBorders>
          </w:tcPr>
          <w:p w:rsidR="00776F16" w:rsidRDefault="00776F16" w:rsidP="00776F16">
            <w:pPr>
              <w:pStyle w:val="TableColumnHeading"/>
            </w:pPr>
            <w:r>
              <w:t>ACT</w:t>
            </w:r>
          </w:p>
        </w:tc>
        <w:tc>
          <w:tcPr>
            <w:tcW w:w="652" w:type="dxa"/>
            <w:tcBorders>
              <w:top w:val="single" w:sz="6" w:space="0" w:color="auto"/>
              <w:bottom w:val="single" w:sz="4" w:space="0" w:color="auto"/>
            </w:tcBorders>
          </w:tcPr>
          <w:p w:rsidR="00776F16" w:rsidRPr="009D7C90" w:rsidRDefault="00776F16" w:rsidP="00776F16">
            <w:pPr>
              <w:pStyle w:val="TableColumnHeading"/>
              <w:rPr>
                <w:rStyle w:val="NoteLabel"/>
              </w:rPr>
            </w:pPr>
            <w:r>
              <w:t>NT</w:t>
            </w:r>
          </w:p>
        </w:tc>
        <w:tc>
          <w:tcPr>
            <w:tcW w:w="652" w:type="dxa"/>
            <w:tcBorders>
              <w:top w:val="single" w:sz="6" w:space="0" w:color="auto"/>
              <w:bottom w:val="single" w:sz="4" w:space="0" w:color="auto"/>
            </w:tcBorders>
          </w:tcPr>
          <w:p w:rsidR="00776F16" w:rsidRPr="006B7A0B" w:rsidRDefault="008D38A2" w:rsidP="00776F16">
            <w:pPr>
              <w:pStyle w:val="TableColumnHeading"/>
              <w:ind w:right="28"/>
              <w:rPr>
                <w:rStyle w:val="NoteLabel"/>
                <w:spacing w:val="-4"/>
                <w:szCs w:val="18"/>
              </w:rPr>
            </w:pPr>
            <w:proofErr w:type="spellStart"/>
            <w:r>
              <w:rPr>
                <w:spacing w:val="-4"/>
                <w:sz w:val="18"/>
                <w:szCs w:val="18"/>
              </w:rPr>
              <w:t>Aust</w:t>
            </w:r>
            <w:proofErr w:type="spellEnd"/>
            <w:r>
              <w:rPr>
                <w:spacing w:val="-4"/>
                <w:sz w:val="18"/>
                <w:szCs w:val="18"/>
              </w:rPr>
              <w:t xml:space="preserve"> courts</w:t>
            </w:r>
          </w:p>
        </w:tc>
        <w:tc>
          <w:tcPr>
            <w:tcW w:w="653" w:type="dxa"/>
            <w:tcBorders>
              <w:top w:val="single" w:sz="6" w:space="0" w:color="auto"/>
              <w:bottom w:val="single" w:sz="4" w:space="0" w:color="auto"/>
            </w:tcBorders>
          </w:tcPr>
          <w:p w:rsidR="00776F16" w:rsidRDefault="00776F16" w:rsidP="00776F16">
            <w:pPr>
              <w:pStyle w:val="TableColumnHeading"/>
              <w:ind w:right="28"/>
            </w:pPr>
            <w:r>
              <w:t>Total</w:t>
            </w:r>
          </w:p>
        </w:tc>
      </w:tr>
      <w:tr w:rsidR="00A93D33" w:rsidRPr="000B6D4F" w:rsidTr="000867E9">
        <w:tc>
          <w:tcPr>
            <w:tcW w:w="2268" w:type="dxa"/>
            <w:tcBorders>
              <w:top w:val="single" w:sz="4" w:space="0" w:color="auto"/>
            </w:tcBorders>
          </w:tcPr>
          <w:p w:rsidR="00A93D33" w:rsidRPr="000B6D4F" w:rsidRDefault="00A93D33" w:rsidP="00776F16">
            <w:pPr>
              <w:pStyle w:val="TableBodyText"/>
              <w:jc w:val="left"/>
              <w:rPr>
                <w:rStyle w:val="NoteLabel"/>
              </w:rPr>
            </w:pPr>
            <w:r w:rsidRPr="000B6D4F">
              <w:t>Supreme</w:t>
            </w:r>
            <w:r>
              <w:rPr>
                <w:rStyle w:val="NoteLabel"/>
              </w:rPr>
              <w:t>b</w:t>
            </w:r>
            <w:r w:rsidRPr="000B6D4F">
              <w:t>/Federal</w:t>
            </w:r>
          </w:p>
        </w:tc>
        <w:tc>
          <w:tcPr>
            <w:tcW w:w="709"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12.5</w:t>
            </w:r>
          </w:p>
        </w:tc>
        <w:tc>
          <w:tcPr>
            <w:tcW w:w="595"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7.5</w:t>
            </w:r>
          </w:p>
        </w:tc>
        <w:tc>
          <w:tcPr>
            <w:tcW w:w="652"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4.2</w:t>
            </w:r>
          </w:p>
        </w:tc>
        <w:tc>
          <w:tcPr>
            <w:tcW w:w="652"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2.8</w:t>
            </w:r>
          </w:p>
        </w:tc>
        <w:tc>
          <w:tcPr>
            <w:tcW w:w="653"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1.3</w:t>
            </w:r>
          </w:p>
        </w:tc>
        <w:tc>
          <w:tcPr>
            <w:tcW w:w="652"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1.0</w:t>
            </w:r>
          </w:p>
        </w:tc>
        <w:tc>
          <w:tcPr>
            <w:tcW w:w="652"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0.9</w:t>
            </w:r>
          </w:p>
        </w:tc>
        <w:tc>
          <w:tcPr>
            <w:tcW w:w="652"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0.3</w:t>
            </w:r>
          </w:p>
        </w:tc>
        <w:tc>
          <w:tcPr>
            <w:tcW w:w="652"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 xml:space="preserve">  6.6</w:t>
            </w:r>
          </w:p>
        </w:tc>
        <w:tc>
          <w:tcPr>
            <w:tcW w:w="653" w:type="dxa"/>
            <w:tcBorders>
              <w:top w:val="single" w:sz="4" w:space="0" w:color="auto"/>
            </w:tcBorders>
            <w:vAlign w:val="bottom"/>
          </w:tcPr>
          <w:p w:rsidR="00A93D33" w:rsidRPr="00A93D33" w:rsidRDefault="00A93D33" w:rsidP="00A93D33">
            <w:pPr>
              <w:pStyle w:val="TableBodyText"/>
              <w:rPr>
                <w:sz w:val="18"/>
                <w:szCs w:val="18"/>
              </w:rPr>
            </w:pPr>
            <w:r w:rsidRPr="00A93D33">
              <w:rPr>
                <w:sz w:val="18"/>
                <w:szCs w:val="18"/>
              </w:rPr>
              <w:t>37.1</w:t>
            </w:r>
          </w:p>
        </w:tc>
      </w:tr>
      <w:tr w:rsidR="00A93D33" w:rsidRPr="000B6D4F" w:rsidTr="000867E9">
        <w:tc>
          <w:tcPr>
            <w:tcW w:w="2268" w:type="dxa"/>
          </w:tcPr>
          <w:p w:rsidR="00A93D33" w:rsidRPr="000B6D4F" w:rsidRDefault="00A93D33" w:rsidP="00776F16">
            <w:pPr>
              <w:pStyle w:val="TableBodyText"/>
              <w:jc w:val="left"/>
              <w:rPr>
                <w:rStyle w:val="NoteLabel"/>
              </w:rPr>
            </w:pPr>
            <w:r w:rsidRPr="000B6D4F">
              <w:t>District/County</w:t>
            </w:r>
          </w:p>
        </w:tc>
        <w:tc>
          <w:tcPr>
            <w:tcW w:w="709" w:type="dxa"/>
            <w:vAlign w:val="bottom"/>
          </w:tcPr>
          <w:p w:rsidR="00A93D33" w:rsidRPr="00A93D33" w:rsidRDefault="00A93D33" w:rsidP="00A93D33">
            <w:pPr>
              <w:pStyle w:val="TableBodyText"/>
              <w:rPr>
                <w:sz w:val="18"/>
                <w:szCs w:val="18"/>
              </w:rPr>
            </w:pPr>
            <w:r w:rsidRPr="00A93D33">
              <w:rPr>
                <w:sz w:val="18"/>
                <w:szCs w:val="18"/>
              </w:rPr>
              <w:t xml:space="preserve">  7.9</w:t>
            </w:r>
          </w:p>
        </w:tc>
        <w:tc>
          <w:tcPr>
            <w:tcW w:w="595" w:type="dxa"/>
            <w:vAlign w:val="bottom"/>
          </w:tcPr>
          <w:p w:rsidR="00A93D33" w:rsidRPr="00A93D33" w:rsidRDefault="00A93D33" w:rsidP="00A93D33">
            <w:pPr>
              <w:pStyle w:val="TableBodyText"/>
              <w:rPr>
                <w:sz w:val="18"/>
                <w:szCs w:val="18"/>
              </w:rPr>
            </w:pPr>
            <w:r w:rsidRPr="00A93D33">
              <w:rPr>
                <w:sz w:val="18"/>
                <w:szCs w:val="18"/>
              </w:rPr>
              <w:t xml:space="preserve">  6.3</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6.0</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4.5</w:t>
            </w:r>
          </w:p>
        </w:tc>
        <w:tc>
          <w:tcPr>
            <w:tcW w:w="653" w:type="dxa"/>
            <w:vAlign w:val="bottom"/>
          </w:tcPr>
          <w:p w:rsidR="00A93D33" w:rsidRPr="00A93D33" w:rsidRDefault="00A93D33" w:rsidP="00A93D33">
            <w:pPr>
              <w:pStyle w:val="TableBodyText"/>
              <w:rPr>
                <w:sz w:val="18"/>
                <w:szCs w:val="18"/>
              </w:rPr>
            </w:pPr>
            <w:r w:rsidRPr="00A93D33">
              <w:rPr>
                <w:sz w:val="18"/>
                <w:szCs w:val="18"/>
              </w:rPr>
              <w:t xml:space="preserve">  2.9</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3" w:type="dxa"/>
            <w:vAlign w:val="bottom"/>
          </w:tcPr>
          <w:p w:rsidR="00A93D33" w:rsidRPr="00A93D33" w:rsidRDefault="00A93D33" w:rsidP="00A93D33">
            <w:pPr>
              <w:pStyle w:val="TableBodyText"/>
              <w:rPr>
                <w:sz w:val="18"/>
                <w:szCs w:val="18"/>
              </w:rPr>
            </w:pPr>
            <w:r w:rsidRPr="00A93D33">
              <w:rPr>
                <w:sz w:val="18"/>
                <w:szCs w:val="18"/>
              </w:rPr>
              <w:t>27.7</w:t>
            </w:r>
          </w:p>
        </w:tc>
      </w:tr>
      <w:tr w:rsidR="00A93D33" w:rsidRPr="000B6D4F" w:rsidTr="00757BD0">
        <w:tc>
          <w:tcPr>
            <w:tcW w:w="2268" w:type="dxa"/>
          </w:tcPr>
          <w:p w:rsidR="00A93D33" w:rsidRPr="00121A7C" w:rsidRDefault="00A93D33" w:rsidP="00776F16">
            <w:pPr>
              <w:pStyle w:val="TableBodyText"/>
              <w:jc w:val="left"/>
              <w:rPr>
                <w:rStyle w:val="NoteLabel"/>
              </w:rPr>
            </w:pPr>
            <w:r w:rsidRPr="000B6D4F">
              <w:t>Magistrates’ (total)</w:t>
            </w:r>
          </w:p>
        </w:tc>
        <w:tc>
          <w:tcPr>
            <w:tcW w:w="709" w:type="dxa"/>
            <w:vAlign w:val="bottom"/>
          </w:tcPr>
          <w:p w:rsidR="00A93D33" w:rsidRPr="00A93D33" w:rsidRDefault="00A93D33" w:rsidP="00A93D33">
            <w:pPr>
              <w:pStyle w:val="TableBodyText"/>
              <w:rPr>
                <w:sz w:val="18"/>
                <w:szCs w:val="18"/>
              </w:rPr>
            </w:pPr>
            <w:r w:rsidRPr="00A93D33">
              <w:rPr>
                <w:sz w:val="18"/>
                <w:szCs w:val="18"/>
              </w:rPr>
              <w:t xml:space="preserve">  154.9</w:t>
            </w:r>
          </w:p>
        </w:tc>
        <w:tc>
          <w:tcPr>
            <w:tcW w:w="595" w:type="dxa"/>
            <w:vAlign w:val="bottom"/>
          </w:tcPr>
          <w:p w:rsidR="00A93D33" w:rsidRPr="00807766" w:rsidRDefault="00A93D33" w:rsidP="00A93D33">
            <w:pPr>
              <w:pStyle w:val="TableBodyText"/>
              <w:tabs>
                <w:tab w:val="right" w:pos="8789"/>
              </w:tabs>
              <w:ind w:hanging="737"/>
              <w:rPr>
                <w:sz w:val="18"/>
                <w:szCs w:val="18"/>
              </w:rPr>
            </w:pPr>
            <w:r w:rsidRPr="00807766">
              <w:rPr>
                <w:sz w:val="18"/>
                <w:szCs w:val="18"/>
              </w:rPr>
              <w:t>11</w:t>
            </w:r>
            <w:r w:rsidR="004E228B" w:rsidRPr="00807766">
              <w:rPr>
                <w:sz w:val="18"/>
                <w:szCs w:val="18"/>
              </w:rPr>
              <w:t>2</w:t>
            </w:r>
            <w:r w:rsidRPr="00807766">
              <w:rPr>
                <w:sz w:val="18"/>
                <w:szCs w:val="18"/>
              </w:rPr>
              <w:t>.4</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57.8</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53.4</w:t>
            </w:r>
          </w:p>
        </w:tc>
        <w:tc>
          <w:tcPr>
            <w:tcW w:w="653" w:type="dxa"/>
            <w:vAlign w:val="bottom"/>
          </w:tcPr>
          <w:p w:rsidR="00A93D33" w:rsidRPr="00A93D33" w:rsidRDefault="00A93D33" w:rsidP="00A93D33">
            <w:pPr>
              <w:pStyle w:val="TableBodyText"/>
              <w:rPr>
                <w:sz w:val="18"/>
                <w:szCs w:val="18"/>
              </w:rPr>
            </w:pPr>
            <w:r w:rsidRPr="00A93D33">
              <w:rPr>
                <w:sz w:val="18"/>
                <w:szCs w:val="18"/>
              </w:rPr>
              <w:t xml:space="preserve">  27.6</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9.0</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3.9</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7.4</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3" w:type="dxa"/>
            <w:vAlign w:val="bottom"/>
          </w:tcPr>
          <w:p w:rsidR="00A93D33" w:rsidRPr="00807766" w:rsidRDefault="00A93D33" w:rsidP="00A93D33">
            <w:pPr>
              <w:pStyle w:val="TableBodyText"/>
              <w:rPr>
                <w:sz w:val="18"/>
                <w:szCs w:val="18"/>
              </w:rPr>
            </w:pPr>
            <w:r w:rsidRPr="00807766">
              <w:rPr>
                <w:sz w:val="18"/>
                <w:szCs w:val="18"/>
              </w:rPr>
              <w:t>42</w:t>
            </w:r>
            <w:r w:rsidR="00A43C1F" w:rsidRPr="00807766">
              <w:rPr>
                <w:sz w:val="18"/>
                <w:szCs w:val="18"/>
              </w:rPr>
              <w:t>6</w:t>
            </w:r>
            <w:r w:rsidRPr="00807766">
              <w:rPr>
                <w:sz w:val="18"/>
                <w:szCs w:val="18"/>
              </w:rPr>
              <w:t>.</w:t>
            </w:r>
            <w:r w:rsidR="00A43C1F" w:rsidRPr="00807766">
              <w:rPr>
                <w:sz w:val="18"/>
                <w:szCs w:val="18"/>
              </w:rPr>
              <w:t>4</w:t>
            </w:r>
          </w:p>
        </w:tc>
      </w:tr>
      <w:tr w:rsidR="00A93D33" w:rsidRPr="000B6D4F" w:rsidTr="00757BD0">
        <w:tc>
          <w:tcPr>
            <w:tcW w:w="2268" w:type="dxa"/>
          </w:tcPr>
          <w:p w:rsidR="00A93D33" w:rsidRPr="000B6D4F" w:rsidRDefault="00A93D33" w:rsidP="00776F16">
            <w:pPr>
              <w:pStyle w:val="TableBodyText"/>
              <w:ind w:left="284"/>
              <w:jc w:val="left"/>
              <w:rPr>
                <w:rStyle w:val="NoteLabel"/>
                <w:i/>
              </w:rPr>
            </w:pPr>
            <w:r w:rsidRPr="00D034AA">
              <w:rPr>
                <w:i/>
              </w:rPr>
              <w:t>Magistrates’ (only)</w:t>
            </w:r>
          </w:p>
        </w:tc>
        <w:tc>
          <w:tcPr>
            <w:tcW w:w="709" w:type="dxa"/>
            <w:vAlign w:val="bottom"/>
          </w:tcPr>
          <w:p w:rsidR="00A93D33" w:rsidRPr="00A93D33" w:rsidRDefault="00A93D33" w:rsidP="00A93D33">
            <w:pPr>
              <w:pStyle w:val="TableBodyText"/>
              <w:rPr>
                <w:sz w:val="18"/>
                <w:szCs w:val="18"/>
              </w:rPr>
            </w:pPr>
            <w:r w:rsidRPr="00A93D33">
              <w:rPr>
                <w:sz w:val="18"/>
                <w:szCs w:val="18"/>
              </w:rPr>
              <w:t xml:space="preserve">  146.1</w:t>
            </w:r>
          </w:p>
        </w:tc>
        <w:tc>
          <w:tcPr>
            <w:tcW w:w="595" w:type="dxa"/>
            <w:vAlign w:val="bottom"/>
          </w:tcPr>
          <w:p w:rsidR="00A93D33" w:rsidRPr="00807766" w:rsidRDefault="00A93D33" w:rsidP="00A93D33">
            <w:pPr>
              <w:pStyle w:val="TableBodyText"/>
              <w:tabs>
                <w:tab w:val="right" w:pos="8789"/>
              </w:tabs>
              <w:ind w:hanging="737"/>
              <w:rPr>
                <w:sz w:val="18"/>
                <w:szCs w:val="18"/>
              </w:rPr>
            </w:pPr>
            <w:r w:rsidRPr="00807766">
              <w:rPr>
                <w:sz w:val="18"/>
                <w:szCs w:val="18"/>
              </w:rPr>
              <w:t>10</w:t>
            </w:r>
            <w:r w:rsidR="004E228B" w:rsidRPr="00807766">
              <w:rPr>
                <w:sz w:val="18"/>
                <w:szCs w:val="18"/>
              </w:rPr>
              <w:t>6</w:t>
            </w:r>
            <w:r w:rsidRPr="00807766">
              <w:rPr>
                <w:sz w:val="18"/>
                <w:szCs w:val="18"/>
              </w:rPr>
              <w:t>.</w:t>
            </w:r>
            <w:r w:rsidR="004E228B" w:rsidRPr="00807766">
              <w:rPr>
                <w:sz w:val="18"/>
                <w:szCs w:val="18"/>
              </w:rPr>
              <w:t>2</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53.9</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50.7</w:t>
            </w:r>
          </w:p>
        </w:tc>
        <w:tc>
          <w:tcPr>
            <w:tcW w:w="653" w:type="dxa"/>
            <w:vAlign w:val="bottom"/>
          </w:tcPr>
          <w:p w:rsidR="00A93D33" w:rsidRPr="00A93D33" w:rsidRDefault="00A93D33" w:rsidP="00A93D33">
            <w:pPr>
              <w:pStyle w:val="TableBodyText"/>
              <w:rPr>
                <w:sz w:val="18"/>
                <w:szCs w:val="18"/>
              </w:rPr>
            </w:pPr>
            <w:r w:rsidRPr="00A93D33">
              <w:rPr>
                <w:sz w:val="18"/>
                <w:szCs w:val="18"/>
              </w:rPr>
              <w:t xml:space="preserve">  26.4</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8.5</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3.8</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7.0</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3" w:type="dxa"/>
            <w:vAlign w:val="bottom"/>
          </w:tcPr>
          <w:p w:rsidR="00A93D33" w:rsidRPr="00807766" w:rsidRDefault="00A93D33" w:rsidP="00A93D33">
            <w:pPr>
              <w:pStyle w:val="TableBodyText"/>
              <w:rPr>
                <w:sz w:val="18"/>
                <w:szCs w:val="18"/>
              </w:rPr>
            </w:pPr>
            <w:r w:rsidRPr="00807766">
              <w:rPr>
                <w:sz w:val="18"/>
                <w:szCs w:val="18"/>
              </w:rPr>
              <w:t>40</w:t>
            </w:r>
            <w:r w:rsidR="00A43C1F" w:rsidRPr="00807766">
              <w:rPr>
                <w:sz w:val="18"/>
                <w:szCs w:val="18"/>
              </w:rPr>
              <w:t>2</w:t>
            </w:r>
            <w:r w:rsidRPr="00807766">
              <w:rPr>
                <w:sz w:val="18"/>
                <w:szCs w:val="18"/>
              </w:rPr>
              <w:t>.4</w:t>
            </w:r>
          </w:p>
        </w:tc>
      </w:tr>
      <w:tr w:rsidR="00A93D33" w:rsidRPr="000B6D4F" w:rsidTr="000867E9">
        <w:tc>
          <w:tcPr>
            <w:tcW w:w="2268" w:type="dxa"/>
          </w:tcPr>
          <w:p w:rsidR="00A93D33" w:rsidRPr="000B6D4F" w:rsidRDefault="00A93D33" w:rsidP="00776F16">
            <w:pPr>
              <w:pStyle w:val="TableBodyText"/>
              <w:ind w:left="284"/>
              <w:jc w:val="left"/>
              <w:rPr>
                <w:i/>
              </w:rPr>
            </w:pPr>
            <w:r w:rsidRPr="00D034AA">
              <w:rPr>
                <w:i/>
              </w:rPr>
              <w:t>Children’s</w:t>
            </w:r>
            <w:r>
              <w:rPr>
                <w:rStyle w:val="NoteLabel"/>
              </w:rPr>
              <w:t>c</w:t>
            </w:r>
          </w:p>
        </w:tc>
        <w:tc>
          <w:tcPr>
            <w:tcW w:w="709" w:type="dxa"/>
            <w:vAlign w:val="bottom"/>
          </w:tcPr>
          <w:p w:rsidR="00A93D33" w:rsidRPr="00A93D33" w:rsidRDefault="00A93D33" w:rsidP="00A93D33">
            <w:pPr>
              <w:pStyle w:val="TableBodyText"/>
              <w:rPr>
                <w:sz w:val="18"/>
                <w:szCs w:val="18"/>
              </w:rPr>
            </w:pPr>
            <w:r w:rsidRPr="00A93D33">
              <w:rPr>
                <w:sz w:val="18"/>
                <w:szCs w:val="18"/>
              </w:rPr>
              <w:t xml:space="preserve">  8.8</w:t>
            </w:r>
          </w:p>
        </w:tc>
        <w:tc>
          <w:tcPr>
            <w:tcW w:w="595" w:type="dxa"/>
            <w:vAlign w:val="bottom"/>
          </w:tcPr>
          <w:p w:rsidR="00A93D33" w:rsidRPr="00A93D33" w:rsidRDefault="00A93D33" w:rsidP="00A93D33">
            <w:pPr>
              <w:pStyle w:val="TableBodyText"/>
              <w:rPr>
                <w:sz w:val="18"/>
                <w:szCs w:val="18"/>
              </w:rPr>
            </w:pPr>
            <w:r w:rsidRPr="00A93D33">
              <w:rPr>
                <w:sz w:val="18"/>
                <w:szCs w:val="18"/>
              </w:rPr>
              <w:t xml:space="preserve">  6.2</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3.9</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2.8</w:t>
            </w:r>
          </w:p>
        </w:tc>
        <w:tc>
          <w:tcPr>
            <w:tcW w:w="653" w:type="dxa"/>
            <w:vAlign w:val="bottom"/>
          </w:tcPr>
          <w:p w:rsidR="00A93D33" w:rsidRPr="00A93D33" w:rsidRDefault="00A93D33" w:rsidP="00A93D33">
            <w:pPr>
              <w:pStyle w:val="TableBodyText"/>
              <w:rPr>
                <w:sz w:val="18"/>
                <w:szCs w:val="18"/>
              </w:rPr>
            </w:pPr>
            <w:r w:rsidRPr="00A93D33">
              <w:rPr>
                <w:sz w:val="18"/>
                <w:szCs w:val="18"/>
              </w:rPr>
              <w:t xml:space="preserve">  1.3</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0.5</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0.1</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0.4</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3" w:type="dxa"/>
            <w:vAlign w:val="bottom"/>
          </w:tcPr>
          <w:p w:rsidR="00A93D33" w:rsidRPr="00A93D33" w:rsidRDefault="00A93D33" w:rsidP="00A93D33">
            <w:pPr>
              <w:pStyle w:val="TableBodyText"/>
              <w:rPr>
                <w:sz w:val="18"/>
                <w:szCs w:val="18"/>
              </w:rPr>
            </w:pPr>
            <w:r w:rsidRPr="00A93D33">
              <w:rPr>
                <w:sz w:val="18"/>
                <w:szCs w:val="18"/>
              </w:rPr>
              <w:t>23.9</w:t>
            </w:r>
          </w:p>
        </w:tc>
      </w:tr>
      <w:tr w:rsidR="00A93D33" w:rsidRPr="005E6DA1" w:rsidTr="000867E9">
        <w:tc>
          <w:tcPr>
            <w:tcW w:w="2268" w:type="dxa"/>
          </w:tcPr>
          <w:p w:rsidR="00A93D33" w:rsidRPr="005E6DA1" w:rsidRDefault="00A93D33" w:rsidP="00776F16">
            <w:pPr>
              <w:pStyle w:val="TableBodyText"/>
              <w:jc w:val="left"/>
              <w:rPr>
                <w:b/>
              </w:rPr>
            </w:pPr>
            <w:r w:rsidRPr="005E6DA1">
              <w:rPr>
                <w:b/>
              </w:rPr>
              <w:t>All civil courts</w:t>
            </w:r>
          </w:p>
        </w:tc>
        <w:tc>
          <w:tcPr>
            <w:tcW w:w="709" w:type="dxa"/>
            <w:vAlign w:val="bottom"/>
          </w:tcPr>
          <w:p w:rsidR="00A93D33" w:rsidRPr="00A93D33" w:rsidRDefault="00A93D33" w:rsidP="00A93D33">
            <w:pPr>
              <w:pStyle w:val="TableBodyText"/>
              <w:rPr>
                <w:b/>
                <w:bCs/>
                <w:sz w:val="18"/>
                <w:szCs w:val="18"/>
              </w:rPr>
            </w:pPr>
            <w:r w:rsidRPr="00A93D33">
              <w:rPr>
                <w:b/>
                <w:bCs/>
                <w:sz w:val="18"/>
                <w:szCs w:val="18"/>
              </w:rPr>
              <w:t>175.2</w:t>
            </w:r>
          </w:p>
        </w:tc>
        <w:tc>
          <w:tcPr>
            <w:tcW w:w="595" w:type="dxa"/>
            <w:vAlign w:val="bottom"/>
          </w:tcPr>
          <w:p w:rsidR="00A93D33" w:rsidRPr="00A93D33" w:rsidRDefault="00A93D33" w:rsidP="00A93D33">
            <w:pPr>
              <w:pStyle w:val="TableBodyText"/>
              <w:rPr>
                <w:b/>
                <w:bCs/>
                <w:sz w:val="18"/>
                <w:szCs w:val="18"/>
              </w:rPr>
            </w:pPr>
            <w:r w:rsidRPr="00807766">
              <w:rPr>
                <w:b/>
                <w:bCs/>
                <w:sz w:val="18"/>
                <w:szCs w:val="18"/>
              </w:rPr>
              <w:t>12</w:t>
            </w:r>
            <w:r w:rsidR="00720C85" w:rsidRPr="00807766">
              <w:rPr>
                <w:b/>
                <w:bCs/>
                <w:sz w:val="18"/>
                <w:szCs w:val="18"/>
              </w:rPr>
              <w:t>6</w:t>
            </w:r>
            <w:r w:rsidRPr="00807766">
              <w:rPr>
                <w:b/>
                <w:bCs/>
                <w:sz w:val="18"/>
                <w:szCs w:val="18"/>
              </w:rPr>
              <w:t>.</w:t>
            </w:r>
            <w:r w:rsidR="00720C85" w:rsidRPr="00807766">
              <w:rPr>
                <w:b/>
                <w:bCs/>
                <w:sz w:val="18"/>
                <w:szCs w:val="18"/>
              </w:rPr>
              <w:t>3</w:t>
            </w:r>
          </w:p>
        </w:tc>
        <w:tc>
          <w:tcPr>
            <w:tcW w:w="652" w:type="dxa"/>
            <w:vAlign w:val="bottom"/>
          </w:tcPr>
          <w:p w:rsidR="00A93D33" w:rsidRPr="00A93D33" w:rsidRDefault="00A93D33" w:rsidP="00A93D33">
            <w:pPr>
              <w:pStyle w:val="TableBodyText"/>
              <w:rPr>
                <w:b/>
                <w:bCs/>
                <w:sz w:val="18"/>
                <w:szCs w:val="18"/>
              </w:rPr>
            </w:pPr>
            <w:r w:rsidRPr="00A93D33">
              <w:rPr>
                <w:b/>
                <w:bCs/>
                <w:sz w:val="18"/>
                <w:szCs w:val="18"/>
              </w:rPr>
              <w:t>68.0</w:t>
            </w:r>
          </w:p>
        </w:tc>
        <w:tc>
          <w:tcPr>
            <w:tcW w:w="652" w:type="dxa"/>
            <w:vAlign w:val="bottom"/>
          </w:tcPr>
          <w:p w:rsidR="00A93D33" w:rsidRPr="00A93D33" w:rsidRDefault="00A93D33" w:rsidP="00A93D33">
            <w:pPr>
              <w:pStyle w:val="TableBodyText"/>
              <w:rPr>
                <w:b/>
                <w:bCs/>
                <w:sz w:val="18"/>
                <w:szCs w:val="18"/>
              </w:rPr>
            </w:pPr>
            <w:r w:rsidRPr="00A93D33">
              <w:rPr>
                <w:b/>
                <w:bCs/>
                <w:sz w:val="18"/>
                <w:szCs w:val="18"/>
              </w:rPr>
              <w:t>60.8</w:t>
            </w:r>
          </w:p>
        </w:tc>
        <w:tc>
          <w:tcPr>
            <w:tcW w:w="653" w:type="dxa"/>
            <w:vAlign w:val="bottom"/>
          </w:tcPr>
          <w:p w:rsidR="00A93D33" w:rsidRPr="00A93D33" w:rsidRDefault="00A93D33" w:rsidP="00A93D33">
            <w:pPr>
              <w:pStyle w:val="TableBodyText"/>
              <w:rPr>
                <w:b/>
                <w:bCs/>
                <w:sz w:val="18"/>
                <w:szCs w:val="18"/>
              </w:rPr>
            </w:pPr>
            <w:r w:rsidRPr="00A93D33">
              <w:rPr>
                <w:b/>
                <w:bCs/>
                <w:sz w:val="18"/>
                <w:szCs w:val="18"/>
              </w:rPr>
              <w:t>31.9</w:t>
            </w:r>
          </w:p>
        </w:tc>
        <w:tc>
          <w:tcPr>
            <w:tcW w:w="652" w:type="dxa"/>
            <w:vAlign w:val="bottom"/>
          </w:tcPr>
          <w:p w:rsidR="00A93D33" w:rsidRPr="00A93D33" w:rsidRDefault="00A93D33" w:rsidP="00A93D33">
            <w:pPr>
              <w:pStyle w:val="TableBodyText"/>
              <w:rPr>
                <w:b/>
                <w:bCs/>
                <w:sz w:val="18"/>
                <w:szCs w:val="18"/>
              </w:rPr>
            </w:pPr>
            <w:r w:rsidRPr="00A93D33">
              <w:rPr>
                <w:b/>
                <w:bCs/>
                <w:sz w:val="18"/>
                <w:szCs w:val="18"/>
              </w:rPr>
              <w:t>10.0</w:t>
            </w:r>
          </w:p>
        </w:tc>
        <w:tc>
          <w:tcPr>
            <w:tcW w:w="652" w:type="dxa"/>
            <w:vAlign w:val="bottom"/>
          </w:tcPr>
          <w:p w:rsidR="00A93D33" w:rsidRPr="00A93D33" w:rsidRDefault="00A93D33" w:rsidP="00A93D33">
            <w:pPr>
              <w:pStyle w:val="TableBodyText"/>
              <w:rPr>
                <w:b/>
                <w:bCs/>
                <w:sz w:val="18"/>
                <w:szCs w:val="18"/>
              </w:rPr>
            </w:pPr>
            <w:r w:rsidRPr="00A93D33">
              <w:rPr>
                <w:b/>
                <w:bCs/>
                <w:sz w:val="18"/>
                <w:szCs w:val="18"/>
              </w:rPr>
              <w:t>4.7</w:t>
            </w:r>
          </w:p>
        </w:tc>
        <w:tc>
          <w:tcPr>
            <w:tcW w:w="652" w:type="dxa"/>
            <w:vAlign w:val="bottom"/>
          </w:tcPr>
          <w:p w:rsidR="00A93D33" w:rsidRPr="00A93D33" w:rsidRDefault="00A93D33" w:rsidP="00A93D33">
            <w:pPr>
              <w:pStyle w:val="TableBodyText"/>
              <w:rPr>
                <w:b/>
                <w:bCs/>
                <w:sz w:val="18"/>
                <w:szCs w:val="18"/>
              </w:rPr>
            </w:pPr>
            <w:r w:rsidRPr="00A93D33">
              <w:rPr>
                <w:b/>
                <w:bCs/>
                <w:sz w:val="18"/>
                <w:szCs w:val="18"/>
              </w:rPr>
              <w:t>7.7</w:t>
            </w:r>
          </w:p>
        </w:tc>
        <w:tc>
          <w:tcPr>
            <w:tcW w:w="652" w:type="dxa"/>
            <w:vAlign w:val="bottom"/>
          </w:tcPr>
          <w:p w:rsidR="00A93D33" w:rsidRPr="00A93D33" w:rsidRDefault="00A93D33" w:rsidP="00A93D33">
            <w:pPr>
              <w:pStyle w:val="TableBodyText"/>
              <w:rPr>
                <w:b/>
                <w:bCs/>
                <w:sz w:val="18"/>
                <w:szCs w:val="18"/>
              </w:rPr>
            </w:pPr>
            <w:r w:rsidRPr="00A93D33">
              <w:rPr>
                <w:b/>
                <w:bCs/>
                <w:sz w:val="18"/>
                <w:szCs w:val="18"/>
              </w:rPr>
              <w:t>6.6</w:t>
            </w:r>
          </w:p>
        </w:tc>
        <w:tc>
          <w:tcPr>
            <w:tcW w:w="653" w:type="dxa"/>
            <w:vAlign w:val="bottom"/>
          </w:tcPr>
          <w:p w:rsidR="00A93D33" w:rsidRPr="00A93D33" w:rsidRDefault="00A93D33" w:rsidP="00A93D33">
            <w:pPr>
              <w:pStyle w:val="TableBodyText"/>
              <w:rPr>
                <w:b/>
                <w:bCs/>
                <w:sz w:val="18"/>
                <w:szCs w:val="18"/>
              </w:rPr>
            </w:pPr>
            <w:r w:rsidRPr="00807766">
              <w:rPr>
                <w:b/>
                <w:bCs/>
                <w:sz w:val="18"/>
                <w:szCs w:val="18"/>
              </w:rPr>
              <w:t>49</w:t>
            </w:r>
            <w:r w:rsidR="00A43C1F" w:rsidRPr="00807766">
              <w:rPr>
                <w:b/>
                <w:bCs/>
                <w:sz w:val="18"/>
                <w:szCs w:val="18"/>
              </w:rPr>
              <w:t>1</w:t>
            </w:r>
            <w:r w:rsidRPr="00807766">
              <w:rPr>
                <w:b/>
                <w:bCs/>
                <w:sz w:val="18"/>
                <w:szCs w:val="18"/>
              </w:rPr>
              <w:t>.</w:t>
            </w:r>
            <w:r w:rsidR="00A43C1F" w:rsidRPr="00807766">
              <w:rPr>
                <w:b/>
                <w:bCs/>
                <w:sz w:val="18"/>
                <w:szCs w:val="18"/>
              </w:rPr>
              <w:t>2</w:t>
            </w:r>
          </w:p>
        </w:tc>
      </w:tr>
      <w:tr w:rsidR="00A93D33" w:rsidRPr="005E6DA1" w:rsidTr="000867E9">
        <w:tc>
          <w:tcPr>
            <w:tcW w:w="2268" w:type="dxa"/>
          </w:tcPr>
          <w:p w:rsidR="00A93D33" w:rsidRPr="005E6DA1" w:rsidRDefault="00A93D33" w:rsidP="00776F16">
            <w:pPr>
              <w:pStyle w:val="TableBodyText"/>
              <w:jc w:val="left"/>
            </w:pPr>
            <w:r w:rsidRPr="005E6DA1">
              <w:t>Family</w:t>
            </w:r>
            <w:r>
              <w:rPr>
                <w:rStyle w:val="NoteLabel"/>
              </w:rPr>
              <w:t>d, e</w:t>
            </w:r>
          </w:p>
        </w:tc>
        <w:tc>
          <w:tcPr>
            <w:tcW w:w="709" w:type="dxa"/>
            <w:vAlign w:val="bottom"/>
          </w:tcPr>
          <w:p w:rsidR="00A93D33" w:rsidRPr="00A93D33" w:rsidRDefault="00A93D33" w:rsidP="00A93D33">
            <w:pPr>
              <w:pStyle w:val="TableBodyText"/>
              <w:rPr>
                <w:sz w:val="18"/>
                <w:szCs w:val="18"/>
              </w:rPr>
            </w:pPr>
            <w:r w:rsidRPr="00A93D33">
              <w:rPr>
                <w:sz w:val="18"/>
                <w:szCs w:val="18"/>
              </w:rPr>
              <w:t>..</w:t>
            </w:r>
          </w:p>
        </w:tc>
        <w:tc>
          <w:tcPr>
            <w:tcW w:w="595"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15.6</w:t>
            </w:r>
          </w:p>
        </w:tc>
        <w:tc>
          <w:tcPr>
            <w:tcW w:w="653"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18.4</w:t>
            </w:r>
          </w:p>
        </w:tc>
        <w:tc>
          <w:tcPr>
            <w:tcW w:w="653" w:type="dxa"/>
            <w:vAlign w:val="bottom"/>
          </w:tcPr>
          <w:p w:rsidR="00A93D33" w:rsidRPr="00A93D33" w:rsidRDefault="00A93D33" w:rsidP="00A93D33">
            <w:pPr>
              <w:pStyle w:val="TableBodyText"/>
              <w:rPr>
                <w:sz w:val="18"/>
                <w:szCs w:val="18"/>
              </w:rPr>
            </w:pPr>
            <w:r w:rsidRPr="00A93D33">
              <w:rPr>
                <w:sz w:val="18"/>
                <w:szCs w:val="18"/>
              </w:rPr>
              <w:t>34.0</w:t>
            </w:r>
          </w:p>
        </w:tc>
      </w:tr>
      <w:tr w:rsidR="00A93D33" w:rsidRPr="005E6DA1" w:rsidTr="000867E9">
        <w:tc>
          <w:tcPr>
            <w:tcW w:w="2268" w:type="dxa"/>
          </w:tcPr>
          <w:p w:rsidR="00A93D33" w:rsidRPr="00770AC6" w:rsidRDefault="00A93D33" w:rsidP="00184AB5">
            <w:pPr>
              <w:pStyle w:val="TableBodyText"/>
              <w:jc w:val="left"/>
              <w:rPr>
                <w:rStyle w:val="NoteLabel"/>
              </w:rPr>
            </w:pPr>
            <w:r w:rsidRPr="005E6DA1">
              <w:t xml:space="preserve">Federal </w:t>
            </w:r>
            <w:r>
              <w:t>Circuit</w:t>
            </w:r>
            <w:r>
              <w:rPr>
                <w:rStyle w:val="NoteLabel"/>
              </w:rPr>
              <w:t>e, f</w:t>
            </w:r>
          </w:p>
        </w:tc>
        <w:tc>
          <w:tcPr>
            <w:tcW w:w="709" w:type="dxa"/>
            <w:vAlign w:val="bottom"/>
          </w:tcPr>
          <w:p w:rsidR="00A93D33" w:rsidRPr="00A93D33" w:rsidRDefault="00A93D33" w:rsidP="00A93D33">
            <w:pPr>
              <w:pStyle w:val="TableBodyText"/>
              <w:rPr>
                <w:sz w:val="18"/>
                <w:szCs w:val="18"/>
              </w:rPr>
            </w:pPr>
            <w:r w:rsidRPr="00A93D33">
              <w:rPr>
                <w:sz w:val="18"/>
                <w:szCs w:val="18"/>
              </w:rPr>
              <w:t>..</w:t>
            </w:r>
          </w:p>
        </w:tc>
        <w:tc>
          <w:tcPr>
            <w:tcW w:w="595"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3"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w:t>
            </w:r>
          </w:p>
        </w:tc>
        <w:tc>
          <w:tcPr>
            <w:tcW w:w="652" w:type="dxa"/>
            <w:vAlign w:val="bottom"/>
          </w:tcPr>
          <w:p w:rsidR="00A93D33" w:rsidRPr="00A93D33" w:rsidRDefault="00A93D33" w:rsidP="00A93D33">
            <w:pPr>
              <w:pStyle w:val="TableBodyText"/>
              <w:rPr>
                <w:sz w:val="18"/>
                <w:szCs w:val="18"/>
              </w:rPr>
            </w:pPr>
            <w:r w:rsidRPr="00A93D33">
              <w:rPr>
                <w:sz w:val="18"/>
                <w:szCs w:val="18"/>
              </w:rPr>
              <w:t xml:space="preserve">  90.6</w:t>
            </w:r>
          </w:p>
        </w:tc>
        <w:tc>
          <w:tcPr>
            <w:tcW w:w="653" w:type="dxa"/>
            <w:vAlign w:val="bottom"/>
          </w:tcPr>
          <w:p w:rsidR="00A93D33" w:rsidRPr="00A93D33" w:rsidRDefault="00A93D33" w:rsidP="00A93D33">
            <w:pPr>
              <w:pStyle w:val="TableBodyText"/>
              <w:rPr>
                <w:sz w:val="18"/>
                <w:szCs w:val="18"/>
              </w:rPr>
            </w:pPr>
            <w:r w:rsidRPr="00A93D33">
              <w:rPr>
                <w:sz w:val="18"/>
                <w:szCs w:val="18"/>
              </w:rPr>
              <w:t>90.6</w:t>
            </w:r>
          </w:p>
        </w:tc>
      </w:tr>
      <w:tr w:rsidR="00A93D33" w:rsidRPr="005E6DA1" w:rsidTr="000867E9">
        <w:tc>
          <w:tcPr>
            <w:tcW w:w="2268" w:type="dxa"/>
            <w:tcBorders>
              <w:bottom w:val="single" w:sz="6" w:space="0" w:color="auto"/>
            </w:tcBorders>
          </w:tcPr>
          <w:p w:rsidR="00A93D33" w:rsidRPr="005E6DA1" w:rsidRDefault="00A93D33" w:rsidP="00776F16">
            <w:pPr>
              <w:pStyle w:val="TableBodyText"/>
              <w:jc w:val="left"/>
            </w:pPr>
            <w:r w:rsidRPr="005E6DA1">
              <w:t>Coroners’</w:t>
            </w:r>
          </w:p>
        </w:tc>
        <w:tc>
          <w:tcPr>
            <w:tcW w:w="709"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6.0</w:t>
            </w:r>
          </w:p>
        </w:tc>
        <w:tc>
          <w:tcPr>
            <w:tcW w:w="595"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5.5</w:t>
            </w:r>
          </w:p>
        </w:tc>
        <w:tc>
          <w:tcPr>
            <w:tcW w:w="652"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5.0</w:t>
            </w:r>
          </w:p>
        </w:tc>
        <w:tc>
          <w:tcPr>
            <w:tcW w:w="652"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2.2</w:t>
            </w:r>
          </w:p>
        </w:tc>
        <w:tc>
          <w:tcPr>
            <w:tcW w:w="653"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1.9</w:t>
            </w:r>
          </w:p>
        </w:tc>
        <w:tc>
          <w:tcPr>
            <w:tcW w:w="652"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0.5</w:t>
            </w:r>
          </w:p>
        </w:tc>
        <w:tc>
          <w:tcPr>
            <w:tcW w:w="652"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1.4</w:t>
            </w:r>
          </w:p>
        </w:tc>
        <w:tc>
          <w:tcPr>
            <w:tcW w:w="652"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 xml:space="preserve">  0.3</w:t>
            </w:r>
          </w:p>
        </w:tc>
        <w:tc>
          <w:tcPr>
            <w:tcW w:w="652"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w:t>
            </w:r>
          </w:p>
        </w:tc>
        <w:tc>
          <w:tcPr>
            <w:tcW w:w="653" w:type="dxa"/>
            <w:tcBorders>
              <w:bottom w:val="single" w:sz="6" w:space="0" w:color="auto"/>
            </w:tcBorders>
            <w:vAlign w:val="bottom"/>
          </w:tcPr>
          <w:p w:rsidR="00A93D33" w:rsidRPr="00A93D33" w:rsidRDefault="00A93D33" w:rsidP="00A93D33">
            <w:pPr>
              <w:pStyle w:val="TableBodyText"/>
              <w:rPr>
                <w:sz w:val="18"/>
                <w:szCs w:val="18"/>
              </w:rPr>
            </w:pPr>
            <w:r w:rsidRPr="00A93D33">
              <w:rPr>
                <w:sz w:val="18"/>
                <w:szCs w:val="18"/>
              </w:rPr>
              <w:t>22.7</w:t>
            </w:r>
          </w:p>
        </w:tc>
      </w:tr>
    </w:tbl>
    <w:p w:rsidR="00864DBF" w:rsidRDefault="00776F16" w:rsidP="00941392">
      <w:pPr>
        <w:pStyle w:val="Note"/>
      </w:pPr>
      <w:r w:rsidRPr="006C1017">
        <w:rPr>
          <w:rStyle w:val="NoteLabel"/>
        </w:rPr>
        <w:t>a</w:t>
      </w:r>
      <w:r>
        <w:t xml:space="preserve"> Totals may not add as a result of </w:t>
      </w:r>
      <w:r w:rsidRPr="00A160D7">
        <w:t>rounding.</w:t>
      </w:r>
      <w:r w:rsidR="007B3E3E" w:rsidRPr="00A160D7">
        <w:t xml:space="preserve"> </w:t>
      </w:r>
      <w:r w:rsidR="007B3E3E" w:rsidRPr="009F0086">
        <w:rPr>
          <w:rStyle w:val="NoteLabel"/>
        </w:rPr>
        <w:t>b </w:t>
      </w:r>
      <w:r w:rsidR="005875F2" w:rsidRPr="009F0086">
        <w:t>Supreme court</w:t>
      </w:r>
      <w:r w:rsidR="00010F4A" w:rsidRPr="009F0086">
        <w:t>s</w:t>
      </w:r>
      <w:r w:rsidR="005875F2" w:rsidRPr="009F0086">
        <w:t xml:space="preserve"> data exclude</w:t>
      </w:r>
      <w:r w:rsidR="00423AC7" w:rsidRPr="009F0086">
        <w:t xml:space="preserve"> finalisations of </w:t>
      </w:r>
      <w:r w:rsidR="005875F2" w:rsidRPr="009F0086">
        <w:t xml:space="preserve">uncontested </w:t>
      </w:r>
      <w:r w:rsidR="00423AC7" w:rsidRPr="009F0086">
        <w:t>probate cases.</w:t>
      </w:r>
      <w:r w:rsidR="00A27315" w:rsidRPr="009F0086">
        <w:t xml:space="preserve"> </w:t>
      </w:r>
      <w:r w:rsidR="003F2922" w:rsidRPr="009F0086">
        <w:rPr>
          <w:rStyle w:val="NoteLabel"/>
        </w:rPr>
        <w:t>c </w:t>
      </w:r>
      <w:r w:rsidR="00CF069F" w:rsidRPr="009F0086">
        <w:t>Queensland</w:t>
      </w:r>
      <w:r w:rsidR="00CF069F" w:rsidRPr="00CF069F">
        <w:t xml:space="preserve"> </w:t>
      </w:r>
      <w:r w:rsidR="00010F4A">
        <w:t>c</w:t>
      </w:r>
      <w:r w:rsidR="00CF069F" w:rsidRPr="00CF069F">
        <w:t>hildren</w:t>
      </w:r>
      <w:r w:rsidR="00CF069F">
        <w:t>’</w:t>
      </w:r>
      <w:r w:rsidR="00CF069F" w:rsidRPr="00CF069F">
        <w:t xml:space="preserve">s </w:t>
      </w:r>
      <w:r w:rsidR="00010F4A">
        <w:t>c</w:t>
      </w:r>
      <w:r w:rsidR="00CF069F" w:rsidRPr="00CF069F">
        <w:t>ourt data for civil cases</w:t>
      </w:r>
      <w:r w:rsidR="00176BE7">
        <w:t xml:space="preserve"> are </w:t>
      </w:r>
      <w:r w:rsidR="00CF069F" w:rsidRPr="00CF069F">
        <w:t xml:space="preserve">based on a count of cases, not the number of children involved in the care and protection </w:t>
      </w:r>
      <w:r w:rsidR="009555DB">
        <w:t>case</w:t>
      </w:r>
      <w:r w:rsidR="00505926" w:rsidRPr="00505926">
        <w:t>.</w:t>
      </w:r>
      <w:r w:rsidR="00505926">
        <w:t xml:space="preserve"> </w:t>
      </w:r>
      <w:r w:rsidR="007878E0">
        <w:rPr>
          <w:rStyle w:val="NoteLabel"/>
        </w:rPr>
        <w:t>d</w:t>
      </w:r>
      <w:r w:rsidR="00B40348">
        <w:t> </w:t>
      </w:r>
      <w:r w:rsidR="00644F13">
        <w:t>Family Court of Australia data do</w:t>
      </w:r>
      <w:r w:rsidR="00644F13" w:rsidRPr="00301856">
        <w:t xml:space="preserve"> not include instances w</w:t>
      </w:r>
      <w:r w:rsidR="00644F13">
        <w:t>here its r</w:t>
      </w:r>
      <w:r w:rsidR="00644F13" w:rsidRPr="00301856">
        <w:t xml:space="preserve">egistrars are given delegation to conduct Federal </w:t>
      </w:r>
      <w:r w:rsidR="00653FFE">
        <w:t>Circuit</w:t>
      </w:r>
      <w:r w:rsidR="00644F13" w:rsidRPr="00301856">
        <w:t xml:space="preserve"> Court divorce applications</w:t>
      </w:r>
      <w:r w:rsidR="00644F13">
        <w:t xml:space="preserve">, or when conducting conciliation conferences on Federal </w:t>
      </w:r>
      <w:r w:rsidR="00653FFE">
        <w:t>Circuit</w:t>
      </w:r>
      <w:r w:rsidR="00644F13">
        <w:t xml:space="preserve"> Court matters. These services are provided free of charge to the Federal </w:t>
      </w:r>
      <w:r w:rsidR="00653FFE">
        <w:t>Circuit</w:t>
      </w:r>
      <w:r w:rsidR="00644F13">
        <w:t xml:space="preserve"> Court</w:t>
      </w:r>
      <w:r w:rsidR="00B40348">
        <w:t xml:space="preserve">. </w:t>
      </w:r>
      <w:r w:rsidR="007878E0">
        <w:rPr>
          <w:rStyle w:val="NoteLabel"/>
        </w:rPr>
        <w:t>e</w:t>
      </w:r>
      <w:r w:rsidR="00B40348" w:rsidRPr="00B40348">
        <w:rPr>
          <w:rStyle w:val="NoteLabel"/>
        </w:rPr>
        <w:t> </w:t>
      </w:r>
      <w:r w:rsidR="00BD32D9" w:rsidRPr="00BD32D9">
        <w:t>The Family Court of Australia</w:t>
      </w:r>
      <w:r w:rsidR="003F2922">
        <w:t xml:space="preserve"> and the Federal </w:t>
      </w:r>
      <w:r w:rsidR="00653FFE">
        <w:t>Circuit</w:t>
      </w:r>
      <w:r w:rsidR="003F2922">
        <w:t xml:space="preserve"> Court</w:t>
      </w:r>
      <w:r w:rsidR="00BD32D9" w:rsidRPr="00BD32D9">
        <w:t xml:space="preserve"> do not deem a matter finalised even if it has not had a court event for at least 12 months as this is not consistent with case management practices</w:t>
      </w:r>
      <w:r w:rsidR="00024295" w:rsidRPr="00024295">
        <w:t>.</w:t>
      </w:r>
      <w:r w:rsidR="00770AC6">
        <w:t xml:space="preserve"> </w:t>
      </w:r>
      <w:r w:rsidR="007878E0">
        <w:rPr>
          <w:rStyle w:val="NoteLabel"/>
        </w:rPr>
        <w:t>f</w:t>
      </w:r>
      <w:r w:rsidR="003F2922" w:rsidRPr="00B40348">
        <w:rPr>
          <w:rStyle w:val="NoteLabel"/>
        </w:rPr>
        <w:t> </w:t>
      </w:r>
      <w:r w:rsidR="002A7B34">
        <w:t>Some bankruptcy and i</w:t>
      </w:r>
      <w:r w:rsidR="00770AC6" w:rsidRPr="00D77E9B">
        <w:t>mmigr</w:t>
      </w:r>
      <w:r w:rsidR="00770AC6">
        <w:t xml:space="preserve">ation matters filed with the Federal </w:t>
      </w:r>
      <w:r w:rsidR="0059252B">
        <w:t>Circuit</w:t>
      </w:r>
      <w:r w:rsidR="00770AC6">
        <w:t xml:space="preserve"> Court</w:t>
      </w:r>
      <w:r w:rsidR="00770AC6" w:rsidRPr="00D77E9B">
        <w:t xml:space="preserve"> are delegated to be dealt with by Federal Court registrars. Those matt</w:t>
      </w:r>
      <w:r w:rsidR="00770AC6">
        <w:t xml:space="preserve">ers finalised by Federal Court registrars are counted as part of the Federal </w:t>
      </w:r>
      <w:r w:rsidR="0059252B">
        <w:t>Circuit</w:t>
      </w:r>
      <w:r w:rsidR="00770AC6">
        <w:t xml:space="preserve"> Court</w:t>
      </w:r>
      <w:r w:rsidR="00770AC6" w:rsidRPr="00D77E9B">
        <w:t xml:space="preserve"> matters as they </w:t>
      </w:r>
      <w:r w:rsidR="00770AC6">
        <w:t xml:space="preserve">are filed and funded by the Federal </w:t>
      </w:r>
      <w:r w:rsidR="0059252B">
        <w:t>Circuit</w:t>
      </w:r>
      <w:r w:rsidR="00770AC6">
        <w:t xml:space="preserve"> Court.</w:t>
      </w:r>
      <w:r>
        <w:t xml:space="preserve"> </w:t>
      </w:r>
      <w:r w:rsidR="00E92ADD">
        <w:rPr>
          <w:b/>
        </w:rPr>
        <w:t>.. </w:t>
      </w:r>
      <w:r w:rsidR="00E92ADD" w:rsidRPr="00E92ADD">
        <w:t>Not</w:t>
      </w:r>
      <w:r w:rsidR="00E92ADD">
        <w:t> applicable</w:t>
      </w:r>
      <w:r>
        <w:t>.</w:t>
      </w:r>
    </w:p>
    <w:p w:rsidR="00864DBF" w:rsidRPr="00776F16" w:rsidRDefault="00864DBF" w:rsidP="00A031DD">
      <w:pPr>
        <w:pStyle w:val="Source"/>
        <w:spacing w:after="0"/>
      </w:pPr>
      <w:r>
        <w:rPr>
          <w:i/>
        </w:rPr>
        <w:t>Source</w:t>
      </w:r>
      <w:r>
        <w:t xml:space="preserve">: </w:t>
      </w:r>
      <w:r w:rsidR="00731EDD">
        <w:t xml:space="preserve">Australian, </w:t>
      </w:r>
      <w:r w:rsidR="00776F16" w:rsidRPr="00776F16">
        <w:t>State and Territory c</w:t>
      </w:r>
      <w:r w:rsidR="00E10512">
        <w:t xml:space="preserve">ourt authorities and </w:t>
      </w:r>
      <w:r w:rsidR="00776F16" w:rsidRPr="00776F16">
        <w:t>de</w:t>
      </w:r>
      <w:r w:rsidR="00776F16">
        <w:t xml:space="preserve">partments (unpublished); </w:t>
      </w:r>
      <w:r w:rsidR="00A76A9C">
        <w:t>table </w:t>
      </w:r>
      <w:proofErr w:type="spellStart"/>
      <w:r w:rsidR="00A76A9C">
        <w:t>7</w:t>
      </w:r>
      <w:r w:rsidR="00776F16" w:rsidRPr="00776F16">
        <w:t>A.</w:t>
      </w:r>
      <w:r w:rsidR="00F31A0C">
        <w:t>8</w:t>
      </w:r>
      <w:proofErr w:type="spellEnd"/>
      <w:r w:rsidR="00776F16" w:rsidRPr="00776F16">
        <w:t>.</w:t>
      </w:r>
    </w:p>
    <w:p w:rsidR="00F177FC" w:rsidRDefault="00742C30" w:rsidP="00AE7876">
      <w:pPr>
        <w:pStyle w:val="BodyText"/>
      </w:pPr>
      <w:r w:rsidRPr="00742C30">
        <w:t>The number of finalisations per 100 000 people is avail</w:t>
      </w:r>
      <w:r>
        <w:t xml:space="preserve">able in tables </w:t>
      </w:r>
      <w:proofErr w:type="spellStart"/>
      <w:r>
        <w:t>7A.</w:t>
      </w:r>
      <w:r w:rsidR="00A8582E">
        <w:t>9</w:t>
      </w:r>
      <w:proofErr w:type="spellEnd"/>
      <w:r>
        <w:t xml:space="preserve"> and </w:t>
      </w:r>
      <w:proofErr w:type="spellStart"/>
      <w:r>
        <w:t>7</w:t>
      </w:r>
      <w:r w:rsidRPr="00742C30">
        <w:t>A.</w:t>
      </w:r>
      <w:r w:rsidR="00A8582E">
        <w:t>10</w:t>
      </w:r>
      <w:proofErr w:type="spellEnd"/>
      <w:r w:rsidRPr="00742C30">
        <w:t>.</w:t>
      </w:r>
    </w:p>
    <w:p w:rsidR="00D67FDA" w:rsidRDefault="00D67FDA" w:rsidP="00D67FDA">
      <w:pPr>
        <w:pStyle w:val="Heading5"/>
      </w:pPr>
      <w:r>
        <w:t>The role of deeming in finalising cases</w:t>
      </w:r>
    </w:p>
    <w:p w:rsidR="00D67FDA" w:rsidRDefault="00D67FDA" w:rsidP="00D67FDA">
      <w:pPr>
        <w:pStyle w:val="BodyText"/>
      </w:pPr>
      <w:r>
        <w:t>A ‘deeming’ rule applies to finalising</w:t>
      </w:r>
      <w:r w:rsidR="00A8315C">
        <w:t xml:space="preserve"> </w:t>
      </w:r>
      <w:r w:rsidR="00A8315C" w:rsidRPr="009F0086">
        <w:t>non-appeal</w:t>
      </w:r>
      <w:r>
        <w:t xml:space="preserve"> cases in the civil courts for this Report. </w:t>
      </w:r>
      <w:proofErr w:type="spellStart"/>
      <w:r>
        <w:t>Lodgments</w:t>
      </w:r>
      <w:proofErr w:type="spellEnd"/>
      <w:r>
        <w:t xml:space="preserve"> that have had no court action in the past 12 months are counted as finalised for the purpose of this Report.</w:t>
      </w:r>
      <w:r w:rsidR="00777B9F">
        <w:t xml:space="preserve"> The rationale for this counting rule</w:t>
      </w:r>
      <w:r>
        <w:t xml:space="preserve"> is to focus on those matters that are </w:t>
      </w:r>
      <w:r w:rsidR="005836B1">
        <w:t xml:space="preserve">active and </w:t>
      </w:r>
      <w:r>
        <w:t xml:space="preserve">part of a workload that the courts can </w:t>
      </w:r>
      <w:r>
        <w:lastRenderedPageBreak/>
        <w:t>progress.</w:t>
      </w:r>
      <w:r w:rsidR="005836B1">
        <w:t xml:space="preserve"> When these cases are deemed finalised they reduce the pending count and increase the finalisation count. This means that a proportion of finalised cases are only</w:t>
      </w:r>
      <w:r w:rsidR="006C4ACC">
        <w:t xml:space="preserve"> deemed as</w:t>
      </w:r>
      <w:r w:rsidR="005836B1">
        <w:t xml:space="preserve"> finalised for the purposes of this Report but may remain as pending in the jurisdictional court.</w:t>
      </w:r>
      <w:r w:rsidR="00777B9F">
        <w:t xml:space="preserve"> For the purposes of this </w:t>
      </w:r>
      <w:r w:rsidR="009A056C">
        <w:t>Report a case which is deemed</w:t>
      </w:r>
      <w:r w:rsidR="00777B9F">
        <w:t xml:space="preserve"> finalised</w:t>
      </w:r>
      <w:r w:rsidR="009A056C">
        <w:t xml:space="preserve"> is considered closed — in the event that it becomes active</w:t>
      </w:r>
      <w:r w:rsidR="001246E0">
        <w:t xml:space="preserve"> again</w:t>
      </w:r>
      <w:r w:rsidR="009A056C">
        <w:t xml:space="preserve"> in the court after 12 months it is not counted again in this Report.</w:t>
      </w:r>
    </w:p>
    <w:p w:rsidR="001246E0" w:rsidRPr="00D67FDA" w:rsidRDefault="001246E0" w:rsidP="00D67FDA">
      <w:pPr>
        <w:pStyle w:val="BodyText"/>
      </w:pPr>
      <w:r>
        <w:t xml:space="preserve">Table </w:t>
      </w:r>
      <w:r w:rsidR="004D32FF">
        <w:t>7.</w:t>
      </w:r>
      <w:r w:rsidR="00090605">
        <w:t>7</w:t>
      </w:r>
      <w:r>
        <w:t xml:space="preserve"> shows that</w:t>
      </w:r>
      <w:r w:rsidR="006517D3">
        <w:t xml:space="preserve"> the proportion of cases which are deemed</w:t>
      </w:r>
      <w:r>
        <w:t xml:space="preserve"> finalised</w:t>
      </w:r>
      <w:r w:rsidR="006517D3">
        <w:t xml:space="preserve"> varies across jurisdictions</w:t>
      </w:r>
      <w:r>
        <w:t>.</w:t>
      </w:r>
    </w:p>
    <w:p w:rsidR="00D67FDA" w:rsidRPr="005E6DA1" w:rsidRDefault="00D67FDA" w:rsidP="00D67FDA">
      <w:pPr>
        <w:pStyle w:val="TableTitle"/>
      </w:pPr>
      <w:r w:rsidRPr="005E6DA1">
        <w:rPr>
          <w:b w:val="0"/>
        </w:rPr>
        <w:t xml:space="preserve">Table </w:t>
      </w:r>
      <w:bookmarkStart w:id="7" w:name="OLE_LINK7"/>
      <w:r w:rsidRPr="005E6DA1">
        <w:rPr>
          <w:b w:val="0"/>
        </w:rPr>
        <w:t>7.</w:t>
      </w:r>
      <w:bookmarkEnd w:id="7"/>
      <w:r w:rsidR="00D757CC">
        <w:rPr>
          <w:b w:val="0"/>
          <w:noProof/>
        </w:rPr>
        <w:t>7</w:t>
      </w:r>
      <w:r w:rsidRPr="005E6DA1">
        <w:tab/>
      </w:r>
      <w:r>
        <w:t xml:space="preserve">Proportion of </w:t>
      </w:r>
      <w:r w:rsidR="00800728" w:rsidRPr="009F0086">
        <w:t>non-appeal</w:t>
      </w:r>
      <w:r w:rsidR="00800728">
        <w:t xml:space="preserve"> </w:t>
      </w:r>
      <w:r>
        <w:t>cases deemed finalised</w:t>
      </w:r>
      <w:r w:rsidRPr="005E6DA1">
        <w:t xml:space="preserve"> — civil, </w:t>
      </w:r>
      <w:r>
        <w:t>20</w:t>
      </w:r>
      <w:r w:rsidR="00B00546">
        <w:t>12</w:t>
      </w:r>
      <w:r w:rsidR="00DC7778">
        <w:noBreakHyphen/>
      </w:r>
      <w:r>
        <w:t>1</w:t>
      </w:r>
      <w:r w:rsidR="00B00546">
        <w:t>3</w:t>
      </w:r>
      <w:r>
        <w:t xml:space="preserve"> (</w:t>
      </w:r>
      <w:r w:rsidR="00DA2420">
        <w:t>per cent</w:t>
      </w:r>
      <w:r w:rsidRPr="005E6DA1">
        <w:t>)</w:t>
      </w:r>
      <w:r w:rsidR="00D77BB9" w:rsidRPr="00584FFF">
        <w:rPr>
          <w:rStyle w:val="NoteLabel"/>
          <w:b/>
        </w:rPr>
        <w:t>a</w:t>
      </w:r>
    </w:p>
    <w:tbl>
      <w:tblPr>
        <w:tblW w:w="5000" w:type="pct"/>
        <w:tblCellMar>
          <w:left w:w="0" w:type="dxa"/>
          <w:right w:w="0" w:type="dxa"/>
        </w:tblCellMar>
        <w:tblLook w:val="0000" w:firstRow="0" w:lastRow="0" w:firstColumn="0" w:lastColumn="0" w:noHBand="0" w:noVBand="0"/>
      </w:tblPr>
      <w:tblGrid>
        <w:gridCol w:w="2450"/>
        <w:gridCol w:w="766"/>
        <w:gridCol w:w="643"/>
        <w:gridCol w:w="705"/>
        <w:gridCol w:w="705"/>
        <w:gridCol w:w="705"/>
        <w:gridCol w:w="705"/>
        <w:gridCol w:w="705"/>
        <w:gridCol w:w="705"/>
        <w:gridCol w:w="700"/>
      </w:tblGrid>
      <w:tr w:rsidR="007F1E7E" w:rsidTr="005D0E67">
        <w:tc>
          <w:tcPr>
            <w:tcW w:w="1394" w:type="pct"/>
            <w:tcBorders>
              <w:top w:val="single" w:sz="6" w:space="0" w:color="auto"/>
              <w:bottom w:val="single" w:sz="4" w:space="0" w:color="auto"/>
            </w:tcBorders>
          </w:tcPr>
          <w:p w:rsidR="007F1E7E" w:rsidRDefault="007F1E7E" w:rsidP="00425593">
            <w:pPr>
              <w:pStyle w:val="TableColumnHeading"/>
              <w:jc w:val="left"/>
            </w:pPr>
          </w:p>
        </w:tc>
        <w:tc>
          <w:tcPr>
            <w:tcW w:w="436" w:type="pct"/>
            <w:tcBorders>
              <w:top w:val="single" w:sz="6" w:space="0" w:color="auto"/>
              <w:bottom w:val="single" w:sz="4" w:space="0" w:color="auto"/>
            </w:tcBorders>
          </w:tcPr>
          <w:p w:rsidR="007F1E7E" w:rsidRDefault="007F1E7E" w:rsidP="00425593">
            <w:pPr>
              <w:pStyle w:val="TableColumnHeading"/>
            </w:pPr>
            <w:r>
              <w:t>NSW</w:t>
            </w:r>
          </w:p>
        </w:tc>
        <w:tc>
          <w:tcPr>
            <w:tcW w:w="366" w:type="pct"/>
            <w:tcBorders>
              <w:top w:val="single" w:sz="6" w:space="0" w:color="auto"/>
              <w:bottom w:val="single" w:sz="4" w:space="0" w:color="auto"/>
            </w:tcBorders>
          </w:tcPr>
          <w:p w:rsidR="007F1E7E" w:rsidRPr="009D7C90" w:rsidRDefault="007F1E7E" w:rsidP="00425593">
            <w:pPr>
              <w:pStyle w:val="TableColumnHeading"/>
              <w:rPr>
                <w:rStyle w:val="NoteLabel"/>
              </w:rPr>
            </w:pPr>
            <w:r>
              <w:t>Vic</w:t>
            </w:r>
          </w:p>
        </w:tc>
        <w:tc>
          <w:tcPr>
            <w:tcW w:w="401" w:type="pct"/>
            <w:tcBorders>
              <w:top w:val="single" w:sz="6" w:space="0" w:color="auto"/>
              <w:bottom w:val="single" w:sz="4" w:space="0" w:color="auto"/>
            </w:tcBorders>
          </w:tcPr>
          <w:p w:rsidR="007F1E7E" w:rsidRDefault="007F1E7E" w:rsidP="00425593">
            <w:pPr>
              <w:pStyle w:val="TableColumnHeading"/>
            </w:pPr>
            <w:r>
              <w:t>Qld</w:t>
            </w:r>
          </w:p>
        </w:tc>
        <w:tc>
          <w:tcPr>
            <w:tcW w:w="401" w:type="pct"/>
            <w:tcBorders>
              <w:top w:val="single" w:sz="6" w:space="0" w:color="auto"/>
              <w:bottom w:val="single" w:sz="4" w:space="0" w:color="auto"/>
            </w:tcBorders>
          </w:tcPr>
          <w:p w:rsidR="007F1E7E" w:rsidRDefault="007F1E7E" w:rsidP="00425593">
            <w:pPr>
              <w:pStyle w:val="TableColumnHeading"/>
            </w:pPr>
            <w:r>
              <w:t>WA</w:t>
            </w:r>
          </w:p>
        </w:tc>
        <w:tc>
          <w:tcPr>
            <w:tcW w:w="401" w:type="pct"/>
            <w:tcBorders>
              <w:top w:val="single" w:sz="6" w:space="0" w:color="auto"/>
              <w:bottom w:val="single" w:sz="4" w:space="0" w:color="auto"/>
            </w:tcBorders>
          </w:tcPr>
          <w:p w:rsidR="007F1E7E" w:rsidRDefault="007F1E7E" w:rsidP="00425593">
            <w:pPr>
              <w:pStyle w:val="TableColumnHeading"/>
            </w:pPr>
            <w:r>
              <w:t>SA</w:t>
            </w:r>
          </w:p>
        </w:tc>
        <w:tc>
          <w:tcPr>
            <w:tcW w:w="401" w:type="pct"/>
            <w:tcBorders>
              <w:top w:val="single" w:sz="6" w:space="0" w:color="auto"/>
              <w:bottom w:val="single" w:sz="4" w:space="0" w:color="auto"/>
            </w:tcBorders>
          </w:tcPr>
          <w:p w:rsidR="007F1E7E" w:rsidRDefault="007F1E7E" w:rsidP="00425593">
            <w:pPr>
              <w:pStyle w:val="TableColumnHeading"/>
            </w:pPr>
            <w:proofErr w:type="spellStart"/>
            <w:r>
              <w:t>Tas</w:t>
            </w:r>
            <w:proofErr w:type="spellEnd"/>
          </w:p>
        </w:tc>
        <w:tc>
          <w:tcPr>
            <w:tcW w:w="401" w:type="pct"/>
            <w:tcBorders>
              <w:top w:val="single" w:sz="6" w:space="0" w:color="auto"/>
              <w:bottom w:val="single" w:sz="4" w:space="0" w:color="auto"/>
            </w:tcBorders>
          </w:tcPr>
          <w:p w:rsidR="007F1E7E" w:rsidRDefault="007F1E7E" w:rsidP="00425593">
            <w:pPr>
              <w:pStyle w:val="TableColumnHeading"/>
            </w:pPr>
            <w:r>
              <w:t>ACT</w:t>
            </w:r>
          </w:p>
        </w:tc>
        <w:tc>
          <w:tcPr>
            <w:tcW w:w="401" w:type="pct"/>
            <w:tcBorders>
              <w:top w:val="single" w:sz="6" w:space="0" w:color="auto"/>
              <w:bottom w:val="single" w:sz="4" w:space="0" w:color="auto"/>
            </w:tcBorders>
          </w:tcPr>
          <w:p w:rsidR="007F1E7E" w:rsidRPr="009D7C90" w:rsidRDefault="007F1E7E" w:rsidP="00425593">
            <w:pPr>
              <w:pStyle w:val="TableColumnHeading"/>
              <w:rPr>
                <w:rStyle w:val="NoteLabel"/>
              </w:rPr>
            </w:pPr>
            <w:r>
              <w:t>NT</w:t>
            </w:r>
          </w:p>
        </w:tc>
        <w:tc>
          <w:tcPr>
            <w:tcW w:w="398" w:type="pct"/>
            <w:tcBorders>
              <w:top w:val="single" w:sz="6" w:space="0" w:color="auto"/>
              <w:bottom w:val="single" w:sz="4" w:space="0" w:color="auto"/>
            </w:tcBorders>
          </w:tcPr>
          <w:p w:rsidR="007F1E7E" w:rsidRPr="006B7A0B" w:rsidRDefault="007F1E7E" w:rsidP="00425593">
            <w:pPr>
              <w:pStyle w:val="TableColumnHeading"/>
              <w:ind w:right="28"/>
              <w:rPr>
                <w:rStyle w:val="NoteLabel"/>
                <w:spacing w:val="-4"/>
                <w:szCs w:val="18"/>
              </w:rPr>
            </w:pPr>
            <w:proofErr w:type="spellStart"/>
            <w:r>
              <w:rPr>
                <w:spacing w:val="-4"/>
                <w:sz w:val="18"/>
                <w:szCs w:val="18"/>
              </w:rPr>
              <w:t>Aust</w:t>
            </w:r>
            <w:proofErr w:type="spellEnd"/>
            <w:r>
              <w:rPr>
                <w:spacing w:val="-4"/>
                <w:sz w:val="18"/>
                <w:szCs w:val="18"/>
              </w:rPr>
              <w:t xml:space="preserve"> courts</w:t>
            </w:r>
          </w:p>
        </w:tc>
      </w:tr>
      <w:tr w:rsidR="007728ED" w:rsidRPr="000B6D4F" w:rsidTr="005D0E67">
        <w:tc>
          <w:tcPr>
            <w:tcW w:w="1394" w:type="pct"/>
            <w:tcBorders>
              <w:top w:val="single" w:sz="4" w:space="0" w:color="auto"/>
            </w:tcBorders>
          </w:tcPr>
          <w:p w:rsidR="007728ED" w:rsidRPr="000B6D4F" w:rsidRDefault="007728ED" w:rsidP="00425593">
            <w:pPr>
              <w:pStyle w:val="TableBodyText"/>
              <w:jc w:val="left"/>
              <w:rPr>
                <w:rStyle w:val="NoteLabel"/>
              </w:rPr>
            </w:pPr>
            <w:r w:rsidRPr="000B6D4F">
              <w:t>Supreme/Federal</w:t>
            </w:r>
            <w:r>
              <w:rPr>
                <w:rStyle w:val="NoteLabel"/>
              </w:rPr>
              <w:t>b</w:t>
            </w:r>
          </w:p>
        </w:tc>
        <w:tc>
          <w:tcPr>
            <w:tcW w:w="436"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5.2</w:t>
            </w:r>
          </w:p>
        </w:tc>
        <w:tc>
          <w:tcPr>
            <w:tcW w:w="366"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0.9</w:t>
            </w:r>
          </w:p>
        </w:tc>
        <w:tc>
          <w:tcPr>
            <w:tcW w:w="401"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40.0</w:t>
            </w:r>
          </w:p>
        </w:tc>
        <w:tc>
          <w:tcPr>
            <w:tcW w:w="401"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w:t>
            </w:r>
          </w:p>
        </w:tc>
        <w:tc>
          <w:tcPr>
            <w:tcW w:w="401"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5.9</w:t>
            </w:r>
          </w:p>
        </w:tc>
        <w:tc>
          <w:tcPr>
            <w:tcW w:w="401"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29.2</w:t>
            </w:r>
          </w:p>
        </w:tc>
        <w:tc>
          <w:tcPr>
            <w:tcW w:w="401" w:type="pct"/>
            <w:tcBorders>
              <w:top w:val="single" w:sz="4" w:space="0" w:color="auto"/>
            </w:tcBorders>
            <w:vAlign w:val="bottom"/>
          </w:tcPr>
          <w:p w:rsidR="007728ED" w:rsidRPr="007728ED" w:rsidRDefault="007728ED" w:rsidP="007728ED">
            <w:pPr>
              <w:pStyle w:val="TableBodyText"/>
              <w:rPr>
                <w:sz w:val="18"/>
                <w:szCs w:val="18"/>
              </w:rPr>
            </w:pPr>
            <w:proofErr w:type="spellStart"/>
            <w:r w:rsidRPr="007728ED">
              <w:rPr>
                <w:sz w:val="18"/>
                <w:szCs w:val="18"/>
              </w:rPr>
              <w:t>na</w:t>
            </w:r>
            <w:proofErr w:type="spellEnd"/>
          </w:p>
        </w:tc>
        <w:tc>
          <w:tcPr>
            <w:tcW w:w="401" w:type="pct"/>
            <w:tcBorders>
              <w:top w:val="single" w:sz="4" w:space="0" w:color="auto"/>
            </w:tcBorders>
            <w:vAlign w:val="bottom"/>
          </w:tcPr>
          <w:p w:rsidR="007728ED" w:rsidRPr="007728ED" w:rsidRDefault="00721713" w:rsidP="007728ED">
            <w:pPr>
              <w:pStyle w:val="TableBodyText"/>
              <w:rPr>
                <w:sz w:val="18"/>
                <w:szCs w:val="18"/>
              </w:rPr>
            </w:pPr>
            <w:r>
              <w:rPr>
                <w:sz w:val="18"/>
                <w:szCs w:val="18"/>
              </w:rPr>
              <w:t>–</w:t>
            </w:r>
          </w:p>
        </w:tc>
        <w:tc>
          <w:tcPr>
            <w:tcW w:w="398" w:type="pct"/>
            <w:tcBorders>
              <w:top w:val="single" w:sz="4" w:space="0" w:color="auto"/>
            </w:tcBorders>
            <w:vAlign w:val="bottom"/>
          </w:tcPr>
          <w:p w:rsidR="007728ED" w:rsidRPr="007728ED" w:rsidRDefault="007728ED" w:rsidP="007728ED">
            <w:pPr>
              <w:pStyle w:val="TableBodyText"/>
              <w:rPr>
                <w:sz w:val="18"/>
                <w:szCs w:val="18"/>
              </w:rPr>
            </w:pPr>
            <w:r w:rsidRPr="007728ED">
              <w:rPr>
                <w:sz w:val="18"/>
                <w:szCs w:val="18"/>
              </w:rPr>
              <w:t>..</w:t>
            </w:r>
          </w:p>
        </w:tc>
      </w:tr>
      <w:tr w:rsidR="007728ED" w:rsidRPr="000B6D4F" w:rsidTr="005D0E67">
        <w:tc>
          <w:tcPr>
            <w:tcW w:w="1394" w:type="pct"/>
          </w:tcPr>
          <w:p w:rsidR="007728ED" w:rsidRPr="000B6D4F" w:rsidRDefault="007728ED" w:rsidP="00425593">
            <w:pPr>
              <w:pStyle w:val="TableBodyText"/>
              <w:jc w:val="left"/>
              <w:rPr>
                <w:rStyle w:val="NoteLabel"/>
              </w:rPr>
            </w:pPr>
            <w:r w:rsidRPr="000B6D4F">
              <w:t>District/County</w:t>
            </w:r>
          </w:p>
        </w:tc>
        <w:tc>
          <w:tcPr>
            <w:tcW w:w="436" w:type="pct"/>
            <w:vAlign w:val="bottom"/>
          </w:tcPr>
          <w:p w:rsidR="007728ED" w:rsidRPr="007728ED" w:rsidRDefault="007728ED" w:rsidP="007728ED">
            <w:pPr>
              <w:pStyle w:val="TableBodyText"/>
              <w:rPr>
                <w:sz w:val="18"/>
                <w:szCs w:val="18"/>
              </w:rPr>
            </w:pPr>
            <w:r w:rsidRPr="007728ED">
              <w:rPr>
                <w:sz w:val="18"/>
                <w:szCs w:val="18"/>
              </w:rPr>
              <w:t>9.1</w:t>
            </w:r>
          </w:p>
        </w:tc>
        <w:tc>
          <w:tcPr>
            <w:tcW w:w="366" w:type="pct"/>
            <w:vAlign w:val="bottom"/>
          </w:tcPr>
          <w:p w:rsidR="007728ED" w:rsidRPr="007728ED" w:rsidRDefault="007728ED" w:rsidP="007728ED">
            <w:pPr>
              <w:pStyle w:val="TableBodyText"/>
              <w:rPr>
                <w:sz w:val="18"/>
                <w:szCs w:val="18"/>
              </w:rPr>
            </w:pPr>
            <w:r w:rsidRPr="007728ED">
              <w:rPr>
                <w:sz w:val="18"/>
                <w:szCs w:val="18"/>
              </w:rPr>
              <w:t>4.6</w:t>
            </w:r>
          </w:p>
        </w:tc>
        <w:tc>
          <w:tcPr>
            <w:tcW w:w="401" w:type="pct"/>
            <w:vAlign w:val="bottom"/>
          </w:tcPr>
          <w:p w:rsidR="007728ED" w:rsidRPr="007728ED" w:rsidRDefault="007728ED" w:rsidP="007728ED">
            <w:pPr>
              <w:pStyle w:val="TableBodyText"/>
              <w:rPr>
                <w:sz w:val="18"/>
                <w:szCs w:val="18"/>
              </w:rPr>
            </w:pPr>
            <w:r w:rsidRPr="007728ED">
              <w:rPr>
                <w:sz w:val="18"/>
                <w:szCs w:val="18"/>
              </w:rPr>
              <w:t>44.8</w:t>
            </w:r>
          </w:p>
        </w:tc>
        <w:tc>
          <w:tcPr>
            <w:tcW w:w="401" w:type="pct"/>
            <w:vAlign w:val="bottom"/>
          </w:tcPr>
          <w:p w:rsidR="007728ED" w:rsidRPr="007728ED" w:rsidRDefault="007728ED" w:rsidP="007728ED">
            <w:pPr>
              <w:pStyle w:val="TableBodyText"/>
              <w:rPr>
                <w:sz w:val="18"/>
                <w:szCs w:val="18"/>
              </w:rPr>
            </w:pPr>
            <w:r w:rsidRPr="007728ED">
              <w:rPr>
                <w:sz w:val="18"/>
                <w:szCs w:val="18"/>
              </w:rPr>
              <w:t>..</w:t>
            </w:r>
          </w:p>
        </w:tc>
        <w:tc>
          <w:tcPr>
            <w:tcW w:w="401" w:type="pct"/>
            <w:vAlign w:val="bottom"/>
          </w:tcPr>
          <w:p w:rsidR="007728ED" w:rsidRPr="007728ED" w:rsidRDefault="007728ED" w:rsidP="007728ED">
            <w:pPr>
              <w:pStyle w:val="TableBodyText"/>
              <w:rPr>
                <w:sz w:val="18"/>
                <w:szCs w:val="18"/>
              </w:rPr>
            </w:pPr>
            <w:r w:rsidRPr="007728ED">
              <w:rPr>
                <w:sz w:val="18"/>
                <w:szCs w:val="18"/>
              </w:rPr>
              <w:t>1.2</w:t>
            </w:r>
          </w:p>
        </w:tc>
        <w:tc>
          <w:tcPr>
            <w:tcW w:w="401" w:type="pct"/>
            <w:vAlign w:val="bottom"/>
          </w:tcPr>
          <w:p w:rsidR="007728ED" w:rsidRPr="007728ED" w:rsidRDefault="007728ED" w:rsidP="007728ED">
            <w:pPr>
              <w:pStyle w:val="TableBodyText"/>
              <w:rPr>
                <w:sz w:val="18"/>
                <w:szCs w:val="18"/>
              </w:rPr>
            </w:pPr>
            <w:r w:rsidRPr="007728ED">
              <w:rPr>
                <w:sz w:val="18"/>
                <w:szCs w:val="18"/>
              </w:rPr>
              <w:t>..</w:t>
            </w:r>
          </w:p>
        </w:tc>
        <w:tc>
          <w:tcPr>
            <w:tcW w:w="401" w:type="pct"/>
            <w:vAlign w:val="bottom"/>
          </w:tcPr>
          <w:p w:rsidR="007728ED" w:rsidRPr="007728ED" w:rsidRDefault="007728ED" w:rsidP="007728ED">
            <w:pPr>
              <w:pStyle w:val="TableBodyText"/>
              <w:rPr>
                <w:sz w:val="18"/>
                <w:szCs w:val="18"/>
              </w:rPr>
            </w:pPr>
            <w:r w:rsidRPr="007728ED">
              <w:rPr>
                <w:sz w:val="18"/>
                <w:szCs w:val="18"/>
              </w:rPr>
              <w:t>..</w:t>
            </w:r>
          </w:p>
        </w:tc>
        <w:tc>
          <w:tcPr>
            <w:tcW w:w="401" w:type="pct"/>
            <w:vAlign w:val="bottom"/>
          </w:tcPr>
          <w:p w:rsidR="007728ED" w:rsidRPr="007728ED" w:rsidRDefault="007728ED" w:rsidP="007728ED">
            <w:pPr>
              <w:pStyle w:val="TableBodyText"/>
              <w:rPr>
                <w:sz w:val="18"/>
                <w:szCs w:val="18"/>
              </w:rPr>
            </w:pPr>
            <w:r w:rsidRPr="007728ED">
              <w:rPr>
                <w:sz w:val="18"/>
                <w:szCs w:val="18"/>
              </w:rPr>
              <w:t>..</w:t>
            </w:r>
          </w:p>
        </w:tc>
        <w:tc>
          <w:tcPr>
            <w:tcW w:w="398" w:type="pct"/>
            <w:vAlign w:val="bottom"/>
          </w:tcPr>
          <w:p w:rsidR="007728ED" w:rsidRPr="007728ED" w:rsidRDefault="007728ED" w:rsidP="007728ED">
            <w:pPr>
              <w:pStyle w:val="TableBodyText"/>
              <w:rPr>
                <w:sz w:val="18"/>
                <w:szCs w:val="18"/>
              </w:rPr>
            </w:pPr>
            <w:r w:rsidRPr="007728ED">
              <w:rPr>
                <w:sz w:val="18"/>
                <w:szCs w:val="18"/>
              </w:rPr>
              <w:t>..</w:t>
            </w:r>
          </w:p>
        </w:tc>
      </w:tr>
      <w:tr w:rsidR="007728ED" w:rsidRPr="000B6D4F" w:rsidTr="00360265">
        <w:tc>
          <w:tcPr>
            <w:tcW w:w="1394" w:type="pct"/>
          </w:tcPr>
          <w:p w:rsidR="007728ED" w:rsidRPr="00121A7C" w:rsidRDefault="007728ED" w:rsidP="00425593">
            <w:pPr>
              <w:pStyle w:val="TableBodyText"/>
              <w:jc w:val="left"/>
              <w:rPr>
                <w:rStyle w:val="NoteLabel"/>
              </w:rPr>
            </w:pPr>
            <w:r w:rsidRPr="000B6D4F">
              <w:t>Magistrates’</w:t>
            </w:r>
            <w:r>
              <w:t xml:space="preserve"> (total)</w:t>
            </w:r>
          </w:p>
        </w:tc>
        <w:tc>
          <w:tcPr>
            <w:tcW w:w="436" w:type="pct"/>
            <w:vAlign w:val="bottom"/>
          </w:tcPr>
          <w:p w:rsidR="007728ED" w:rsidRPr="007728ED" w:rsidRDefault="007728ED" w:rsidP="007728ED">
            <w:pPr>
              <w:pStyle w:val="TableBodyText"/>
              <w:rPr>
                <w:sz w:val="18"/>
                <w:szCs w:val="18"/>
              </w:rPr>
            </w:pPr>
            <w:proofErr w:type="spellStart"/>
            <w:r w:rsidRPr="007728ED">
              <w:rPr>
                <w:sz w:val="18"/>
                <w:szCs w:val="18"/>
              </w:rPr>
              <w:t>na</w:t>
            </w:r>
            <w:proofErr w:type="spellEnd"/>
          </w:p>
        </w:tc>
        <w:tc>
          <w:tcPr>
            <w:tcW w:w="366" w:type="pct"/>
            <w:vAlign w:val="bottom"/>
          </w:tcPr>
          <w:p w:rsidR="007728ED" w:rsidRPr="007728ED" w:rsidRDefault="007728ED" w:rsidP="007728ED">
            <w:pPr>
              <w:pStyle w:val="TableBodyText"/>
              <w:rPr>
                <w:sz w:val="18"/>
                <w:szCs w:val="18"/>
              </w:rPr>
            </w:pPr>
            <w:r w:rsidRPr="007728ED">
              <w:rPr>
                <w:sz w:val="18"/>
                <w:szCs w:val="18"/>
              </w:rPr>
              <w:t>..</w:t>
            </w:r>
          </w:p>
        </w:tc>
        <w:tc>
          <w:tcPr>
            <w:tcW w:w="401" w:type="pct"/>
            <w:vAlign w:val="bottom"/>
          </w:tcPr>
          <w:p w:rsidR="007728ED" w:rsidRPr="007728ED" w:rsidRDefault="007728ED" w:rsidP="007728ED">
            <w:pPr>
              <w:pStyle w:val="TableBodyText"/>
              <w:rPr>
                <w:sz w:val="18"/>
                <w:szCs w:val="18"/>
              </w:rPr>
            </w:pPr>
            <w:r w:rsidRPr="007728ED">
              <w:rPr>
                <w:sz w:val="18"/>
                <w:szCs w:val="18"/>
              </w:rPr>
              <w:t>24.4</w:t>
            </w:r>
          </w:p>
        </w:tc>
        <w:tc>
          <w:tcPr>
            <w:tcW w:w="401" w:type="pct"/>
            <w:vAlign w:val="bottom"/>
          </w:tcPr>
          <w:p w:rsidR="007728ED" w:rsidRPr="007728ED" w:rsidRDefault="007728ED" w:rsidP="007728ED">
            <w:pPr>
              <w:pStyle w:val="TableBodyText"/>
              <w:rPr>
                <w:sz w:val="18"/>
                <w:szCs w:val="18"/>
              </w:rPr>
            </w:pPr>
            <w:r w:rsidRPr="007728ED">
              <w:rPr>
                <w:sz w:val="18"/>
                <w:szCs w:val="18"/>
              </w:rPr>
              <w:t>..</w:t>
            </w:r>
          </w:p>
        </w:tc>
        <w:tc>
          <w:tcPr>
            <w:tcW w:w="401" w:type="pct"/>
            <w:vAlign w:val="bottom"/>
          </w:tcPr>
          <w:p w:rsidR="007728ED" w:rsidRPr="007728ED" w:rsidRDefault="007728ED" w:rsidP="007728ED">
            <w:pPr>
              <w:pStyle w:val="TableBodyText"/>
              <w:rPr>
                <w:sz w:val="18"/>
                <w:szCs w:val="18"/>
              </w:rPr>
            </w:pPr>
            <w:r w:rsidRPr="007728ED">
              <w:rPr>
                <w:sz w:val="18"/>
                <w:szCs w:val="18"/>
              </w:rPr>
              <w:t>0.5</w:t>
            </w:r>
          </w:p>
        </w:tc>
        <w:tc>
          <w:tcPr>
            <w:tcW w:w="401" w:type="pct"/>
            <w:vAlign w:val="bottom"/>
          </w:tcPr>
          <w:p w:rsidR="007728ED" w:rsidRPr="007728ED" w:rsidRDefault="007728ED" w:rsidP="007728ED">
            <w:pPr>
              <w:pStyle w:val="TableBodyText"/>
              <w:rPr>
                <w:sz w:val="18"/>
                <w:szCs w:val="18"/>
              </w:rPr>
            </w:pPr>
            <w:r w:rsidRPr="007728ED">
              <w:rPr>
                <w:sz w:val="18"/>
                <w:szCs w:val="18"/>
              </w:rPr>
              <w:t>42.5</w:t>
            </w:r>
          </w:p>
        </w:tc>
        <w:tc>
          <w:tcPr>
            <w:tcW w:w="401" w:type="pct"/>
            <w:vAlign w:val="bottom"/>
          </w:tcPr>
          <w:p w:rsidR="007728ED" w:rsidRPr="007728ED" w:rsidRDefault="007728ED" w:rsidP="007728ED">
            <w:pPr>
              <w:pStyle w:val="TableBodyText"/>
              <w:rPr>
                <w:sz w:val="18"/>
                <w:szCs w:val="18"/>
              </w:rPr>
            </w:pPr>
            <w:proofErr w:type="spellStart"/>
            <w:r w:rsidRPr="007728ED">
              <w:rPr>
                <w:sz w:val="18"/>
                <w:szCs w:val="18"/>
              </w:rPr>
              <w:t>na</w:t>
            </w:r>
            <w:proofErr w:type="spellEnd"/>
          </w:p>
        </w:tc>
        <w:tc>
          <w:tcPr>
            <w:tcW w:w="401" w:type="pct"/>
            <w:vAlign w:val="bottom"/>
          </w:tcPr>
          <w:p w:rsidR="007728ED" w:rsidRPr="007728ED" w:rsidRDefault="007728ED" w:rsidP="007728ED">
            <w:pPr>
              <w:pStyle w:val="TableBodyText"/>
              <w:rPr>
                <w:sz w:val="18"/>
                <w:szCs w:val="18"/>
              </w:rPr>
            </w:pPr>
            <w:r w:rsidRPr="007728ED">
              <w:rPr>
                <w:sz w:val="18"/>
                <w:szCs w:val="18"/>
              </w:rPr>
              <w:t>13.4</w:t>
            </w:r>
          </w:p>
        </w:tc>
        <w:tc>
          <w:tcPr>
            <w:tcW w:w="398" w:type="pct"/>
          </w:tcPr>
          <w:p w:rsidR="007728ED" w:rsidRDefault="007728ED" w:rsidP="007728ED">
            <w:pPr>
              <w:pStyle w:val="TableBodyText"/>
            </w:pPr>
            <w:r w:rsidRPr="0026758D">
              <w:t>..</w:t>
            </w:r>
          </w:p>
        </w:tc>
      </w:tr>
      <w:tr w:rsidR="007728ED" w:rsidRPr="005E6DA1" w:rsidTr="00360265">
        <w:tc>
          <w:tcPr>
            <w:tcW w:w="1394" w:type="pct"/>
          </w:tcPr>
          <w:p w:rsidR="007728ED" w:rsidRPr="005E6DA1" w:rsidRDefault="007728ED" w:rsidP="00425593">
            <w:pPr>
              <w:pStyle w:val="TableBodyText"/>
              <w:jc w:val="left"/>
            </w:pPr>
            <w:r w:rsidRPr="005E6DA1">
              <w:t>Family</w:t>
            </w:r>
            <w:r>
              <w:rPr>
                <w:rStyle w:val="NoteLabel"/>
              </w:rPr>
              <w:t>b</w:t>
            </w:r>
          </w:p>
        </w:tc>
        <w:tc>
          <w:tcPr>
            <w:tcW w:w="436" w:type="pct"/>
          </w:tcPr>
          <w:p w:rsidR="007728ED" w:rsidRDefault="007728ED" w:rsidP="007728ED">
            <w:pPr>
              <w:pStyle w:val="TableBodyText"/>
            </w:pPr>
            <w:r w:rsidRPr="00EF5CC8">
              <w:t>..</w:t>
            </w:r>
          </w:p>
        </w:tc>
        <w:tc>
          <w:tcPr>
            <w:tcW w:w="366" w:type="pct"/>
          </w:tcPr>
          <w:p w:rsidR="007728ED" w:rsidRDefault="007728ED" w:rsidP="007728ED">
            <w:pPr>
              <w:pStyle w:val="TableBodyText"/>
            </w:pPr>
            <w:r w:rsidRPr="00EF5CC8">
              <w:t>..</w:t>
            </w:r>
          </w:p>
        </w:tc>
        <w:tc>
          <w:tcPr>
            <w:tcW w:w="401" w:type="pct"/>
          </w:tcPr>
          <w:p w:rsidR="007728ED" w:rsidRDefault="007728ED" w:rsidP="007728ED">
            <w:pPr>
              <w:pStyle w:val="TableBodyText"/>
            </w:pPr>
            <w:r w:rsidRPr="00EF5CC8">
              <w:t>..</w:t>
            </w:r>
          </w:p>
        </w:tc>
        <w:tc>
          <w:tcPr>
            <w:tcW w:w="401" w:type="pct"/>
            <w:vAlign w:val="bottom"/>
          </w:tcPr>
          <w:p w:rsidR="007728ED" w:rsidRPr="00AE4535" w:rsidRDefault="007728ED" w:rsidP="00AE4535">
            <w:pPr>
              <w:pStyle w:val="TableBodyText"/>
              <w:rPr>
                <w:sz w:val="18"/>
              </w:rPr>
            </w:pPr>
            <w:r>
              <w:rPr>
                <w:sz w:val="18"/>
              </w:rPr>
              <w:t>16.4</w:t>
            </w:r>
          </w:p>
        </w:tc>
        <w:tc>
          <w:tcPr>
            <w:tcW w:w="401" w:type="pct"/>
          </w:tcPr>
          <w:p w:rsidR="007728ED" w:rsidRDefault="007728ED" w:rsidP="007728ED">
            <w:pPr>
              <w:pStyle w:val="TableBodyText"/>
            </w:pPr>
            <w:r w:rsidRPr="00C906C6">
              <w:t>..</w:t>
            </w:r>
          </w:p>
        </w:tc>
        <w:tc>
          <w:tcPr>
            <w:tcW w:w="401" w:type="pct"/>
          </w:tcPr>
          <w:p w:rsidR="007728ED" w:rsidRDefault="007728ED" w:rsidP="007728ED">
            <w:pPr>
              <w:pStyle w:val="TableBodyText"/>
            </w:pPr>
            <w:r w:rsidRPr="00C906C6">
              <w:t>..</w:t>
            </w:r>
          </w:p>
        </w:tc>
        <w:tc>
          <w:tcPr>
            <w:tcW w:w="401" w:type="pct"/>
          </w:tcPr>
          <w:p w:rsidR="007728ED" w:rsidRDefault="007728ED" w:rsidP="007728ED">
            <w:pPr>
              <w:pStyle w:val="TableBodyText"/>
            </w:pPr>
            <w:r w:rsidRPr="00C906C6">
              <w:t>..</w:t>
            </w:r>
          </w:p>
        </w:tc>
        <w:tc>
          <w:tcPr>
            <w:tcW w:w="401" w:type="pct"/>
          </w:tcPr>
          <w:p w:rsidR="007728ED" w:rsidRDefault="007728ED" w:rsidP="007728ED">
            <w:pPr>
              <w:pStyle w:val="TableBodyText"/>
            </w:pPr>
            <w:r w:rsidRPr="00C906C6">
              <w:t>..</w:t>
            </w:r>
          </w:p>
        </w:tc>
        <w:tc>
          <w:tcPr>
            <w:tcW w:w="398" w:type="pct"/>
          </w:tcPr>
          <w:p w:rsidR="007728ED" w:rsidRDefault="007728ED" w:rsidP="007728ED">
            <w:pPr>
              <w:pStyle w:val="TableBodyText"/>
            </w:pPr>
            <w:r w:rsidRPr="0026758D">
              <w:t>..</w:t>
            </w:r>
          </w:p>
        </w:tc>
      </w:tr>
      <w:tr w:rsidR="007728ED" w:rsidRPr="005E6DA1" w:rsidTr="00360265">
        <w:tc>
          <w:tcPr>
            <w:tcW w:w="1394" w:type="pct"/>
            <w:tcBorders>
              <w:bottom w:val="single" w:sz="4" w:space="0" w:color="auto"/>
            </w:tcBorders>
          </w:tcPr>
          <w:p w:rsidR="007728ED" w:rsidRPr="00770AC6" w:rsidRDefault="007728ED" w:rsidP="00425593">
            <w:pPr>
              <w:pStyle w:val="TableBodyText"/>
              <w:jc w:val="left"/>
              <w:rPr>
                <w:rStyle w:val="NoteLabel"/>
              </w:rPr>
            </w:pPr>
            <w:r w:rsidRPr="005E6DA1">
              <w:t xml:space="preserve">Federal </w:t>
            </w:r>
            <w:r>
              <w:t>Circuit</w:t>
            </w:r>
            <w:r>
              <w:rPr>
                <w:rStyle w:val="NoteLabel"/>
              </w:rPr>
              <w:t>b</w:t>
            </w:r>
          </w:p>
        </w:tc>
        <w:tc>
          <w:tcPr>
            <w:tcW w:w="436" w:type="pct"/>
            <w:tcBorders>
              <w:bottom w:val="single" w:sz="4" w:space="0" w:color="auto"/>
            </w:tcBorders>
          </w:tcPr>
          <w:p w:rsidR="007728ED" w:rsidRDefault="007728ED" w:rsidP="007728ED">
            <w:pPr>
              <w:pStyle w:val="TableBodyText"/>
            </w:pPr>
            <w:r w:rsidRPr="00EF5CC8">
              <w:t>..</w:t>
            </w:r>
          </w:p>
        </w:tc>
        <w:tc>
          <w:tcPr>
            <w:tcW w:w="366" w:type="pct"/>
            <w:tcBorders>
              <w:bottom w:val="single" w:sz="4" w:space="0" w:color="auto"/>
            </w:tcBorders>
          </w:tcPr>
          <w:p w:rsidR="007728ED" w:rsidRDefault="007728ED" w:rsidP="007728ED">
            <w:pPr>
              <w:pStyle w:val="TableBodyText"/>
            </w:pPr>
            <w:r w:rsidRPr="00EF5CC8">
              <w:t>..</w:t>
            </w:r>
          </w:p>
        </w:tc>
        <w:tc>
          <w:tcPr>
            <w:tcW w:w="401" w:type="pct"/>
            <w:tcBorders>
              <w:bottom w:val="single" w:sz="4" w:space="0" w:color="auto"/>
            </w:tcBorders>
          </w:tcPr>
          <w:p w:rsidR="007728ED" w:rsidRDefault="007728ED" w:rsidP="007728ED">
            <w:pPr>
              <w:pStyle w:val="TableBodyText"/>
            </w:pPr>
            <w:r w:rsidRPr="00EF5CC8">
              <w:t>..</w:t>
            </w:r>
          </w:p>
        </w:tc>
        <w:tc>
          <w:tcPr>
            <w:tcW w:w="401" w:type="pct"/>
            <w:tcBorders>
              <w:bottom w:val="single" w:sz="4" w:space="0" w:color="auto"/>
            </w:tcBorders>
            <w:vAlign w:val="bottom"/>
          </w:tcPr>
          <w:p w:rsidR="007728ED" w:rsidRPr="00AE4535" w:rsidRDefault="00960BF4" w:rsidP="00AE4535">
            <w:pPr>
              <w:pStyle w:val="TableBodyText"/>
              <w:rPr>
                <w:sz w:val="18"/>
              </w:rPr>
            </w:pPr>
            <w:r w:rsidRPr="00EF5CC8">
              <w:t>..</w:t>
            </w:r>
          </w:p>
        </w:tc>
        <w:tc>
          <w:tcPr>
            <w:tcW w:w="401" w:type="pct"/>
            <w:tcBorders>
              <w:bottom w:val="single" w:sz="4" w:space="0" w:color="auto"/>
            </w:tcBorders>
          </w:tcPr>
          <w:p w:rsidR="007728ED" w:rsidRDefault="007728ED" w:rsidP="007728ED">
            <w:pPr>
              <w:pStyle w:val="TableBodyText"/>
            </w:pPr>
            <w:r w:rsidRPr="00C906C6">
              <w:t>..</w:t>
            </w:r>
          </w:p>
        </w:tc>
        <w:tc>
          <w:tcPr>
            <w:tcW w:w="401" w:type="pct"/>
            <w:tcBorders>
              <w:bottom w:val="single" w:sz="4" w:space="0" w:color="auto"/>
            </w:tcBorders>
          </w:tcPr>
          <w:p w:rsidR="007728ED" w:rsidRDefault="007728ED" w:rsidP="007728ED">
            <w:pPr>
              <w:pStyle w:val="TableBodyText"/>
            </w:pPr>
            <w:r w:rsidRPr="00C906C6">
              <w:t>..</w:t>
            </w:r>
          </w:p>
        </w:tc>
        <w:tc>
          <w:tcPr>
            <w:tcW w:w="401" w:type="pct"/>
            <w:tcBorders>
              <w:bottom w:val="single" w:sz="4" w:space="0" w:color="auto"/>
            </w:tcBorders>
          </w:tcPr>
          <w:p w:rsidR="007728ED" w:rsidRDefault="007728ED" w:rsidP="007728ED">
            <w:pPr>
              <w:pStyle w:val="TableBodyText"/>
            </w:pPr>
            <w:r w:rsidRPr="00C906C6">
              <w:t>..</w:t>
            </w:r>
          </w:p>
        </w:tc>
        <w:tc>
          <w:tcPr>
            <w:tcW w:w="401" w:type="pct"/>
            <w:tcBorders>
              <w:bottom w:val="single" w:sz="4" w:space="0" w:color="auto"/>
            </w:tcBorders>
          </w:tcPr>
          <w:p w:rsidR="007728ED" w:rsidRDefault="007728ED" w:rsidP="007728ED">
            <w:pPr>
              <w:pStyle w:val="TableBodyText"/>
            </w:pPr>
            <w:r w:rsidRPr="00C906C6">
              <w:t>..</w:t>
            </w:r>
          </w:p>
        </w:tc>
        <w:tc>
          <w:tcPr>
            <w:tcW w:w="398" w:type="pct"/>
            <w:tcBorders>
              <w:bottom w:val="single" w:sz="4" w:space="0" w:color="auto"/>
            </w:tcBorders>
          </w:tcPr>
          <w:p w:rsidR="007728ED" w:rsidRDefault="007728ED" w:rsidP="007728ED">
            <w:pPr>
              <w:pStyle w:val="TableBodyText"/>
            </w:pPr>
            <w:r w:rsidRPr="0026758D">
              <w:t>..</w:t>
            </w:r>
          </w:p>
        </w:tc>
      </w:tr>
    </w:tbl>
    <w:p w:rsidR="006B4609" w:rsidRDefault="00D77BB9" w:rsidP="00EA035E">
      <w:pPr>
        <w:pStyle w:val="Source"/>
        <w:rPr>
          <w:i/>
        </w:rPr>
      </w:pPr>
      <w:proofErr w:type="spellStart"/>
      <w:r w:rsidRPr="00A160D7">
        <w:rPr>
          <w:rStyle w:val="NoteLabel"/>
        </w:rPr>
        <w:t>a</w:t>
      </w:r>
      <w:proofErr w:type="spellEnd"/>
      <w:r w:rsidRPr="00A160D7">
        <w:t xml:space="preserve"> In some states and territories, legislation exists to finalise a matter due to inactivity. The deeming rule is applied differently in each jurisdiction. </w:t>
      </w:r>
      <w:r w:rsidRPr="00A160D7">
        <w:rPr>
          <w:rStyle w:val="NoteLabel"/>
        </w:rPr>
        <w:t>b</w:t>
      </w:r>
      <w:r w:rsidR="006B4609">
        <w:t xml:space="preserve"> The Federal Court, the Federal </w:t>
      </w:r>
      <w:r w:rsidR="005D4A60">
        <w:t>Circuit</w:t>
      </w:r>
      <w:r w:rsidR="006B4609">
        <w:t xml:space="preserve"> Court and the Family Court of Australia (excluding </w:t>
      </w:r>
      <w:r w:rsidR="009D21A0">
        <w:t xml:space="preserve">Family Court of </w:t>
      </w:r>
      <w:r w:rsidR="006B4609">
        <w:t>WA) do not apply the deeming rule.</w:t>
      </w:r>
      <w:r w:rsidR="003235FC">
        <w:t xml:space="preserve"> </w:t>
      </w:r>
      <w:proofErr w:type="spellStart"/>
      <w:r w:rsidR="003235FC">
        <w:rPr>
          <w:b/>
        </w:rPr>
        <w:t>na</w:t>
      </w:r>
      <w:proofErr w:type="spellEnd"/>
      <w:r w:rsidR="003235FC">
        <w:t> Not available.</w:t>
      </w:r>
      <w:r w:rsidR="006B4609">
        <w:t xml:space="preserve"> </w:t>
      </w:r>
      <w:r w:rsidR="00ED39BE">
        <w:rPr>
          <w:b/>
        </w:rPr>
        <w:t>.. </w:t>
      </w:r>
      <w:r w:rsidR="00ED39BE" w:rsidRPr="00E92ADD">
        <w:t>Not</w:t>
      </w:r>
      <w:r w:rsidR="00ED39BE">
        <w:t> applicable.</w:t>
      </w:r>
      <w:r w:rsidR="00960BF4">
        <w:t xml:space="preserve">    </w:t>
      </w:r>
      <w:r w:rsidR="003235FC">
        <w:t>–</w:t>
      </w:r>
      <w:r w:rsidR="00960BF4">
        <w:t> </w:t>
      </w:r>
      <w:r w:rsidR="003235FC">
        <w:t>Nil or rounded to zero.</w:t>
      </w:r>
    </w:p>
    <w:p w:rsidR="00EA035E" w:rsidRDefault="00EA035E" w:rsidP="00EA035E">
      <w:pPr>
        <w:pStyle w:val="Source"/>
      </w:pPr>
      <w:r>
        <w:rPr>
          <w:i/>
        </w:rPr>
        <w:t>Source</w:t>
      </w:r>
      <w:r>
        <w:t xml:space="preserve">: Australian, </w:t>
      </w:r>
      <w:r w:rsidRPr="00776F16">
        <w:t>State and Territory c</w:t>
      </w:r>
      <w:r>
        <w:t xml:space="preserve">ourt authorities and </w:t>
      </w:r>
      <w:r w:rsidRPr="00776F16">
        <w:t>de</w:t>
      </w:r>
      <w:r>
        <w:t>partments (unpublished)</w:t>
      </w:r>
      <w:r w:rsidR="009D21A0">
        <w:t>.</w:t>
      </w:r>
    </w:p>
    <w:p w:rsidR="009C5AAE" w:rsidRPr="00742C30" w:rsidRDefault="00286D74" w:rsidP="009C5AAE">
      <w:pPr>
        <w:pStyle w:val="Heading2"/>
      </w:pPr>
      <w:bookmarkStart w:id="8" w:name="_Toc340063211"/>
      <w:r>
        <w:t>7.</w:t>
      </w:r>
      <w:r w:rsidR="00E75B12">
        <w:rPr>
          <w:noProof/>
        </w:rPr>
        <w:t>2</w:t>
      </w:r>
      <w:r w:rsidR="009C5AAE" w:rsidRPr="009C5AAE">
        <w:tab/>
        <w:t>Framework of performance indicators</w:t>
      </w:r>
      <w:bookmarkEnd w:id="8"/>
    </w:p>
    <w:p w:rsidR="00F177FC" w:rsidRDefault="00E75CD4" w:rsidP="009C5AAE">
      <w:pPr>
        <w:pStyle w:val="BodyText"/>
      </w:pPr>
      <w:r>
        <w:t xml:space="preserve">Performance indicators focus on outputs and/or outcomes aimed at meeting common, agreed objectives. </w:t>
      </w:r>
      <w:r w:rsidR="009C5AAE">
        <w:t>The</w:t>
      </w:r>
      <w:r w:rsidR="001D47CA">
        <w:t xml:space="preserve"> Steering Committee has identified four objectives of court services</w:t>
      </w:r>
      <w:r w:rsidR="009C5AAE">
        <w:t xml:space="preserve"> across Australia (</w:t>
      </w:r>
      <w:r w:rsidR="00A76A9C">
        <w:t>box 7</w:t>
      </w:r>
      <w:r w:rsidR="009C5AAE">
        <w:t>.5). The emphasis placed on each objective may vary across states and territories and court level.</w:t>
      </w:r>
    </w:p>
    <w:p w:rsidR="00874687" w:rsidRPr="00205BCF" w:rsidRDefault="0087468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74687">
        <w:tc>
          <w:tcPr>
            <w:tcW w:w="8771" w:type="dxa"/>
            <w:tcBorders>
              <w:top w:val="single" w:sz="6" w:space="0" w:color="auto"/>
              <w:bottom w:val="nil"/>
            </w:tcBorders>
          </w:tcPr>
          <w:p w:rsidR="00874687" w:rsidRPr="00874687" w:rsidRDefault="00874687">
            <w:pPr>
              <w:pStyle w:val="BoxTitle"/>
            </w:pPr>
            <w:r>
              <w:rPr>
                <w:b w:val="0"/>
              </w:rPr>
              <w:t>Box 7.</w:t>
            </w:r>
            <w:r w:rsidR="00E75B12">
              <w:rPr>
                <w:b w:val="0"/>
                <w:noProof/>
              </w:rPr>
              <w:t>5</w:t>
            </w:r>
            <w:r>
              <w:tab/>
            </w:r>
            <w:r w:rsidRPr="00874687">
              <w:t>Objectives for court</w:t>
            </w:r>
            <w:r w:rsidR="00A17F6B">
              <w:t>s</w:t>
            </w:r>
          </w:p>
        </w:tc>
      </w:tr>
      <w:tr w:rsidR="00874687">
        <w:trPr>
          <w:cantSplit/>
        </w:trPr>
        <w:tc>
          <w:tcPr>
            <w:tcW w:w="8771" w:type="dxa"/>
            <w:tcBorders>
              <w:top w:val="nil"/>
              <w:left w:val="single" w:sz="6" w:space="0" w:color="auto"/>
              <w:bottom w:val="nil"/>
              <w:right w:val="single" w:sz="6" w:space="0" w:color="auto"/>
            </w:tcBorders>
          </w:tcPr>
          <w:p w:rsidR="00874687" w:rsidRDefault="00874687" w:rsidP="00874687">
            <w:pPr>
              <w:pStyle w:val="Box"/>
            </w:pPr>
            <w:r>
              <w:t>Objectives for court</w:t>
            </w:r>
            <w:r w:rsidR="00A17F6B">
              <w:t>s</w:t>
            </w:r>
            <w:r>
              <w:t xml:space="preserve"> are:</w:t>
            </w:r>
          </w:p>
          <w:p w:rsidR="00874687" w:rsidRDefault="00874687" w:rsidP="00874687">
            <w:pPr>
              <w:pStyle w:val="BoxListBullet"/>
            </w:pPr>
            <w:r>
              <w:t>to be open and accessible</w:t>
            </w:r>
          </w:p>
          <w:p w:rsidR="00874687" w:rsidRDefault="00874687" w:rsidP="00874687">
            <w:pPr>
              <w:pStyle w:val="BoxListBullet"/>
            </w:pPr>
            <w:r>
              <w:t>to process matters in an expeditious and timely manner</w:t>
            </w:r>
          </w:p>
          <w:p w:rsidR="00874687" w:rsidRDefault="00874687" w:rsidP="00874687">
            <w:pPr>
              <w:pStyle w:val="BoxListBullet"/>
            </w:pPr>
            <w:r>
              <w:t>to provide due process and equal protection before the law</w:t>
            </w:r>
          </w:p>
          <w:p w:rsidR="00874687" w:rsidRDefault="00874687" w:rsidP="00874687">
            <w:pPr>
              <w:pStyle w:val="BoxListBullet"/>
            </w:pPr>
            <w:r>
              <w:t>to be independent yet publicly accountable for performance.</w:t>
            </w:r>
          </w:p>
          <w:p w:rsidR="00874687" w:rsidRDefault="00874687" w:rsidP="00874687">
            <w:pPr>
              <w:pStyle w:val="Box"/>
            </w:pPr>
            <w:r>
              <w:t>In addition, all governments aim to provide court services in an efficient manner.</w:t>
            </w:r>
          </w:p>
        </w:tc>
      </w:tr>
      <w:tr w:rsidR="00874687">
        <w:trPr>
          <w:cantSplit/>
        </w:trPr>
        <w:tc>
          <w:tcPr>
            <w:tcW w:w="8771" w:type="dxa"/>
            <w:tcBorders>
              <w:top w:val="nil"/>
              <w:left w:val="single" w:sz="6" w:space="0" w:color="auto"/>
              <w:bottom w:val="single" w:sz="6" w:space="0" w:color="auto"/>
              <w:right w:val="single" w:sz="6" w:space="0" w:color="auto"/>
            </w:tcBorders>
          </w:tcPr>
          <w:p w:rsidR="00874687" w:rsidRDefault="00874687">
            <w:pPr>
              <w:pStyle w:val="Box"/>
              <w:spacing w:before="0" w:line="120" w:lineRule="exact"/>
            </w:pPr>
          </w:p>
        </w:tc>
      </w:tr>
      <w:tr w:rsidR="00874687">
        <w:tc>
          <w:tcPr>
            <w:tcW w:w="8771" w:type="dxa"/>
            <w:tcBorders>
              <w:top w:val="nil"/>
              <w:left w:val="nil"/>
              <w:bottom w:val="nil"/>
              <w:right w:val="nil"/>
            </w:tcBorders>
          </w:tcPr>
          <w:p w:rsidR="00874687" w:rsidRDefault="00874687">
            <w:pPr>
              <w:pStyle w:val="Box"/>
              <w:keepNext w:val="0"/>
              <w:spacing w:before="60" w:after="60" w:line="80" w:lineRule="exact"/>
              <w:rPr>
                <w:b/>
                <w:color w:val="FF00FF"/>
                <w:sz w:val="14"/>
              </w:rPr>
            </w:pPr>
          </w:p>
        </w:tc>
      </w:tr>
    </w:tbl>
    <w:p w:rsidR="00555C8E" w:rsidRDefault="006F412F" w:rsidP="000B64A5">
      <w:pPr>
        <w:spacing w:before="240" w:line="320" w:lineRule="atLeast"/>
        <w:jc w:val="both"/>
      </w:pPr>
      <w:r>
        <w:lastRenderedPageBreak/>
        <w:t>The performance indicator framework</w:t>
      </w:r>
      <w:r w:rsidRPr="002D30AD">
        <w:rPr>
          <w:szCs w:val="20"/>
        </w:rPr>
        <w:t xml:space="preserve"> provides information on equity, efficiency and effectiveness, and distinguishes the outputs and outcomes of </w:t>
      </w:r>
      <w:r>
        <w:rPr>
          <w:szCs w:val="20"/>
        </w:rPr>
        <w:t>courts</w:t>
      </w:r>
      <w:r w:rsidRPr="002D30AD">
        <w:rPr>
          <w:szCs w:val="20"/>
        </w:rPr>
        <w:t xml:space="preserve"> (figure 7.3). The performance indicator framework shows which data are comparable in the 201</w:t>
      </w:r>
      <w:r>
        <w:rPr>
          <w:szCs w:val="20"/>
        </w:rPr>
        <w:t>4</w:t>
      </w:r>
      <w:r w:rsidRPr="002D30AD">
        <w:rPr>
          <w:szCs w:val="20"/>
        </w:rPr>
        <w:t xml:space="preserve"> Report. For data that are not cons</w:t>
      </w:r>
      <w:r>
        <w:rPr>
          <w:szCs w:val="20"/>
        </w:rPr>
        <w:t xml:space="preserve">idered directly comparable, </w:t>
      </w:r>
      <w:r w:rsidRPr="002D30AD">
        <w:rPr>
          <w:szCs w:val="20"/>
        </w:rPr>
        <w:t>text includes relevant caveats and supporting commentary. Chapter 1 discusses data comparability from a Report</w:t>
      </w:r>
      <w:r>
        <w:rPr>
          <w:szCs w:val="20"/>
        </w:rPr>
        <w:t>-wide perspective (</w:t>
      </w:r>
      <w:r w:rsidRPr="002D30AD">
        <w:rPr>
          <w:szCs w:val="20"/>
        </w:rPr>
        <w:t>section 1.6).</w:t>
      </w:r>
      <w:r w:rsidR="0073791B">
        <w:rPr>
          <w:szCs w:val="20"/>
        </w:rPr>
        <w:t xml:space="preserve"> </w:t>
      </w:r>
      <w:r w:rsidR="00874687">
        <w:t>Indicators that are considered comparable are only comparable subject to the caveats and footnotes accompanying the definition of the indicator and</w:t>
      </w:r>
      <w:r w:rsidR="00C37707">
        <w:t xml:space="preserve"> the</w:t>
      </w:r>
      <w:r w:rsidR="00874687">
        <w:t xml:space="preserve"> table</w:t>
      </w:r>
      <w:r w:rsidR="00CD0C40">
        <w:t xml:space="preserve">s of indicator results. </w:t>
      </w:r>
    </w:p>
    <w:p w:rsidR="00874687" w:rsidRDefault="00555C8E" w:rsidP="00874687">
      <w:pPr>
        <w:pStyle w:val="BodyText"/>
      </w:pPr>
      <w:r>
        <w:t>The Steering Committee focuses on providing the best av</w:t>
      </w:r>
      <w:r w:rsidR="00DE0921">
        <w:t>ailable data in a timely manner</w:t>
      </w:r>
      <w:r>
        <w:t xml:space="preserve">. </w:t>
      </w:r>
      <w:r w:rsidR="00553788">
        <w:t>The Australian, State and Territory governments and court authorities</w:t>
      </w:r>
      <w:r>
        <w:t xml:space="preserve">, when </w:t>
      </w:r>
      <w:r w:rsidR="00DE0921">
        <w:t>endorsing</w:t>
      </w:r>
      <w:r>
        <w:t xml:space="preserve"> the data, acknowledge that the data have been supplied according to the nationally agreed counting rules. Where a jurisdiction advises that it has diverged from these counting rules, this divergence is appropriately footnoted in the table and surrounding text. </w:t>
      </w:r>
      <w:r w:rsidR="00CD0C40">
        <w:t>Chapter </w:t>
      </w:r>
      <w:r w:rsidR="00874687">
        <w:t>1 discusses data comparability from a Repor</w:t>
      </w:r>
      <w:r w:rsidR="00CD0C40">
        <w:t>t-wide perspective (see section </w:t>
      </w:r>
      <w:r w:rsidR="00874687">
        <w:t>1.6).</w:t>
      </w:r>
    </w:p>
    <w:p w:rsidR="001B03A9" w:rsidRDefault="001B03A9" w:rsidP="001B03A9">
      <w:pPr>
        <w:pStyle w:val="BodyText"/>
      </w:pPr>
      <w:r>
        <w:t>The Steering Committee recognises that this collection (unlike some other data collections) does not have an intermediary data collector or validator akin to the Australian Institute of Health and Welfare or the ABS. The reporting process in this chapter is one of continual improvement and refinement, with the long term aim of developing a national data collection that covers court activities across the Australian, State and Territory jurisdictions in a timely and comparable way.</w:t>
      </w:r>
    </w:p>
    <w:p w:rsidR="00593289" w:rsidRDefault="00C624E2" w:rsidP="00874687">
      <w:pPr>
        <w:pStyle w:val="BodyText"/>
      </w:pPr>
      <w:r>
        <w:t xml:space="preserve">As shown in figure 7.3, all of the indicators reported in this chapter are output indicators. </w:t>
      </w:r>
      <w:r w:rsidRPr="00B139FE">
        <w:t>Outputs are</w:t>
      </w:r>
      <w:r w:rsidR="00F06450">
        <w:t xml:space="preserve"> the</w:t>
      </w:r>
      <w:r>
        <w:t xml:space="preserve"> services delivered, </w:t>
      </w:r>
      <w:r w:rsidRPr="00B139FE">
        <w:t>while outcomes are the impact of these services on the s</w:t>
      </w:r>
      <w:r>
        <w:t>tatus of an individual or group</w:t>
      </w:r>
      <w:r w:rsidRPr="00B139FE">
        <w:t xml:space="preserve"> (see chapter 1, section 1.5).</w:t>
      </w:r>
      <w:r>
        <w:t xml:space="preserve"> </w:t>
      </w:r>
      <w:r w:rsidR="006C5B6C">
        <w:t xml:space="preserve">Equity is currently represented through </w:t>
      </w:r>
      <w:r w:rsidR="00502BFC">
        <w:t>two</w:t>
      </w:r>
      <w:r w:rsidR="006C5B6C">
        <w:t xml:space="preserve"> output indicator</w:t>
      </w:r>
      <w:r w:rsidR="00502BFC">
        <w:t>s</w:t>
      </w:r>
      <w:r w:rsidR="006C5B6C">
        <w:t xml:space="preserve"> (‘fees paid by applicants’</w:t>
      </w:r>
      <w:r w:rsidR="00553788">
        <w:t xml:space="preserve"> and ‘j</w:t>
      </w:r>
      <w:r w:rsidR="00502BFC">
        <w:t>udicial officers’</w:t>
      </w:r>
      <w:r w:rsidR="006C5B6C">
        <w:t>). Effectiveness is represented through two output indicators (‘backlog’ and ‘</w:t>
      </w:r>
      <w:r w:rsidR="00502BFC">
        <w:t>attendance</w:t>
      </w:r>
      <w:r w:rsidR="006C5B6C">
        <w:t xml:space="preserve">’). Efficiency is represented through </w:t>
      </w:r>
      <w:r w:rsidR="00502BFC">
        <w:t>four</w:t>
      </w:r>
      <w:r w:rsidR="006C5B6C">
        <w:t xml:space="preserve"> output indicators (‘clearance’</w:t>
      </w:r>
      <w:r w:rsidR="00502BFC">
        <w:t>, ‘judicial officers per finalisation’, ‘full time equivalent staff per finalisation’</w:t>
      </w:r>
      <w:r w:rsidR="006C5B6C">
        <w:t xml:space="preserve"> and ‘cost per finalisation’).</w:t>
      </w:r>
    </w:p>
    <w:p w:rsidR="00C624E2" w:rsidRDefault="00C624E2" w:rsidP="00874687">
      <w:pPr>
        <w:pStyle w:val="BodyText"/>
      </w:pPr>
      <w:r>
        <w:t>To date, no specific outcome indicators have been identified for court</w:t>
      </w:r>
      <w:r w:rsidR="00603CBA">
        <w:t>s</w:t>
      </w:r>
      <w:r>
        <w:t>. The activities of court</w:t>
      </w:r>
      <w:r w:rsidR="00603CBA">
        <w:t>s</w:t>
      </w:r>
      <w:r>
        <w:t xml:space="preserve"> lead to broad outcomes within the overall justice system that are not readily addressed by this service specific chapter.</w:t>
      </w:r>
    </w:p>
    <w:p w:rsidR="003B2BA6" w:rsidRDefault="00E87BF0" w:rsidP="003817DD">
      <w:pPr>
        <w:pStyle w:val="BodyText"/>
      </w:pPr>
      <w:r>
        <w:t>The report’s statistical</w:t>
      </w:r>
      <w:r w:rsidR="009E78FC">
        <w:t xml:space="preserve"> context</w:t>
      </w:r>
      <w:r>
        <w:t xml:space="preserve"> </w:t>
      </w:r>
      <w:r w:rsidR="009E78FC">
        <w:t>chapter</w:t>
      </w:r>
      <w:r w:rsidR="003B2BA6">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(such as Indigenous and ethnic status)</w:t>
      </w:r>
      <w:r w:rsidR="00F77766">
        <w:t xml:space="preserve"> (</w:t>
      </w:r>
      <w:r w:rsidR="009E78FC">
        <w:t>chapter 2</w:t>
      </w:r>
      <w:r>
        <w:t>)</w:t>
      </w:r>
      <w:r w:rsidR="003B2BA6">
        <w:t>.</w:t>
      </w:r>
    </w:p>
    <w:p w:rsidR="00463C7B" w:rsidRDefault="00463C7B">
      <w:pPr>
        <w:pStyle w:val="FigureTitle"/>
      </w:pPr>
      <w:r>
        <w:rPr>
          <w:b w:val="0"/>
        </w:rPr>
        <w:lastRenderedPageBreak/>
        <w:t>Figure 7.</w:t>
      </w:r>
      <w:r w:rsidR="00E75B12">
        <w:rPr>
          <w:b w:val="0"/>
          <w:noProof/>
        </w:rPr>
        <w:t>3</w:t>
      </w:r>
      <w:r>
        <w:tab/>
      </w:r>
      <w:r w:rsidR="00F67B8C">
        <w:t>C</w:t>
      </w:r>
      <w:r>
        <w:t>ourt</w:t>
      </w:r>
      <w:r w:rsidR="002A0BED">
        <w:t>s</w:t>
      </w:r>
      <w:r w:rsidR="00F67B8C" w:rsidRPr="00F67B8C">
        <w:t xml:space="preserve"> </w:t>
      </w:r>
      <w:r w:rsidR="00F67B8C">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E102A">
        <w:tc>
          <w:tcPr>
            <w:tcW w:w="8777" w:type="dxa"/>
          </w:tcPr>
          <w:p w:rsidR="005E102A" w:rsidRDefault="009646F0" w:rsidP="007665AA">
            <w:pPr>
              <w:pStyle w:val="Figure"/>
            </w:pPr>
            <w:r>
              <w:rPr>
                <w:noProof/>
              </w:rPr>
              <w:drawing>
                <wp:inline distT="0" distB="0" distL="0" distR="0">
                  <wp:extent cx="5438775" cy="4067175"/>
                  <wp:effectExtent l="0" t="0" r="9525" b="0"/>
                  <wp:docPr id="8" name="Picture 8" descr="Figure 7.3 Courts performance indicator framework&#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8775" cy="4067175"/>
                          </a:xfrm>
                          <a:prstGeom prst="rect">
                            <a:avLst/>
                          </a:prstGeom>
                          <a:noFill/>
                          <a:ln>
                            <a:noFill/>
                          </a:ln>
                        </pic:spPr>
                      </pic:pic>
                    </a:graphicData>
                  </a:graphic>
                </wp:inline>
              </w:drawing>
            </w:r>
          </w:p>
        </w:tc>
      </w:tr>
    </w:tbl>
    <w:p w:rsidR="00F41B2D" w:rsidRDefault="00F41B2D" w:rsidP="00F41B2D">
      <w:pPr>
        <w:pStyle w:val="BodyText"/>
      </w:pPr>
      <w:bookmarkStart w:id="9" w:name="_Toc340063212"/>
      <w:r w:rsidRPr="00D76CC2">
        <w:t>Data quality information (</w:t>
      </w:r>
      <w:proofErr w:type="spellStart"/>
      <w:r w:rsidRPr="00D76CC2">
        <w:t>DQI</w:t>
      </w:r>
      <w:proofErr w:type="spellEnd"/>
      <w:r w:rsidRPr="00D76CC2">
        <w:t xml:space="preserve">) is being progressively introduced for all indicators in the Report. The purpose of </w:t>
      </w:r>
      <w:proofErr w:type="spellStart"/>
      <w:r w:rsidRPr="00D76CC2">
        <w:t>DQI</w:t>
      </w:r>
      <w:proofErr w:type="spellEnd"/>
      <w:r w:rsidRPr="00D76CC2">
        <w:t xml:space="preserve"> is to provide structured and consistent information about quality aspects of data</w:t>
      </w:r>
      <w:r w:rsidR="006142AC">
        <w:t xml:space="preserve"> used to</w:t>
      </w:r>
      <w:r w:rsidRPr="00D76CC2">
        <w:t xml:space="preserve"> report</w:t>
      </w:r>
      <w:r w:rsidR="006142AC">
        <w:t xml:space="preserve"> on performance indicators.</w:t>
      </w:r>
      <w:r w:rsidRPr="00D76CC2">
        <w:t xml:space="preserve"> </w:t>
      </w:r>
      <w:proofErr w:type="spellStart"/>
      <w:r w:rsidRPr="00D76CC2">
        <w:t>DQI</w:t>
      </w:r>
      <w:proofErr w:type="spellEnd"/>
      <w:r w:rsidRPr="00D76CC2">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t xml:space="preserve"> Committee. All </w:t>
      </w:r>
      <w:proofErr w:type="spellStart"/>
      <w:r>
        <w:t>DQI</w:t>
      </w:r>
      <w:proofErr w:type="spellEnd"/>
      <w:r>
        <w:t xml:space="preserve"> for the 2014</w:t>
      </w:r>
      <w:r w:rsidRPr="00D76CC2">
        <w:t xml:space="preserve"> Report can be found at </w:t>
      </w:r>
      <w:proofErr w:type="spellStart"/>
      <w:r w:rsidRPr="0015499C">
        <w:t>www.pc.gov.au</w:t>
      </w:r>
      <w:proofErr w:type="spellEnd"/>
      <w:r w:rsidRPr="0015499C">
        <w:t>/</w:t>
      </w:r>
      <w:proofErr w:type="spellStart"/>
      <w:r w:rsidRPr="0015499C">
        <w:t>gsp</w:t>
      </w:r>
      <w:proofErr w:type="spellEnd"/>
      <w:r w:rsidRPr="0015499C">
        <w:t>/reports/</w:t>
      </w:r>
      <w:proofErr w:type="spellStart"/>
      <w:r w:rsidRPr="0015499C">
        <w:t>rogs</w:t>
      </w:r>
      <w:proofErr w:type="spellEnd"/>
      <w:r w:rsidRPr="0015499C">
        <w:t>/2014</w:t>
      </w:r>
      <w:r w:rsidRPr="00D76CC2">
        <w:t>.</w:t>
      </w:r>
    </w:p>
    <w:p w:rsidR="0017225F" w:rsidRDefault="0017225F" w:rsidP="002245B9">
      <w:pPr>
        <w:pStyle w:val="Heading2"/>
      </w:pPr>
      <w:r>
        <w:t>7.</w:t>
      </w:r>
      <w:r w:rsidR="00E75B12">
        <w:rPr>
          <w:noProof/>
        </w:rPr>
        <w:t>3</w:t>
      </w:r>
      <w:r>
        <w:tab/>
        <w:t>Key performance indicator results</w:t>
      </w:r>
      <w:bookmarkEnd w:id="9"/>
    </w:p>
    <w:p w:rsidR="0017225F" w:rsidRDefault="0017225F" w:rsidP="0017225F">
      <w:pPr>
        <w:pStyle w:val="BodyText"/>
      </w:pPr>
      <w:r>
        <w:t>Dif</w:t>
      </w:r>
      <w:r w:rsidR="00920EEA">
        <w:t xml:space="preserve">ferent delivery locations, caseloads, </w:t>
      </w:r>
      <w:proofErr w:type="spellStart"/>
      <w:r w:rsidR="00920EEA">
        <w:t>case</w:t>
      </w:r>
      <w:r>
        <w:t>mixes</w:t>
      </w:r>
      <w:proofErr w:type="spellEnd"/>
      <w:r>
        <w:t xml:space="preserve"> and government policies may affect the equity, effectiveness and efficiency of court services. The allocation of cases to different courts also differs across states and territories and Australian courts. Performance comparison needs to </w:t>
      </w:r>
      <w:r w:rsidR="00D125DB">
        <w:t xml:space="preserve">take these factors into </w:t>
      </w:r>
      <w:r>
        <w:t>account</w:t>
      </w:r>
      <w:r w:rsidR="00D125DB">
        <w:t>.</w:t>
      </w:r>
      <w:r>
        <w:t xml:space="preserve"> In addition to the material in boxes</w:t>
      </w:r>
      <w:r w:rsidR="0035638C">
        <w:t xml:space="preserve"> 7</w:t>
      </w:r>
      <w:r>
        <w:t>.1</w:t>
      </w:r>
      <w:r w:rsidR="0035638C">
        <w:t>, 7.2 and 7</w:t>
      </w:r>
      <w:r w:rsidR="00931FF8">
        <w:t>.3, a</w:t>
      </w:r>
      <w:r w:rsidR="001671A0">
        <w:t>ppendix A</w:t>
      </w:r>
      <w:r w:rsidR="00505751">
        <w:t xml:space="preserve"> — </w:t>
      </w:r>
      <w:r>
        <w:t>the</w:t>
      </w:r>
      <w:r w:rsidR="001671A0">
        <w:t xml:space="preserve"> statistical appendix</w:t>
      </w:r>
      <w:r w:rsidR="00505751">
        <w:t xml:space="preserve"> — </w:t>
      </w:r>
      <w:r>
        <w:t xml:space="preserve">contains detailed statistics and short profiles on each State and Territory, and other </w:t>
      </w:r>
      <w:r>
        <w:lastRenderedPageBreak/>
        <w:t xml:space="preserve">data which may assist in interpreting the performance indicators presented in this chapter. </w:t>
      </w:r>
    </w:p>
    <w:p w:rsidR="0017225F" w:rsidRDefault="0017225F" w:rsidP="0017225F">
      <w:pPr>
        <w:pStyle w:val="BodyText"/>
      </w:pPr>
      <w:r>
        <w:t>The court</w:t>
      </w:r>
      <w:r w:rsidR="009B035F">
        <w:t>s</w:t>
      </w:r>
      <w:r>
        <w:t xml:space="preserve"> data collection is based on national counting rules, so data presented in this chapter may differ from data published by individual jurisdictions in thei</w:t>
      </w:r>
      <w:r w:rsidR="008029E5">
        <w:t>r annual reports. There also can</w:t>
      </w:r>
      <w:r>
        <w:t xml:space="preserve"> be differences from the data reported in the ABS Crimi</w:t>
      </w:r>
      <w:r w:rsidR="007D2884">
        <w:t>nal Courts publication</w:t>
      </w:r>
      <w:r w:rsidR="001621AF">
        <w:t xml:space="preserve"> (ABS 2013</w:t>
      </w:r>
      <w:r w:rsidR="00740554">
        <w:t>) — the ABS publication provides information about judicial decisions relating to finalised and adjudicated defendants.</w:t>
      </w:r>
      <w:r w:rsidR="007D2884">
        <w:t xml:space="preserve"> </w:t>
      </w:r>
    </w:p>
    <w:p w:rsidR="0017225F" w:rsidRDefault="0017225F" w:rsidP="0017225F">
      <w:pPr>
        <w:pStyle w:val="Heading3"/>
      </w:pPr>
      <w:r>
        <w:t>Outputs</w:t>
      </w:r>
    </w:p>
    <w:p w:rsidR="005956AA" w:rsidRPr="005956AA" w:rsidRDefault="007376A5" w:rsidP="005956AA">
      <w:pPr>
        <w:pStyle w:val="BodyText"/>
      </w:pPr>
      <w:r>
        <w:t>Outputs are the</w:t>
      </w:r>
      <w:r w:rsidR="005956AA" w:rsidRPr="005956AA">
        <w:t xml:space="preserve"> services delivered (while outcomes are the impact of these services on the status of an individual or group) (see chapter 1, section 1.5).</w:t>
      </w:r>
    </w:p>
    <w:p w:rsidR="0017225F" w:rsidRDefault="0017225F" w:rsidP="0017225F">
      <w:pPr>
        <w:pStyle w:val="Heading4"/>
      </w:pPr>
      <w:r>
        <w:t>Equity</w:t>
      </w:r>
      <w:r w:rsidR="00505751">
        <w:t xml:space="preserve"> — </w:t>
      </w:r>
      <w:r>
        <w:t>fees paid by applicants</w:t>
      </w:r>
    </w:p>
    <w:p w:rsidR="00E622BC" w:rsidRPr="00E622BC" w:rsidRDefault="00E622BC" w:rsidP="00F463FD">
      <w:pPr>
        <w:pStyle w:val="BodyText"/>
      </w:pPr>
      <w:r>
        <w:t>‘Fees paid by applicants’ is an indicator of governments’</w:t>
      </w:r>
      <w:r w:rsidR="008A3647">
        <w:t xml:space="preserve"> achievement against the</w:t>
      </w:r>
      <w:r>
        <w:t xml:space="preserve"> objective </w:t>
      </w:r>
      <w:r w:rsidR="008A3647">
        <w:t>of</w:t>
      </w:r>
      <w:r w:rsidR="008F62B4">
        <w:t xml:space="preserve"> keep</w:t>
      </w:r>
      <w:r w:rsidR="008A3647">
        <w:t>ing</w:t>
      </w:r>
      <w:r w:rsidR="007C0913">
        <w:t xml:space="preserve"> services accessible</w:t>
      </w:r>
      <w:r w:rsidR="00A573FF">
        <w:t xml:space="preserve"> (box 7.6)</w:t>
      </w:r>
      <w:r w:rsidR="007C0913">
        <w:t>. Court fees may have a range of functions, including recovering costs and sending appropriate price signals to potential litigants (with the intention of ensuring that parties consider all appropriate options to resolve disputes).</w:t>
      </w:r>
      <w:r w:rsidR="00B12494">
        <w:t xml:space="preserve"> This measure monitors the affordability of average court fees paid by litigants.</w:t>
      </w:r>
      <w:r w:rsidR="007C0913">
        <w:t xml:space="preserve"> </w:t>
      </w:r>
      <w:r w:rsidR="00462D99">
        <w:t>It is important to note, however, that court fees are only part of the broader legal costs faced by applicants.</w:t>
      </w:r>
    </w:p>
    <w:p w:rsidR="007F6EA4" w:rsidRPr="00205BCF" w:rsidRDefault="007F6EA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6EA4">
        <w:tc>
          <w:tcPr>
            <w:tcW w:w="8771" w:type="dxa"/>
            <w:tcBorders>
              <w:top w:val="single" w:sz="6" w:space="0" w:color="auto"/>
              <w:bottom w:val="nil"/>
            </w:tcBorders>
          </w:tcPr>
          <w:p w:rsidR="007F6EA4" w:rsidRPr="007F6EA4" w:rsidRDefault="007F6EA4">
            <w:pPr>
              <w:pStyle w:val="BoxTitle"/>
            </w:pPr>
            <w:r>
              <w:rPr>
                <w:b w:val="0"/>
              </w:rPr>
              <w:t>Box 7.</w:t>
            </w:r>
            <w:r w:rsidR="00E75B12">
              <w:rPr>
                <w:b w:val="0"/>
                <w:noProof/>
              </w:rPr>
              <w:t>6</w:t>
            </w:r>
            <w:r>
              <w:tab/>
            </w:r>
            <w:r w:rsidRPr="007F6EA4">
              <w:t>Fees paid by applicants</w:t>
            </w:r>
          </w:p>
        </w:tc>
      </w:tr>
      <w:tr w:rsidR="007F6EA4">
        <w:trPr>
          <w:cantSplit/>
        </w:trPr>
        <w:tc>
          <w:tcPr>
            <w:tcW w:w="8771" w:type="dxa"/>
            <w:tcBorders>
              <w:top w:val="nil"/>
              <w:left w:val="single" w:sz="6" w:space="0" w:color="auto"/>
              <w:bottom w:val="nil"/>
              <w:right w:val="single" w:sz="6" w:space="0" w:color="auto"/>
            </w:tcBorders>
          </w:tcPr>
          <w:p w:rsidR="007F6EA4" w:rsidRDefault="007F6EA4" w:rsidP="007F6EA4">
            <w:pPr>
              <w:pStyle w:val="Box"/>
            </w:pPr>
            <w:r>
              <w:t>‘Fees paid by a</w:t>
            </w:r>
            <w:r w:rsidR="00C56351">
              <w:t xml:space="preserve">pplicants’ is </w:t>
            </w:r>
            <w:r w:rsidR="00AC4C7F">
              <w:t>defined as</w:t>
            </w:r>
            <w:r>
              <w:t xml:space="preserve"> the average court fees paid per </w:t>
            </w:r>
            <w:proofErr w:type="spellStart"/>
            <w:r>
              <w:t>lodgment</w:t>
            </w:r>
            <w:proofErr w:type="spellEnd"/>
            <w:r>
              <w:t xml:space="preserve">. It is derived by dividing the total court fees collected by the number of </w:t>
            </w:r>
            <w:proofErr w:type="spellStart"/>
            <w:r>
              <w:t>lodgments</w:t>
            </w:r>
            <w:proofErr w:type="spellEnd"/>
            <w:r>
              <w:t xml:space="preserve"> in a year.</w:t>
            </w:r>
          </w:p>
          <w:p w:rsidR="007F6EA4" w:rsidRDefault="007F6EA4" w:rsidP="007F6EA4">
            <w:pPr>
              <w:pStyle w:val="Box"/>
            </w:pPr>
            <w:r>
              <w:t>Court fees largely relate to civil cases. Providing court service quality is held constant, lower court fees help keep courts accessible.</w:t>
            </w:r>
          </w:p>
          <w:p w:rsidR="007F6EA4" w:rsidRDefault="00AC4C7F" w:rsidP="007F6EA4">
            <w:pPr>
              <w:pStyle w:val="Box"/>
            </w:pPr>
            <w:r>
              <w:t>C</w:t>
            </w:r>
            <w:r w:rsidR="007F6EA4">
              <w:t>ourt fees are only part of the costs faced by litigants (with legal fees being more significant).</w:t>
            </w:r>
          </w:p>
          <w:p w:rsidR="007C3E04" w:rsidRDefault="00AC4C7F" w:rsidP="007F6EA4">
            <w:pPr>
              <w:pStyle w:val="Box"/>
            </w:pPr>
            <w:r>
              <w:t>Data reported for this indicator are</w:t>
            </w:r>
            <w:r w:rsidR="007C3E04">
              <w:t>:</w:t>
            </w:r>
          </w:p>
          <w:p w:rsidR="007C3E04" w:rsidRDefault="00AC4C7F" w:rsidP="00CE0563">
            <w:pPr>
              <w:pStyle w:val="ListBullet"/>
              <w:rPr>
                <w:rFonts w:ascii="Arial" w:hAnsi="Arial" w:cs="Arial"/>
                <w:sz w:val="22"/>
                <w:szCs w:val="22"/>
              </w:rPr>
            </w:pPr>
            <w:r w:rsidRPr="00CE0563">
              <w:rPr>
                <w:rFonts w:ascii="Arial" w:hAnsi="Arial" w:cs="Arial"/>
                <w:sz w:val="22"/>
                <w:szCs w:val="22"/>
              </w:rPr>
              <w:t>comparable</w:t>
            </w:r>
            <w:r w:rsidR="00532217" w:rsidRPr="00CE0563">
              <w:rPr>
                <w:rFonts w:ascii="Arial" w:hAnsi="Arial" w:cs="Arial"/>
                <w:sz w:val="22"/>
                <w:szCs w:val="22"/>
              </w:rPr>
              <w:t xml:space="preserve"> (subject to caveats) across jurisdictions and over time</w:t>
            </w:r>
          </w:p>
          <w:p w:rsidR="00AC4C7F" w:rsidRPr="00CE0563" w:rsidRDefault="007C3E04" w:rsidP="00CE0563">
            <w:pPr>
              <w:pStyle w:val="ListBullet"/>
              <w:rPr>
                <w:rFonts w:ascii="Arial" w:hAnsi="Arial" w:cs="Arial"/>
                <w:sz w:val="22"/>
                <w:szCs w:val="22"/>
              </w:rPr>
            </w:pPr>
            <w:r w:rsidRPr="00CE0563">
              <w:rPr>
                <w:rFonts w:ascii="Arial" w:hAnsi="Arial" w:cs="Arial"/>
                <w:sz w:val="22"/>
                <w:szCs w:val="22"/>
              </w:rPr>
              <w:t>complete for the current</w:t>
            </w:r>
            <w:r>
              <w:rPr>
                <w:rFonts w:ascii="Arial" w:hAnsi="Arial" w:cs="Arial"/>
                <w:sz w:val="22"/>
                <w:szCs w:val="22"/>
              </w:rPr>
              <w:t xml:space="preserve"> reporting period (subject to caveats). All required 2012</w:t>
            </w:r>
            <w:r w:rsidR="00205BCF">
              <w:rPr>
                <w:rFonts w:ascii="Arial" w:hAnsi="Arial" w:cs="Arial"/>
                <w:sz w:val="22"/>
                <w:szCs w:val="22"/>
              </w:rPr>
              <w:noBreakHyphen/>
            </w:r>
            <w:r>
              <w:rPr>
                <w:rFonts w:ascii="Arial" w:hAnsi="Arial" w:cs="Arial"/>
                <w:sz w:val="22"/>
                <w:szCs w:val="22"/>
              </w:rPr>
              <w:t>13 data are available for all jurisdictions.</w:t>
            </w:r>
          </w:p>
          <w:p w:rsidR="002F43AD" w:rsidRPr="00477DAA" w:rsidRDefault="001F5DBB" w:rsidP="002F67F8">
            <w:pPr>
              <w:pStyle w:val="Box"/>
              <w:rPr>
                <w:rFonts w:cs="Arial"/>
                <w:color w:val="0000FF"/>
                <w:szCs w:val="22"/>
              </w:rPr>
            </w:pPr>
            <w:r>
              <w:rPr>
                <w:szCs w:val="22"/>
              </w:rPr>
              <w:t>Information about d</w:t>
            </w:r>
            <w:r w:rsidR="00264EB4" w:rsidRPr="00264EB4">
              <w:rPr>
                <w:szCs w:val="22"/>
              </w:rPr>
              <w:t xml:space="preserve">ata quality </w:t>
            </w:r>
            <w:r w:rsidR="009F60C4">
              <w:rPr>
                <w:szCs w:val="22"/>
              </w:rPr>
              <w:t>for this indicator is</w:t>
            </w:r>
            <w:r w:rsidR="00264EB4" w:rsidRPr="00264EB4">
              <w:rPr>
                <w:szCs w:val="22"/>
              </w:rPr>
              <w:t xml:space="preserve"> at </w:t>
            </w:r>
            <w:proofErr w:type="spellStart"/>
            <w:r w:rsidR="002F43AD" w:rsidRPr="004C526F">
              <w:rPr>
                <w:rFonts w:cs="Arial"/>
                <w:szCs w:val="22"/>
              </w:rPr>
              <w:t>www.pc.gov.au</w:t>
            </w:r>
            <w:proofErr w:type="spellEnd"/>
            <w:r w:rsidR="002F43AD" w:rsidRPr="004C526F">
              <w:rPr>
                <w:rFonts w:cs="Arial"/>
                <w:szCs w:val="22"/>
              </w:rPr>
              <w:t>/</w:t>
            </w:r>
            <w:r w:rsidR="002F43AD">
              <w:rPr>
                <w:rFonts w:cs="Arial"/>
                <w:szCs w:val="22"/>
              </w:rPr>
              <w:t xml:space="preserve"> </w:t>
            </w:r>
            <w:proofErr w:type="spellStart"/>
            <w:r w:rsidR="007E7C0D" w:rsidRPr="004907FA">
              <w:rPr>
                <w:rFonts w:cs="Arial"/>
                <w:szCs w:val="22"/>
              </w:rPr>
              <w:t>gsp</w:t>
            </w:r>
            <w:proofErr w:type="spellEnd"/>
            <w:r w:rsidR="007E7C0D" w:rsidRPr="004907FA">
              <w:rPr>
                <w:rFonts w:cs="Arial"/>
                <w:szCs w:val="22"/>
              </w:rPr>
              <w:t>/reports/</w:t>
            </w:r>
            <w:proofErr w:type="spellStart"/>
            <w:r w:rsidR="007E7C0D" w:rsidRPr="004907FA">
              <w:rPr>
                <w:rFonts w:cs="Arial"/>
                <w:szCs w:val="22"/>
              </w:rPr>
              <w:t>rogs</w:t>
            </w:r>
            <w:proofErr w:type="spellEnd"/>
            <w:r w:rsidR="007E7C0D" w:rsidRPr="004907FA">
              <w:rPr>
                <w:rFonts w:cs="Arial"/>
                <w:szCs w:val="22"/>
              </w:rPr>
              <w:t>/201</w:t>
            </w:r>
            <w:r w:rsidR="00A76F58">
              <w:rPr>
                <w:rFonts w:cs="Arial"/>
                <w:szCs w:val="22"/>
              </w:rPr>
              <w:t>4</w:t>
            </w:r>
            <w:r w:rsidR="009F60C4">
              <w:rPr>
                <w:rFonts w:cs="Arial"/>
                <w:color w:val="0000FF"/>
                <w:szCs w:val="22"/>
              </w:rPr>
              <w:t>.</w:t>
            </w:r>
          </w:p>
        </w:tc>
      </w:tr>
      <w:tr w:rsidR="007F6EA4">
        <w:trPr>
          <w:cantSplit/>
        </w:trPr>
        <w:tc>
          <w:tcPr>
            <w:tcW w:w="8771" w:type="dxa"/>
            <w:tcBorders>
              <w:top w:val="nil"/>
              <w:left w:val="single" w:sz="6" w:space="0" w:color="auto"/>
              <w:bottom w:val="single" w:sz="6" w:space="0" w:color="auto"/>
              <w:right w:val="single" w:sz="6" w:space="0" w:color="auto"/>
            </w:tcBorders>
          </w:tcPr>
          <w:p w:rsidR="007F6EA4" w:rsidRDefault="007F6EA4">
            <w:pPr>
              <w:pStyle w:val="Box"/>
              <w:spacing w:before="0" w:line="120" w:lineRule="exact"/>
            </w:pPr>
          </w:p>
        </w:tc>
      </w:tr>
      <w:tr w:rsidR="007F6EA4">
        <w:tc>
          <w:tcPr>
            <w:tcW w:w="8771" w:type="dxa"/>
            <w:tcBorders>
              <w:top w:val="nil"/>
              <w:left w:val="nil"/>
              <w:bottom w:val="nil"/>
              <w:right w:val="nil"/>
            </w:tcBorders>
          </w:tcPr>
          <w:p w:rsidR="007F6EA4" w:rsidRDefault="007F6EA4">
            <w:pPr>
              <w:pStyle w:val="Box"/>
              <w:keepNext w:val="0"/>
              <w:spacing w:before="60" w:after="60" w:line="80" w:lineRule="exact"/>
              <w:rPr>
                <w:b/>
                <w:color w:val="FF00FF"/>
                <w:sz w:val="14"/>
              </w:rPr>
            </w:pPr>
          </w:p>
        </w:tc>
      </w:tr>
    </w:tbl>
    <w:p w:rsidR="007F6EA4" w:rsidRDefault="007F6EA4" w:rsidP="007F6EA4">
      <w:pPr>
        <w:pStyle w:val="BodyText"/>
      </w:pPr>
      <w:r w:rsidRPr="00DC49DD">
        <w:t xml:space="preserve">In </w:t>
      </w:r>
      <w:r w:rsidR="007D2884">
        <w:t>201</w:t>
      </w:r>
      <w:r w:rsidR="00A76F58">
        <w:t>2</w:t>
      </w:r>
      <w:r w:rsidR="00205BCF">
        <w:noBreakHyphen/>
      </w:r>
      <w:r w:rsidR="00A76F58">
        <w:t>13</w:t>
      </w:r>
      <w:r w:rsidRPr="00DC49DD">
        <w:t xml:space="preserve">, </w:t>
      </w:r>
      <w:r w:rsidRPr="004811D3">
        <w:t xml:space="preserve">average court fees paid per </w:t>
      </w:r>
      <w:proofErr w:type="spellStart"/>
      <w:r w:rsidRPr="004811D3">
        <w:t>lodgment</w:t>
      </w:r>
      <w:proofErr w:type="spellEnd"/>
      <w:r w:rsidRPr="004811D3">
        <w:t xml:space="preserve"> were greater in </w:t>
      </w:r>
      <w:r w:rsidR="00010F4A" w:rsidRPr="004811D3">
        <w:t>supreme c</w:t>
      </w:r>
      <w:r w:rsidR="00BC62E9" w:rsidRPr="004811D3">
        <w:t>ourt</w:t>
      </w:r>
      <w:r w:rsidRPr="004811D3">
        <w:t xml:space="preserve">s than in </w:t>
      </w:r>
      <w:r w:rsidR="00F43AAD" w:rsidRPr="004811D3">
        <w:t>district/county</w:t>
      </w:r>
      <w:r w:rsidRPr="004811D3">
        <w:t xml:space="preserve"> and </w:t>
      </w:r>
      <w:r w:rsidR="00010F4A" w:rsidRPr="004811D3">
        <w:t>magistrates’ c</w:t>
      </w:r>
      <w:r w:rsidR="00BC62E9" w:rsidRPr="004811D3">
        <w:t>ourt</w:t>
      </w:r>
      <w:r w:rsidRPr="004811D3">
        <w:t>s</w:t>
      </w:r>
      <w:r>
        <w:t xml:space="preserve"> (</w:t>
      </w:r>
      <w:r w:rsidR="00A76A9C">
        <w:t>table 7</w:t>
      </w:r>
      <w:r w:rsidR="00C96B64">
        <w:t>.8</w:t>
      </w:r>
      <w:r>
        <w:t xml:space="preserve">). </w:t>
      </w:r>
      <w:r w:rsidR="00C82082">
        <w:t>The average fees collected by the Australian, State and Territory courts vary for many reasons and caution should be used in making direct comparisons.</w:t>
      </w:r>
    </w:p>
    <w:p w:rsidR="00ED4185" w:rsidRPr="00D57F69" w:rsidRDefault="00DD6D58" w:rsidP="00D57F69">
      <w:pPr>
        <w:pStyle w:val="TableTitle"/>
        <w:rPr>
          <w:position w:val="6"/>
          <w:sz w:val="18"/>
        </w:rPr>
      </w:pPr>
      <w:r w:rsidRPr="00BD061E">
        <w:rPr>
          <w:b w:val="0"/>
        </w:rPr>
        <w:t>Table 7.</w:t>
      </w:r>
      <w:r w:rsidR="00C96B64">
        <w:rPr>
          <w:b w:val="0"/>
          <w:noProof/>
        </w:rPr>
        <w:t>8</w:t>
      </w:r>
      <w:r w:rsidRPr="00EA54A1">
        <w:tab/>
        <w:t xml:space="preserve">Average civil court fees collected per </w:t>
      </w:r>
      <w:proofErr w:type="spellStart"/>
      <w:r w:rsidRPr="00EA54A1">
        <w:t>lodgment</w:t>
      </w:r>
      <w:proofErr w:type="spellEnd"/>
      <w:r w:rsidRPr="00EA54A1">
        <w:t xml:space="preserve">, </w:t>
      </w:r>
      <w:r w:rsidR="00A76F58">
        <w:t>2012</w:t>
      </w:r>
      <w:r w:rsidR="004A40D4">
        <w:t>-</w:t>
      </w:r>
      <w:r w:rsidR="00B9326C">
        <w:t>1</w:t>
      </w:r>
      <w:r w:rsidR="00A76F58">
        <w:t>3</w:t>
      </w:r>
      <w:r w:rsidRPr="00DD6D58">
        <w:t xml:space="preserve"> (dollars)</w:t>
      </w:r>
      <w:r w:rsidR="00697C70" w:rsidRPr="00697C70">
        <w:rPr>
          <w:rStyle w:val="NoteLabel"/>
          <w:b/>
        </w:rPr>
        <w:t>a</w:t>
      </w:r>
      <w:r w:rsidR="00572A8F" w:rsidRPr="00572A8F">
        <w:rPr>
          <w:rStyle w:val="NoteLabel"/>
        </w:rPr>
        <w:t>,</w:t>
      </w:r>
      <w:r w:rsidR="00572A8F">
        <w:rPr>
          <w:rStyle w:val="NoteLabel"/>
        </w:rPr>
        <w:t xml:space="preserve"> </w:t>
      </w:r>
      <w:r w:rsidR="00572A8F" w:rsidRPr="00572A8F">
        <w:rPr>
          <w:rStyle w:val="NoteLabel"/>
          <w:b/>
        </w:rPr>
        <w:t>b</w:t>
      </w:r>
    </w:p>
    <w:tbl>
      <w:tblPr>
        <w:tblW w:w="0" w:type="auto"/>
        <w:tblLayout w:type="fixed"/>
        <w:tblCellMar>
          <w:left w:w="0" w:type="dxa"/>
          <w:right w:w="0" w:type="dxa"/>
        </w:tblCellMar>
        <w:tblLook w:val="0000" w:firstRow="0" w:lastRow="0" w:firstColumn="0" w:lastColumn="0" w:noHBand="0" w:noVBand="0"/>
      </w:tblPr>
      <w:tblGrid>
        <w:gridCol w:w="1985"/>
        <w:gridCol w:w="709"/>
        <w:gridCol w:w="708"/>
        <w:gridCol w:w="709"/>
        <w:gridCol w:w="709"/>
        <w:gridCol w:w="709"/>
        <w:gridCol w:w="567"/>
        <w:gridCol w:w="708"/>
        <w:gridCol w:w="567"/>
        <w:gridCol w:w="709"/>
        <w:gridCol w:w="709"/>
      </w:tblGrid>
      <w:tr w:rsidR="00DD6D58" w:rsidRPr="00B65A58" w:rsidTr="00584FFF">
        <w:tc>
          <w:tcPr>
            <w:tcW w:w="1985" w:type="dxa"/>
            <w:tcBorders>
              <w:top w:val="single" w:sz="6" w:space="0" w:color="auto"/>
              <w:bottom w:val="single" w:sz="6" w:space="0" w:color="auto"/>
            </w:tcBorders>
          </w:tcPr>
          <w:p w:rsidR="00DD6D58" w:rsidRPr="00B65A58" w:rsidRDefault="00DD6D58" w:rsidP="003A7FD9">
            <w:pPr>
              <w:pStyle w:val="TableColumnHeading"/>
              <w:spacing w:before="40" w:after="20"/>
              <w:jc w:val="left"/>
            </w:pPr>
          </w:p>
        </w:tc>
        <w:tc>
          <w:tcPr>
            <w:tcW w:w="709" w:type="dxa"/>
            <w:tcBorders>
              <w:top w:val="single" w:sz="6" w:space="0" w:color="auto"/>
              <w:bottom w:val="single" w:sz="6" w:space="0" w:color="auto"/>
            </w:tcBorders>
          </w:tcPr>
          <w:p w:rsidR="00DD6D58" w:rsidRPr="00B65A58" w:rsidRDefault="00DD6D58">
            <w:pPr>
              <w:pStyle w:val="TableColumnHeading"/>
              <w:spacing w:before="40" w:after="20"/>
              <w:rPr>
                <w:rStyle w:val="NoteLabel"/>
                <w:i w:val="0"/>
              </w:rPr>
            </w:pPr>
            <w:r w:rsidRPr="00B65A58">
              <w:t>NSW</w:t>
            </w:r>
          </w:p>
        </w:tc>
        <w:tc>
          <w:tcPr>
            <w:tcW w:w="708" w:type="dxa"/>
            <w:tcBorders>
              <w:top w:val="single" w:sz="6" w:space="0" w:color="auto"/>
              <w:bottom w:val="single" w:sz="6" w:space="0" w:color="auto"/>
            </w:tcBorders>
          </w:tcPr>
          <w:p w:rsidR="00DD6D58" w:rsidRPr="00B65A58" w:rsidRDefault="00DD6D58" w:rsidP="003A7FD9">
            <w:pPr>
              <w:pStyle w:val="TableColumnHeading"/>
              <w:spacing w:before="40" w:after="20"/>
            </w:pPr>
            <w:r w:rsidRPr="00B65A58">
              <w:t>Vic</w:t>
            </w:r>
          </w:p>
        </w:tc>
        <w:tc>
          <w:tcPr>
            <w:tcW w:w="709" w:type="dxa"/>
            <w:tcBorders>
              <w:top w:val="single" w:sz="6" w:space="0" w:color="auto"/>
              <w:bottom w:val="single" w:sz="6" w:space="0" w:color="auto"/>
            </w:tcBorders>
          </w:tcPr>
          <w:p w:rsidR="00DD6D58" w:rsidRPr="00B65A58" w:rsidRDefault="00DD6D58" w:rsidP="003A7FD9">
            <w:pPr>
              <w:pStyle w:val="TableColumnHeading"/>
              <w:spacing w:before="40" w:after="20"/>
            </w:pPr>
            <w:r w:rsidRPr="00B65A58">
              <w:t>Qld</w:t>
            </w:r>
          </w:p>
        </w:tc>
        <w:tc>
          <w:tcPr>
            <w:tcW w:w="709" w:type="dxa"/>
            <w:tcBorders>
              <w:top w:val="single" w:sz="6" w:space="0" w:color="auto"/>
              <w:bottom w:val="single" w:sz="6" w:space="0" w:color="auto"/>
            </w:tcBorders>
          </w:tcPr>
          <w:p w:rsidR="00DD6D58" w:rsidRPr="00B65A58" w:rsidRDefault="00DD6D58" w:rsidP="003A7FD9">
            <w:pPr>
              <w:pStyle w:val="TableColumnHeading"/>
              <w:spacing w:before="40" w:after="20"/>
            </w:pPr>
            <w:r w:rsidRPr="00B65A58">
              <w:t>WA</w:t>
            </w:r>
          </w:p>
        </w:tc>
        <w:tc>
          <w:tcPr>
            <w:tcW w:w="709" w:type="dxa"/>
            <w:tcBorders>
              <w:top w:val="single" w:sz="6" w:space="0" w:color="auto"/>
              <w:bottom w:val="single" w:sz="6" w:space="0" w:color="auto"/>
            </w:tcBorders>
          </w:tcPr>
          <w:p w:rsidR="00DD6D58" w:rsidRPr="00B65A58" w:rsidRDefault="00DD6D58" w:rsidP="003A7FD9">
            <w:pPr>
              <w:pStyle w:val="TableColumnHeading"/>
              <w:spacing w:before="40" w:after="20"/>
            </w:pPr>
            <w:r w:rsidRPr="00B65A58">
              <w:t>SA</w:t>
            </w:r>
          </w:p>
        </w:tc>
        <w:tc>
          <w:tcPr>
            <w:tcW w:w="567" w:type="dxa"/>
            <w:tcBorders>
              <w:top w:val="single" w:sz="6" w:space="0" w:color="auto"/>
              <w:bottom w:val="single" w:sz="6" w:space="0" w:color="auto"/>
            </w:tcBorders>
          </w:tcPr>
          <w:p w:rsidR="00DD6D58" w:rsidRPr="00B65A58" w:rsidRDefault="00DD6D58" w:rsidP="003A7FD9">
            <w:pPr>
              <w:pStyle w:val="TableColumnHeading"/>
              <w:spacing w:before="40" w:after="20"/>
            </w:pPr>
            <w:proofErr w:type="spellStart"/>
            <w:r w:rsidRPr="00B65A58">
              <w:t>Tas</w:t>
            </w:r>
            <w:proofErr w:type="spellEnd"/>
          </w:p>
        </w:tc>
        <w:tc>
          <w:tcPr>
            <w:tcW w:w="708" w:type="dxa"/>
            <w:tcBorders>
              <w:top w:val="single" w:sz="6" w:space="0" w:color="auto"/>
              <w:bottom w:val="single" w:sz="6" w:space="0" w:color="auto"/>
            </w:tcBorders>
          </w:tcPr>
          <w:p w:rsidR="00DD6D58" w:rsidRPr="00B65A58" w:rsidRDefault="00DD6D58" w:rsidP="003A7FD9">
            <w:pPr>
              <w:pStyle w:val="TableColumnHeading"/>
              <w:spacing w:before="40" w:after="20"/>
            </w:pPr>
            <w:r w:rsidRPr="00B65A58">
              <w:t>ACT</w:t>
            </w:r>
          </w:p>
        </w:tc>
        <w:tc>
          <w:tcPr>
            <w:tcW w:w="567" w:type="dxa"/>
            <w:tcBorders>
              <w:top w:val="single" w:sz="6" w:space="0" w:color="auto"/>
              <w:bottom w:val="single" w:sz="6" w:space="0" w:color="auto"/>
            </w:tcBorders>
          </w:tcPr>
          <w:p w:rsidR="00DD6D58" w:rsidRPr="00B65A58" w:rsidRDefault="00DD6D58" w:rsidP="003A7FD9">
            <w:pPr>
              <w:pStyle w:val="TableColumnHeading"/>
              <w:spacing w:before="40" w:after="20"/>
            </w:pPr>
            <w:r w:rsidRPr="00B65A58">
              <w:t>NT</w:t>
            </w:r>
          </w:p>
        </w:tc>
        <w:tc>
          <w:tcPr>
            <w:tcW w:w="709" w:type="dxa"/>
            <w:tcBorders>
              <w:top w:val="single" w:sz="6" w:space="0" w:color="auto"/>
              <w:bottom w:val="single" w:sz="6" w:space="0" w:color="auto"/>
            </w:tcBorders>
          </w:tcPr>
          <w:p w:rsidR="00DD6D58" w:rsidRPr="00B65A58" w:rsidRDefault="00DD6D58" w:rsidP="003A7FD9">
            <w:pPr>
              <w:pStyle w:val="TableColumnHeading"/>
              <w:spacing w:before="40" w:after="20"/>
            </w:pPr>
            <w:proofErr w:type="spellStart"/>
            <w:r w:rsidRPr="00B65A58">
              <w:t>Aust</w:t>
            </w:r>
            <w:proofErr w:type="spellEnd"/>
            <w:r w:rsidRPr="00B65A58">
              <w:t xml:space="preserve"> courts</w:t>
            </w:r>
          </w:p>
        </w:tc>
        <w:tc>
          <w:tcPr>
            <w:tcW w:w="709" w:type="dxa"/>
            <w:tcBorders>
              <w:top w:val="single" w:sz="6" w:space="0" w:color="auto"/>
              <w:bottom w:val="single" w:sz="6" w:space="0" w:color="auto"/>
            </w:tcBorders>
          </w:tcPr>
          <w:p w:rsidR="00DD6D58" w:rsidRPr="00B65A58" w:rsidRDefault="00DD6D58" w:rsidP="003A7FD9">
            <w:pPr>
              <w:pStyle w:val="TableColumnHeading"/>
              <w:spacing w:before="40" w:after="20"/>
              <w:ind w:right="28"/>
            </w:pPr>
            <w:r w:rsidRPr="00B65A58">
              <w:t>Total</w:t>
            </w:r>
          </w:p>
        </w:tc>
      </w:tr>
      <w:tr w:rsidR="001D4C8E" w:rsidRPr="00ED4185" w:rsidTr="00584FFF">
        <w:tc>
          <w:tcPr>
            <w:tcW w:w="1985" w:type="dxa"/>
            <w:vAlign w:val="bottom"/>
          </w:tcPr>
          <w:p w:rsidR="001D4C8E" w:rsidRPr="00ED4185" w:rsidRDefault="001D4C8E">
            <w:pPr>
              <w:pStyle w:val="TableBodyText"/>
              <w:jc w:val="left"/>
            </w:pPr>
            <w:r w:rsidRPr="00ED4185">
              <w:t>Supreme (excl</w:t>
            </w:r>
            <w:r>
              <w:t>.</w:t>
            </w:r>
            <w:r w:rsidRPr="00ED4185">
              <w:t xml:space="preserve"> probate)</w:t>
            </w:r>
            <w:r w:rsidRPr="00677E61">
              <w:rPr>
                <w:rStyle w:val="NoteLabel"/>
                <w:i/>
              </w:rPr>
              <w:t xml:space="preserve"> </w:t>
            </w:r>
            <w:r w:rsidRPr="00ED4185">
              <w:t>/Federal</w:t>
            </w:r>
          </w:p>
        </w:tc>
        <w:tc>
          <w:tcPr>
            <w:tcW w:w="709" w:type="dxa"/>
            <w:vAlign w:val="bottom"/>
          </w:tcPr>
          <w:p w:rsidR="001D4C8E" w:rsidRPr="001D4C8E" w:rsidRDefault="001D4C8E" w:rsidP="001D4C8E">
            <w:pPr>
              <w:pStyle w:val="TableBodyText"/>
              <w:rPr>
                <w:sz w:val="18"/>
                <w:szCs w:val="18"/>
              </w:rPr>
            </w:pPr>
            <w:r w:rsidRPr="001D4C8E">
              <w:rPr>
                <w:sz w:val="18"/>
                <w:szCs w:val="18"/>
              </w:rPr>
              <w:t>2</w:t>
            </w:r>
            <w:r w:rsidR="002F67F8">
              <w:rPr>
                <w:sz w:val="18"/>
                <w:szCs w:val="18"/>
              </w:rPr>
              <w:t xml:space="preserve"> </w:t>
            </w:r>
            <w:r w:rsidRPr="001D4C8E">
              <w:rPr>
                <w:sz w:val="18"/>
                <w:szCs w:val="18"/>
              </w:rPr>
              <w:t>911</w:t>
            </w:r>
          </w:p>
        </w:tc>
        <w:tc>
          <w:tcPr>
            <w:tcW w:w="708"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405</w:t>
            </w:r>
          </w:p>
        </w:tc>
        <w:tc>
          <w:tcPr>
            <w:tcW w:w="709"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767</w:t>
            </w:r>
          </w:p>
        </w:tc>
        <w:tc>
          <w:tcPr>
            <w:tcW w:w="709"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921</w:t>
            </w:r>
          </w:p>
        </w:tc>
        <w:tc>
          <w:tcPr>
            <w:tcW w:w="709" w:type="dxa"/>
            <w:vAlign w:val="bottom"/>
          </w:tcPr>
          <w:p w:rsidR="001D4C8E" w:rsidRPr="001D4C8E" w:rsidRDefault="001D4C8E" w:rsidP="001D4C8E">
            <w:pPr>
              <w:pStyle w:val="TableBodyText"/>
              <w:rPr>
                <w:sz w:val="18"/>
                <w:szCs w:val="18"/>
              </w:rPr>
            </w:pPr>
            <w:r w:rsidRPr="001D4C8E">
              <w:rPr>
                <w:sz w:val="18"/>
                <w:szCs w:val="18"/>
              </w:rPr>
              <w:t>3</w:t>
            </w:r>
            <w:r w:rsidR="002F67F8">
              <w:rPr>
                <w:sz w:val="18"/>
                <w:szCs w:val="18"/>
              </w:rPr>
              <w:t xml:space="preserve"> </w:t>
            </w:r>
            <w:r w:rsidRPr="001D4C8E">
              <w:rPr>
                <w:sz w:val="18"/>
                <w:szCs w:val="18"/>
              </w:rPr>
              <w:t>118</w:t>
            </w:r>
          </w:p>
        </w:tc>
        <w:tc>
          <w:tcPr>
            <w:tcW w:w="567" w:type="dxa"/>
            <w:vAlign w:val="bottom"/>
          </w:tcPr>
          <w:p w:rsidR="001D4C8E" w:rsidRPr="001D4C8E" w:rsidRDefault="001D4C8E" w:rsidP="001D4C8E">
            <w:pPr>
              <w:pStyle w:val="TableBodyText"/>
              <w:rPr>
                <w:sz w:val="18"/>
                <w:szCs w:val="18"/>
              </w:rPr>
            </w:pPr>
            <w:r w:rsidRPr="001D4C8E">
              <w:rPr>
                <w:sz w:val="18"/>
                <w:szCs w:val="18"/>
              </w:rPr>
              <w:t>546</w:t>
            </w:r>
          </w:p>
        </w:tc>
        <w:tc>
          <w:tcPr>
            <w:tcW w:w="708" w:type="dxa"/>
            <w:vAlign w:val="bottom"/>
          </w:tcPr>
          <w:p w:rsidR="001D4C8E" w:rsidRPr="001D4C8E" w:rsidRDefault="001D4C8E" w:rsidP="001D4C8E">
            <w:pPr>
              <w:pStyle w:val="TableBodyText"/>
              <w:rPr>
                <w:sz w:val="18"/>
                <w:szCs w:val="18"/>
              </w:rPr>
            </w:pPr>
            <w:r w:rsidRPr="001D4C8E">
              <w:rPr>
                <w:sz w:val="18"/>
                <w:szCs w:val="18"/>
              </w:rPr>
              <w:t>2</w:t>
            </w:r>
            <w:r w:rsidR="002F67F8">
              <w:rPr>
                <w:sz w:val="18"/>
                <w:szCs w:val="18"/>
              </w:rPr>
              <w:t xml:space="preserve"> </w:t>
            </w:r>
            <w:r w:rsidRPr="001D4C8E">
              <w:rPr>
                <w:sz w:val="18"/>
                <w:szCs w:val="18"/>
              </w:rPr>
              <w:t>061</w:t>
            </w:r>
          </w:p>
        </w:tc>
        <w:tc>
          <w:tcPr>
            <w:tcW w:w="567" w:type="dxa"/>
            <w:vAlign w:val="bottom"/>
          </w:tcPr>
          <w:p w:rsidR="001D4C8E" w:rsidRPr="001D4C8E" w:rsidRDefault="001D4C8E" w:rsidP="001D4C8E">
            <w:pPr>
              <w:pStyle w:val="TableBodyText"/>
              <w:rPr>
                <w:sz w:val="18"/>
                <w:szCs w:val="18"/>
              </w:rPr>
            </w:pPr>
            <w:r w:rsidRPr="001D4C8E">
              <w:rPr>
                <w:sz w:val="18"/>
                <w:szCs w:val="18"/>
              </w:rPr>
              <w:t>864</w:t>
            </w:r>
          </w:p>
        </w:tc>
        <w:tc>
          <w:tcPr>
            <w:tcW w:w="709" w:type="dxa"/>
            <w:vAlign w:val="bottom"/>
          </w:tcPr>
          <w:p w:rsidR="001D4C8E" w:rsidRPr="001D4C8E" w:rsidRDefault="001D4C8E" w:rsidP="001D4C8E">
            <w:pPr>
              <w:pStyle w:val="TableBodyText"/>
              <w:rPr>
                <w:sz w:val="18"/>
                <w:szCs w:val="18"/>
              </w:rPr>
            </w:pPr>
            <w:r w:rsidRPr="001D4C8E">
              <w:rPr>
                <w:sz w:val="18"/>
                <w:szCs w:val="18"/>
              </w:rPr>
              <w:t>2</w:t>
            </w:r>
            <w:r w:rsidR="002F67F8">
              <w:rPr>
                <w:sz w:val="18"/>
                <w:szCs w:val="18"/>
              </w:rPr>
              <w:t xml:space="preserve"> </w:t>
            </w:r>
            <w:r w:rsidRPr="001D4C8E">
              <w:rPr>
                <w:sz w:val="18"/>
                <w:szCs w:val="18"/>
              </w:rPr>
              <w:t>903</w:t>
            </w:r>
          </w:p>
        </w:tc>
        <w:tc>
          <w:tcPr>
            <w:tcW w:w="709" w:type="dxa"/>
            <w:vAlign w:val="bottom"/>
          </w:tcPr>
          <w:p w:rsidR="001D4C8E" w:rsidRPr="001D4C8E" w:rsidRDefault="001D4C8E" w:rsidP="001D4C8E">
            <w:pPr>
              <w:pStyle w:val="TableBodyText"/>
              <w:rPr>
                <w:sz w:val="18"/>
                <w:szCs w:val="18"/>
              </w:rPr>
            </w:pPr>
            <w:r w:rsidRPr="001D4C8E">
              <w:rPr>
                <w:sz w:val="18"/>
                <w:szCs w:val="18"/>
              </w:rPr>
              <w:t>2</w:t>
            </w:r>
            <w:r w:rsidR="002F67F8">
              <w:rPr>
                <w:sz w:val="18"/>
                <w:szCs w:val="18"/>
              </w:rPr>
              <w:t xml:space="preserve"> </w:t>
            </w:r>
            <w:r w:rsidRPr="001D4C8E">
              <w:rPr>
                <w:sz w:val="18"/>
                <w:szCs w:val="18"/>
              </w:rPr>
              <w:t>252</w:t>
            </w:r>
          </w:p>
        </w:tc>
      </w:tr>
      <w:tr w:rsidR="001D4C8E" w:rsidRPr="00DC49DD" w:rsidTr="00584FFF">
        <w:tc>
          <w:tcPr>
            <w:tcW w:w="1985" w:type="dxa"/>
            <w:vAlign w:val="bottom"/>
          </w:tcPr>
          <w:p w:rsidR="001D4C8E" w:rsidRPr="00DC49DD" w:rsidRDefault="001D4C8E" w:rsidP="00DD6D58">
            <w:pPr>
              <w:pStyle w:val="TableBodyText"/>
              <w:jc w:val="left"/>
            </w:pPr>
            <w:r w:rsidRPr="00DC49DD">
              <w:t>District/county</w:t>
            </w:r>
          </w:p>
        </w:tc>
        <w:tc>
          <w:tcPr>
            <w:tcW w:w="709"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508</w:t>
            </w:r>
          </w:p>
        </w:tc>
        <w:tc>
          <w:tcPr>
            <w:tcW w:w="708"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388</w:t>
            </w:r>
          </w:p>
        </w:tc>
        <w:tc>
          <w:tcPr>
            <w:tcW w:w="709" w:type="dxa"/>
            <w:vAlign w:val="bottom"/>
          </w:tcPr>
          <w:p w:rsidR="001D4C8E" w:rsidRPr="001D4C8E" w:rsidRDefault="001D4C8E" w:rsidP="001D4C8E">
            <w:pPr>
              <w:pStyle w:val="TableBodyText"/>
              <w:rPr>
                <w:sz w:val="18"/>
                <w:szCs w:val="18"/>
              </w:rPr>
            </w:pPr>
            <w:r w:rsidRPr="001D4C8E">
              <w:rPr>
                <w:sz w:val="18"/>
                <w:szCs w:val="18"/>
              </w:rPr>
              <w:t>937</w:t>
            </w:r>
          </w:p>
        </w:tc>
        <w:tc>
          <w:tcPr>
            <w:tcW w:w="709" w:type="dxa"/>
            <w:vAlign w:val="bottom"/>
          </w:tcPr>
          <w:p w:rsidR="001D4C8E" w:rsidRPr="001D4C8E" w:rsidRDefault="001D4C8E" w:rsidP="001D4C8E">
            <w:pPr>
              <w:pStyle w:val="TableBodyText"/>
              <w:rPr>
                <w:sz w:val="18"/>
                <w:szCs w:val="18"/>
              </w:rPr>
            </w:pPr>
            <w:r w:rsidRPr="001D4C8E">
              <w:rPr>
                <w:sz w:val="18"/>
                <w:szCs w:val="18"/>
              </w:rPr>
              <w:t>949</w:t>
            </w:r>
          </w:p>
        </w:tc>
        <w:tc>
          <w:tcPr>
            <w:tcW w:w="709"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031</w:t>
            </w:r>
          </w:p>
        </w:tc>
        <w:tc>
          <w:tcPr>
            <w:tcW w:w="567" w:type="dxa"/>
            <w:vAlign w:val="bottom"/>
          </w:tcPr>
          <w:p w:rsidR="001D4C8E" w:rsidRPr="001D4C8E" w:rsidRDefault="001D4C8E" w:rsidP="001D4C8E">
            <w:pPr>
              <w:pStyle w:val="TableBodyText"/>
              <w:rPr>
                <w:sz w:val="18"/>
                <w:szCs w:val="18"/>
              </w:rPr>
            </w:pPr>
            <w:r w:rsidRPr="001D4C8E">
              <w:rPr>
                <w:sz w:val="18"/>
                <w:szCs w:val="18"/>
              </w:rPr>
              <w:t>..</w:t>
            </w:r>
          </w:p>
        </w:tc>
        <w:tc>
          <w:tcPr>
            <w:tcW w:w="708" w:type="dxa"/>
            <w:vAlign w:val="bottom"/>
          </w:tcPr>
          <w:p w:rsidR="001D4C8E" w:rsidRPr="001D4C8E" w:rsidRDefault="001D4C8E" w:rsidP="001D4C8E">
            <w:pPr>
              <w:pStyle w:val="TableBodyText"/>
              <w:rPr>
                <w:sz w:val="18"/>
                <w:szCs w:val="18"/>
              </w:rPr>
            </w:pPr>
            <w:r w:rsidRPr="001D4C8E">
              <w:rPr>
                <w:sz w:val="18"/>
                <w:szCs w:val="18"/>
              </w:rPr>
              <w:t>..</w:t>
            </w:r>
          </w:p>
        </w:tc>
        <w:tc>
          <w:tcPr>
            <w:tcW w:w="567"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216</w:t>
            </w:r>
          </w:p>
        </w:tc>
      </w:tr>
      <w:tr w:rsidR="001D4C8E" w:rsidRPr="00DC49DD" w:rsidTr="00584FFF">
        <w:tc>
          <w:tcPr>
            <w:tcW w:w="1985" w:type="dxa"/>
            <w:vAlign w:val="bottom"/>
          </w:tcPr>
          <w:p w:rsidR="001D4C8E" w:rsidRPr="00DC49DD" w:rsidRDefault="001D4C8E" w:rsidP="00DD6D58">
            <w:pPr>
              <w:pStyle w:val="TableBodyText"/>
              <w:jc w:val="left"/>
              <w:rPr>
                <w:rStyle w:val="NoteLabel"/>
              </w:rPr>
            </w:pPr>
            <w:r w:rsidRPr="00DC49DD">
              <w:t>Magistrates’ (total)</w:t>
            </w:r>
          </w:p>
        </w:tc>
        <w:tc>
          <w:tcPr>
            <w:tcW w:w="709" w:type="dxa"/>
            <w:vAlign w:val="bottom"/>
          </w:tcPr>
          <w:p w:rsidR="001D4C8E" w:rsidRPr="001D4C8E" w:rsidRDefault="001D4C8E" w:rsidP="001D4C8E">
            <w:pPr>
              <w:pStyle w:val="TableBodyText"/>
              <w:rPr>
                <w:sz w:val="18"/>
                <w:szCs w:val="18"/>
              </w:rPr>
            </w:pPr>
            <w:r w:rsidRPr="001D4C8E">
              <w:rPr>
                <w:sz w:val="18"/>
                <w:szCs w:val="18"/>
              </w:rPr>
              <w:t>150</w:t>
            </w:r>
          </w:p>
        </w:tc>
        <w:tc>
          <w:tcPr>
            <w:tcW w:w="708" w:type="dxa"/>
            <w:vAlign w:val="bottom"/>
          </w:tcPr>
          <w:p w:rsidR="001D4C8E" w:rsidRPr="001D4C8E" w:rsidRDefault="001D4C8E" w:rsidP="001D4C8E">
            <w:pPr>
              <w:pStyle w:val="TableBodyText"/>
              <w:rPr>
                <w:sz w:val="18"/>
                <w:szCs w:val="18"/>
              </w:rPr>
            </w:pPr>
            <w:r w:rsidRPr="001D4C8E">
              <w:rPr>
                <w:sz w:val="18"/>
                <w:szCs w:val="18"/>
              </w:rPr>
              <w:t>190</w:t>
            </w:r>
          </w:p>
        </w:tc>
        <w:tc>
          <w:tcPr>
            <w:tcW w:w="709" w:type="dxa"/>
            <w:vAlign w:val="bottom"/>
          </w:tcPr>
          <w:p w:rsidR="001D4C8E" w:rsidRPr="001D4C8E" w:rsidRDefault="001D4C8E" w:rsidP="001D4C8E">
            <w:pPr>
              <w:pStyle w:val="TableBodyText"/>
              <w:rPr>
                <w:sz w:val="18"/>
                <w:szCs w:val="18"/>
              </w:rPr>
            </w:pPr>
            <w:r w:rsidRPr="001D4C8E">
              <w:rPr>
                <w:sz w:val="18"/>
                <w:szCs w:val="18"/>
              </w:rPr>
              <w:t>122</w:t>
            </w:r>
          </w:p>
        </w:tc>
        <w:tc>
          <w:tcPr>
            <w:tcW w:w="709" w:type="dxa"/>
            <w:vAlign w:val="bottom"/>
          </w:tcPr>
          <w:p w:rsidR="001D4C8E" w:rsidRPr="001D4C8E" w:rsidRDefault="001D4C8E" w:rsidP="001D4C8E">
            <w:pPr>
              <w:pStyle w:val="TableBodyText"/>
              <w:rPr>
                <w:sz w:val="18"/>
                <w:szCs w:val="18"/>
              </w:rPr>
            </w:pPr>
            <w:r w:rsidRPr="001D4C8E">
              <w:rPr>
                <w:sz w:val="18"/>
                <w:szCs w:val="18"/>
              </w:rPr>
              <w:t>113</w:t>
            </w:r>
          </w:p>
        </w:tc>
        <w:tc>
          <w:tcPr>
            <w:tcW w:w="709" w:type="dxa"/>
            <w:vAlign w:val="bottom"/>
          </w:tcPr>
          <w:p w:rsidR="001D4C8E" w:rsidRPr="001D4C8E" w:rsidRDefault="001D4C8E" w:rsidP="001D4C8E">
            <w:pPr>
              <w:pStyle w:val="TableBodyText"/>
              <w:rPr>
                <w:sz w:val="18"/>
                <w:szCs w:val="18"/>
              </w:rPr>
            </w:pPr>
            <w:r w:rsidRPr="001D4C8E">
              <w:rPr>
                <w:sz w:val="18"/>
                <w:szCs w:val="18"/>
              </w:rPr>
              <w:t>138</w:t>
            </w:r>
          </w:p>
        </w:tc>
        <w:tc>
          <w:tcPr>
            <w:tcW w:w="567" w:type="dxa"/>
            <w:vAlign w:val="bottom"/>
          </w:tcPr>
          <w:p w:rsidR="001D4C8E" w:rsidRPr="001D4C8E" w:rsidRDefault="001D4C8E" w:rsidP="001D4C8E">
            <w:pPr>
              <w:pStyle w:val="TableBodyText"/>
              <w:rPr>
                <w:sz w:val="18"/>
                <w:szCs w:val="18"/>
              </w:rPr>
            </w:pPr>
            <w:r w:rsidRPr="001D4C8E">
              <w:rPr>
                <w:sz w:val="18"/>
                <w:szCs w:val="18"/>
              </w:rPr>
              <w:t>82</w:t>
            </w:r>
          </w:p>
        </w:tc>
        <w:tc>
          <w:tcPr>
            <w:tcW w:w="708" w:type="dxa"/>
            <w:vAlign w:val="bottom"/>
          </w:tcPr>
          <w:p w:rsidR="001D4C8E" w:rsidRPr="001D4C8E" w:rsidRDefault="001D4C8E" w:rsidP="001D4C8E">
            <w:pPr>
              <w:pStyle w:val="TableBodyText"/>
              <w:rPr>
                <w:sz w:val="18"/>
                <w:szCs w:val="18"/>
              </w:rPr>
            </w:pPr>
            <w:r w:rsidRPr="001D4C8E">
              <w:rPr>
                <w:sz w:val="18"/>
                <w:szCs w:val="18"/>
              </w:rPr>
              <w:t>100</w:t>
            </w:r>
          </w:p>
        </w:tc>
        <w:tc>
          <w:tcPr>
            <w:tcW w:w="567" w:type="dxa"/>
            <w:vAlign w:val="bottom"/>
          </w:tcPr>
          <w:p w:rsidR="001D4C8E" w:rsidRPr="001D4C8E" w:rsidRDefault="001D4C8E" w:rsidP="001D4C8E">
            <w:pPr>
              <w:pStyle w:val="TableBodyText"/>
              <w:rPr>
                <w:sz w:val="18"/>
                <w:szCs w:val="18"/>
              </w:rPr>
            </w:pPr>
            <w:r w:rsidRPr="001D4C8E">
              <w:rPr>
                <w:sz w:val="18"/>
                <w:szCs w:val="18"/>
              </w:rPr>
              <w:t>44</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147</w:t>
            </w:r>
          </w:p>
        </w:tc>
      </w:tr>
      <w:tr w:rsidR="001D4C8E" w:rsidRPr="00DC49DD" w:rsidTr="00584FFF">
        <w:tc>
          <w:tcPr>
            <w:tcW w:w="1985" w:type="dxa"/>
            <w:vAlign w:val="bottom"/>
          </w:tcPr>
          <w:p w:rsidR="001D4C8E" w:rsidRPr="00DC49DD" w:rsidRDefault="001D4C8E">
            <w:pPr>
              <w:pStyle w:val="TableBodyText"/>
              <w:ind w:left="284"/>
              <w:jc w:val="left"/>
              <w:rPr>
                <w:i/>
                <w:szCs w:val="24"/>
              </w:rPr>
            </w:pPr>
            <w:r w:rsidRPr="00DC49DD">
              <w:rPr>
                <w:i/>
              </w:rPr>
              <w:t>Magistrates’ only</w:t>
            </w:r>
          </w:p>
        </w:tc>
        <w:tc>
          <w:tcPr>
            <w:tcW w:w="709" w:type="dxa"/>
            <w:vAlign w:val="bottom"/>
          </w:tcPr>
          <w:p w:rsidR="001D4C8E" w:rsidRPr="001D4C8E" w:rsidRDefault="001D4C8E" w:rsidP="001D4C8E">
            <w:pPr>
              <w:pStyle w:val="TableBodyText"/>
              <w:rPr>
                <w:sz w:val="18"/>
                <w:szCs w:val="18"/>
              </w:rPr>
            </w:pPr>
            <w:r w:rsidRPr="001D4C8E">
              <w:rPr>
                <w:sz w:val="18"/>
                <w:szCs w:val="18"/>
              </w:rPr>
              <w:t>159</w:t>
            </w:r>
          </w:p>
        </w:tc>
        <w:tc>
          <w:tcPr>
            <w:tcW w:w="708" w:type="dxa"/>
            <w:vAlign w:val="bottom"/>
          </w:tcPr>
          <w:p w:rsidR="001D4C8E" w:rsidRPr="001D4C8E" w:rsidRDefault="001D4C8E" w:rsidP="001D4C8E">
            <w:pPr>
              <w:pStyle w:val="TableBodyText"/>
              <w:rPr>
                <w:sz w:val="18"/>
                <w:szCs w:val="18"/>
              </w:rPr>
            </w:pPr>
            <w:r w:rsidRPr="001D4C8E">
              <w:rPr>
                <w:sz w:val="18"/>
                <w:szCs w:val="18"/>
              </w:rPr>
              <w:t>202</w:t>
            </w:r>
          </w:p>
        </w:tc>
        <w:tc>
          <w:tcPr>
            <w:tcW w:w="709" w:type="dxa"/>
            <w:vAlign w:val="bottom"/>
          </w:tcPr>
          <w:p w:rsidR="001D4C8E" w:rsidRPr="001D4C8E" w:rsidRDefault="001D4C8E" w:rsidP="001D4C8E">
            <w:pPr>
              <w:pStyle w:val="TableBodyText"/>
              <w:rPr>
                <w:sz w:val="18"/>
                <w:szCs w:val="18"/>
              </w:rPr>
            </w:pPr>
            <w:r w:rsidRPr="001D4C8E">
              <w:rPr>
                <w:sz w:val="18"/>
                <w:szCs w:val="18"/>
              </w:rPr>
              <w:t>130</w:t>
            </w:r>
          </w:p>
        </w:tc>
        <w:tc>
          <w:tcPr>
            <w:tcW w:w="709" w:type="dxa"/>
            <w:vAlign w:val="bottom"/>
          </w:tcPr>
          <w:p w:rsidR="001D4C8E" w:rsidRPr="001D4C8E" w:rsidRDefault="001D4C8E" w:rsidP="001D4C8E">
            <w:pPr>
              <w:pStyle w:val="TableBodyText"/>
              <w:rPr>
                <w:sz w:val="18"/>
                <w:szCs w:val="18"/>
              </w:rPr>
            </w:pPr>
            <w:r w:rsidRPr="001D4C8E">
              <w:rPr>
                <w:sz w:val="18"/>
                <w:szCs w:val="18"/>
              </w:rPr>
              <w:t>120</w:t>
            </w:r>
          </w:p>
        </w:tc>
        <w:tc>
          <w:tcPr>
            <w:tcW w:w="709" w:type="dxa"/>
            <w:vAlign w:val="bottom"/>
          </w:tcPr>
          <w:p w:rsidR="001D4C8E" w:rsidRPr="001D4C8E" w:rsidRDefault="001D4C8E" w:rsidP="001D4C8E">
            <w:pPr>
              <w:pStyle w:val="TableBodyText"/>
              <w:rPr>
                <w:sz w:val="18"/>
                <w:szCs w:val="18"/>
              </w:rPr>
            </w:pPr>
            <w:r w:rsidRPr="001D4C8E">
              <w:rPr>
                <w:sz w:val="18"/>
                <w:szCs w:val="18"/>
              </w:rPr>
              <w:t>144</w:t>
            </w:r>
          </w:p>
        </w:tc>
        <w:tc>
          <w:tcPr>
            <w:tcW w:w="567" w:type="dxa"/>
            <w:vAlign w:val="bottom"/>
          </w:tcPr>
          <w:p w:rsidR="001D4C8E" w:rsidRPr="001D4C8E" w:rsidRDefault="001D4C8E" w:rsidP="001D4C8E">
            <w:pPr>
              <w:pStyle w:val="TableBodyText"/>
              <w:rPr>
                <w:sz w:val="18"/>
                <w:szCs w:val="18"/>
              </w:rPr>
            </w:pPr>
            <w:r w:rsidRPr="001D4C8E">
              <w:rPr>
                <w:sz w:val="18"/>
                <w:szCs w:val="18"/>
              </w:rPr>
              <w:t>86</w:t>
            </w:r>
          </w:p>
        </w:tc>
        <w:tc>
          <w:tcPr>
            <w:tcW w:w="708" w:type="dxa"/>
            <w:vAlign w:val="bottom"/>
          </w:tcPr>
          <w:p w:rsidR="001D4C8E" w:rsidRPr="001D4C8E" w:rsidRDefault="001D4C8E" w:rsidP="001D4C8E">
            <w:pPr>
              <w:pStyle w:val="TableBodyText"/>
              <w:rPr>
                <w:sz w:val="18"/>
                <w:szCs w:val="18"/>
              </w:rPr>
            </w:pPr>
            <w:r w:rsidRPr="001D4C8E">
              <w:rPr>
                <w:sz w:val="18"/>
                <w:szCs w:val="18"/>
              </w:rPr>
              <w:t>102</w:t>
            </w:r>
          </w:p>
        </w:tc>
        <w:tc>
          <w:tcPr>
            <w:tcW w:w="567" w:type="dxa"/>
            <w:vAlign w:val="bottom"/>
          </w:tcPr>
          <w:p w:rsidR="001D4C8E" w:rsidRPr="001D4C8E" w:rsidRDefault="001D4C8E" w:rsidP="001D4C8E">
            <w:pPr>
              <w:pStyle w:val="TableBodyText"/>
              <w:rPr>
                <w:sz w:val="18"/>
                <w:szCs w:val="18"/>
              </w:rPr>
            </w:pPr>
            <w:r w:rsidRPr="001D4C8E">
              <w:rPr>
                <w:sz w:val="18"/>
                <w:szCs w:val="18"/>
              </w:rPr>
              <w:t>46</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156</w:t>
            </w:r>
          </w:p>
        </w:tc>
      </w:tr>
      <w:tr w:rsidR="001D4C8E" w:rsidRPr="00DC49DD" w:rsidTr="00584FFF">
        <w:tc>
          <w:tcPr>
            <w:tcW w:w="1985" w:type="dxa"/>
            <w:vAlign w:val="bottom"/>
          </w:tcPr>
          <w:p w:rsidR="001D4C8E" w:rsidRPr="00DC49DD" w:rsidRDefault="001D4C8E" w:rsidP="00DD6D58">
            <w:pPr>
              <w:pStyle w:val="TableBodyText"/>
              <w:ind w:left="284"/>
              <w:jc w:val="left"/>
              <w:rPr>
                <w:i/>
              </w:rPr>
            </w:pPr>
            <w:r w:rsidRPr="00DC49DD">
              <w:rPr>
                <w:i/>
              </w:rPr>
              <w:t>Children’s</w:t>
            </w:r>
          </w:p>
        </w:tc>
        <w:tc>
          <w:tcPr>
            <w:tcW w:w="709" w:type="dxa"/>
            <w:vAlign w:val="bottom"/>
          </w:tcPr>
          <w:p w:rsidR="001D4C8E" w:rsidRPr="001D4C8E" w:rsidRDefault="002C5B43" w:rsidP="001D4C8E">
            <w:pPr>
              <w:pStyle w:val="TableBodyText"/>
              <w:rPr>
                <w:sz w:val="18"/>
                <w:szCs w:val="18"/>
              </w:rPr>
            </w:pPr>
            <w:r>
              <w:rPr>
                <w:sz w:val="18"/>
                <w:szCs w:val="18"/>
              </w:rPr>
              <w:t>–</w:t>
            </w:r>
          </w:p>
        </w:tc>
        <w:tc>
          <w:tcPr>
            <w:tcW w:w="708" w:type="dxa"/>
            <w:vAlign w:val="bottom"/>
          </w:tcPr>
          <w:p w:rsidR="001D4C8E" w:rsidRPr="001D4C8E" w:rsidRDefault="002C5B43" w:rsidP="001D4C8E">
            <w:pPr>
              <w:pStyle w:val="TableBodyText"/>
              <w:rPr>
                <w:sz w:val="18"/>
                <w:szCs w:val="18"/>
              </w:rPr>
            </w:pPr>
            <w:r>
              <w:rPr>
                <w:sz w:val="18"/>
                <w:szCs w:val="18"/>
              </w:rPr>
              <w:t>–</w:t>
            </w:r>
          </w:p>
        </w:tc>
        <w:tc>
          <w:tcPr>
            <w:tcW w:w="709" w:type="dxa"/>
            <w:vAlign w:val="bottom"/>
          </w:tcPr>
          <w:p w:rsidR="001D4C8E" w:rsidRPr="001D4C8E" w:rsidRDefault="002C5B43" w:rsidP="001D4C8E">
            <w:pPr>
              <w:pStyle w:val="TableBodyText"/>
              <w:rPr>
                <w:sz w:val="18"/>
                <w:szCs w:val="18"/>
              </w:rPr>
            </w:pPr>
            <w:r>
              <w:rPr>
                <w:sz w:val="18"/>
                <w:szCs w:val="18"/>
              </w:rPr>
              <w:t>–</w:t>
            </w:r>
          </w:p>
        </w:tc>
        <w:tc>
          <w:tcPr>
            <w:tcW w:w="709" w:type="dxa"/>
            <w:vAlign w:val="bottom"/>
          </w:tcPr>
          <w:p w:rsidR="001D4C8E" w:rsidRPr="001D4C8E" w:rsidRDefault="002C5B43" w:rsidP="001D4C8E">
            <w:pPr>
              <w:pStyle w:val="TableBodyText"/>
              <w:rPr>
                <w:sz w:val="18"/>
                <w:szCs w:val="18"/>
              </w:rPr>
            </w:pPr>
            <w:r>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2</w:t>
            </w:r>
          </w:p>
        </w:tc>
        <w:tc>
          <w:tcPr>
            <w:tcW w:w="567" w:type="dxa"/>
            <w:vAlign w:val="bottom"/>
          </w:tcPr>
          <w:p w:rsidR="001D4C8E" w:rsidRPr="001D4C8E" w:rsidRDefault="002C5B43" w:rsidP="001D4C8E">
            <w:pPr>
              <w:pStyle w:val="TableBodyText"/>
              <w:rPr>
                <w:sz w:val="18"/>
                <w:szCs w:val="18"/>
              </w:rPr>
            </w:pPr>
            <w:r>
              <w:rPr>
                <w:sz w:val="18"/>
                <w:szCs w:val="18"/>
              </w:rPr>
              <w:t>–</w:t>
            </w:r>
          </w:p>
        </w:tc>
        <w:tc>
          <w:tcPr>
            <w:tcW w:w="708" w:type="dxa"/>
            <w:vAlign w:val="bottom"/>
          </w:tcPr>
          <w:p w:rsidR="001D4C8E" w:rsidRPr="001D4C8E" w:rsidRDefault="002C5B43" w:rsidP="001D4C8E">
            <w:pPr>
              <w:pStyle w:val="TableBodyText"/>
              <w:rPr>
                <w:sz w:val="18"/>
                <w:szCs w:val="18"/>
              </w:rPr>
            </w:pPr>
            <w:r>
              <w:rPr>
                <w:sz w:val="18"/>
                <w:szCs w:val="18"/>
              </w:rPr>
              <w:t>–</w:t>
            </w:r>
          </w:p>
        </w:tc>
        <w:tc>
          <w:tcPr>
            <w:tcW w:w="567" w:type="dxa"/>
            <w:vAlign w:val="bottom"/>
          </w:tcPr>
          <w:p w:rsidR="001D4C8E" w:rsidRPr="001D4C8E" w:rsidRDefault="002C5B43" w:rsidP="001D4C8E">
            <w:pPr>
              <w:pStyle w:val="TableBodyText"/>
              <w:rPr>
                <w:sz w:val="18"/>
                <w:szCs w:val="18"/>
              </w:rPr>
            </w:pPr>
            <w:r>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2C5B43" w:rsidP="001D4C8E">
            <w:pPr>
              <w:pStyle w:val="TableBodyText"/>
              <w:rPr>
                <w:sz w:val="18"/>
                <w:szCs w:val="18"/>
              </w:rPr>
            </w:pPr>
            <w:r>
              <w:rPr>
                <w:sz w:val="18"/>
                <w:szCs w:val="18"/>
              </w:rPr>
              <w:t>–</w:t>
            </w:r>
          </w:p>
        </w:tc>
      </w:tr>
      <w:tr w:rsidR="001D4C8E" w:rsidRPr="00DC49DD" w:rsidTr="00584FFF">
        <w:tc>
          <w:tcPr>
            <w:tcW w:w="1985" w:type="dxa"/>
            <w:vAlign w:val="bottom"/>
          </w:tcPr>
          <w:p w:rsidR="001D4C8E" w:rsidRPr="00DC49DD" w:rsidRDefault="001D4C8E" w:rsidP="00DD6D58">
            <w:pPr>
              <w:pStyle w:val="TableBodyText"/>
              <w:jc w:val="left"/>
              <w:rPr>
                <w:rStyle w:val="NoteLabel"/>
              </w:rPr>
            </w:pPr>
            <w:r w:rsidRPr="00DC49DD">
              <w:t>Family</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8"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302</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567" w:type="dxa"/>
            <w:vAlign w:val="bottom"/>
          </w:tcPr>
          <w:p w:rsidR="001D4C8E" w:rsidRPr="001D4C8E" w:rsidRDefault="001D4C8E" w:rsidP="001D4C8E">
            <w:pPr>
              <w:pStyle w:val="TableBodyText"/>
              <w:rPr>
                <w:sz w:val="18"/>
                <w:szCs w:val="18"/>
              </w:rPr>
            </w:pPr>
            <w:r w:rsidRPr="001D4C8E">
              <w:rPr>
                <w:sz w:val="18"/>
                <w:szCs w:val="18"/>
              </w:rPr>
              <w:t>..</w:t>
            </w:r>
          </w:p>
        </w:tc>
        <w:tc>
          <w:tcPr>
            <w:tcW w:w="708" w:type="dxa"/>
            <w:vAlign w:val="bottom"/>
          </w:tcPr>
          <w:p w:rsidR="001D4C8E" w:rsidRPr="001D4C8E" w:rsidRDefault="001D4C8E" w:rsidP="001D4C8E">
            <w:pPr>
              <w:pStyle w:val="TableBodyText"/>
              <w:rPr>
                <w:sz w:val="18"/>
                <w:szCs w:val="18"/>
              </w:rPr>
            </w:pPr>
            <w:r w:rsidRPr="001D4C8E">
              <w:rPr>
                <w:sz w:val="18"/>
                <w:szCs w:val="18"/>
              </w:rPr>
              <w:t>..</w:t>
            </w:r>
          </w:p>
        </w:tc>
        <w:tc>
          <w:tcPr>
            <w:tcW w:w="567"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171</w:t>
            </w:r>
          </w:p>
        </w:tc>
        <w:tc>
          <w:tcPr>
            <w:tcW w:w="709" w:type="dxa"/>
            <w:vAlign w:val="bottom"/>
          </w:tcPr>
          <w:p w:rsidR="001D4C8E" w:rsidRPr="001D4C8E" w:rsidRDefault="001D4C8E" w:rsidP="001D4C8E">
            <w:pPr>
              <w:pStyle w:val="TableBodyText"/>
              <w:rPr>
                <w:sz w:val="18"/>
                <w:szCs w:val="18"/>
              </w:rPr>
            </w:pPr>
            <w:r w:rsidRPr="001D4C8E">
              <w:rPr>
                <w:sz w:val="18"/>
                <w:szCs w:val="18"/>
              </w:rPr>
              <w:t>230</w:t>
            </w:r>
          </w:p>
        </w:tc>
      </w:tr>
      <w:tr w:rsidR="001D4C8E" w:rsidRPr="00DC49DD" w:rsidTr="00584FFF">
        <w:tc>
          <w:tcPr>
            <w:tcW w:w="1985" w:type="dxa"/>
            <w:vAlign w:val="bottom"/>
          </w:tcPr>
          <w:p w:rsidR="001D4C8E" w:rsidRPr="00DC49DD" w:rsidRDefault="001D4C8E" w:rsidP="00DD6D58">
            <w:pPr>
              <w:pStyle w:val="TableBodyText"/>
              <w:jc w:val="left"/>
            </w:pPr>
            <w:r w:rsidRPr="00DC49DD">
              <w:t xml:space="preserve">Federal </w:t>
            </w:r>
            <w:r>
              <w:t>Circuit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8"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1D4C8E" w:rsidRDefault="001D4C8E" w:rsidP="001D4C8E">
            <w:pPr>
              <w:pStyle w:val="TableBodyText"/>
              <w:rPr>
                <w:sz w:val="18"/>
                <w:szCs w:val="18"/>
              </w:rPr>
            </w:pPr>
            <w:r w:rsidRPr="001D4C8E">
              <w:rPr>
                <w:sz w:val="18"/>
                <w:szCs w:val="18"/>
              </w:rPr>
              <w:t>..</w:t>
            </w:r>
          </w:p>
        </w:tc>
        <w:tc>
          <w:tcPr>
            <w:tcW w:w="567" w:type="dxa"/>
            <w:vAlign w:val="bottom"/>
          </w:tcPr>
          <w:p w:rsidR="001D4C8E" w:rsidRPr="001D4C8E" w:rsidRDefault="001D4C8E" w:rsidP="001D4C8E">
            <w:pPr>
              <w:pStyle w:val="TableBodyText"/>
              <w:rPr>
                <w:sz w:val="18"/>
                <w:szCs w:val="18"/>
              </w:rPr>
            </w:pPr>
            <w:r w:rsidRPr="001D4C8E">
              <w:rPr>
                <w:sz w:val="18"/>
                <w:szCs w:val="18"/>
              </w:rPr>
              <w:t>..</w:t>
            </w:r>
          </w:p>
        </w:tc>
        <w:tc>
          <w:tcPr>
            <w:tcW w:w="708" w:type="dxa"/>
            <w:vAlign w:val="bottom"/>
          </w:tcPr>
          <w:p w:rsidR="001D4C8E" w:rsidRPr="001D4C8E" w:rsidRDefault="001D4C8E" w:rsidP="001D4C8E">
            <w:pPr>
              <w:pStyle w:val="TableBodyText"/>
              <w:rPr>
                <w:sz w:val="18"/>
                <w:szCs w:val="18"/>
              </w:rPr>
            </w:pPr>
            <w:r w:rsidRPr="001D4C8E">
              <w:rPr>
                <w:sz w:val="18"/>
                <w:szCs w:val="18"/>
              </w:rPr>
              <w:t>..</w:t>
            </w:r>
          </w:p>
        </w:tc>
        <w:tc>
          <w:tcPr>
            <w:tcW w:w="567" w:type="dxa"/>
            <w:vAlign w:val="bottom"/>
          </w:tcPr>
          <w:p w:rsidR="001D4C8E" w:rsidRPr="001D4C8E" w:rsidRDefault="001D4C8E" w:rsidP="001D4C8E">
            <w:pPr>
              <w:pStyle w:val="TableBodyText"/>
              <w:rPr>
                <w:sz w:val="18"/>
                <w:szCs w:val="18"/>
              </w:rPr>
            </w:pPr>
            <w:r w:rsidRPr="001D4C8E">
              <w:rPr>
                <w:sz w:val="18"/>
                <w:szCs w:val="18"/>
              </w:rPr>
              <w:t>..</w:t>
            </w:r>
          </w:p>
        </w:tc>
        <w:tc>
          <w:tcPr>
            <w:tcW w:w="709" w:type="dxa"/>
            <w:vAlign w:val="bottom"/>
          </w:tcPr>
          <w:p w:rsidR="001D4C8E" w:rsidRPr="007E17BC" w:rsidRDefault="001A4CC3" w:rsidP="001D4C8E">
            <w:pPr>
              <w:pStyle w:val="TableBodyText"/>
              <w:rPr>
                <w:sz w:val="18"/>
                <w:szCs w:val="18"/>
              </w:rPr>
            </w:pPr>
            <w:r w:rsidRPr="007E17BC">
              <w:rPr>
                <w:sz w:val="18"/>
                <w:szCs w:val="18"/>
              </w:rPr>
              <w:t>434</w:t>
            </w:r>
          </w:p>
        </w:tc>
        <w:tc>
          <w:tcPr>
            <w:tcW w:w="709" w:type="dxa"/>
            <w:vAlign w:val="bottom"/>
          </w:tcPr>
          <w:p w:rsidR="001D4C8E" w:rsidRPr="007E17BC" w:rsidRDefault="002B7E12" w:rsidP="001D4C8E">
            <w:pPr>
              <w:pStyle w:val="TableBodyText"/>
              <w:rPr>
                <w:sz w:val="18"/>
                <w:szCs w:val="18"/>
              </w:rPr>
            </w:pPr>
            <w:r w:rsidRPr="007E17BC">
              <w:rPr>
                <w:sz w:val="18"/>
                <w:szCs w:val="18"/>
              </w:rPr>
              <w:t>434</w:t>
            </w:r>
          </w:p>
        </w:tc>
      </w:tr>
      <w:tr w:rsidR="001D4C8E" w:rsidRPr="00DC49DD" w:rsidTr="00584FFF">
        <w:tc>
          <w:tcPr>
            <w:tcW w:w="1985" w:type="dxa"/>
            <w:tcBorders>
              <w:bottom w:val="single" w:sz="4" w:space="0" w:color="auto"/>
            </w:tcBorders>
            <w:vAlign w:val="bottom"/>
          </w:tcPr>
          <w:p w:rsidR="001D4C8E" w:rsidRPr="00DC49DD" w:rsidRDefault="001D4C8E" w:rsidP="00DD6D58">
            <w:pPr>
              <w:pStyle w:val="TableBodyText"/>
              <w:jc w:val="left"/>
            </w:pPr>
            <w:r w:rsidRPr="00DC49DD">
              <w:t>Probate — Supreme</w:t>
            </w:r>
          </w:p>
        </w:tc>
        <w:tc>
          <w:tcPr>
            <w:tcW w:w="709"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176</w:t>
            </w:r>
          </w:p>
        </w:tc>
        <w:tc>
          <w:tcPr>
            <w:tcW w:w="708"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349</w:t>
            </w:r>
          </w:p>
        </w:tc>
        <w:tc>
          <w:tcPr>
            <w:tcW w:w="709"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595</w:t>
            </w:r>
          </w:p>
        </w:tc>
        <w:tc>
          <w:tcPr>
            <w:tcW w:w="709"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204</w:t>
            </w:r>
          </w:p>
        </w:tc>
        <w:tc>
          <w:tcPr>
            <w:tcW w:w="709"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035</w:t>
            </w:r>
          </w:p>
        </w:tc>
        <w:tc>
          <w:tcPr>
            <w:tcW w:w="567"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532</w:t>
            </w:r>
          </w:p>
        </w:tc>
        <w:tc>
          <w:tcPr>
            <w:tcW w:w="708"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1</w:t>
            </w:r>
            <w:r w:rsidR="002F67F8">
              <w:rPr>
                <w:sz w:val="18"/>
                <w:szCs w:val="18"/>
              </w:rPr>
              <w:t xml:space="preserve"> </w:t>
            </w:r>
            <w:r w:rsidRPr="001D4C8E">
              <w:rPr>
                <w:sz w:val="18"/>
                <w:szCs w:val="18"/>
              </w:rPr>
              <w:t>184</w:t>
            </w:r>
          </w:p>
        </w:tc>
        <w:tc>
          <w:tcPr>
            <w:tcW w:w="567"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891</w:t>
            </w:r>
          </w:p>
        </w:tc>
        <w:tc>
          <w:tcPr>
            <w:tcW w:w="709"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w:t>
            </w:r>
          </w:p>
        </w:tc>
        <w:tc>
          <w:tcPr>
            <w:tcW w:w="709" w:type="dxa"/>
            <w:tcBorders>
              <w:bottom w:val="single" w:sz="4" w:space="0" w:color="auto"/>
            </w:tcBorders>
            <w:vAlign w:val="bottom"/>
          </w:tcPr>
          <w:p w:rsidR="001D4C8E" w:rsidRPr="001D4C8E" w:rsidRDefault="001D4C8E" w:rsidP="001D4C8E">
            <w:pPr>
              <w:pStyle w:val="TableBodyText"/>
              <w:rPr>
                <w:sz w:val="18"/>
                <w:szCs w:val="18"/>
              </w:rPr>
            </w:pPr>
            <w:r w:rsidRPr="001D4C8E">
              <w:rPr>
                <w:sz w:val="18"/>
                <w:szCs w:val="18"/>
              </w:rPr>
              <w:t>734</w:t>
            </w:r>
          </w:p>
        </w:tc>
      </w:tr>
    </w:tbl>
    <w:p w:rsidR="00DD6D58" w:rsidRDefault="00DD6D58" w:rsidP="00F463FD">
      <w:pPr>
        <w:pStyle w:val="Note"/>
        <w:spacing w:before="40"/>
      </w:pPr>
      <w:proofErr w:type="spellStart"/>
      <w:r w:rsidRPr="00DD6D58">
        <w:rPr>
          <w:rStyle w:val="NoteLabel"/>
        </w:rPr>
        <w:t>a</w:t>
      </w:r>
      <w:proofErr w:type="spellEnd"/>
      <w:r>
        <w:rPr>
          <w:rStyle w:val="NoteLabel"/>
        </w:rPr>
        <w:t> </w:t>
      </w:r>
      <w:r w:rsidR="00697C70">
        <w:t>Some jurisdictions charge</w:t>
      </w:r>
      <w:r>
        <w:t xml:space="preserve"> corporations twice the amount indivi</w:t>
      </w:r>
      <w:r w:rsidR="00731C47">
        <w:t>duals are charged, therefore average fees can overstate t</w:t>
      </w:r>
      <w:r>
        <w:t>he charge to individuals</w:t>
      </w:r>
      <w:r w:rsidRPr="00B717AE">
        <w:t xml:space="preserve">. </w:t>
      </w:r>
      <w:r w:rsidR="00DF29AB" w:rsidRPr="00B717AE">
        <w:rPr>
          <w:rStyle w:val="NoteLabel"/>
        </w:rPr>
        <w:t>b</w:t>
      </w:r>
      <w:r w:rsidR="00DF29AB" w:rsidRPr="00B717AE">
        <w:t> T</w:t>
      </w:r>
      <w:r w:rsidR="00476153" w:rsidRPr="00B717AE">
        <w:t xml:space="preserve">otals are </w:t>
      </w:r>
      <w:r w:rsidR="00DF29AB" w:rsidRPr="00B717AE">
        <w:t xml:space="preserve">derived </w:t>
      </w:r>
      <w:r w:rsidR="00476153" w:rsidRPr="00B717AE">
        <w:t xml:space="preserve">for each court level </w:t>
      </w:r>
      <w:r w:rsidR="00DF29AB" w:rsidRPr="00B717AE">
        <w:t xml:space="preserve">by dividing the </w:t>
      </w:r>
      <w:r w:rsidR="00476153" w:rsidRPr="00B717AE">
        <w:t xml:space="preserve">total </w:t>
      </w:r>
      <w:r w:rsidR="00DF29AB" w:rsidRPr="00B717AE">
        <w:t>fees</w:t>
      </w:r>
      <w:r w:rsidR="00476153" w:rsidRPr="00B717AE">
        <w:t xml:space="preserve"> for that court level by the </w:t>
      </w:r>
      <w:proofErr w:type="spellStart"/>
      <w:r w:rsidR="00DF29AB" w:rsidRPr="00B717AE">
        <w:t>lodgments</w:t>
      </w:r>
      <w:proofErr w:type="spellEnd"/>
      <w:r w:rsidR="00476153" w:rsidRPr="00B717AE">
        <w:t xml:space="preserve"> for that </w:t>
      </w:r>
      <w:r w:rsidR="00DF29AB" w:rsidRPr="00B717AE">
        <w:t>co</w:t>
      </w:r>
      <w:r w:rsidR="00476153" w:rsidRPr="00B717AE">
        <w:t>urt level</w:t>
      </w:r>
      <w:r w:rsidR="00DF29AB" w:rsidRPr="00B717AE">
        <w:t>.</w:t>
      </w:r>
      <w:r w:rsidRPr="00B717AE">
        <w:t xml:space="preserve"> </w:t>
      </w:r>
      <w:r w:rsidR="00E92ADD" w:rsidRPr="00B717AE">
        <w:rPr>
          <w:b/>
        </w:rPr>
        <w:t>.. </w:t>
      </w:r>
      <w:r w:rsidR="00E92ADD" w:rsidRPr="00B717AE">
        <w:t>Not applicable</w:t>
      </w:r>
      <w:r w:rsidRPr="00B717AE">
        <w:t xml:space="preserve">. </w:t>
      </w:r>
      <w:r w:rsidRPr="00B717AE">
        <w:rPr>
          <w:b/>
        </w:rPr>
        <w:t>–</w:t>
      </w:r>
      <w:r w:rsidRPr="00B717AE">
        <w:t xml:space="preserve"> Nil or rounded to zero.</w:t>
      </w:r>
    </w:p>
    <w:p w:rsidR="00DD6D58" w:rsidRPr="00B56A78" w:rsidRDefault="00DD6D58" w:rsidP="0089400C">
      <w:pPr>
        <w:pStyle w:val="Source"/>
        <w:spacing w:before="40" w:after="40"/>
      </w:pPr>
      <w:r>
        <w:rPr>
          <w:i/>
        </w:rPr>
        <w:t>Source</w:t>
      </w:r>
      <w:r>
        <w:t xml:space="preserve">: </w:t>
      </w:r>
      <w:r w:rsidR="00731EDD">
        <w:t xml:space="preserve">Australian, </w:t>
      </w:r>
      <w:r w:rsidR="00B56A78" w:rsidRPr="00B56A78">
        <w:t>State and Territory court authorities and de</w:t>
      </w:r>
      <w:r w:rsidR="004C4247">
        <w:t xml:space="preserve">partments (unpublished); </w:t>
      </w:r>
      <w:r w:rsidR="00A76A9C">
        <w:t>table </w:t>
      </w:r>
      <w:proofErr w:type="spellStart"/>
      <w:r w:rsidR="00A76A9C">
        <w:t>7</w:t>
      </w:r>
      <w:r w:rsidR="00B56A78" w:rsidRPr="00B56A78">
        <w:t>A.1</w:t>
      </w:r>
      <w:r w:rsidR="005C0B83">
        <w:t>8</w:t>
      </w:r>
      <w:proofErr w:type="spellEnd"/>
      <w:r w:rsidR="00B56A78" w:rsidRPr="00B56A78">
        <w:t>.</w:t>
      </w:r>
    </w:p>
    <w:p w:rsidR="00DA3334" w:rsidRDefault="004C4247" w:rsidP="0089400C">
      <w:pPr>
        <w:pStyle w:val="BodyText"/>
        <w:spacing w:before="120"/>
      </w:pPr>
      <w:r w:rsidRPr="004C4247">
        <w:t xml:space="preserve">The level of cost recovery from the collection of court fees varied across court </w:t>
      </w:r>
      <w:r w:rsidRPr="00DC49DD">
        <w:t xml:space="preserve">levels and across jurisdictions in </w:t>
      </w:r>
      <w:r w:rsidR="00A76F58">
        <w:t>2012</w:t>
      </w:r>
      <w:r w:rsidR="00205BCF">
        <w:noBreakHyphen/>
      </w:r>
      <w:r w:rsidR="00B9326C">
        <w:t>1</w:t>
      </w:r>
      <w:r w:rsidR="00A76F58">
        <w:t>3</w:t>
      </w:r>
      <w:r w:rsidRPr="00DC49DD">
        <w:t xml:space="preserve"> (</w:t>
      </w:r>
      <w:r w:rsidR="00A76A9C" w:rsidRPr="00DC49DD">
        <w:t>table 7</w:t>
      </w:r>
      <w:r w:rsidR="00C96B64">
        <w:t>.9</w:t>
      </w:r>
      <w:r w:rsidRPr="00DC49DD">
        <w:t>). Nationally, for the states and</w:t>
      </w:r>
      <w:r w:rsidRPr="004C4247">
        <w:t xml:space="preserve"> territories</w:t>
      </w:r>
      <w:r w:rsidR="00A57A94">
        <w:t xml:space="preserve"> in total</w:t>
      </w:r>
      <w:r w:rsidRPr="004C4247">
        <w:t>,</w:t>
      </w:r>
      <w:r w:rsidR="00B37E0F">
        <w:t xml:space="preserve"> approximately a third of costs were recovered through court fees in the District and Magistrates’ courts</w:t>
      </w:r>
      <w:r w:rsidRPr="00CA6C44">
        <w:t>.</w:t>
      </w:r>
      <w:r w:rsidR="00431DD7" w:rsidRPr="00CA6C44">
        <w:t xml:space="preserve"> C</w:t>
      </w:r>
      <w:r w:rsidR="00B37CAF" w:rsidRPr="00CA6C44">
        <w:t xml:space="preserve">ost recovery was lowest in the </w:t>
      </w:r>
      <w:r w:rsidR="00010F4A" w:rsidRPr="00CA6C44">
        <w:t xml:space="preserve">children’s </w:t>
      </w:r>
      <w:r w:rsidR="00010F4A" w:rsidRPr="00CA6C44">
        <w:lastRenderedPageBreak/>
        <w:t>c</w:t>
      </w:r>
      <w:r w:rsidR="00BC62E9" w:rsidRPr="00CA6C44">
        <w:t>ourt</w:t>
      </w:r>
      <w:r w:rsidR="00431DD7" w:rsidRPr="00CA6C44">
        <w:t xml:space="preserve">s and in the Family Court of Australia </w:t>
      </w:r>
      <w:r w:rsidR="00010F4A" w:rsidRPr="00CA6C44">
        <w:t xml:space="preserve">— </w:t>
      </w:r>
      <w:r w:rsidR="00B50897">
        <w:t>in these courts</w:t>
      </w:r>
      <w:r w:rsidR="00B50897" w:rsidRPr="00CA6C44">
        <w:t xml:space="preserve"> </w:t>
      </w:r>
      <w:r w:rsidR="00431DD7" w:rsidRPr="00CA6C44">
        <w:t>many applications do not attract a fee.</w:t>
      </w:r>
      <w:r w:rsidR="00431DD7">
        <w:t xml:space="preserve"> </w:t>
      </w:r>
    </w:p>
    <w:p w:rsidR="00DA3334" w:rsidRPr="007907DB" w:rsidRDefault="00DA3334" w:rsidP="00D1646F">
      <w:pPr>
        <w:pStyle w:val="TableTitle"/>
        <w:spacing w:before="240"/>
      </w:pPr>
      <w:r w:rsidRPr="007907DB">
        <w:rPr>
          <w:b w:val="0"/>
        </w:rPr>
        <w:t>Table 7.</w:t>
      </w:r>
      <w:r w:rsidR="00C96B64">
        <w:rPr>
          <w:b w:val="0"/>
          <w:noProof/>
        </w:rPr>
        <w:t>9</w:t>
      </w:r>
      <w:r w:rsidRPr="007907DB">
        <w:tab/>
        <w:t xml:space="preserve">Civil court fees collected as a proportion of civil recurrent expenditure (cost recovery), </w:t>
      </w:r>
      <w:r w:rsidR="0068781E">
        <w:t>2012</w:t>
      </w:r>
      <w:r w:rsidR="00DB7551">
        <w:t>-</w:t>
      </w:r>
      <w:r w:rsidR="00B9326C">
        <w:t>1</w:t>
      </w:r>
      <w:r w:rsidR="0068781E">
        <w:t>3</w:t>
      </w:r>
      <w:r w:rsidRPr="007907DB">
        <w:t xml:space="preserve"> (</w:t>
      </w:r>
      <w:r w:rsidR="00A76A9C" w:rsidRPr="007907DB">
        <w:t>per cent</w:t>
      </w:r>
      <w:r w:rsidRPr="007907DB">
        <w:t>)</w:t>
      </w:r>
      <w:r w:rsidRPr="007907DB">
        <w:rPr>
          <w:rStyle w:val="NoteLabel"/>
          <w:b/>
        </w:rPr>
        <w:t>a</w:t>
      </w:r>
      <w:r w:rsidR="008941B6" w:rsidRPr="007907DB">
        <w:rPr>
          <w:rStyle w:val="NoteLabel"/>
          <w:b/>
        </w:rPr>
        <w:t>, b</w:t>
      </w:r>
    </w:p>
    <w:tbl>
      <w:tblPr>
        <w:tblW w:w="0" w:type="auto"/>
        <w:tblLayout w:type="fixed"/>
        <w:tblCellMar>
          <w:left w:w="0" w:type="dxa"/>
          <w:right w:w="0" w:type="dxa"/>
        </w:tblCellMar>
        <w:tblLook w:val="0000" w:firstRow="0" w:lastRow="0" w:firstColumn="0" w:lastColumn="0" w:noHBand="0" w:noVBand="0"/>
      </w:tblPr>
      <w:tblGrid>
        <w:gridCol w:w="2268"/>
        <w:gridCol w:w="709"/>
        <w:gridCol w:w="709"/>
        <w:gridCol w:w="709"/>
        <w:gridCol w:w="708"/>
        <w:gridCol w:w="567"/>
        <w:gridCol w:w="567"/>
        <w:gridCol w:w="567"/>
        <w:gridCol w:w="567"/>
        <w:gridCol w:w="709"/>
        <w:gridCol w:w="709"/>
      </w:tblGrid>
      <w:tr w:rsidR="00DA3334" w:rsidRPr="007956E6" w:rsidTr="00DA3334">
        <w:tc>
          <w:tcPr>
            <w:tcW w:w="2268" w:type="dxa"/>
            <w:tcBorders>
              <w:top w:val="single" w:sz="6" w:space="0" w:color="auto"/>
              <w:bottom w:val="single" w:sz="6" w:space="0" w:color="auto"/>
            </w:tcBorders>
          </w:tcPr>
          <w:p w:rsidR="00DA3334" w:rsidRPr="007956E6" w:rsidRDefault="00DA3334" w:rsidP="003A7FD9">
            <w:pPr>
              <w:pStyle w:val="TableColumnHeading"/>
              <w:spacing w:before="40" w:after="0"/>
              <w:jc w:val="left"/>
            </w:pPr>
          </w:p>
        </w:tc>
        <w:tc>
          <w:tcPr>
            <w:tcW w:w="709"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NSW</w:t>
            </w:r>
          </w:p>
        </w:tc>
        <w:tc>
          <w:tcPr>
            <w:tcW w:w="709"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Vic</w:t>
            </w:r>
          </w:p>
        </w:tc>
        <w:tc>
          <w:tcPr>
            <w:tcW w:w="709"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Qld</w:t>
            </w:r>
          </w:p>
        </w:tc>
        <w:tc>
          <w:tcPr>
            <w:tcW w:w="708"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WA</w:t>
            </w:r>
          </w:p>
        </w:tc>
        <w:tc>
          <w:tcPr>
            <w:tcW w:w="567"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SA</w:t>
            </w:r>
          </w:p>
        </w:tc>
        <w:tc>
          <w:tcPr>
            <w:tcW w:w="567" w:type="dxa"/>
            <w:tcBorders>
              <w:top w:val="single" w:sz="6" w:space="0" w:color="auto"/>
              <w:bottom w:val="single" w:sz="6" w:space="0" w:color="auto"/>
            </w:tcBorders>
          </w:tcPr>
          <w:p w:rsidR="00DA3334" w:rsidRPr="007956E6" w:rsidRDefault="00DA3334" w:rsidP="003A7FD9">
            <w:pPr>
              <w:pStyle w:val="TableColumnHeading"/>
              <w:spacing w:before="40" w:after="0"/>
            </w:pPr>
            <w:proofErr w:type="spellStart"/>
            <w:r w:rsidRPr="007956E6">
              <w:t>Tas</w:t>
            </w:r>
            <w:proofErr w:type="spellEnd"/>
          </w:p>
        </w:tc>
        <w:tc>
          <w:tcPr>
            <w:tcW w:w="567"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ACT</w:t>
            </w:r>
          </w:p>
        </w:tc>
        <w:tc>
          <w:tcPr>
            <w:tcW w:w="567" w:type="dxa"/>
            <w:tcBorders>
              <w:top w:val="single" w:sz="6" w:space="0" w:color="auto"/>
              <w:bottom w:val="single" w:sz="6" w:space="0" w:color="auto"/>
            </w:tcBorders>
          </w:tcPr>
          <w:p w:rsidR="00DA3334" w:rsidRPr="007956E6" w:rsidRDefault="00DA3334" w:rsidP="003A7FD9">
            <w:pPr>
              <w:pStyle w:val="TableColumnHeading"/>
              <w:spacing w:before="40" w:after="0"/>
            </w:pPr>
            <w:r w:rsidRPr="007956E6">
              <w:t>NT</w:t>
            </w:r>
          </w:p>
        </w:tc>
        <w:tc>
          <w:tcPr>
            <w:tcW w:w="709" w:type="dxa"/>
            <w:tcBorders>
              <w:top w:val="single" w:sz="6" w:space="0" w:color="auto"/>
              <w:bottom w:val="single" w:sz="6" w:space="0" w:color="auto"/>
            </w:tcBorders>
          </w:tcPr>
          <w:p w:rsidR="00DA3334" w:rsidRPr="007956E6" w:rsidRDefault="00DA3334" w:rsidP="003A7FD9">
            <w:pPr>
              <w:pStyle w:val="TableColumnHeading"/>
              <w:spacing w:before="40" w:after="0"/>
            </w:pPr>
            <w:proofErr w:type="spellStart"/>
            <w:r w:rsidRPr="007956E6">
              <w:t>Aust</w:t>
            </w:r>
            <w:proofErr w:type="spellEnd"/>
            <w:r w:rsidRPr="007956E6">
              <w:t xml:space="preserve"> courts</w:t>
            </w:r>
          </w:p>
        </w:tc>
        <w:tc>
          <w:tcPr>
            <w:tcW w:w="709" w:type="dxa"/>
            <w:tcBorders>
              <w:top w:val="single" w:sz="6" w:space="0" w:color="auto"/>
              <w:bottom w:val="single" w:sz="6" w:space="0" w:color="auto"/>
            </w:tcBorders>
          </w:tcPr>
          <w:p w:rsidR="00DA3334" w:rsidRPr="007956E6" w:rsidRDefault="00DA3334" w:rsidP="003A7FD9">
            <w:pPr>
              <w:pStyle w:val="TableColumnHeading"/>
              <w:spacing w:before="40" w:after="0"/>
              <w:ind w:right="28"/>
            </w:pPr>
            <w:r w:rsidRPr="007956E6">
              <w:t>Total</w:t>
            </w:r>
          </w:p>
        </w:tc>
      </w:tr>
      <w:tr w:rsidR="009C4301" w:rsidRPr="001F5452" w:rsidTr="004024E4">
        <w:tc>
          <w:tcPr>
            <w:tcW w:w="2268" w:type="dxa"/>
          </w:tcPr>
          <w:p w:rsidR="009C4301" w:rsidRPr="001F5452" w:rsidRDefault="009C4301" w:rsidP="00DA3334">
            <w:pPr>
              <w:pStyle w:val="TableBodyText"/>
              <w:jc w:val="left"/>
              <w:rPr>
                <w:rStyle w:val="NoteLabel"/>
              </w:rPr>
            </w:pPr>
            <w:r w:rsidRPr="001F5452">
              <w:t>Supreme</w:t>
            </w:r>
            <w:r>
              <w:rPr>
                <w:rStyle w:val="NoteLabel"/>
              </w:rPr>
              <w:t>c</w:t>
            </w:r>
            <w:r w:rsidRPr="001F5452">
              <w:rPr>
                <w:rStyle w:val="NoteChar"/>
              </w:rPr>
              <w:t>/</w:t>
            </w:r>
            <w:r w:rsidRPr="001F5452">
              <w:t>Federal</w:t>
            </w:r>
          </w:p>
        </w:tc>
        <w:tc>
          <w:tcPr>
            <w:tcW w:w="709" w:type="dxa"/>
            <w:vAlign w:val="bottom"/>
          </w:tcPr>
          <w:p w:rsidR="009C4301" w:rsidRPr="009C4301" w:rsidRDefault="009C4301" w:rsidP="009C4301">
            <w:pPr>
              <w:pStyle w:val="TableBodyText"/>
              <w:rPr>
                <w:sz w:val="18"/>
                <w:szCs w:val="18"/>
              </w:rPr>
            </w:pPr>
            <w:r w:rsidRPr="009C4301">
              <w:rPr>
                <w:sz w:val="18"/>
                <w:szCs w:val="18"/>
              </w:rPr>
              <w:t>37.4</w:t>
            </w:r>
          </w:p>
        </w:tc>
        <w:tc>
          <w:tcPr>
            <w:tcW w:w="709" w:type="dxa"/>
            <w:vAlign w:val="bottom"/>
          </w:tcPr>
          <w:p w:rsidR="009C4301" w:rsidRPr="009C4301" w:rsidRDefault="009C4301" w:rsidP="009C4301">
            <w:pPr>
              <w:pStyle w:val="TableBodyText"/>
              <w:rPr>
                <w:sz w:val="18"/>
                <w:szCs w:val="18"/>
              </w:rPr>
            </w:pPr>
            <w:r w:rsidRPr="009C4301">
              <w:rPr>
                <w:sz w:val="18"/>
                <w:szCs w:val="18"/>
              </w:rPr>
              <w:t>21.0</w:t>
            </w:r>
          </w:p>
        </w:tc>
        <w:tc>
          <w:tcPr>
            <w:tcW w:w="709" w:type="dxa"/>
            <w:vAlign w:val="bottom"/>
          </w:tcPr>
          <w:p w:rsidR="009C4301" w:rsidRPr="009C4301" w:rsidRDefault="009C4301" w:rsidP="009C4301">
            <w:pPr>
              <w:pStyle w:val="TableBodyText"/>
              <w:rPr>
                <w:sz w:val="18"/>
                <w:szCs w:val="18"/>
              </w:rPr>
            </w:pPr>
            <w:r w:rsidRPr="009C4301">
              <w:rPr>
                <w:sz w:val="18"/>
                <w:szCs w:val="18"/>
              </w:rPr>
              <w:t>33.3</w:t>
            </w:r>
          </w:p>
        </w:tc>
        <w:tc>
          <w:tcPr>
            <w:tcW w:w="708" w:type="dxa"/>
            <w:vAlign w:val="bottom"/>
          </w:tcPr>
          <w:p w:rsidR="009C4301" w:rsidRPr="009C4301" w:rsidRDefault="009C4301" w:rsidP="009C4301">
            <w:pPr>
              <w:pStyle w:val="TableBodyText"/>
              <w:rPr>
                <w:sz w:val="18"/>
                <w:szCs w:val="18"/>
              </w:rPr>
            </w:pPr>
            <w:r w:rsidRPr="009C4301">
              <w:rPr>
                <w:sz w:val="18"/>
                <w:szCs w:val="18"/>
              </w:rPr>
              <w:t>19.2</w:t>
            </w:r>
          </w:p>
        </w:tc>
        <w:tc>
          <w:tcPr>
            <w:tcW w:w="567" w:type="dxa"/>
            <w:vAlign w:val="bottom"/>
          </w:tcPr>
          <w:p w:rsidR="009C4301" w:rsidRPr="009C4301" w:rsidRDefault="009C4301" w:rsidP="009C4301">
            <w:pPr>
              <w:pStyle w:val="TableBodyText"/>
              <w:rPr>
                <w:sz w:val="18"/>
                <w:szCs w:val="18"/>
              </w:rPr>
            </w:pPr>
            <w:r w:rsidRPr="009C4301">
              <w:rPr>
                <w:sz w:val="18"/>
                <w:szCs w:val="18"/>
              </w:rPr>
              <w:t>40.3</w:t>
            </w:r>
          </w:p>
        </w:tc>
        <w:tc>
          <w:tcPr>
            <w:tcW w:w="567" w:type="dxa"/>
            <w:vAlign w:val="bottom"/>
          </w:tcPr>
          <w:p w:rsidR="009C4301" w:rsidRPr="009C4301" w:rsidRDefault="009C4301" w:rsidP="009C4301">
            <w:pPr>
              <w:pStyle w:val="TableBodyText"/>
              <w:rPr>
                <w:sz w:val="18"/>
                <w:szCs w:val="18"/>
              </w:rPr>
            </w:pPr>
            <w:r w:rsidRPr="009C4301">
              <w:rPr>
                <w:sz w:val="18"/>
                <w:szCs w:val="18"/>
              </w:rPr>
              <w:t>13.0</w:t>
            </w:r>
          </w:p>
        </w:tc>
        <w:tc>
          <w:tcPr>
            <w:tcW w:w="567" w:type="dxa"/>
            <w:vAlign w:val="bottom"/>
          </w:tcPr>
          <w:p w:rsidR="009C4301" w:rsidRPr="009C4301" w:rsidRDefault="009C4301" w:rsidP="009C4301">
            <w:pPr>
              <w:pStyle w:val="TableBodyText"/>
              <w:rPr>
                <w:sz w:val="18"/>
                <w:szCs w:val="18"/>
              </w:rPr>
            </w:pPr>
            <w:r w:rsidRPr="009C4301">
              <w:rPr>
                <w:sz w:val="18"/>
                <w:szCs w:val="18"/>
              </w:rPr>
              <w:t>20.6</w:t>
            </w:r>
          </w:p>
        </w:tc>
        <w:tc>
          <w:tcPr>
            <w:tcW w:w="567" w:type="dxa"/>
            <w:vAlign w:val="bottom"/>
          </w:tcPr>
          <w:p w:rsidR="009C4301" w:rsidRPr="009C4301" w:rsidRDefault="009C4301" w:rsidP="009C4301">
            <w:pPr>
              <w:pStyle w:val="TableBodyText"/>
              <w:rPr>
                <w:sz w:val="18"/>
                <w:szCs w:val="18"/>
              </w:rPr>
            </w:pPr>
            <w:r w:rsidRPr="009C4301">
              <w:rPr>
                <w:sz w:val="18"/>
                <w:szCs w:val="18"/>
              </w:rPr>
              <w:t>4.1</w:t>
            </w:r>
          </w:p>
        </w:tc>
        <w:tc>
          <w:tcPr>
            <w:tcW w:w="709" w:type="dxa"/>
            <w:vAlign w:val="bottom"/>
          </w:tcPr>
          <w:p w:rsidR="009C4301" w:rsidRPr="009C4301" w:rsidRDefault="009C4301" w:rsidP="009C4301">
            <w:pPr>
              <w:pStyle w:val="TableBodyText"/>
              <w:rPr>
                <w:sz w:val="18"/>
                <w:szCs w:val="18"/>
              </w:rPr>
            </w:pPr>
            <w:r w:rsidRPr="009C4301">
              <w:rPr>
                <w:sz w:val="18"/>
                <w:szCs w:val="18"/>
              </w:rPr>
              <w:t>17.7</w:t>
            </w:r>
          </w:p>
        </w:tc>
        <w:tc>
          <w:tcPr>
            <w:tcW w:w="709" w:type="dxa"/>
            <w:vAlign w:val="bottom"/>
          </w:tcPr>
          <w:p w:rsidR="009C4301" w:rsidRPr="009C4301" w:rsidRDefault="009C4301" w:rsidP="009C4301">
            <w:pPr>
              <w:pStyle w:val="TableBodyText"/>
              <w:rPr>
                <w:sz w:val="18"/>
                <w:szCs w:val="18"/>
              </w:rPr>
            </w:pPr>
            <w:r w:rsidRPr="009C4301">
              <w:rPr>
                <w:sz w:val="18"/>
                <w:szCs w:val="18"/>
              </w:rPr>
              <w:t>25.0</w:t>
            </w:r>
          </w:p>
        </w:tc>
      </w:tr>
      <w:tr w:rsidR="009C4301" w:rsidRPr="001F5452" w:rsidTr="004024E4">
        <w:tc>
          <w:tcPr>
            <w:tcW w:w="2268" w:type="dxa"/>
          </w:tcPr>
          <w:p w:rsidR="009C4301" w:rsidRPr="001F5452" w:rsidRDefault="009C4301" w:rsidP="00DA3334">
            <w:pPr>
              <w:pStyle w:val="TableBodyText"/>
              <w:jc w:val="left"/>
            </w:pPr>
            <w:r w:rsidRPr="001F5452">
              <w:t>District/County</w:t>
            </w:r>
          </w:p>
        </w:tc>
        <w:tc>
          <w:tcPr>
            <w:tcW w:w="709" w:type="dxa"/>
            <w:vAlign w:val="bottom"/>
          </w:tcPr>
          <w:p w:rsidR="009C4301" w:rsidRPr="009C4301" w:rsidRDefault="009C4301" w:rsidP="009C4301">
            <w:pPr>
              <w:pStyle w:val="TableBodyText"/>
              <w:rPr>
                <w:sz w:val="18"/>
                <w:szCs w:val="18"/>
              </w:rPr>
            </w:pPr>
            <w:r w:rsidRPr="009C4301">
              <w:rPr>
                <w:sz w:val="18"/>
                <w:szCs w:val="18"/>
              </w:rPr>
              <w:t>30.2</w:t>
            </w:r>
          </w:p>
        </w:tc>
        <w:tc>
          <w:tcPr>
            <w:tcW w:w="709" w:type="dxa"/>
            <w:vAlign w:val="bottom"/>
          </w:tcPr>
          <w:p w:rsidR="009C4301" w:rsidRPr="009C4301" w:rsidRDefault="009C4301" w:rsidP="009C4301">
            <w:pPr>
              <w:pStyle w:val="TableBodyText"/>
              <w:rPr>
                <w:sz w:val="18"/>
                <w:szCs w:val="18"/>
              </w:rPr>
            </w:pPr>
            <w:r w:rsidRPr="009C4301">
              <w:rPr>
                <w:sz w:val="18"/>
                <w:szCs w:val="18"/>
              </w:rPr>
              <w:t>31.9</w:t>
            </w:r>
          </w:p>
        </w:tc>
        <w:tc>
          <w:tcPr>
            <w:tcW w:w="709" w:type="dxa"/>
            <w:vAlign w:val="bottom"/>
          </w:tcPr>
          <w:p w:rsidR="009C4301" w:rsidRPr="009C4301" w:rsidRDefault="009C4301" w:rsidP="009C4301">
            <w:pPr>
              <w:pStyle w:val="TableBodyText"/>
              <w:rPr>
                <w:sz w:val="18"/>
                <w:szCs w:val="18"/>
              </w:rPr>
            </w:pPr>
            <w:r w:rsidRPr="009C4301">
              <w:rPr>
                <w:sz w:val="18"/>
                <w:szCs w:val="18"/>
              </w:rPr>
              <w:t>50.4</w:t>
            </w:r>
          </w:p>
        </w:tc>
        <w:tc>
          <w:tcPr>
            <w:tcW w:w="708" w:type="dxa"/>
            <w:vAlign w:val="bottom"/>
          </w:tcPr>
          <w:p w:rsidR="009C4301" w:rsidRPr="009C4301" w:rsidRDefault="009C4301" w:rsidP="009C4301">
            <w:pPr>
              <w:pStyle w:val="TableBodyText"/>
              <w:rPr>
                <w:sz w:val="18"/>
                <w:szCs w:val="18"/>
              </w:rPr>
            </w:pPr>
            <w:r w:rsidRPr="009C4301">
              <w:rPr>
                <w:sz w:val="18"/>
                <w:szCs w:val="18"/>
              </w:rPr>
              <w:t>27.1</w:t>
            </w:r>
          </w:p>
        </w:tc>
        <w:tc>
          <w:tcPr>
            <w:tcW w:w="567" w:type="dxa"/>
            <w:vAlign w:val="bottom"/>
          </w:tcPr>
          <w:p w:rsidR="009C4301" w:rsidRPr="009C4301" w:rsidRDefault="009C4301" w:rsidP="009C4301">
            <w:pPr>
              <w:pStyle w:val="TableBodyText"/>
              <w:rPr>
                <w:sz w:val="18"/>
                <w:szCs w:val="18"/>
              </w:rPr>
            </w:pPr>
            <w:r w:rsidRPr="009C4301">
              <w:rPr>
                <w:sz w:val="18"/>
                <w:szCs w:val="18"/>
              </w:rPr>
              <w:t>44.4</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33.3</w:t>
            </w:r>
          </w:p>
        </w:tc>
      </w:tr>
      <w:tr w:rsidR="009C4301" w:rsidRPr="001F5452" w:rsidTr="004024E4">
        <w:tc>
          <w:tcPr>
            <w:tcW w:w="2268" w:type="dxa"/>
          </w:tcPr>
          <w:p w:rsidR="009C4301" w:rsidRPr="001F5452" w:rsidRDefault="009C4301" w:rsidP="00DA3334">
            <w:pPr>
              <w:pStyle w:val="TableBodyText"/>
              <w:jc w:val="left"/>
              <w:rPr>
                <w:b/>
              </w:rPr>
            </w:pPr>
            <w:r w:rsidRPr="001F5452">
              <w:t>Magistrates’ (total)</w:t>
            </w:r>
          </w:p>
        </w:tc>
        <w:tc>
          <w:tcPr>
            <w:tcW w:w="709" w:type="dxa"/>
            <w:vAlign w:val="bottom"/>
          </w:tcPr>
          <w:p w:rsidR="009C4301" w:rsidRPr="009C4301" w:rsidRDefault="009C4301" w:rsidP="009C4301">
            <w:pPr>
              <w:pStyle w:val="TableBodyText"/>
              <w:rPr>
                <w:sz w:val="18"/>
                <w:szCs w:val="18"/>
              </w:rPr>
            </w:pPr>
            <w:r w:rsidRPr="009C4301">
              <w:rPr>
                <w:sz w:val="18"/>
                <w:szCs w:val="18"/>
              </w:rPr>
              <w:t>30.9</w:t>
            </w:r>
          </w:p>
        </w:tc>
        <w:tc>
          <w:tcPr>
            <w:tcW w:w="709" w:type="dxa"/>
            <w:vAlign w:val="bottom"/>
          </w:tcPr>
          <w:p w:rsidR="009C4301" w:rsidRPr="009C4301" w:rsidRDefault="009C4301" w:rsidP="009C4301">
            <w:pPr>
              <w:pStyle w:val="TableBodyText"/>
              <w:rPr>
                <w:sz w:val="18"/>
                <w:szCs w:val="18"/>
              </w:rPr>
            </w:pPr>
            <w:r w:rsidRPr="009C4301">
              <w:rPr>
                <w:sz w:val="18"/>
                <w:szCs w:val="18"/>
              </w:rPr>
              <w:t>39.6</w:t>
            </w:r>
          </w:p>
        </w:tc>
        <w:tc>
          <w:tcPr>
            <w:tcW w:w="709" w:type="dxa"/>
            <w:vAlign w:val="bottom"/>
          </w:tcPr>
          <w:p w:rsidR="009C4301" w:rsidRPr="009C4301" w:rsidRDefault="009C4301" w:rsidP="009C4301">
            <w:pPr>
              <w:pStyle w:val="TableBodyText"/>
              <w:rPr>
                <w:sz w:val="18"/>
                <w:szCs w:val="18"/>
              </w:rPr>
            </w:pPr>
            <w:r w:rsidRPr="009C4301">
              <w:rPr>
                <w:sz w:val="18"/>
                <w:szCs w:val="18"/>
              </w:rPr>
              <w:t>26.9</w:t>
            </w:r>
          </w:p>
        </w:tc>
        <w:tc>
          <w:tcPr>
            <w:tcW w:w="708" w:type="dxa"/>
            <w:vAlign w:val="bottom"/>
          </w:tcPr>
          <w:p w:rsidR="009C4301" w:rsidRPr="009C4301" w:rsidRDefault="009C4301" w:rsidP="009C4301">
            <w:pPr>
              <w:pStyle w:val="TableBodyText"/>
              <w:rPr>
                <w:sz w:val="18"/>
                <w:szCs w:val="18"/>
              </w:rPr>
            </w:pPr>
            <w:r w:rsidRPr="009C4301">
              <w:rPr>
                <w:sz w:val="18"/>
                <w:szCs w:val="18"/>
              </w:rPr>
              <w:t>33.9</w:t>
            </w:r>
          </w:p>
        </w:tc>
        <w:tc>
          <w:tcPr>
            <w:tcW w:w="567" w:type="dxa"/>
            <w:vAlign w:val="bottom"/>
          </w:tcPr>
          <w:p w:rsidR="009C4301" w:rsidRPr="009C4301" w:rsidRDefault="009C4301" w:rsidP="009C4301">
            <w:pPr>
              <w:pStyle w:val="TableBodyText"/>
              <w:rPr>
                <w:sz w:val="18"/>
                <w:szCs w:val="18"/>
              </w:rPr>
            </w:pPr>
            <w:r w:rsidRPr="009C4301">
              <w:rPr>
                <w:sz w:val="18"/>
                <w:szCs w:val="18"/>
              </w:rPr>
              <w:t>32.9</w:t>
            </w:r>
          </w:p>
        </w:tc>
        <w:tc>
          <w:tcPr>
            <w:tcW w:w="567" w:type="dxa"/>
            <w:vAlign w:val="bottom"/>
          </w:tcPr>
          <w:p w:rsidR="009C4301" w:rsidRPr="009C4301" w:rsidRDefault="009C4301" w:rsidP="009C4301">
            <w:pPr>
              <w:pStyle w:val="TableBodyText"/>
              <w:rPr>
                <w:sz w:val="18"/>
                <w:szCs w:val="18"/>
              </w:rPr>
            </w:pPr>
            <w:r w:rsidRPr="009C4301">
              <w:rPr>
                <w:sz w:val="18"/>
                <w:szCs w:val="18"/>
              </w:rPr>
              <w:t>29.8</w:t>
            </w:r>
          </w:p>
        </w:tc>
        <w:tc>
          <w:tcPr>
            <w:tcW w:w="567" w:type="dxa"/>
            <w:vAlign w:val="bottom"/>
          </w:tcPr>
          <w:p w:rsidR="009C4301" w:rsidRPr="009C4301" w:rsidRDefault="009C4301" w:rsidP="009C4301">
            <w:pPr>
              <w:pStyle w:val="TableBodyText"/>
              <w:rPr>
                <w:sz w:val="18"/>
                <w:szCs w:val="18"/>
              </w:rPr>
            </w:pPr>
            <w:r w:rsidRPr="009C4301">
              <w:rPr>
                <w:sz w:val="18"/>
                <w:szCs w:val="18"/>
              </w:rPr>
              <w:t>6.2</w:t>
            </w:r>
          </w:p>
        </w:tc>
        <w:tc>
          <w:tcPr>
            <w:tcW w:w="567" w:type="dxa"/>
            <w:vAlign w:val="bottom"/>
          </w:tcPr>
          <w:p w:rsidR="009C4301" w:rsidRPr="009C4301" w:rsidRDefault="009C4301" w:rsidP="009C4301">
            <w:pPr>
              <w:pStyle w:val="TableBodyText"/>
              <w:rPr>
                <w:sz w:val="18"/>
                <w:szCs w:val="18"/>
              </w:rPr>
            </w:pPr>
            <w:r w:rsidRPr="009C4301">
              <w:rPr>
                <w:sz w:val="18"/>
                <w:szCs w:val="18"/>
              </w:rPr>
              <w:t>5.7</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31.4</w:t>
            </w:r>
          </w:p>
        </w:tc>
      </w:tr>
      <w:tr w:rsidR="009C4301" w:rsidRPr="001F5452" w:rsidTr="004024E4">
        <w:tc>
          <w:tcPr>
            <w:tcW w:w="2268" w:type="dxa"/>
          </w:tcPr>
          <w:p w:rsidR="009C4301" w:rsidRPr="001F5452" w:rsidRDefault="009C4301" w:rsidP="00DA3334">
            <w:pPr>
              <w:pStyle w:val="TableBodyText"/>
              <w:ind w:left="284"/>
              <w:jc w:val="left"/>
              <w:rPr>
                <w:rStyle w:val="NoteLabel"/>
              </w:rPr>
            </w:pPr>
            <w:r w:rsidRPr="001F5452">
              <w:rPr>
                <w:i/>
              </w:rPr>
              <w:t>Magistrates’ (only)</w:t>
            </w:r>
          </w:p>
        </w:tc>
        <w:tc>
          <w:tcPr>
            <w:tcW w:w="709" w:type="dxa"/>
            <w:vAlign w:val="bottom"/>
          </w:tcPr>
          <w:p w:rsidR="009C4301" w:rsidRPr="009C4301" w:rsidRDefault="009C4301" w:rsidP="009C4301">
            <w:pPr>
              <w:pStyle w:val="TableBodyText"/>
              <w:rPr>
                <w:sz w:val="18"/>
                <w:szCs w:val="18"/>
              </w:rPr>
            </w:pPr>
            <w:r w:rsidRPr="009C4301">
              <w:rPr>
                <w:sz w:val="18"/>
                <w:szCs w:val="18"/>
              </w:rPr>
              <w:t>34.0</w:t>
            </w:r>
          </w:p>
        </w:tc>
        <w:tc>
          <w:tcPr>
            <w:tcW w:w="709" w:type="dxa"/>
            <w:vAlign w:val="bottom"/>
          </w:tcPr>
          <w:p w:rsidR="009C4301" w:rsidRPr="009C4301" w:rsidRDefault="009C4301" w:rsidP="009C4301">
            <w:pPr>
              <w:pStyle w:val="TableBodyText"/>
              <w:rPr>
                <w:sz w:val="18"/>
                <w:szCs w:val="18"/>
              </w:rPr>
            </w:pPr>
            <w:r w:rsidRPr="009C4301">
              <w:rPr>
                <w:sz w:val="18"/>
                <w:szCs w:val="18"/>
              </w:rPr>
              <w:t>51.6</w:t>
            </w:r>
          </w:p>
        </w:tc>
        <w:tc>
          <w:tcPr>
            <w:tcW w:w="709" w:type="dxa"/>
            <w:vAlign w:val="bottom"/>
          </w:tcPr>
          <w:p w:rsidR="009C4301" w:rsidRPr="009C4301" w:rsidRDefault="009C4301" w:rsidP="009C4301">
            <w:pPr>
              <w:pStyle w:val="TableBodyText"/>
              <w:rPr>
                <w:sz w:val="18"/>
                <w:szCs w:val="18"/>
              </w:rPr>
            </w:pPr>
            <w:r w:rsidRPr="009C4301">
              <w:rPr>
                <w:sz w:val="18"/>
                <w:szCs w:val="18"/>
              </w:rPr>
              <w:t>33.6</w:t>
            </w:r>
          </w:p>
        </w:tc>
        <w:tc>
          <w:tcPr>
            <w:tcW w:w="708" w:type="dxa"/>
            <w:vAlign w:val="bottom"/>
          </w:tcPr>
          <w:p w:rsidR="009C4301" w:rsidRPr="009C4301" w:rsidRDefault="009C4301" w:rsidP="009C4301">
            <w:pPr>
              <w:pStyle w:val="TableBodyText"/>
              <w:rPr>
                <w:sz w:val="18"/>
                <w:szCs w:val="18"/>
              </w:rPr>
            </w:pPr>
            <w:r w:rsidRPr="009C4301">
              <w:rPr>
                <w:sz w:val="18"/>
                <w:szCs w:val="18"/>
              </w:rPr>
              <w:t>37.1</w:t>
            </w:r>
          </w:p>
        </w:tc>
        <w:tc>
          <w:tcPr>
            <w:tcW w:w="567" w:type="dxa"/>
            <w:vAlign w:val="bottom"/>
          </w:tcPr>
          <w:p w:rsidR="009C4301" w:rsidRPr="009C4301" w:rsidRDefault="009C4301" w:rsidP="009C4301">
            <w:pPr>
              <w:pStyle w:val="TableBodyText"/>
              <w:rPr>
                <w:sz w:val="18"/>
                <w:szCs w:val="18"/>
              </w:rPr>
            </w:pPr>
            <w:r w:rsidRPr="009C4301">
              <w:rPr>
                <w:sz w:val="18"/>
                <w:szCs w:val="18"/>
              </w:rPr>
              <w:t>35.0</w:t>
            </w:r>
          </w:p>
        </w:tc>
        <w:tc>
          <w:tcPr>
            <w:tcW w:w="567" w:type="dxa"/>
            <w:vAlign w:val="bottom"/>
          </w:tcPr>
          <w:p w:rsidR="009C4301" w:rsidRPr="009C4301" w:rsidRDefault="009C4301" w:rsidP="009C4301">
            <w:pPr>
              <w:pStyle w:val="TableBodyText"/>
              <w:rPr>
                <w:sz w:val="18"/>
                <w:szCs w:val="18"/>
              </w:rPr>
            </w:pPr>
            <w:r w:rsidRPr="009C4301">
              <w:rPr>
                <w:sz w:val="18"/>
                <w:szCs w:val="18"/>
              </w:rPr>
              <w:t>38.1</w:t>
            </w:r>
          </w:p>
        </w:tc>
        <w:tc>
          <w:tcPr>
            <w:tcW w:w="567" w:type="dxa"/>
            <w:vAlign w:val="bottom"/>
          </w:tcPr>
          <w:p w:rsidR="009C4301" w:rsidRPr="009C4301" w:rsidRDefault="009C4301" w:rsidP="009C4301">
            <w:pPr>
              <w:pStyle w:val="TableBodyText"/>
              <w:rPr>
                <w:sz w:val="18"/>
                <w:szCs w:val="18"/>
              </w:rPr>
            </w:pPr>
            <w:r w:rsidRPr="009C4301">
              <w:rPr>
                <w:sz w:val="18"/>
                <w:szCs w:val="18"/>
              </w:rPr>
              <w:t>6.6</w:t>
            </w:r>
          </w:p>
        </w:tc>
        <w:tc>
          <w:tcPr>
            <w:tcW w:w="567" w:type="dxa"/>
            <w:vAlign w:val="bottom"/>
          </w:tcPr>
          <w:p w:rsidR="009C4301" w:rsidRPr="009C4301" w:rsidRDefault="009C4301" w:rsidP="009C4301">
            <w:pPr>
              <w:pStyle w:val="TableBodyText"/>
              <w:rPr>
                <w:sz w:val="18"/>
                <w:szCs w:val="18"/>
              </w:rPr>
            </w:pPr>
            <w:r w:rsidRPr="009C4301">
              <w:rPr>
                <w:sz w:val="18"/>
                <w:szCs w:val="18"/>
              </w:rPr>
              <w:t>6.0</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36.5</w:t>
            </w:r>
          </w:p>
        </w:tc>
      </w:tr>
      <w:tr w:rsidR="009C4301" w:rsidRPr="001F5452" w:rsidTr="004024E4">
        <w:tc>
          <w:tcPr>
            <w:tcW w:w="2268" w:type="dxa"/>
          </w:tcPr>
          <w:p w:rsidR="009C4301" w:rsidRPr="001F5452" w:rsidRDefault="009C4301" w:rsidP="00DA3334">
            <w:pPr>
              <w:pStyle w:val="TableBodyText"/>
              <w:ind w:left="284"/>
              <w:jc w:val="left"/>
              <w:rPr>
                <w:i/>
              </w:rPr>
            </w:pPr>
            <w:r w:rsidRPr="001F5452">
              <w:rPr>
                <w:i/>
              </w:rPr>
              <w:t>Children’s</w:t>
            </w:r>
          </w:p>
        </w:tc>
        <w:tc>
          <w:tcPr>
            <w:tcW w:w="709" w:type="dxa"/>
            <w:vAlign w:val="bottom"/>
          </w:tcPr>
          <w:p w:rsidR="009C4301" w:rsidRPr="009C4301" w:rsidRDefault="009C4301" w:rsidP="009C4301">
            <w:pPr>
              <w:pStyle w:val="TableBodyText"/>
              <w:rPr>
                <w:sz w:val="18"/>
                <w:szCs w:val="18"/>
              </w:rPr>
            </w:pPr>
            <w:r>
              <w:rPr>
                <w:sz w:val="18"/>
                <w:szCs w:val="18"/>
              </w:rPr>
              <w:t>–</w:t>
            </w:r>
          </w:p>
        </w:tc>
        <w:tc>
          <w:tcPr>
            <w:tcW w:w="709" w:type="dxa"/>
            <w:vAlign w:val="bottom"/>
          </w:tcPr>
          <w:p w:rsidR="009C4301" w:rsidRPr="009C4301" w:rsidRDefault="009C4301" w:rsidP="009C4301">
            <w:pPr>
              <w:pStyle w:val="TableBodyText"/>
              <w:rPr>
                <w:sz w:val="18"/>
                <w:szCs w:val="18"/>
              </w:rPr>
            </w:pPr>
            <w:r>
              <w:rPr>
                <w:sz w:val="18"/>
                <w:szCs w:val="18"/>
              </w:rPr>
              <w:t>–</w:t>
            </w:r>
          </w:p>
        </w:tc>
        <w:tc>
          <w:tcPr>
            <w:tcW w:w="709" w:type="dxa"/>
            <w:vAlign w:val="bottom"/>
          </w:tcPr>
          <w:p w:rsidR="009C4301" w:rsidRPr="009C4301" w:rsidRDefault="009C4301" w:rsidP="009C4301">
            <w:pPr>
              <w:pStyle w:val="TableBodyText"/>
              <w:rPr>
                <w:sz w:val="18"/>
                <w:szCs w:val="18"/>
              </w:rPr>
            </w:pPr>
            <w:r>
              <w:rPr>
                <w:sz w:val="18"/>
                <w:szCs w:val="18"/>
              </w:rPr>
              <w:t>–</w:t>
            </w:r>
          </w:p>
        </w:tc>
        <w:tc>
          <w:tcPr>
            <w:tcW w:w="708" w:type="dxa"/>
            <w:vAlign w:val="bottom"/>
          </w:tcPr>
          <w:p w:rsidR="009C4301" w:rsidRPr="009C4301" w:rsidRDefault="009C4301" w:rsidP="009C4301">
            <w:pPr>
              <w:pStyle w:val="TableBodyText"/>
              <w:rPr>
                <w:sz w:val="18"/>
                <w:szCs w:val="18"/>
              </w:rPr>
            </w:pPr>
            <w:r>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0.4</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Pr>
                <w:sz w:val="18"/>
                <w:szCs w:val="18"/>
              </w:rPr>
              <w:t>–</w:t>
            </w:r>
          </w:p>
        </w:tc>
      </w:tr>
      <w:tr w:rsidR="009C4301" w:rsidRPr="001F5452" w:rsidTr="004024E4">
        <w:tc>
          <w:tcPr>
            <w:tcW w:w="2268" w:type="dxa"/>
          </w:tcPr>
          <w:p w:rsidR="009C4301" w:rsidRPr="001F5452" w:rsidRDefault="009C4301" w:rsidP="00DA3334">
            <w:pPr>
              <w:pStyle w:val="TableBodyText"/>
              <w:jc w:val="left"/>
              <w:rPr>
                <w:rStyle w:val="NoteLabel"/>
              </w:rPr>
            </w:pPr>
            <w:r w:rsidRPr="001F5452">
              <w:t>Family</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w:t>
            </w:r>
          </w:p>
        </w:tc>
        <w:tc>
          <w:tcPr>
            <w:tcW w:w="708" w:type="dxa"/>
            <w:vAlign w:val="bottom"/>
          </w:tcPr>
          <w:p w:rsidR="009C4301" w:rsidRPr="009C4301" w:rsidRDefault="009C4301" w:rsidP="009C4301">
            <w:pPr>
              <w:pStyle w:val="TableBodyText"/>
              <w:rPr>
                <w:sz w:val="18"/>
                <w:szCs w:val="18"/>
              </w:rPr>
            </w:pPr>
            <w:r w:rsidRPr="009C4301">
              <w:rPr>
                <w:sz w:val="18"/>
                <w:szCs w:val="18"/>
              </w:rPr>
              <w:t>15.8</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567" w:type="dxa"/>
            <w:vAlign w:val="bottom"/>
          </w:tcPr>
          <w:p w:rsidR="009C4301" w:rsidRPr="009C4301" w:rsidRDefault="009C4301" w:rsidP="009C4301">
            <w:pPr>
              <w:pStyle w:val="TableBodyText"/>
              <w:rPr>
                <w:sz w:val="18"/>
                <w:szCs w:val="18"/>
              </w:rPr>
            </w:pPr>
            <w:r w:rsidRPr="009C4301">
              <w:rPr>
                <w:sz w:val="18"/>
                <w:szCs w:val="18"/>
              </w:rPr>
              <w:t>..</w:t>
            </w:r>
          </w:p>
        </w:tc>
        <w:tc>
          <w:tcPr>
            <w:tcW w:w="709" w:type="dxa"/>
            <w:vAlign w:val="bottom"/>
          </w:tcPr>
          <w:p w:rsidR="009C4301" w:rsidRPr="009C4301" w:rsidRDefault="009C4301" w:rsidP="009C4301">
            <w:pPr>
              <w:pStyle w:val="TableBodyText"/>
              <w:rPr>
                <w:sz w:val="18"/>
                <w:szCs w:val="18"/>
              </w:rPr>
            </w:pPr>
            <w:r w:rsidRPr="009C4301">
              <w:rPr>
                <w:sz w:val="18"/>
                <w:szCs w:val="18"/>
              </w:rPr>
              <w:t>3.3</w:t>
            </w:r>
          </w:p>
        </w:tc>
        <w:tc>
          <w:tcPr>
            <w:tcW w:w="709" w:type="dxa"/>
            <w:vAlign w:val="bottom"/>
          </w:tcPr>
          <w:p w:rsidR="009C4301" w:rsidRPr="009C4301" w:rsidRDefault="009C4301" w:rsidP="009C4301">
            <w:pPr>
              <w:pStyle w:val="TableBodyText"/>
              <w:rPr>
                <w:sz w:val="18"/>
                <w:szCs w:val="18"/>
              </w:rPr>
            </w:pPr>
            <w:r w:rsidRPr="009C4301">
              <w:rPr>
                <w:sz w:val="18"/>
                <w:szCs w:val="18"/>
              </w:rPr>
              <w:t>6.2</w:t>
            </w:r>
          </w:p>
        </w:tc>
      </w:tr>
      <w:tr w:rsidR="009C4301" w:rsidRPr="001F5452" w:rsidTr="004024E4">
        <w:tc>
          <w:tcPr>
            <w:tcW w:w="2268" w:type="dxa"/>
            <w:tcBorders>
              <w:bottom w:val="single" w:sz="4" w:space="0" w:color="auto"/>
            </w:tcBorders>
          </w:tcPr>
          <w:p w:rsidR="009C4301" w:rsidRPr="001F5452" w:rsidRDefault="009C4301" w:rsidP="00DA3334">
            <w:pPr>
              <w:pStyle w:val="TableBodyText"/>
              <w:jc w:val="left"/>
            </w:pPr>
            <w:r w:rsidRPr="001F5452">
              <w:t xml:space="preserve">Federal </w:t>
            </w:r>
            <w:r>
              <w:t>Circuit</w:t>
            </w:r>
          </w:p>
        </w:tc>
        <w:tc>
          <w:tcPr>
            <w:tcW w:w="709"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709"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709"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708"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567"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567"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567"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567" w:type="dxa"/>
            <w:tcBorders>
              <w:bottom w:val="single" w:sz="4" w:space="0" w:color="auto"/>
            </w:tcBorders>
            <w:vAlign w:val="bottom"/>
          </w:tcPr>
          <w:p w:rsidR="009C4301" w:rsidRPr="009C4301" w:rsidRDefault="009C4301" w:rsidP="009C4301">
            <w:pPr>
              <w:pStyle w:val="TableBodyText"/>
              <w:rPr>
                <w:sz w:val="18"/>
                <w:szCs w:val="18"/>
              </w:rPr>
            </w:pPr>
            <w:r w:rsidRPr="009C4301">
              <w:rPr>
                <w:sz w:val="18"/>
                <w:szCs w:val="18"/>
              </w:rPr>
              <w:t>..</w:t>
            </w:r>
          </w:p>
        </w:tc>
        <w:tc>
          <w:tcPr>
            <w:tcW w:w="709" w:type="dxa"/>
            <w:tcBorders>
              <w:bottom w:val="single" w:sz="4" w:space="0" w:color="auto"/>
            </w:tcBorders>
            <w:vAlign w:val="bottom"/>
          </w:tcPr>
          <w:p w:rsidR="009C4301" w:rsidRPr="00E42E70" w:rsidRDefault="009E1F78" w:rsidP="009E1F78">
            <w:pPr>
              <w:pStyle w:val="TableBodyText"/>
              <w:rPr>
                <w:sz w:val="18"/>
                <w:szCs w:val="18"/>
              </w:rPr>
            </w:pPr>
            <w:r w:rsidRPr="00E42E70">
              <w:rPr>
                <w:sz w:val="18"/>
                <w:szCs w:val="18"/>
              </w:rPr>
              <w:t>37</w:t>
            </w:r>
            <w:r w:rsidR="009C4301" w:rsidRPr="00E42E70">
              <w:rPr>
                <w:sz w:val="18"/>
                <w:szCs w:val="18"/>
              </w:rPr>
              <w:t>.</w:t>
            </w:r>
            <w:r w:rsidRPr="00E42E70">
              <w:rPr>
                <w:sz w:val="18"/>
                <w:szCs w:val="18"/>
              </w:rPr>
              <w:t>3</w:t>
            </w:r>
          </w:p>
        </w:tc>
        <w:tc>
          <w:tcPr>
            <w:tcW w:w="709" w:type="dxa"/>
            <w:tcBorders>
              <w:bottom w:val="single" w:sz="4" w:space="0" w:color="auto"/>
            </w:tcBorders>
            <w:vAlign w:val="bottom"/>
          </w:tcPr>
          <w:p w:rsidR="009C4301" w:rsidRPr="00E42E70" w:rsidRDefault="009E1F78" w:rsidP="009E1F78">
            <w:pPr>
              <w:pStyle w:val="TableBodyText"/>
              <w:rPr>
                <w:sz w:val="18"/>
                <w:szCs w:val="18"/>
              </w:rPr>
            </w:pPr>
            <w:r w:rsidRPr="00E42E70">
              <w:rPr>
                <w:sz w:val="18"/>
                <w:szCs w:val="18"/>
              </w:rPr>
              <w:t>37</w:t>
            </w:r>
            <w:r w:rsidR="009C4301" w:rsidRPr="00E42E70">
              <w:rPr>
                <w:sz w:val="18"/>
                <w:szCs w:val="18"/>
              </w:rPr>
              <w:t>.</w:t>
            </w:r>
            <w:r w:rsidRPr="00E42E70">
              <w:rPr>
                <w:sz w:val="18"/>
                <w:szCs w:val="18"/>
              </w:rPr>
              <w:t>3</w:t>
            </w:r>
          </w:p>
        </w:tc>
      </w:tr>
    </w:tbl>
    <w:p w:rsidR="00DA3334" w:rsidRDefault="00DA3334" w:rsidP="00D1646F">
      <w:pPr>
        <w:pStyle w:val="Note"/>
        <w:spacing w:before="40"/>
      </w:pPr>
      <w:proofErr w:type="spellStart"/>
      <w:r w:rsidRPr="00DA3334">
        <w:rPr>
          <w:rStyle w:val="NoteLabel"/>
        </w:rPr>
        <w:t>a</w:t>
      </w:r>
      <w:proofErr w:type="spellEnd"/>
      <w:r w:rsidR="00C767C8">
        <w:t> E</w:t>
      </w:r>
      <w:r>
        <w:t xml:space="preserve">xcludes payroll tax. </w:t>
      </w:r>
      <w:r>
        <w:rPr>
          <w:rStyle w:val="NoteLabel"/>
        </w:rPr>
        <w:t>b </w:t>
      </w:r>
      <w:r w:rsidR="008941B6">
        <w:t>Some jurisdictions charge corporations twice the amount indivi</w:t>
      </w:r>
      <w:r w:rsidR="00C767C8">
        <w:t>duals are charged, therefore</w:t>
      </w:r>
      <w:r w:rsidR="008941B6">
        <w:t xml:space="preserve"> average fees </w:t>
      </w:r>
      <w:r w:rsidR="00C767C8">
        <w:t>can overstate</w:t>
      </w:r>
      <w:r w:rsidR="008941B6">
        <w:t xml:space="preserve"> the charge to individuals</w:t>
      </w:r>
      <w:r w:rsidR="008941B6" w:rsidRPr="00C1080E">
        <w:t>.</w:t>
      </w:r>
      <w:r w:rsidR="0097496D" w:rsidRPr="00C1080E">
        <w:t xml:space="preserve"> </w:t>
      </w:r>
      <w:r w:rsidR="0097496D" w:rsidRPr="00C1080E">
        <w:rPr>
          <w:rStyle w:val="NoteLabel"/>
        </w:rPr>
        <w:t>c</w:t>
      </w:r>
      <w:r w:rsidRPr="00C1080E">
        <w:rPr>
          <w:rStyle w:val="NoteLabel"/>
        </w:rPr>
        <w:t> </w:t>
      </w:r>
      <w:r w:rsidRPr="00C1080E">
        <w:t>Excludes probate costs.</w:t>
      </w:r>
      <w:r w:rsidR="00C64C38" w:rsidRPr="00C1080E">
        <w:t xml:space="preserve"> </w:t>
      </w:r>
      <w:r w:rsidR="00E92ADD" w:rsidRPr="00C1080E">
        <w:rPr>
          <w:b/>
        </w:rPr>
        <w:t>.. </w:t>
      </w:r>
      <w:r w:rsidR="00E92ADD" w:rsidRPr="00C1080E">
        <w:t>Not applicable</w:t>
      </w:r>
      <w:r w:rsidRPr="00C1080E">
        <w:t>.</w:t>
      </w:r>
      <w:r>
        <w:t xml:space="preserve"> </w:t>
      </w:r>
      <w:r w:rsidRPr="00BB1C6A">
        <w:rPr>
          <w:b/>
        </w:rPr>
        <w:t>–</w:t>
      </w:r>
      <w:r>
        <w:t xml:space="preserve"> Nil or rounded to zero.</w:t>
      </w:r>
    </w:p>
    <w:p w:rsidR="00DA3334" w:rsidRDefault="00DA3334" w:rsidP="00DA3334">
      <w:pPr>
        <w:pStyle w:val="Source"/>
      </w:pPr>
      <w:r>
        <w:rPr>
          <w:i/>
        </w:rPr>
        <w:t>Source</w:t>
      </w:r>
      <w:r>
        <w:t xml:space="preserve">: </w:t>
      </w:r>
      <w:r w:rsidR="00E10512">
        <w:t xml:space="preserve">Australian, </w:t>
      </w:r>
      <w:r w:rsidRPr="00DA3334">
        <w:t>State and Territory court authorities and d</w:t>
      </w:r>
      <w:r>
        <w:t xml:space="preserve">epartments (unpublished); </w:t>
      </w:r>
      <w:r w:rsidR="00A76A9C">
        <w:t>table </w:t>
      </w:r>
      <w:proofErr w:type="spellStart"/>
      <w:r w:rsidR="00A76A9C">
        <w:t>7</w:t>
      </w:r>
      <w:r w:rsidRPr="00DA3334">
        <w:t>A.1</w:t>
      </w:r>
      <w:r w:rsidR="005C0B83">
        <w:t>7</w:t>
      </w:r>
      <w:proofErr w:type="spellEnd"/>
      <w:r w:rsidRPr="00DA3334">
        <w:t>.</w:t>
      </w:r>
    </w:p>
    <w:p w:rsidR="006C7894" w:rsidRDefault="006C7894" w:rsidP="006C7894">
      <w:pPr>
        <w:pStyle w:val="Heading4"/>
      </w:pPr>
      <w:r>
        <w:t>Equity — judicial officers</w:t>
      </w:r>
    </w:p>
    <w:p w:rsidR="006C7894" w:rsidRDefault="006C7894" w:rsidP="006C7894">
      <w:pPr>
        <w:pStyle w:val="BodyText"/>
      </w:pPr>
      <w:r>
        <w:t>‘Judicial officers’ is an indicator of governments’ achievement against the objective of providing services that are accessible to the community. This indicator relates access to the number of judicial officers available to deal with cases in relation to population size (box 7</w:t>
      </w:r>
      <w:r w:rsidR="007961CF">
        <w:t>.7</w:t>
      </w:r>
      <w:r>
        <w:t>).</w:t>
      </w:r>
    </w:p>
    <w:p w:rsidR="006C7894" w:rsidRPr="00205BCF" w:rsidRDefault="006C7894" w:rsidP="006C789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C7894" w:rsidTr="00C27D8D">
        <w:tc>
          <w:tcPr>
            <w:tcW w:w="8771" w:type="dxa"/>
            <w:tcBorders>
              <w:top w:val="single" w:sz="6" w:space="0" w:color="auto"/>
              <w:bottom w:val="nil"/>
            </w:tcBorders>
          </w:tcPr>
          <w:p w:rsidR="006C7894" w:rsidRPr="00C6139C" w:rsidRDefault="006C7894" w:rsidP="00C27D8D">
            <w:pPr>
              <w:pStyle w:val="BoxTitle"/>
            </w:pPr>
            <w:r>
              <w:rPr>
                <w:b w:val="0"/>
              </w:rPr>
              <w:t>Box 7.</w:t>
            </w:r>
            <w:r w:rsidR="007961CF">
              <w:rPr>
                <w:b w:val="0"/>
                <w:noProof/>
              </w:rPr>
              <w:t>7</w:t>
            </w:r>
            <w:r>
              <w:tab/>
            </w:r>
            <w:r w:rsidRPr="00C6139C">
              <w:t>Judicial officers</w:t>
            </w:r>
          </w:p>
        </w:tc>
      </w:tr>
      <w:tr w:rsidR="006C7894" w:rsidTr="00C27D8D">
        <w:trPr>
          <w:cantSplit/>
        </w:trPr>
        <w:tc>
          <w:tcPr>
            <w:tcW w:w="8771" w:type="dxa"/>
            <w:tcBorders>
              <w:top w:val="nil"/>
              <w:left w:val="single" w:sz="6" w:space="0" w:color="auto"/>
              <w:bottom w:val="nil"/>
              <w:right w:val="single" w:sz="6" w:space="0" w:color="auto"/>
            </w:tcBorders>
          </w:tcPr>
          <w:p w:rsidR="006C7894" w:rsidRDefault="006C7894" w:rsidP="00C27D8D">
            <w:pPr>
              <w:pStyle w:val="Box"/>
            </w:pPr>
            <w:r>
              <w:t>‘Judicial officers’ is an indicator that represents the availability of resources to provide services. Judicial officers are officers who can make enforceable orders of the court. For the purposes of this chapter, the definition of a judicial officer includes:</w:t>
            </w:r>
          </w:p>
          <w:p w:rsidR="006C7894" w:rsidRDefault="006C7894" w:rsidP="00C27D8D">
            <w:pPr>
              <w:pStyle w:val="BoxListBullet"/>
            </w:pPr>
            <w:r>
              <w:t>judges</w:t>
            </w:r>
          </w:p>
          <w:p w:rsidR="006C7894" w:rsidRDefault="006C7894" w:rsidP="00C27D8D">
            <w:pPr>
              <w:pStyle w:val="BoxListBullet"/>
            </w:pPr>
            <w:r>
              <w:t>associate judges</w:t>
            </w:r>
          </w:p>
          <w:p w:rsidR="006C7894" w:rsidRDefault="006C7894" w:rsidP="00C27D8D">
            <w:pPr>
              <w:pStyle w:val="BoxListBullet"/>
            </w:pPr>
            <w:r>
              <w:t>magistrates</w:t>
            </w:r>
          </w:p>
          <w:p w:rsidR="006C7894" w:rsidRDefault="006C7894" w:rsidP="00C27D8D">
            <w:pPr>
              <w:pStyle w:val="BoxListBullet"/>
            </w:pPr>
            <w:r>
              <w:t>masters</w:t>
            </w:r>
          </w:p>
          <w:p w:rsidR="006C7894" w:rsidRDefault="006C7894" w:rsidP="00C27D8D">
            <w:pPr>
              <w:pStyle w:val="BoxListBullet"/>
            </w:pPr>
            <w:r>
              <w:t>coroners</w:t>
            </w:r>
          </w:p>
          <w:p w:rsidR="006C7894" w:rsidRDefault="006C7894" w:rsidP="00C27D8D">
            <w:pPr>
              <w:pStyle w:val="BoxListBullet"/>
            </w:pPr>
            <w:r>
              <w:t>judicial registrars</w:t>
            </w:r>
          </w:p>
          <w:p w:rsidR="006C7894" w:rsidRDefault="006C7894" w:rsidP="00C27D8D">
            <w:pPr>
              <w:pStyle w:val="BoxListBullet"/>
            </w:pPr>
            <w:r>
              <w:t>all other officers who, following argument and giving of evidence, make enforceable orders of the court.</w:t>
            </w:r>
          </w:p>
          <w:p w:rsidR="006C7894" w:rsidRDefault="006C7894" w:rsidP="00C27D8D">
            <w:pPr>
              <w:pStyle w:val="Box"/>
            </w:pPr>
            <w:r>
              <w:t>The number of judicial officers is expressed in full time equivalent units and, where judicial officers have both judicial and non-judicial work, refers to the proportion of time allocated to judicial work.</w:t>
            </w:r>
          </w:p>
          <w:p w:rsidR="006C7894" w:rsidRDefault="006C7894" w:rsidP="00C27D8D">
            <w:pPr>
              <w:pStyle w:val="Box"/>
            </w:pPr>
            <w:r>
              <w:t>The number of judicial officers is additionally presented in comparison to the population of each jurisdiction. A high</w:t>
            </w:r>
            <w:r w:rsidR="00465901">
              <w:t xml:space="preserve"> or increasing</w:t>
            </w:r>
            <w:r>
              <w:t xml:space="preserve"> proportion of judicial officers in the population indicates potentially greater access to the judicial system. </w:t>
            </w:r>
          </w:p>
          <w:p w:rsidR="006C7894" w:rsidRDefault="006C7894" w:rsidP="00C27D8D">
            <w:pPr>
              <w:pStyle w:val="Box"/>
            </w:pPr>
            <w:r>
              <w:t>Factors such as geographical dispersion, judicial workload and population density are also important to consider when comparing figures concerning judicial officers.</w:t>
            </w:r>
          </w:p>
          <w:p w:rsidR="00681A42" w:rsidRDefault="00681A42" w:rsidP="00681A42">
            <w:pPr>
              <w:pStyle w:val="Box"/>
            </w:pPr>
            <w:r>
              <w:t>Data reported for this indicator are:</w:t>
            </w:r>
          </w:p>
          <w:p w:rsidR="00681A42" w:rsidRDefault="00681A42" w:rsidP="00681A42">
            <w:pPr>
              <w:pStyle w:val="ListBullet"/>
              <w:rPr>
                <w:rFonts w:ascii="Arial" w:hAnsi="Arial" w:cs="Arial"/>
                <w:sz w:val="22"/>
                <w:szCs w:val="22"/>
              </w:rPr>
            </w:pPr>
            <w:r w:rsidRPr="00CE0563">
              <w:rPr>
                <w:rFonts w:ascii="Arial" w:hAnsi="Arial" w:cs="Arial"/>
                <w:sz w:val="22"/>
                <w:szCs w:val="22"/>
              </w:rPr>
              <w:t>comparable (subject to caveats) across jurisdictions and over time</w:t>
            </w:r>
          </w:p>
          <w:p w:rsidR="00681A42" w:rsidRPr="00CE0563" w:rsidRDefault="00681A42" w:rsidP="00681A42">
            <w:pPr>
              <w:pStyle w:val="ListBullet"/>
              <w:rPr>
                <w:rFonts w:ascii="Arial" w:hAnsi="Arial" w:cs="Arial"/>
                <w:sz w:val="22"/>
                <w:szCs w:val="22"/>
              </w:rPr>
            </w:pPr>
            <w:r w:rsidRPr="00CE0563">
              <w:rPr>
                <w:rFonts w:ascii="Arial" w:hAnsi="Arial" w:cs="Arial"/>
                <w:sz w:val="22"/>
                <w:szCs w:val="22"/>
              </w:rPr>
              <w:t>complete for the current</w:t>
            </w:r>
            <w:r>
              <w:rPr>
                <w:rFonts w:ascii="Arial" w:hAnsi="Arial" w:cs="Arial"/>
                <w:sz w:val="22"/>
                <w:szCs w:val="22"/>
              </w:rPr>
              <w:t xml:space="preserve"> reporting period (subject to caveats). All required 2012</w:t>
            </w:r>
            <w:r w:rsidR="00205BCF">
              <w:rPr>
                <w:rFonts w:ascii="Arial" w:hAnsi="Arial" w:cs="Arial"/>
                <w:sz w:val="22"/>
                <w:szCs w:val="22"/>
              </w:rPr>
              <w:noBreakHyphen/>
            </w:r>
            <w:r>
              <w:rPr>
                <w:rFonts w:ascii="Arial" w:hAnsi="Arial" w:cs="Arial"/>
                <w:sz w:val="22"/>
                <w:szCs w:val="22"/>
              </w:rPr>
              <w:t>13 data are available for all jurisdictions.</w:t>
            </w:r>
          </w:p>
          <w:p w:rsidR="006C7894" w:rsidRDefault="0050513B" w:rsidP="0050513B">
            <w:pPr>
              <w:pStyle w:val="Box"/>
            </w:pPr>
            <w:r>
              <w:rPr>
                <w:szCs w:val="22"/>
              </w:rPr>
              <w:t>Information about d</w:t>
            </w:r>
            <w:r w:rsidR="006C7894" w:rsidRPr="009D5777">
              <w:rPr>
                <w:szCs w:val="22"/>
              </w:rPr>
              <w:t xml:space="preserve">ata quality </w:t>
            </w:r>
            <w:r w:rsidR="006C7894">
              <w:rPr>
                <w:szCs w:val="22"/>
              </w:rPr>
              <w:t>for this indicator is</w:t>
            </w:r>
            <w:r w:rsidR="006C7894" w:rsidRPr="009D5777">
              <w:rPr>
                <w:szCs w:val="22"/>
              </w:rPr>
              <w:t xml:space="preserve"> at </w:t>
            </w:r>
            <w:proofErr w:type="spellStart"/>
            <w:r w:rsidR="002F43AD" w:rsidRPr="004C526F">
              <w:rPr>
                <w:szCs w:val="22"/>
              </w:rPr>
              <w:t>www.pc.gov.au</w:t>
            </w:r>
            <w:proofErr w:type="spellEnd"/>
            <w:r w:rsidR="002F43AD" w:rsidRPr="004C526F">
              <w:rPr>
                <w:szCs w:val="22"/>
              </w:rPr>
              <w:t>/</w:t>
            </w:r>
            <w:r w:rsidR="002F43AD">
              <w:rPr>
                <w:szCs w:val="22"/>
              </w:rPr>
              <w:t xml:space="preserve"> </w:t>
            </w:r>
            <w:proofErr w:type="spellStart"/>
            <w:r w:rsidR="006C7894" w:rsidRPr="00990B51">
              <w:rPr>
                <w:szCs w:val="22"/>
              </w:rPr>
              <w:t>gsp</w:t>
            </w:r>
            <w:proofErr w:type="spellEnd"/>
            <w:r w:rsidR="006C7894" w:rsidRPr="00990B51">
              <w:rPr>
                <w:szCs w:val="22"/>
              </w:rPr>
              <w:t>/reports/</w:t>
            </w:r>
            <w:proofErr w:type="spellStart"/>
            <w:r w:rsidR="006C7894" w:rsidRPr="00990B51">
              <w:rPr>
                <w:szCs w:val="22"/>
              </w:rPr>
              <w:t>rogs</w:t>
            </w:r>
            <w:proofErr w:type="spellEnd"/>
            <w:r w:rsidR="006C7894" w:rsidRPr="00990B51">
              <w:rPr>
                <w:szCs w:val="22"/>
              </w:rPr>
              <w:t>/201</w:t>
            </w:r>
            <w:r w:rsidR="00513D08">
              <w:rPr>
                <w:szCs w:val="22"/>
              </w:rPr>
              <w:t>4</w:t>
            </w:r>
            <w:r w:rsidR="006C7894">
              <w:rPr>
                <w:szCs w:val="22"/>
              </w:rPr>
              <w:t>.</w:t>
            </w:r>
          </w:p>
        </w:tc>
      </w:tr>
      <w:tr w:rsidR="006C7894" w:rsidTr="00C27D8D">
        <w:trPr>
          <w:cantSplit/>
        </w:trPr>
        <w:tc>
          <w:tcPr>
            <w:tcW w:w="8771" w:type="dxa"/>
            <w:tcBorders>
              <w:top w:val="nil"/>
              <w:left w:val="single" w:sz="6" w:space="0" w:color="auto"/>
              <w:bottom w:val="single" w:sz="6" w:space="0" w:color="auto"/>
              <w:right w:val="single" w:sz="6" w:space="0" w:color="auto"/>
            </w:tcBorders>
          </w:tcPr>
          <w:p w:rsidR="006C7894" w:rsidRDefault="006C7894" w:rsidP="00C27D8D">
            <w:pPr>
              <w:pStyle w:val="Box"/>
              <w:spacing w:before="0" w:line="120" w:lineRule="exact"/>
            </w:pPr>
          </w:p>
        </w:tc>
      </w:tr>
      <w:tr w:rsidR="006C7894" w:rsidTr="00C27D8D">
        <w:tc>
          <w:tcPr>
            <w:tcW w:w="8771" w:type="dxa"/>
            <w:tcBorders>
              <w:top w:val="nil"/>
              <w:left w:val="nil"/>
              <w:bottom w:val="nil"/>
              <w:right w:val="nil"/>
            </w:tcBorders>
          </w:tcPr>
          <w:p w:rsidR="006C7894" w:rsidRDefault="006C7894" w:rsidP="00C27D8D">
            <w:pPr>
              <w:pStyle w:val="Box"/>
              <w:keepNext w:val="0"/>
              <w:spacing w:before="0" w:line="80" w:lineRule="exact"/>
              <w:rPr>
                <w:b/>
                <w:color w:val="FF00FF"/>
                <w:sz w:val="14"/>
              </w:rPr>
            </w:pPr>
          </w:p>
        </w:tc>
      </w:tr>
    </w:tbl>
    <w:p w:rsidR="006C7894" w:rsidRDefault="006C7894" w:rsidP="006C7894">
      <w:pPr>
        <w:pStyle w:val="BodyText"/>
      </w:pPr>
      <w:r>
        <w:t>The number of full time equivalent judicial officers for each court level is outlined in table 7</w:t>
      </w:r>
      <w:r w:rsidR="000C6105">
        <w:t>.10</w:t>
      </w:r>
      <w:r>
        <w:t xml:space="preserve">. In all State and Territory jurisdictions with a three-tier system, there were more judicial officers in magistrates’ courts than in district/county courts. </w:t>
      </w:r>
      <w:r w:rsidR="000C6105">
        <w:t>Table 7.11</w:t>
      </w:r>
      <w:r>
        <w:t xml:space="preserve"> shows the number of judicial officers per 100 000 people.</w:t>
      </w:r>
    </w:p>
    <w:p w:rsidR="006C7894" w:rsidRPr="00945876" w:rsidRDefault="006C7894" w:rsidP="006C7894">
      <w:pPr>
        <w:pStyle w:val="TableTitle"/>
      </w:pPr>
      <w:r w:rsidRPr="00945876">
        <w:rPr>
          <w:b w:val="0"/>
        </w:rPr>
        <w:lastRenderedPageBreak/>
        <w:t>Table 7.</w:t>
      </w:r>
      <w:r w:rsidR="000C6105">
        <w:rPr>
          <w:b w:val="0"/>
          <w:noProof/>
        </w:rPr>
        <w:t>10</w:t>
      </w:r>
      <w:r w:rsidRPr="00945876">
        <w:tab/>
        <w:t>Judicial officers, full time equivalent</w:t>
      </w:r>
      <w:r w:rsidR="0025205B">
        <w:t>, by court level</w:t>
      </w:r>
      <w:r w:rsidRPr="00945876">
        <w:t xml:space="preserve">, </w:t>
      </w:r>
      <w:r w:rsidR="001F5E1D">
        <w:t>2012</w:t>
      </w:r>
      <w:r w:rsidRPr="00945876">
        <w:noBreakHyphen/>
      </w:r>
      <w:r w:rsidR="00920B15">
        <w:t>1</w:t>
      </w:r>
      <w:r w:rsidR="001F5E1D">
        <w:t>3</w:t>
      </w:r>
      <w:r w:rsidRPr="00945876">
        <w:rPr>
          <w:rStyle w:val="NoteLabel"/>
          <w:b/>
        </w:rPr>
        <w:t>a</w:t>
      </w:r>
    </w:p>
    <w:tbl>
      <w:tblPr>
        <w:tblW w:w="0" w:type="auto"/>
        <w:tblLayout w:type="fixed"/>
        <w:tblCellMar>
          <w:left w:w="0" w:type="dxa"/>
          <w:right w:w="0" w:type="dxa"/>
        </w:tblCellMar>
        <w:tblLook w:val="0000" w:firstRow="0" w:lastRow="0" w:firstColumn="0" w:lastColumn="0" w:noHBand="0" w:noVBand="0"/>
      </w:tblPr>
      <w:tblGrid>
        <w:gridCol w:w="1985"/>
        <w:gridCol w:w="709"/>
        <w:gridCol w:w="737"/>
        <w:gridCol w:w="680"/>
        <w:gridCol w:w="709"/>
        <w:gridCol w:w="709"/>
        <w:gridCol w:w="567"/>
        <w:gridCol w:w="567"/>
        <w:gridCol w:w="567"/>
        <w:gridCol w:w="708"/>
        <w:gridCol w:w="851"/>
      </w:tblGrid>
      <w:tr w:rsidR="006C7894" w:rsidRPr="00945876" w:rsidTr="00584FFF">
        <w:tc>
          <w:tcPr>
            <w:tcW w:w="1985" w:type="dxa"/>
            <w:tcBorders>
              <w:top w:val="single" w:sz="6" w:space="0" w:color="auto"/>
              <w:bottom w:val="single" w:sz="6" w:space="0" w:color="auto"/>
            </w:tcBorders>
          </w:tcPr>
          <w:p w:rsidR="006C7894" w:rsidRPr="00945876" w:rsidRDefault="006C7894" w:rsidP="00C27D8D">
            <w:pPr>
              <w:pStyle w:val="TableColumnHeading"/>
              <w:jc w:val="left"/>
            </w:pPr>
          </w:p>
        </w:tc>
        <w:tc>
          <w:tcPr>
            <w:tcW w:w="709" w:type="dxa"/>
            <w:tcBorders>
              <w:top w:val="single" w:sz="6" w:space="0" w:color="auto"/>
              <w:bottom w:val="single" w:sz="6" w:space="0" w:color="auto"/>
            </w:tcBorders>
          </w:tcPr>
          <w:p w:rsidR="006C7894" w:rsidRPr="00945876" w:rsidRDefault="006C7894" w:rsidP="00C27D8D">
            <w:pPr>
              <w:pStyle w:val="TableColumnHeading"/>
            </w:pPr>
            <w:r w:rsidRPr="00945876">
              <w:t>NSW</w:t>
            </w:r>
          </w:p>
        </w:tc>
        <w:tc>
          <w:tcPr>
            <w:tcW w:w="737" w:type="dxa"/>
            <w:tcBorders>
              <w:top w:val="single" w:sz="6" w:space="0" w:color="auto"/>
              <w:bottom w:val="single" w:sz="6" w:space="0" w:color="auto"/>
            </w:tcBorders>
          </w:tcPr>
          <w:p w:rsidR="006C7894" w:rsidRPr="00945876" w:rsidRDefault="006C7894" w:rsidP="00C27D8D">
            <w:pPr>
              <w:pStyle w:val="TableColumnHeading"/>
            </w:pPr>
            <w:r w:rsidRPr="00945876">
              <w:t>Vic</w:t>
            </w:r>
          </w:p>
        </w:tc>
        <w:tc>
          <w:tcPr>
            <w:tcW w:w="680" w:type="dxa"/>
            <w:tcBorders>
              <w:top w:val="single" w:sz="6" w:space="0" w:color="auto"/>
              <w:bottom w:val="single" w:sz="6" w:space="0" w:color="auto"/>
            </w:tcBorders>
          </w:tcPr>
          <w:p w:rsidR="006C7894" w:rsidRPr="00945876" w:rsidRDefault="006C7894" w:rsidP="00C27D8D">
            <w:pPr>
              <w:pStyle w:val="TableColumnHeading"/>
            </w:pPr>
            <w:r w:rsidRPr="00945876">
              <w:t>Qld</w:t>
            </w:r>
          </w:p>
        </w:tc>
        <w:tc>
          <w:tcPr>
            <w:tcW w:w="709" w:type="dxa"/>
            <w:tcBorders>
              <w:top w:val="single" w:sz="6" w:space="0" w:color="auto"/>
              <w:bottom w:val="single" w:sz="6" w:space="0" w:color="auto"/>
            </w:tcBorders>
          </w:tcPr>
          <w:p w:rsidR="006C7894" w:rsidRPr="00945876" w:rsidRDefault="006C7894" w:rsidP="00C27D8D">
            <w:pPr>
              <w:pStyle w:val="TableColumnHeading"/>
            </w:pPr>
            <w:r w:rsidRPr="00AC3728">
              <w:t>WA</w:t>
            </w:r>
          </w:p>
        </w:tc>
        <w:tc>
          <w:tcPr>
            <w:tcW w:w="709" w:type="dxa"/>
            <w:tcBorders>
              <w:top w:val="single" w:sz="6" w:space="0" w:color="auto"/>
              <w:bottom w:val="single" w:sz="6" w:space="0" w:color="auto"/>
            </w:tcBorders>
          </w:tcPr>
          <w:p w:rsidR="006C7894" w:rsidRPr="00945876" w:rsidRDefault="006C7894" w:rsidP="00C27D8D">
            <w:pPr>
              <w:pStyle w:val="TableColumnHeading"/>
            </w:pPr>
            <w:r w:rsidRPr="00945876">
              <w:t>SA</w:t>
            </w:r>
          </w:p>
        </w:tc>
        <w:tc>
          <w:tcPr>
            <w:tcW w:w="567" w:type="dxa"/>
            <w:tcBorders>
              <w:top w:val="single" w:sz="6" w:space="0" w:color="auto"/>
              <w:bottom w:val="single" w:sz="6" w:space="0" w:color="auto"/>
            </w:tcBorders>
          </w:tcPr>
          <w:p w:rsidR="006C7894" w:rsidRPr="00945876" w:rsidRDefault="006C7894" w:rsidP="00C27D8D">
            <w:pPr>
              <w:pStyle w:val="TableColumnHeading"/>
            </w:pPr>
            <w:proofErr w:type="spellStart"/>
            <w:r w:rsidRPr="00945876">
              <w:t>Tas</w:t>
            </w:r>
            <w:proofErr w:type="spellEnd"/>
          </w:p>
        </w:tc>
        <w:tc>
          <w:tcPr>
            <w:tcW w:w="567" w:type="dxa"/>
            <w:tcBorders>
              <w:top w:val="single" w:sz="6" w:space="0" w:color="auto"/>
              <w:bottom w:val="single" w:sz="6" w:space="0" w:color="auto"/>
            </w:tcBorders>
          </w:tcPr>
          <w:p w:rsidR="006C7894" w:rsidRPr="00945876" w:rsidRDefault="006C7894" w:rsidP="00C27D8D">
            <w:pPr>
              <w:pStyle w:val="TableColumnHeading"/>
            </w:pPr>
            <w:r w:rsidRPr="00945876">
              <w:t>ACT</w:t>
            </w:r>
          </w:p>
        </w:tc>
        <w:tc>
          <w:tcPr>
            <w:tcW w:w="567" w:type="dxa"/>
            <w:tcBorders>
              <w:top w:val="single" w:sz="6" w:space="0" w:color="auto"/>
              <w:bottom w:val="single" w:sz="6" w:space="0" w:color="auto"/>
            </w:tcBorders>
          </w:tcPr>
          <w:p w:rsidR="006C7894" w:rsidRPr="00945876" w:rsidRDefault="006C7894" w:rsidP="00C27D8D">
            <w:pPr>
              <w:pStyle w:val="TableColumnHeading"/>
            </w:pPr>
            <w:r w:rsidRPr="00945876">
              <w:t>NT</w:t>
            </w:r>
          </w:p>
        </w:tc>
        <w:tc>
          <w:tcPr>
            <w:tcW w:w="708" w:type="dxa"/>
            <w:tcBorders>
              <w:top w:val="single" w:sz="6" w:space="0" w:color="auto"/>
              <w:bottom w:val="single" w:sz="6" w:space="0" w:color="auto"/>
            </w:tcBorders>
          </w:tcPr>
          <w:p w:rsidR="006C7894" w:rsidRPr="00945876" w:rsidRDefault="006C7894" w:rsidP="00C27D8D">
            <w:pPr>
              <w:pStyle w:val="TableColumnHeading"/>
              <w:rPr>
                <w:sz w:val="18"/>
                <w:szCs w:val="18"/>
              </w:rPr>
            </w:pPr>
            <w:proofErr w:type="spellStart"/>
            <w:r w:rsidRPr="00945876">
              <w:rPr>
                <w:sz w:val="18"/>
                <w:szCs w:val="18"/>
              </w:rPr>
              <w:t>Aust</w:t>
            </w:r>
            <w:proofErr w:type="spellEnd"/>
            <w:r w:rsidRPr="00945876">
              <w:rPr>
                <w:sz w:val="18"/>
                <w:szCs w:val="18"/>
              </w:rPr>
              <w:t xml:space="preserve"> courts</w:t>
            </w:r>
          </w:p>
        </w:tc>
        <w:tc>
          <w:tcPr>
            <w:tcW w:w="851" w:type="dxa"/>
            <w:tcBorders>
              <w:top w:val="single" w:sz="6" w:space="0" w:color="auto"/>
              <w:bottom w:val="single" w:sz="6" w:space="0" w:color="auto"/>
            </w:tcBorders>
          </w:tcPr>
          <w:p w:rsidR="006C7894" w:rsidRPr="00945876" w:rsidRDefault="006C7894" w:rsidP="00C27D8D">
            <w:pPr>
              <w:pStyle w:val="TableColumnHeading"/>
              <w:ind w:right="28"/>
            </w:pPr>
            <w:r w:rsidRPr="00945876">
              <w:t xml:space="preserve">Total </w:t>
            </w:r>
          </w:p>
        </w:tc>
      </w:tr>
      <w:tr w:rsidR="00425098" w:rsidRPr="00945876" w:rsidTr="00584FFF">
        <w:tc>
          <w:tcPr>
            <w:tcW w:w="1985" w:type="dxa"/>
          </w:tcPr>
          <w:p w:rsidR="00425098" w:rsidRPr="00945876" w:rsidRDefault="00425098" w:rsidP="00184AB5">
            <w:pPr>
              <w:pStyle w:val="TableBodyText"/>
              <w:jc w:val="left"/>
            </w:pPr>
            <w:r w:rsidRPr="00945876">
              <w:t>Supreme/Federal</w:t>
            </w:r>
            <w:r w:rsidR="005440A5">
              <w:rPr>
                <w:rStyle w:val="NoteLabel"/>
              </w:rPr>
              <w:t>b</w:t>
            </w:r>
            <w:r>
              <w:rPr>
                <w:rStyle w:val="NoteLabel"/>
              </w:rPr>
              <w:t xml:space="preserve">, </w:t>
            </w:r>
            <w:r w:rsidR="005440A5">
              <w:rPr>
                <w:rStyle w:val="NoteLabel"/>
              </w:rPr>
              <w:t>c</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57.6</w:t>
            </w:r>
          </w:p>
        </w:tc>
        <w:tc>
          <w:tcPr>
            <w:tcW w:w="737" w:type="dxa"/>
            <w:vAlign w:val="bottom"/>
          </w:tcPr>
          <w:p w:rsidR="00425098" w:rsidRPr="00425098" w:rsidRDefault="00425098" w:rsidP="00425098">
            <w:pPr>
              <w:pStyle w:val="TableBodyText"/>
              <w:rPr>
                <w:sz w:val="18"/>
                <w:szCs w:val="18"/>
              </w:rPr>
            </w:pPr>
            <w:r w:rsidRPr="00425098">
              <w:rPr>
                <w:sz w:val="18"/>
                <w:szCs w:val="18"/>
              </w:rPr>
              <w:t xml:space="preserve"> 53.7</w:t>
            </w:r>
          </w:p>
        </w:tc>
        <w:tc>
          <w:tcPr>
            <w:tcW w:w="680" w:type="dxa"/>
            <w:vAlign w:val="bottom"/>
          </w:tcPr>
          <w:p w:rsidR="00425098" w:rsidRPr="00425098" w:rsidRDefault="00425098" w:rsidP="00425098">
            <w:pPr>
              <w:pStyle w:val="TableBodyText"/>
              <w:rPr>
                <w:sz w:val="18"/>
                <w:szCs w:val="18"/>
              </w:rPr>
            </w:pPr>
            <w:r w:rsidRPr="00425098">
              <w:rPr>
                <w:sz w:val="18"/>
                <w:szCs w:val="18"/>
              </w:rPr>
              <w:t xml:space="preserve"> 23.8</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29.5</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13.6</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7.0</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6.1</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8.1</w:t>
            </w:r>
          </w:p>
        </w:tc>
        <w:tc>
          <w:tcPr>
            <w:tcW w:w="708" w:type="dxa"/>
            <w:vAlign w:val="bottom"/>
          </w:tcPr>
          <w:p w:rsidR="00425098" w:rsidRPr="00425098" w:rsidRDefault="00425098" w:rsidP="00425098">
            <w:pPr>
              <w:pStyle w:val="TableBodyText"/>
              <w:rPr>
                <w:sz w:val="18"/>
                <w:szCs w:val="18"/>
              </w:rPr>
            </w:pPr>
            <w:r w:rsidRPr="00425098">
              <w:rPr>
                <w:sz w:val="18"/>
                <w:szCs w:val="18"/>
              </w:rPr>
              <w:t xml:space="preserve"> 56.0</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255.4</w:t>
            </w:r>
          </w:p>
        </w:tc>
      </w:tr>
      <w:tr w:rsidR="00425098" w:rsidRPr="00945876" w:rsidTr="00584FFF">
        <w:tc>
          <w:tcPr>
            <w:tcW w:w="1985" w:type="dxa"/>
          </w:tcPr>
          <w:p w:rsidR="00425098" w:rsidRPr="00945876" w:rsidRDefault="00425098" w:rsidP="00C27D8D">
            <w:pPr>
              <w:pStyle w:val="TableBodyText"/>
              <w:jc w:val="left"/>
            </w:pPr>
            <w:r w:rsidRPr="00945876">
              <w:t>District/County</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64.6</w:t>
            </w:r>
          </w:p>
        </w:tc>
        <w:tc>
          <w:tcPr>
            <w:tcW w:w="737" w:type="dxa"/>
            <w:vAlign w:val="bottom"/>
          </w:tcPr>
          <w:p w:rsidR="00425098" w:rsidRPr="00425098" w:rsidRDefault="00425098" w:rsidP="00425098">
            <w:pPr>
              <w:pStyle w:val="TableBodyText"/>
              <w:rPr>
                <w:sz w:val="18"/>
                <w:szCs w:val="18"/>
              </w:rPr>
            </w:pPr>
            <w:r w:rsidRPr="00425098">
              <w:rPr>
                <w:sz w:val="18"/>
                <w:szCs w:val="18"/>
              </w:rPr>
              <w:t xml:space="preserve"> 61.3</w:t>
            </w:r>
          </w:p>
        </w:tc>
        <w:tc>
          <w:tcPr>
            <w:tcW w:w="680" w:type="dxa"/>
            <w:vAlign w:val="bottom"/>
          </w:tcPr>
          <w:p w:rsidR="00425098" w:rsidRPr="00425098" w:rsidRDefault="00425098" w:rsidP="00425098">
            <w:pPr>
              <w:pStyle w:val="TableBodyText"/>
              <w:rPr>
                <w:sz w:val="18"/>
                <w:szCs w:val="18"/>
              </w:rPr>
            </w:pPr>
            <w:r w:rsidRPr="00425098">
              <w:rPr>
                <w:sz w:val="18"/>
                <w:szCs w:val="18"/>
              </w:rPr>
              <w:t xml:space="preserve"> 34.3</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28.2</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21.2</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708" w:type="dxa"/>
            <w:vAlign w:val="bottom"/>
          </w:tcPr>
          <w:p w:rsidR="00425098" w:rsidRPr="00425098" w:rsidRDefault="00425098" w:rsidP="00425098">
            <w:pPr>
              <w:pStyle w:val="TableBodyText"/>
              <w:rPr>
                <w:sz w:val="18"/>
                <w:szCs w:val="18"/>
              </w:rPr>
            </w:pPr>
            <w:r w:rsidRPr="00425098">
              <w:rPr>
                <w:sz w:val="18"/>
                <w:szCs w:val="18"/>
              </w:rPr>
              <w:t>..</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209.6</w:t>
            </w:r>
          </w:p>
        </w:tc>
      </w:tr>
      <w:tr w:rsidR="00425098" w:rsidRPr="00945876" w:rsidTr="00584FFF">
        <w:tc>
          <w:tcPr>
            <w:tcW w:w="1985" w:type="dxa"/>
          </w:tcPr>
          <w:p w:rsidR="00425098" w:rsidRPr="00945876" w:rsidRDefault="00425098" w:rsidP="00C27D8D">
            <w:pPr>
              <w:pStyle w:val="TableBodyText"/>
              <w:jc w:val="left"/>
            </w:pPr>
            <w:r w:rsidRPr="00945876">
              <w:t>Magistrates</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113.0</w:t>
            </w:r>
          </w:p>
        </w:tc>
        <w:tc>
          <w:tcPr>
            <w:tcW w:w="737" w:type="dxa"/>
            <w:vAlign w:val="bottom"/>
          </w:tcPr>
          <w:p w:rsidR="00425098" w:rsidRPr="00425098" w:rsidRDefault="00425098" w:rsidP="00425098">
            <w:pPr>
              <w:pStyle w:val="TableBodyText"/>
              <w:rPr>
                <w:sz w:val="18"/>
                <w:szCs w:val="18"/>
              </w:rPr>
            </w:pPr>
            <w:r w:rsidRPr="00425098">
              <w:rPr>
                <w:sz w:val="18"/>
                <w:szCs w:val="18"/>
              </w:rPr>
              <w:t xml:space="preserve"> 104.3</w:t>
            </w:r>
          </w:p>
        </w:tc>
        <w:tc>
          <w:tcPr>
            <w:tcW w:w="680" w:type="dxa"/>
            <w:vAlign w:val="bottom"/>
          </w:tcPr>
          <w:p w:rsidR="00425098" w:rsidRPr="00425098" w:rsidRDefault="00425098" w:rsidP="00425098">
            <w:pPr>
              <w:pStyle w:val="TableBodyText"/>
              <w:rPr>
                <w:sz w:val="18"/>
                <w:szCs w:val="18"/>
              </w:rPr>
            </w:pPr>
            <w:r w:rsidRPr="00425098">
              <w:rPr>
                <w:sz w:val="18"/>
                <w:szCs w:val="18"/>
              </w:rPr>
              <w:t xml:space="preserve"> 78.2</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47.3</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33.5</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11.7</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6.1</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14.6</w:t>
            </w:r>
          </w:p>
        </w:tc>
        <w:tc>
          <w:tcPr>
            <w:tcW w:w="708" w:type="dxa"/>
            <w:vAlign w:val="bottom"/>
          </w:tcPr>
          <w:p w:rsidR="00425098" w:rsidRPr="00425098" w:rsidRDefault="00425098" w:rsidP="00425098">
            <w:pPr>
              <w:pStyle w:val="TableBodyText"/>
              <w:rPr>
                <w:sz w:val="18"/>
                <w:szCs w:val="18"/>
              </w:rPr>
            </w:pPr>
            <w:r w:rsidRPr="00425098">
              <w:rPr>
                <w:sz w:val="18"/>
                <w:szCs w:val="18"/>
              </w:rPr>
              <w:t>..</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408.8</w:t>
            </w:r>
          </w:p>
        </w:tc>
      </w:tr>
      <w:tr w:rsidR="00425098" w:rsidRPr="00945876" w:rsidTr="00584FFF">
        <w:tc>
          <w:tcPr>
            <w:tcW w:w="1985" w:type="dxa"/>
          </w:tcPr>
          <w:p w:rsidR="00425098" w:rsidRPr="00945876" w:rsidRDefault="00425098" w:rsidP="00C27D8D">
            <w:pPr>
              <w:pStyle w:val="TableBodyText"/>
              <w:jc w:val="left"/>
            </w:pPr>
            <w:r w:rsidRPr="00945876">
              <w:t>Children’s</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24.0</w:t>
            </w:r>
          </w:p>
        </w:tc>
        <w:tc>
          <w:tcPr>
            <w:tcW w:w="737" w:type="dxa"/>
            <w:vAlign w:val="bottom"/>
          </w:tcPr>
          <w:p w:rsidR="00425098" w:rsidRPr="00425098" w:rsidRDefault="00425098" w:rsidP="00425098">
            <w:pPr>
              <w:pStyle w:val="TableBodyText"/>
              <w:rPr>
                <w:sz w:val="18"/>
                <w:szCs w:val="18"/>
              </w:rPr>
            </w:pPr>
            <w:r w:rsidRPr="00425098">
              <w:rPr>
                <w:sz w:val="18"/>
                <w:szCs w:val="18"/>
              </w:rPr>
              <w:t xml:space="preserve"> 12.0</w:t>
            </w:r>
          </w:p>
        </w:tc>
        <w:tc>
          <w:tcPr>
            <w:tcW w:w="680" w:type="dxa"/>
            <w:vAlign w:val="bottom"/>
          </w:tcPr>
          <w:p w:rsidR="00425098" w:rsidRPr="00425098" w:rsidRDefault="00425098" w:rsidP="00425098">
            <w:pPr>
              <w:pStyle w:val="TableBodyText"/>
              <w:rPr>
                <w:sz w:val="18"/>
                <w:szCs w:val="18"/>
              </w:rPr>
            </w:pPr>
            <w:r w:rsidRPr="00425098">
              <w:rPr>
                <w:sz w:val="18"/>
                <w:szCs w:val="18"/>
              </w:rPr>
              <w:t xml:space="preserve"> 8.5</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4.8</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4.7</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1.7</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0.4</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1.4</w:t>
            </w:r>
          </w:p>
        </w:tc>
        <w:tc>
          <w:tcPr>
            <w:tcW w:w="708" w:type="dxa"/>
            <w:vAlign w:val="bottom"/>
          </w:tcPr>
          <w:p w:rsidR="00425098" w:rsidRPr="00425098" w:rsidRDefault="00425098" w:rsidP="00425098">
            <w:pPr>
              <w:pStyle w:val="TableBodyText"/>
              <w:rPr>
                <w:sz w:val="18"/>
                <w:szCs w:val="18"/>
              </w:rPr>
            </w:pPr>
            <w:r w:rsidRPr="00425098">
              <w:rPr>
                <w:sz w:val="18"/>
                <w:szCs w:val="18"/>
              </w:rPr>
              <w:t>..</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57.6</w:t>
            </w:r>
          </w:p>
        </w:tc>
      </w:tr>
      <w:tr w:rsidR="00425098" w:rsidRPr="00945876" w:rsidTr="00584FFF">
        <w:tc>
          <w:tcPr>
            <w:tcW w:w="1985" w:type="dxa"/>
          </w:tcPr>
          <w:p w:rsidR="00425098" w:rsidRPr="00945876" w:rsidRDefault="00425098" w:rsidP="00C27D8D">
            <w:pPr>
              <w:pStyle w:val="TableBodyText"/>
              <w:jc w:val="left"/>
            </w:pPr>
            <w:r w:rsidRPr="00945876">
              <w:t>Family</w:t>
            </w:r>
            <w:r w:rsidR="005440A5">
              <w:rPr>
                <w:rStyle w:val="NoteLabel"/>
              </w:rPr>
              <w:t>d</w:t>
            </w:r>
          </w:p>
        </w:tc>
        <w:tc>
          <w:tcPr>
            <w:tcW w:w="709" w:type="dxa"/>
            <w:vAlign w:val="bottom"/>
          </w:tcPr>
          <w:p w:rsidR="00425098" w:rsidRPr="00425098" w:rsidRDefault="00425098" w:rsidP="00425098">
            <w:pPr>
              <w:pStyle w:val="TableBodyText"/>
              <w:rPr>
                <w:sz w:val="18"/>
                <w:szCs w:val="18"/>
              </w:rPr>
            </w:pPr>
            <w:r w:rsidRPr="00425098">
              <w:rPr>
                <w:sz w:val="18"/>
                <w:szCs w:val="18"/>
              </w:rPr>
              <w:t>..</w:t>
            </w:r>
          </w:p>
        </w:tc>
        <w:tc>
          <w:tcPr>
            <w:tcW w:w="737" w:type="dxa"/>
            <w:vAlign w:val="bottom"/>
          </w:tcPr>
          <w:p w:rsidR="00425098" w:rsidRPr="00425098" w:rsidRDefault="00425098" w:rsidP="00425098">
            <w:pPr>
              <w:pStyle w:val="TableBodyText"/>
              <w:rPr>
                <w:sz w:val="18"/>
                <w:szCs w:val="18"/>
              </w:rPr>
            </w:pPr>
            <w:r w:rsidRPr="00425098">
              <w:rPr>
                <w:sz w:val="18"/>
                <w:szCs w:val="18"/>
              </w:rPr>
              <w:t>..</w:t>
            </w:r>
          </w:p>
        </w:tc>
        <w:tc>
          <w:tcPr>
            <w:tcW w:w="680" w:type="dxa"/>
            <w:vAlign w:val="bottom"/>
          </w:tcPr>
          <w:p w:rsidR="00425098" w:rsidRPr="00425098" w:rsidRDefault="00425098" w:rsidP="00425098">
            <w:pPr>
              <w:pStyle w:val="TableBodyText"/>
              <w:rPr>
                <w:sz w:val="18"/>
                <w:szCs w:val="18"/>
              </w:rPr>
            </w:pPr>
            <w:r w:rsidRPr="00425098">
              <w:rPr>
                <w:sz w:val="18"/>
                <w:szCs w:val="18"/>
              </w:rPr>
              <w:t>..</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15.9</w:t>
            </w:r>
          </w:p>
        </w:tc>
        <w:tc>
          <w:tcPr>
            <w:tcW w:w="709"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708" w:type="dxa"/>
            <w:vAlign w:val="bottom"/>
          </w:tcPr>
          <w:p w:rsidR="00425098" w:rsidRPr="00425098" w:rsidRDefault="00425098" w:rsidP="00425098">
            <w:pPr>
              <w:pStyle w:val="TableBodyText"/>
              <w:rPr>
                <w:sz w:val="18"/>
                <w:szCs w:val="18"/>
              </w:rPr>
            </w:pPr>
            <w:r w:rsidRPr="00425098">
              <w:rPr>
                <w:sz w:val="18"/>
                <w:szCs w:val="18"/>
              </w:rPr>
              <w:t xml:space="preserve"> 31.2</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47.1</w:t>
            </w:r>
          </w:p>
        </w:tc>
      </w:tr>
      <w:tr w:rsidR="00425098" w:rsidRPr="00945876" w:rsidTr="00584FFF">
        <w:tc>
          <w:tcPr>
            <w:tcW w:w="1985" w:type="dxa"/>
          </w:tcPr>
          <w:p w:rsidR="00425098" w:rsidRPr="00945876" w:rsidRDefault="00425098" w:rsidP="00C27D8D">
            <w:pPr>
              <w:pStyle w:val="TableBodyText"/>
              <w:jc w:val="left"/>
            </w:pPr>
            <w:r w:rsidRPr="00945876">
              <w:t xml:space="preserve">Federal </w:t>
            </w:r>
            <w:r>
              <w:t>Circuit</w:t>
            </w:r>
            <w:r w:rsidR="005440A5">
              <w:rPr>
                <w:rStyle w:val="NoteLabel"/>
                <w:sz w:val="16"/>
                <w:szCs w:val="16"/>
              </w:rPr>
              <w:t>e</w:t>
            </w:r>
          </w:p>
        </w:tc>
        <w:tc>
          <w:tcPr>
            <w:tcW w:w="709" w:type="dxa"/>
            <w:vAlign w:val="bottom"/>
          </w:tcPr>
          <w:p w:rsidR="00425098" w:rsidRPr="00425098" w:rsidRDefault="00425098" w:rsidP="00425098">
            <w:pPr>
              <w:pStyle w:val="TableBodyText"/>
              <w:rPr>
                <w:sz w:val="18"/>
                <w:szCs w:val="18"/>
              </w:rPr>
            </w:pPr>
            <w:r w:rsidRPr="00425098">
              <w:rPr>
                <w:sz w:val="18"/>
                <w:szCs w:val="18"/>
              </w:rPr>
              <w:t>..</w:t>
            </w:r>
          </w:p>
        </w:tc>
        <w:tc>
          <w:tcPr>
            <w:tcW w:w="737" w:type="dxa"/>
            <w:vAlign w:val="bottom"/>
          </w:tcPr>
          <w:p w:rsidR="00425098" w:rsidRPr="00425098" w:rsidRDefault="00425098" w:rsidP="00425098">
            <w:pPr>
              <w:pStyle w:val="TableBodyText"/>
              <w:rPr>
                <w:sz w:val="18"/>
                <w:szCs w:val="18"/>
              </w:rPr>
            </w:pPr>
            <w:r w:rsidRPr="00425098">
              <w:rPr>
                <w:sz w:val="18"/>
                <w:szCs w:val="18"/>
              </w:rPr>
              <w:t>..</w:t>
            </w:r>
          </w:p>
        </w:tc>
        <w:tc>
          <w:tcPr>
            <w:tcW w:w="680" w:type="dxa"/>
            <w:vAlign w:val="bottom"/>
          </w:tcPr>
          <w:p w:rsidR="00425098" w:rsidRPr="00425098" w:rsidRDefault="00425098" w:rsidP="00425098">
            <w:pPr>
              <w:pStyle w:val="TableBodyText"/>
              <w:rPr>
                <w:sz w:val="18"/>
                <w:szCs w:val="18"/>
              </w:rPr>
            </w:pPr>
            <w:r w:rsidRPr="00425098">
              <w:rPr>
                <w:sz w:val="18"/>
                <w:szCs w:val="18"/>
              </w:rPr>
              <w:t>..</w:t>
            </w:r>
          </w:p>
        </w:tc>
        <w:tc>
          <w:tcPr>
            <w:tcW w:w="709" w:type="dxa"/>
            <w:vAlign w:val="bottom"/>
          </w:tcPr>
          <w:p w:rsidR="00425098" w:rsidRPr="00425098" w:rsidRDefault="00425098" w:rsidP="00425098">
            <w:pPr>
              <w:pStyle w:val="TableBodyText"/>
              <w:rPr>
                <w:sz w:val="18"/>
                <w:szCs w:val="18"/>
              </w:rPr>
            </w:pPr>
            <w:r w:rsidRPr="00425098">
              <w:rPr>
                <w:sz w:val="18"/>
                <w:szCs w:val="18"/>
              </w:rPr>
              <w:t>..</w:t>
            </w:r>
          </w:p>
        </w:tc>
        <w:tc>
          <w:tcPr>
            <w:tcW w:w="709"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567" w:type="dxa"/>
            <w:vAlign w:val="bottom"/>
          </w:tcPr>
          <w:p w:rsidR="00425098" w:rsidRPr="00425098" w:rsidRDefault="00425098" w:rsidP="00425098">
            <w:pPr>
              <w:pStyle w:val="TableBodyText"/>
              <w:rPr>
                <w:sz w:val="18"/>
                <w:szCs w:val="18"/>
              </w:rPr>
            </w:pPr>
            <w:r w:rsidRPr="00425098">
              <w:rPr>
                <w:sz w:val="18"/>
                <w:szCs w:val="18"/>
              </w:rPr>
              <w:t>..</w:t>
            </w:r>
          </w:p>
        </w:tc>
        <w:tc>
          <w:tcPr>
            <w:tcW w:w="708" w:type="dxa"/>
            <w:vAlign w:val="bottom"/>
          </w:tcPr>
          <w:p w:rsidR="00425098" w:rsidRPr="00425098" w:rsidRDefault="00425098" w:rsidP="00425098">
            <w:pPr>
              <w:pStyle w:val="TableBodyText"/>
              <w:rPr>
                <w:sz w:val="18"/>
                <w:szCs w:val="18"/>
              </w:rPr>
            </w:pPr>
            <w:r w:rsidRPr="00425098">
              <w:rPr>
                <w:sz w:val="18"/>
                <w:szCs w:val="18"/>
              </w:rPr>
              <w:t xml:space="preserve"> 62.5</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62.5</w:t>
            </w:r>
          </w:p>
        </w:tc>
      </w:tr>
      <w:tr w:rsidR="00425098" w:rsidRPr="00945876" w:rsidTr="00584FFF">
        <w:tc>
          <w:tcPr>
            <w:tcW w:w="1985" w:type="dxa"/>
          </w:tcPr>
          <w:p w:rsidR="00425098" w:rsidRPr="00945876" w:rsidRDefault="00425098">
            <w:pPr>
              <w:pStyle w:val="TableBodyText"/>
              <w:jc w:val="left"/>
              <w:rPr>
                <w:szCs w:val="24"/>
              </w:rPr>
            </w:pPr>
            <w:r w:rsidRPr="00945876">
              <w:t>Coroners</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5.0</w:t>
            </w:r>
          </w:p>
        </w:tc>
        <w:tc>
          <w:tcPr>
            <w:tcW w:w="737" w:type="dxa"/>
            <w:vAlign w:val="bottom"/>
          </w:tcPr>
          <w:p w:rsidR="00425098" w:rsidRPr="00425098" w:rsidRDefault="00425098" w:rsidP="00425098">
            <w:pPr>
              <w:pStyle w:val="TableBodyText"/>
              <w:rPr>
                <w:sz w:val="18"/>
                <w:szCs w:val="18"/>
              </w:rPr>
            </w:pPr>
            <w:r w:rsidRPr="00425098">
              <w:rPr>
                <w:sz w:val="18"/>
                <w:szCs w:val="18"/>
              </w:rPr>
              <w:t xml:space="preserve"> 9.5</w:t>
            </w:r>
          </w:p>
        </w:tc>
        <w:tc>
          <w:tcPr>
            <w:tcW w:w="680" w:type="dxa"/>
            <w:vAlign w:val="bottom"/>
          </w:tcPr>
          <w:p w:rsidR="00425098" w:rsidRPr="00425098" w:rsidRDefault="00425098" w:rsidP="00425098">
            <w:pPr>
              <w:pStyle w:val="TableBodyText"/>
              <w:rPr>
                <w:sz w:val="18"/>
                <w:szCs w:val="18"/>
              </w:rPr>
            </w:pPr>
            <w:r w:rsidRPr="00425098">
              <w:rPr>
                <w:sz w:val="18"/>
                <w:szCs w:val="18"/>
              </w:rPr>
              <w:t xml:space="preserve"> 9.5</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4.0</w:t>
            </w:r>
          </w:p>
        </w:tc>
        <w:tc>
          <w:tcPr>
            <w:tcW w:w="709" w:type="dxa"/>
            <w:vAlign w:val="bottom"/>
          </w:tcPr>
          <w:p w:rsidR="00425098" w:rsidRPr="00425098" w:rsidRDefault="00425098" w:rsidP="00425098">
            <w:pPr>
              <w:pStyle w:val="TableBodyText"/>
              <w:rPr>
                <w:sz w:val="18"/>
                <w:szCs w:val="18"/>
              </w:rPr>
            </w:pPr>
            <w:r w:rsidRPr="00425098">
              <w:rPr>
                <w:sz w:val="18"/>
                <w:szCs w:val="18"/>
              </w:rPr>
              <w:t xml:space="preserve"> 2.0</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0.4</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0.8</w:t>
            </w:r>
          </w:p>
        </w:tc>
        <w:tc>
          <w:tcPr>
            <w:tcW w:w="567" w:type="dxa"/>
            <w:vAlign w:val="bottom"/>
          </w:tcPr>
          <w:p w:rsidR="00425098" w:rsidRPr="00425098" w:rsidRDefault="00425098" w:rsidP="00425098">
            <w:pPr>
              <w:pStyle w:val="TableBodyText"/>
              <w:rPr>
                <w:sz w:val="18"/>
                <w:szCs w:val="18"/>
              </w:rPr>
            </w:pPr>
            <w:r w:rsidRPr="00425098">
              <w:rPr>
                <w:sz w:val="18"/>
                <w:szCs w:val="18"/>
              </w:rPr>
              <w:t xml:space="preserve"> 1.5</w:t>
            </w:r>
          </w:p>
        </w:tc>
        <w:tc>
          <w:tcPr>
            <w:tcW w:w="708" w:type="dxa"/>
            <w:vAlign w:val="bottom"/>
          </w:tcPr>
          <w:p w:rsidR="00425098" w:rsidRPr="00425098" w:rsidRDefault="00425098" w:rsidP="00425098">
            <w:pPr>
              <w:pStyle w:val="TableBodyText"/>
              <w:rPr>
                <w:sz w:val="18"/>
                <w:szCs w:val="18"/>
              </w:rPr>
            </w:pPr>
            <w:r w:rsidRPr="00425098">
              <w:rPr>
                <w:sz w:val="18"/>
                <w:szCs w:val="18"/>
              </w:rPr>
              <w:t>..</w:t>
            </w:r>
          </w:p>
        </w:tc>
        <w:tc>
          <w:tcPr>
            <w:tcW w:w="851" w:type="dxa"/>
            <w:vAlign w:val="bottom"/>
          </w:tcPr>
          <w:p w:rsidR="00425098" w:rsidRPr="00425098" w:rsidRDefault="00425098" w:rsidP="00425098">
            <w:pPr>
              <w:pStyle w:val="TableBodyText"/>
              <w:rPr>
                <w:sz w:val="18"/>
                <w:szCs w:val="18"/>
              </w:rPr>
            </w:pPr>
            <w:r w:rsidRPr="00425098">
              <w:rPr>
                <w:sz w:val="18"/>
                <w:szCs w:val="18"/>
              </w:rPr>
              <w:t xml:space="preserve"> 32.7</w:t>
            </w:r>
          </w:p>
        </w:tc>
      </w:tr>
      <w:tr w:rsidR="00425098" w:rsidRPr="00945876" w:rsidTr="00584FFF">
        <w:tc>
          <w:tcPr>
            <w:tcW w:w="1985" w:type="dxa"/>
            <w:tcBorders>
              <w:bottom w:val="single" w:sz="6" w:space="0" w:color="auto"/>
            </w:tcBorders>
          </w:tcPr>
          <w:p w:rsidR="00425098" w:rsidRPr="00945876" w:rsidRDefault="00425098" w:rsidP="00C27D8D">
            <w:pPr>
              <w:pStyle w:val="TableBodyText"/>
              <w:jc w:val="left"/>
              <w:rPr>
                <w:rStyle w:val="NoteLabel"/>
              </w:rPr>
            </w:pPr>
            <w:r w:rsidRPr="00945876">
              <w:rPr>
                <w:b/>
              </w:rPr>
              <w:t>Total</w:t>
            </w:r>
          </w:p>
        </w:tc>
        <w:tc>
          <w:tcPr>
            <w:tcW w:w="709"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264.2</w:t>
            </w:r>
          </w:p>
        </w:tc>
        <w:tc>
          <w:tcPr>
            <w:tcW w:w="737"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240.8</w:t>
            </w:r>
          </w:p>
        </w:tc>
        <w:tc>
          <w:tcPr>
            <w:tcW w:w="680"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154.3</w:t>
            </w:r>
          </w:p>
        </w:tc>
        <w:tc>
          <w:tcPr>
            <w:tcW w:w="709" w:type="dxa"/>
            <w:tcBorders>
              <w:bottom w:val="single" w:sz="6" w:space="0" w:color="auto"/>
            </w:tcBorders>
            <w:vAlign w:val="bottom"/>
          </w:tcPr>
          <w:p w:rsidR="00425098" w:rsidRPr="00425098" w:rsidRDefault="007961B6" w:rsidP="00425098">
            <w:pPr>
              <w:pStyle w:val="TableBodyText"/>
              <w:rPr>
                <w:b/>
                <w:bCs/>
                <w:sz w:val="18"/>
                <w:szCs w:val="18"/>
              </w:rPr>
            </w:pPr>
            <w:r>
              <w:rPr>
                <w:b/>
                <w:bCs/>
                <w:sz w:val="18"/>
                <w:szCs w:val="18"/>
              </w:rPr>
              <w:t>129.7</w:t>
            </w:r>
          </w:p>
        </w:tc>
        <w:tc>
          <w:tcPr>
            <w:tcW w:w="709"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75</w:t>
            </w:r>
          </w:p>
        </w:tc>
        <w:tc>
          <w:tcPr>
            <w:tcW w:w="567"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20.8</w:t>
            </w:r>
          </w:p>
        </w:tc>
        <w:tc>
          <w:tcPr>
            <w:tcW w:w="567"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13.5</w:t>
            </w:r>
          </w:p>
        </w:tc>
        <w:tc>
          <w:tcPr>
            <w:tcW w:w="567"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25.7</w:t>
            </w:r>
          </w:p>
        </w:tc>
        <w:tc>
          <w:tcPr>
            <w:tcW w:w="708"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149.7</w:t>
            </w:r>
          </w:p>
        </w:tc>
        <w:tc>
          <w:tcPr>
            <w:tcW w:w="851" w:type="dxa"/>
            <w:tcBorders>
              <w:bottom w:val="single" w:sz="6" w:space="0" w:color="auto"/>
            </w:tcBorders>
            <w:vAlign w:val="bottom"/>
          </w:tcPr>
          <w:p w:rsidR="00425098" w:rsidRPr="00425098" w:rsidRDefault="00425098" w:rsidP="00425098">
            <w:pPr>
              <w:pStyle w:val="TableBodyText"/>
              <w:rPr>
                <w:b/>
                <w:bCs/>
                <w:sz w:val="18"/>
                <w:szCs w:val="18"/>
              </w:rPr>
            </w:pPr>
            <w:r w:rsidRPr="00425098">
              <w:rPr>
                <w:b/>
                <w:bCs/>
                <w:sz w:val="18"/>
                <w:szCs w:val="18"/>
              </w:rPr>
              <w:t>1</w:t>
            </w:r>
            <w:r w:rsidR="00D24801">
              <w:rPr>
                <w:b/>
                <w:bCs/>
                <w:sz w:val="18"/>
                <w:szCs w:val="18"/>
              </w:rPr>
              <w:t xml:space="preserve"> </w:t>
            </w:r>
            <w:r w:rsidRPr="00425098">
              <w:rPr>
                <w:b/>
                <w:bCs/>
                <w:sz w:val="18"/>
                <w:szCs w:val="18"/>
              </w:rPr>
              <w:t>073.6</w:t>
            </w:r>
          </w:p>
        </w:tc>
      </w:tr>
    </w:tbl>
    <w:p w:rsidR="006C7894" w:rsidRDefault="006C7894" w:rsidP="006C7894">
      <w:pPr>
        <w:pStyle w:val="Note"/>
      </w:pPr>
      <w:r w:rsidRPr="00CD00F0">
        <w:rPr>
          <w:rStyle w:val="NoteLabel"/>
        </w:rPr>
        <w:t>a</w:t>
      </w:r>
      <w:r>
        <w:t> Totals may not add as a result of rounding</w:t>
      </w:r>
      <w:r w:rsidRPr="00B43AB5">
        <w:t xml:space="preserve">. </w:t>
      </w:r>
      <w:r w:rsidRPr="00AC3728">
        <w:rPr>
          <w:rStyle w:val="NoteLabel"/>
        </w:rPr>
        <w:t>b</w:t>
      </w:r>
      <w:r w:rsidRPr="00AC3728">
        <w:t> </w:t>
      </w:r>
      <w:r w:rsidR="005440A5" w:rsidRPr="00AC3728" w:rsidDel="005440A5">
        <w:t xml:space="preserve"> </w:t>
      </w:r>
      <w:r w:rsidR="008B5677" w:rsidRPr="00B43AB5">
        <w:t>WA Supreme Court judicial FTE includes both General Division and Court of Appeal judicial officers</w:t>
      </w:r>
      <w:r w:rsidR="005440A5">
        <w:t xml:space="preserve"> </w:t>
      </w:r>
      <w:r w:rsidR="005440A5">
        <w:rPr>
          <w:rStyle w:val="NoteLabel"/>
        </w:rPr>
        <w:t>c</w:t>
      </w:r>
      <w:r w:rsidRPr="00B43AB5">
        <w:t> </w:t>
      </w:r>
      <w:r w:rsidR="008D3920" w:rsidRPr="00B43AB5">
        <w:t xml:space="preserve">ACT Supreme Court numbers include both acting and visiting judges. </w:t>
      </w:r>
      <w:r w:rsidR="005440A5">
        <w:rPr>
          <w:rStyle w:val="NoteLabel"/>
        </w:rPr>
        <w:t>d</w:t>
      </w:r>
      <w:r w:rsidR="008D3920" w:rsidRPr="00B43AB5">
        <w:rPr>
          <w:rStyle w:val="NoteLabel"/>
        </w:rPr>
        <w:t> </w:t>
      </w:r>
      <w:r w:rsidRPr="00B43AB5">
        <w:t>Family</w:t>
      </w:r>
      <w:r w:rsidRPr="00A160D7">
        <w:t xml:space="preserve"> Court of Australia figures include Family</w:t>
      </w:r>
      <w:r>
        <w:t xml:space="preserve"> Court of Australia judges assigned to the Full Court Appeals </w:t>
      </w:r>
      <w:r w:rsidRPr="00932FC2">
        <w:t xml:space="preserve">division. </w:t>
      </w:r>
      <w:r w:rsidR="005440A5">
        <w:rPr>
          <w:rStyle w:val="NoteLabel"/>
        </w:rPr>
        <w:t>e</w:t>
      </w:r>
      <w:r>
        <w:t xml:space="preserve"> Includes Family Court of Australia services provided free of charge. </w:t>
      </w:r>
      <w:r>
        <w:rPr>
          <w:b/>
        </w:rPr>
        <w:t>.. </w:t>
      </w:r>
      <w:r w:rsidRPr="00E92ADD">
        <w:t>Not</w:t>
      </w:r>
      <w:r>
        <w:t> applicable.</w:t>
      </w:r>
    </w:p>
    <w:p w:rsidR="006C7894" w:rsidRDefault="006C7894" w:rsidP="006C7894">
      <w:pPr>
        <w:pStyle w:val="Source"/>
      </w:pPr>
      <w:r>
        <w:rPr>
          <w:i/>
        </w:rPr>
        <w:t>Source</w:t>
      </w:r>
      <w:r>
        <w:t>: Australian, State and Territory court authorities and departments (unpublished); table </w:t>
      </w:r>
      <w:proofErr w:type="spellStart"/>
      <w:r>
        <w:t>7A.2</w:t>
      </w:r>
      <w:r w:rsidR="00017FDF">
        <w:t>7</w:t>
      </w:r>
      <w:proofErr w:type="spellEnd"/>
      <w:r>
        <w:t>.</w:t>
      </w:r>
    </w:p>
    <w:p w:rsidR="006C7894" w:rsidRPr="00607D34" w:rsidRDefault="006C7894" w:rsidP="00093F22">
      <w:pPr>
        <w:pStyle w:val="TableTitle"/>
        <w:spacing w:before="120"/>
      </w:pPr>
      <w:r>
        <w:rPr>
          <w:b w:val="0"/>
        </w:rPr>
        <w:t>Table 7.</w:t>
      </w:r>
      <w:r w:rsidR="000C6105">
        <w:rPr>
          <w:b w:val="0"/>
          <w:noProof/>
        </w:rPr>
        <w:t>11</w:t>
      </w:r>
      <w:r>
        <w:tab/>
      </w:r>
      <w:r w:rsidRPr="00326733">
        <w:t>Judicial officers, full time equiv</w:t>
      </w:r>
      <w:r w:rsidR="00920B15">
        <w:t>alent, per 100 000 people,</w:t>
      </w:r>
      <w:r w:rsidR="00A25D64">
        <w:t xml:space="preserve"> by court level,</w:t>
      </w:r>
      <w:r w:rsidR="004D37C6">
        <w:t xml:space="preserve"> 2012</w:t>
      </w:r>
      <w:r w:rsidRPr="00607D34">
        <w:noBreakHyphen/>
      </w:r>
      <w:r w:rsidR="004D37C6">
        <w:t>13</w:t>
      </w:r>
    </w:p>
    <w:tbl>
      <w:tblPr>
        <w:tblW w:w="0" w:type="auto"/>
        <w:tblLayout w:type="fixed"/>
        <w:tblCellMar>
          <w:left w:w="0" w:type="dxa"/>
          <w:right w:w="0" w:type="dxa"/>
        </w:tblCellMar>
        <w:tblLook w:val="0000" w:firstRow="0" w:lastRow="0" w:firstColumn="0" w:lastColumn="0" w:noHBand="0" w:noVBand="0"/>
      </w:tblPr>
      <w:tblGrid>
        <w:gridCol w:w="1985"/>
        <w:gridCol w:w="850"/>
        <w:gridCol w:w="567"/>
        <w:gridCol w:w="602"/>
        <w:gridCol w:w="674"/>
        <w:gridCol w:w="673"/>
        <w:gridCol w:w="673"/>
        <w:gridCol w:w="673"/>
        <w:gridCol w:w="674"/>
        <w:gridCol w:w="709"/>
        <w:gridCol w:w="709"/>
      </w:tblGrid>
      <w:tr w:rsidR="006C7894" w:rsidRPr="00607D34" w:rsidTr="00C27D8D">
        <w:tc>
          <w:tcPr>
            <w:tcW w:w="1985" w:type="dxa"/>
            <w:tcBorders>
              <w:top w:val="single" w:sz="6" w:space="0" w:color="auto"/>
              <w:bottom w:val="single" w:sz="6" w:space="0" w:color="auto"/>
            </w:tcBorders>
          </w:tcPr>
          <w:p w:rsidR="006C7894" w:rsidRPr="00607D34" w:rsidRDefault="006C7894" w:rsidP="00C27D8D">
            <w:pPr>
              <w:pStyle w:val="TableColumnHeading"/>
              <w:jc w:val="left"/>
            </w:pPr>
          </w:p>
        </w:tc>
        <w:tc>
          <w:tcPr>
            <w:tcW w:w="850" w:type="dxa"/>
            <w:tcBorders>
              <w:top w:val="single" w:sz="6" w:space="0" w:color="auto"/>
              <w:bottom w:val="single" w:sz="6" w:space="0" w:color="auto"/>
            </w:tcBorders>
          </w:tcPr>
          <w:p w:rsidR="006C7894" w:rsidRPr="00607D34" w:rsidRDefault="006C7894" w:rsidP="00C27D8D">
            <w:pPr>
              <w:pStyle w:val="TableColumnHeading"/>
            </w:pPr>
            <w:r w:rsidRPr="00607D34">
              <w:t>NS</w:t>
            </w:r>
            <w:r w:rsidR="00A25D64">
              <w:t>W</w:t>
            </w:r>
            <w:r w:rsidRPr="00607D34">
              <w:rPr>
                <w:rStyle w:val="NoteLabel"/>
              </w:rPr>
              <w:t xml:space="preserve"> </w:t>
            </w:r>
          </w:p>
        </w:tc>
        <w:tc>
          <w:tcPr>
            <w:tcW w:w="567" w:type="dxa"/>
            <w:tcBorders>
              <w:top w:val="single" w:sz="6" w:space="0" w:color="auto"/>
              <w:bottom w:val="single" w:sz="6" w:space="0" w:color="auto"/>
            </w:tcBorders>
          </w:tcPr>
          <w:p w:rsidR="006C7894" w:rsidRPr="00607D34" w:rsidRDefault="006C7894" w:rsidP="00C27D8D">
            <w:pPr>
              <w:pStyle w:val="TableColumnHeading"/>
            </w:pPr>
            <w:r w:rsidRPr="00607D34">
              <w:t>Vic</w:t>
            </w:r>
          </w:p>
        </w:tc>
        <w:tc>
          <w:tcPr>
            <w:tcW w:w="602" w:type="dxa"/>
            <w:tcBorders>
              <w:top w:val="single" w:sz="6" w:space="0" w:color="auto"/>
              <w:bottom w:val="single" w:sz="6" w:space="0" w:color="auto"/>
            </w:tcBorders>
          </w:tcPr>
          <w:p w:rsidR="006C7894" w:rsidRPr="00607D34" w:rsidRDefault="006C7894" w:rsidP="00C27D8D">
            <w:pPr>
              <w:pStyle w:val="TableColumnHeading"/>
            </w:pPr>
            <w:r w:rsidRPr="00607D34">
              <w:t>Qld</w:t>
            </w:r>
          </w:p>
        </w:tc>
        <w:tc>
          <w:tcPr>
            <w:tcW w:w="674" w:type="dxa"/>
            <w:tcBorders>
              <w:top w:val="single" w:sz="6" w:space="0" w:color="auto"/>
              <w:bottom w:val="single" w:sz="6" w:space="0" w:color="auto"/>
            </w:tcBorders>
          </w:tcPr>
          <w:p w:rsidR="006C7894" w:rsidRPr="00607D34" w:rsidRDefault="006C7894" w:rsidP="00C27D8D">
            <w:pPr>
              <w:pStyle w:val="TableColumnHeading"/>
            </w:pPr>
            <w:r w:rsidRPr="00607D34">
              <w:t>WA</w:t>
            </w:r>
          </w:p>
        </w:tc>
        <w:tc>
          <w:tcPr>
            <w:tcW w:w="673" w:type="dxa"/>
            <w:tcBorders>
              <w:top w:val="single" w:sz="6" w:space="0" w:color="auto"/>
              <w:bottom w:val="single" w:sz="6" w:space="0" w:color="auto"/>
            </w:tcBorders>
          </w:tcPr>
          <w:p w:rsidR="006C7894" w:rsidRPr="00607D34" w:rsidRDefault="006C7894" w:rsidP="00C27D8D">
            <w:pPr>
              <w:pStyle w:val="TableColumnHeading"/>
            </w:pPr>
            <w:r w:rsidRPr="00607D34">
              <w:t>SA</w:t>
            </w:r>
          </w:p>
        </w:tc>
        <w:tc>
          <w:tcPr>
            <w:tcW w:w="673" w:type="dxa"/>
            <w:tcBorders>
              <w:top w:val="single" w:sz="6" w:space="0" w:color="auto"/>
              <w:bottom w:val="single" w:sz="6" w:space="0" w:color="auto"/>
            </w:tcBorders>
          </w:tcPr>
          <w:p w:rsidR="006C7894" w:rsidRPr="00607D34" w:rsidRDefault="006C7894" w:rsidP="00C27D8D">
            <w:pPr>
              <w:pStyle w:val="TableColumnHeading"/>
            </w:pPr>
            <w:proofErr w:type="spellStart"/>
            <w:r w:rsidRPr="00607D34">
              <w:t>Tas</w:t>
            </w:r>
            <w:proofErr w:type="spellEnd"/>
          </w:p>
        </w:tc>
        <w:tc>
          <w:tcPr>
            <w:tcW w:w="673" w:type="dxa"/>
            <w:tcBorders>
              <w:top w:val="single" w:sz="6" w:space="0" w:color="auto"/>
              <w:bottom w:val="single" w:sz="6" w:space="0" w:color="auto"/>
            </w:tcBorders>
          </w:tcPr>
          <w:p w:rsidR="006C7894" w:rsidRPr="00607D34" w:rsidRDefault="006C7894" w:rsidP="00C27D8D">
            <w:pPr>
              <w:pStyle w:val="TableColumnHeading"/>
            </w:pPr>
            <w:r w:rsidRPr="00607D34">
              <w:t>ACT</w:t>
            </w:r>
          </w:p>
        </w:tc>
        <w:tc>
          <w:tcPr>
            <w:tcW w:w="674" w:type="dxa"/>
            <w:tcBorders>
              <w:top w:val="single" w:sz="6" w:space="0" w:color="auto"/>
              <w:bottom w:val="single" w:sz="6" w:space="0" w:color="auto"/>
            </w:tcBorders>
          </w:tcPr>
          <w:p w:rsidR="006C7894" w:rsidRPr="00607D34" w:rsidRDefault="006C7894" w:rsidP="00C27D8D">
            <w:pPr>
              <w:pStyle w:val="TableColumnHeading"/>
            </w:pPr>
            <w:r w:rsidRPr="00607D34">
              <w:t>NT</w:t>
            </w:r>
          </w:p>
        </w:tc>
        <w:tc>
          <w:tcPr>
            <w:tcW w:w="709" w:type="dxa"/>
            <w:tcBorders>
              <w:top w:val="single" w:sz="6" w:space="0" w:color="auto"/>
              <w:bottom w:val="single" w:sz="6" w:space="0" w:color="auto"/>
            </w:tcBorders>
          </w:tcPr>
          <w:p w:rsidR="006C7894" w:rsidRPr="00607D34" w:rsidRDefault="006C7894" w:rsidP="00C27D8D">
            <w:pPr>
              <w:pStyle w:val="TableColumnHeading"/>
              <w:rPr>
                <w:spacing w:val="-4"/>
              </w:rPr>
            </w:pPr>
            <w:proofErr w:type="spellStart"/>
            <w:r w:rsidRPr="00607D34">
              <w:rPr>
                <w:spacing w:val="-4"/>
                <w:sz w:val="18"/>
                <w:szCs w:val="18"/>
              </w:rPr>
              <w:t>Aust</w:t>
            </w:r>
            <w:proofErr w:type="spellEnd"/>
            <w:r w:rsidRPr="00607D34">
              <w:rPr>
                <w:spacing w:val="-4"/>
                <w:sz w:val="18"/>
                <w:szCs w:val="18"/>
              </w:rPr>
              <w:t xml:space="preserve"> courts</w:t>
            </w:r>
            <w:r w:rsidR="00990DD6">
              <w:rPr>
                <w:rStyle w:val="NoteLabel"/>
                <w:i w:val="0"/>
              </w:rPr>
              <w:t>a</w:t>
            </w:r>
          </w:p>
        </w:tc>
        <w:tc>
          <w:tcPr>
            <w:tcW w:w="709" w:type="dxa"/>
            <w:tcBorders>
              <w:top w:val="single" w:sz="6" w:space="0" w:color="auto"/>
              <w:bottom w:val="single" w:sz="6" w:space="0" w:color="auto"/>
            </w:tcBorders>
          </w:tcPr>
          <w:p w:rsidR="006C7894" w:rsidRPr="00607D34" w:rsidRDefault="006C7894" w:rsidP="00C27D8D">
            <w:pPr>
              <w:pStyle w:val="TableColumnHeading"/>
              <w:ind w:right="28"/>
            </w:pPr>
            <w:r w:rsidRPr="00607D34">
              <w:t>Total</w:t>
            </w:r>
            <w:r w:rsidR="00990DD6">
              <w:rPr>
                <w:rStyle w:val="NoteLabel"/>
                <w:i w:val="0"/>
              </w:rPr>
              <w:t>b</w:t>
            </w:r>
          </w:p>
        </w:tc>
      </w:tr>
      <w:tr w:rsidR="006C7894" w:rsidRPr="00607D34" w:rsidTr="00C27D8D">
        <w:tc>
          <w:tcPr>
            <w:tcW w:w="1985" w:type="dxa"/>
          </w:tcPr>
          <w:p w:rsidR="006C7894" w:rsidRPr="00607D34" w:rsidRDefault="006C7894" w:rsidP="00C27D8D">
            <w:pPr>
              <w:pStyle w:val="TableBodyText"/>
              <w:jc w:val="left"/>
              <w:rPr>
                <w:rStyle w:val="NoteLabel"/>
                <w:i/>
              </w:rPr>
            </w:pPr>
            <w:r w:rsidRPr="00607D34">
              <w:rPr>
                <w:i/>
              </w:rPr>
              <w:t>Population (‘000)</w:t>
            </w:r>
            <w:r w:rsidR="00990DD6">
              <w:rPr>
                <w:rStyle w:val="NoteLabel"/>
              </w:rPr>
              <w:t>c</w:t>
            </w:r>
          </w:p>
        </w:tc>
        <w:tc>
          <w:tcPr>
            <w:tcW w:w="850" w:type="dxa"/>
            <w:vAlign w:val="center"/>
          </w:tcPr>
          <w:p w:rsidR="006C7894" w:rsidRPr="005E60F6" w:rsidRDefault="005E60F6" w:rsidP="00C27D8D">
            <w:pPr>
              <w:pStyle w:val="TableBodyText"/>
              <w:rPr>
                <w:sz w:val="16"/>
                <w:szCs w:val="16"/>
              </w:rPr>
            </w:pPr>
            <w:r w:rsidRPr="005E60F6">
              <w:rPr>
                <w:sz w:val="16"/>
                <w:szCs w:val="16"/>
              </w:rPr>
              <w:t xml:space="preserve">7 </w:t>
            </w:r>
            <w:r w:rsidR="002178E6">
              <w:rPr>
                <w:sz w:val="16"/>
                <w:szCs w:val="16"/>
              </w:rPr>
              <w:t>349</w:t>
            </w:r>
          </w:p>
        </w:tc>
        <w:tc>
          <w:tcPr>
            <w:tcW w:w="567" w:type="dxa"/>
            <w:vAlign w:val="center"/>
          </w:tcPr>
          <w:p w:rsidR="006C7894" w:rsidRPr="005E60F6" w:rsidRDefault="005E60F6" w:rsidP="00C27D8D">
            <w:pPr>
              <w:pStyle w:val="TableBodyText"/>
              <w:rPr>
                <w:sz w:val="16"/>
                <w:szCs w:val="16"/>
              </w:rPr>
            </w:pPr>
            <w:r w:rsidRPr="005E60F6">
              <w:rPr>
                <w:sz w:val="16"/>
                <w:szCs w:val="16"/>
              </w:rPr>
              <w:t xml:space="preserve">5 </w:t>
            </w:r>
            <w:r w:rsidR="002178E6">
              <w:rPr>
                <w:sz w:val="16"/>
                <w:szCs w:val="16"/>
              </w:rPr>
              <w:t>680</w:t>
            </w:r>
          </w:p>
        </w:tc>
        <w:tc>
          <w:tcPr>
            <w:tcW w:w="602" w:type="dxa"/>
            <w:vAlign w:val="center"/>
          </w:tcPr>
          <w:p w:rsidR="006C7894" w:rsidRPr="005E60F6" w:rsidRDefault="005E60F6" w:rsidP="00C27D8D">
            <w:pPr>
              <w:pStyle w:val="TableBodyText"/>
              <w:rPr>
                <w:sz w:val="16"/>
                <w:szCs w:val="16"/>
              </w:rPr>
            </w:pPr>
            <w:r w:rsidRPr="005E60F6">
              <w:rPr>
                <w:sz w:val="16"/>
                <w:szCs w:val="16"/>
              </w:rPr>
              <w:t xml:space="preserve">4 </w:t>
            </w:r>
            <w:r w:rsidR="002178E6">
              <w:rPr>
                <w:sz w:val="16"/>
                <w:szCs w:val="16"/>
              </w:rPr>
              <w:t>611</w:t>
            </w:r>
          </w:p>
        </w:tc>
        <w:tc>
          <w:tcPr>
            <w:tcW w:w="674" w:type="dxa"/>
            <w:vAlign w:val="center"/>
          </w:tcPr>
          <w:p w:rsidR="006C7894" w:rsidRPr="005E60F6" w:rsidRDefault="005E60F6" w:rsidP="00C27D8D">
            <w:pPr>
              <w:pStyle w:val="TableBodyText"/>
              <w:rPr>
                <w:sz w:val="16"/>
                <w:szCs w:val="16"/>
              </w:rPr>
            </w:pPr>
            <w:r w:rsidRPr="005E60F6">
              <w:rPr>
                <w:sz w:val="16"/>
                <w:szCs w:val="16"/>
              </w:rPr>
              <w:t xml:space="preserve">2 </w:t>
            </w:r>
            <w:r w:rsidR="002178E6">
              <w:rPr>
                <w:sz w:val="16"/>
                <w:szCs w:val="16"/>
              </w:rPr>
              <w:t>473</w:t>
            </w:r>
          </w:p>
        </w:tc>
        <w:tc>
          <w:tcPr>
            <w:tcW w:w="673" w:type="dxa"/>
            <w:vAlign w:val="center"/>
          </w:tcPr>
          <w:p w:rsidR="006C7894" w:rsidRPr="005E60F6" w:rsidRDefault="005E60F6" w:rsidP="00C27D8D">
            <w:pPr>
              <w:pStyle w:val="TableBodyText"/>
              <w:rPr>
                <w:sz w:val="16"/>
                <w:szCs w:val="16"/>
              </w:rPr>
            </w:pPr>
            <w:r w:rsidRPr="005E60F6">
              <w:rPr>
                <w:sz w:val="16"/>
                <w:szCs w:val="16"/>
              </w:rPr>
              <w:t>1 6</w:t>
            </w:r>
            <w:r w:rsidR="002178E6">
              <w:rPr>
                <w:sz w:val="16"/>
                <w:szCs w:val="16"/>
              </w:rPr>
              <w:t>62</w:t>
            </w:r>
          </w:p>
        </w:tc>
        <w:tc>
          <w:tcPr>
            <w:tcW w:w="673" w:type="dxa"/>
            <w:vAlign w:val="center"/>
          </w:tcPr>
          <w:p w:rsidR="006C7894" w:rsidRPr="005E60F6" w:rsidRDefault="005E60F6" w:rsidP="00C27D8D">
            <w:pPr>
              <w:pStyle w:val="TableBodyText"/>
              <w:rPr>
                <w:sz w:val="16"/>
                <w:szCs w:val="16"/>
              </w:rPr>
            </w:pPr>
            <w:r w:rsidRPr="005E60F6">
              <w:rPr>
                <w:sz w:val="16"/>
                <w:szCs w:val="16"/>
              </w:rPr>
              <w:t>512</w:t>
            </w:r>
          </w:p>
        </w:tc>
        <w:tc>
          <w:tcPr>
            <w:tcW w:w="673" w:type="dxa"/>
            <w:vAlign w:val="center"/>
          </w:tcPr>
          <w:p w:rsidR="006C7894" w:rsidRPr="005E60F6" w:rsidRDefault="005E60F6" w:rsidP="00C27D8D">
            <w:pPr>
              <w:pStyle w:val="TableBodyText"/>
              <w:rPr>
                <w:sz w:val="16"/>
                <w:szCs w:val="16"/>
              </w:rPr>
            </w:pPr>
            <w:r w:rsidRPr="005E60F6">
              <w:rPr>
                <w:sz w:val="16"/>
                <w:szCs w:val="16"/>
              </w:rPr>
              <w:t>3</w:t>
            </w:r>
            <w:r w:rsidR="002178E6">
              <w:rPr>
                <w:sz w:val="16"/>
                <w:szCs w:val="16"/>
              </w:rPr>
              <w:t>80</w:t>
            </w:r>
          </w:p>
        </w:tc>
        <w:tc>
          <w:tcPr>
            <w:tcW w:w="674" w:type="dxa"/>
            <w:vAlign w:val="center"/>
          </w:tcPr>
          <w:p w:rsidR="006C7894" w:rsidRPr="005E60F6" w:rsidRDefault="005E60F6" w:rsidP="00C27D8D">
            <w:pPr>
              <w:pStyle w:val="TableBodyText"/>
              <w:rPr>
                <w:sz w:val="16"/>
                <w:szCs w:val="16"/>
              </w:rPr>
            </w:pPr>
            <w:r w:rsidRPr="005E60F6">
              <w:rPr>
                <w:sz w:val="16"/>
                <w:szCs w:val="16"/>
              </w:rPr>
              <w:t>23</w:t>
            </w:r>
            <w:r w:rsidR="00011CBA">
              <w:rPr>
                <w:sz w:val="16"/>
                <w:szCs w:val="16"/>
              </w:rPr>
              <w:t>7</w:t>
            </w:r>
          </w:p>
        </w:tc>
        <w:tc>
          <w:tcPr>
            <w:tcW w:w="709" w:type="dxa"/>
            <w:vAlign w:val="center"/>
          </w:tcPr>
          <w:p w:rsidR="006C7894" w:rsidRPr="005E60F6" w:rsidRDefault="006C7894" w:rsidP="00C27D8D">
            <w:pPr>
              <w:pStyle w:val="TableBodyText"/>
              <w:rPr>
                <w:sz w:val="16"/>
                <w:szCs w:val="16"/>
              </w:rPr>
            </w:pPr>
          </w:p>
        </w:tc>
        <w:tc>
          <w:tcPr>
            <w:tcW w:w="709" w:type="dxa"/>
            <w:vAlign w:val="center"/>
          </w:tcPr>
          <w:p w:rsidR="006C7894" w:rsidRPr="005E60F6" w:rsidRDefault="005E60F6" w:rsidP="00C27D8D">
            <w:pPr>
              <w:pStyle w:val="TableBodyText"/>
              <w:rPr>
                <w:sz w:val="16"/>
                <w:szCs w:val="16"/>
              </w:rPr>
            </w:pPr>
            <w:r w:rsidRPr="005E60F6">
              <w:rPr>
                <w:sz w:val="16"/>
                <w:szCs w:val="16"/>
              </w:rPr>
              <w:t xml:space="preserve">22 </w:t>
            </w:r>
            <w:r w:rsidR="00011CBA">
              <w:rPr>
                <w:sz w:val="16"/>
                <w:szCs w:val="16"/>
              </w:rPr>
              <w:t>906</w:t>
            </w:r>
          </w:p>
        </w:tc>
      </w:tr>
      <w:tr w:rsidR="006C7894" w:rsidRPr="00607D34" w:rsidTr="00C27D8D">
        <w:tc>
          <w:tcPr>
            <w:tcW w:w="8789" w:type="dxa"/>
            <w:gridSpan w:val="11"/>
          </w:tcPr>
          <w:p w:rsidR="006C7894" w:rsidRPr="00607D34" w:rsidRDefault="006C7894" w:rsidP="00C27D8D">
            <w:pPr>
              <w:pStyle w:val="TableBodyText"/>
              <w:jc w:val="left"/>
              <w:rPr>
                <w:i/>
              </w:rPr>
            </w:pPr>
            <w:r w:rsidRPr="00607D34">
              <w:rPr>
                <w:i/>
              </w:rPr>
              <w:t>Judicial officers per 100 000 people</w:t>
            </w:r>
          </w:p>
        </w:tc>
      </w:tr>
      <w:tr w:rsidR="00332883" w:rsidRPr="00607D34" w:rsidTr="00C27D8D">
        <w:tc>
          <w:tcPr>
            <w:tcW w:w="1985" w:type="dxa"/>
          </w:tcPr>
          <w:p w:rsidR="00332883" w:rsidRPr="00607D34" w:rsidRDefault="00332883" w:rsidP="00C27D8D">
            <w:pPr>
              <w:pStyle w:val="TableBodyText"/>
              <w:jc w:val="left"/>
            </w:pPr>
            <w:r w:rsidRPr="00607D34">
              <w:t>Supreme/Federal</w:t>
            </w:r>
            <w:r>
              <w:rPr>
                <w:rStyle w:val="NoteLabel"/>
              </w:rPr>
              <w:t>d</w:t>
            </w:r>
          </w:p>
        </w:tc>
        <w:tc>
          <w:tcPr>
            <w:tcW w:w="850" w:type="dxa"/>
            <w:vAlign w:val="bottom"/>
          </w:tcPr>
          <w:p w:rsidR="00332883" w:rsidRPr="00332883" w:rsidRDefault="00332883" w:rsidP="00332883">
            <w:pPr>
              <w:pStyle w:val="TableBodyText"/>
              <w:rPr>
                <w:sz w:val="18"/>
                <w:szCs w:val="18"/>
              </w:rPr>
            </w:pPr>
            <w:r w:rsidRPr="00332883">
              <w:rPr>
                <w:sz w:val="18"/>
                <w:szCs w:val="18"/>
              </w:rPr>
              <w:t xml:space="preserve"> 0.8</w:t>
            </w:r>
          </w:p>
        </w:tc>
        <w:tc>
          <w:tcPr>
            <w:tcW w:w="567" w:type="dxa"/>
            <w:vAlign w:val="bottom"/>
          </w:tcPr>
          <w:p w:rsidR="00332883" w:rsidRPr="00332883" w:rsidRDefault="00332883" w:rsidP="00332883">
            <w:pPr>
              <w:pStyle w:val="TableBodyText"/>
              <w:rPr>
                <w:sz w:val="18"/>
                <w:szCs w:val="18"/>
              </w:rPr>
            </w:pPr>
            <w:r w:rsidRPr="00332883">
              <w:rPr>
                <w:sz w:val="18"/>
                <w:szCs w:val="18"/>
              </w:rPr>
              <w:t xml:space="preserve"> 0.9</w:t>
            </w:r>
          </w:p>
        </w:tc>
        <w:tc>
          <w:tcPr>
            <w:tcW w:w="602" w:type="dxa"/>
            <w:vAlign w:val="bottom"/>
          </w:tcPr>
          <w:p w:rsidR="00332883" w:rsidRPr="00332883" w:rsidRDefault="00332883" w:rsidP="00332883">
            <w:pPr>
              <w:pStyle w:val="TableBodyText"/>
              <w:rPr>
                <w:sz w:val="18"/>
                <w:szCs w:val="18"/>
              </w:rPr>
            </w:pPr>
            <w:r w:rsidRPr="00332883">
              <w:rPr>
                <w:sz w:val="18"/>
                <w:szCs w:val="18"/>
              </w:rPr>
              <w:t xml:space="preserve"> 0.5</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1.2</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0.8</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1.4</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1.6</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3.4</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1.1</w:t>
            </w:r>
          </w:p>
        </w:tc>
      </w:tr>
      <w:tr w:rsidR="00332883" w:rsidRPr="00607D34" w:rsidTr="00C27D8D">
        <w:tc>
          <w:tcPr>
            <w:tcW w:w="1985" w:type="dxa"/>
          </w:tcPr>
          <w:p w:rsidR="00332883" w:rsidRPr="00607D34" w:rsidRDefault="00332883" w:rsidP="00C27D8D">
            <w:pPr>
              <w:pStyle w:val="TableBodyText"/>
              <w:jc w:val="left"/>
            </w:pPr>
            <w:r w:rsidRPr="00607D34">
              <w:t>District/County</w:t>
            </w:r>
          </w:p>
        </w:tc>
        <w:tc>
          <w:tcPr>
            <w:tcW w:w="850" w:type="dxa"/>
            <w:vAlign w:val="bottom"/>
          </w:tcPr>
          <w:p w:rsidR="00332883" w:rsidRPr="00332883" w:rsidRDefault="00332883" w:rsidP="00332883">
            <w:pPr>
              <w:pStyle w:val="TableBodyText"/>
              <w:rPr>
                <w:sz w:val="18"/>
                <w:szCs w:val="18"/>
              </w:rPr>
            </w:pPr>
            <w:r w:rsidRPr="00332883">
              <w:rPr>
                <w:sz w:val="18"/>
                <w:szCs w:val="18"/>
              </w:rPr>
              <w:t xml:space="preserve"> 0.9</w:t>
            </w:r>
          </w:p>
        </w:tc>
        <w:tc>
          <w:tcPr>
            <w:tcW w:w="567" w:type="dxa"/>
            <w:vAlign w:val="bottom"/>
          </w:tcPr>
          <w:p w:rsidR="00332883" w:rsidRPr="00332883" w:rsidRDefault="00332883" w:rsidP="00332883">
            <w:pPr>
              <w:pStyle w:val="TableBodyText"/>
              <w:rPr>
                <w:sz w:val="18"/>
                <w:szCs w:val="18"/>
              </w:rPr>
            </w:pPr>
            <w:r w:rsidRPr="00332883">
              <w:rPr>
                <w:sz w:val="18"/>
                <w:szCs w:val="18"/>
              </w:rPr>
              <w:t xml:space="preserve"> 1.1</w:t>
            </w:r>
          </w:p>
        </w:tc>
        <w:tc>
          <w:tcPr>
            <w:tcW w:w="602" w:type="dxa"/>
            <w:vAlign w:val="bottom"/>
          </w:tcPr>
          <w:p w:rsidR="00332883" w:rsidRPr="00332883" w:rsidRDefault="00332883" w:rsidP="00332883">
            <w:pPr>
              <w:pStyle w:val="TableBodyText"/>
              <w:rPr>
                <w:sz w:val="18"/>
                <w:szCs w:val="18"/>
              </w:rPr>
            </w:pPr>
            <w:r w:rsidRPr="00332883">
              <w:rPr>
                <w:sz w:val="18"/>
                <w:szCs w:val="18"/>
              </w:rPr>
              <w:t xml:space="preserve"> 0.7</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1.1</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1.3</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4"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0.9</w:t>
            </w:r>
          </w:p>
        </w:tc>
      </w:tr>
      <w:tr w:rsidR="00332883" w:rsidRPr="00607D34" w:rsidTr="00C27D8D">
        <w:tc>
          <w:tcPr>
            <w:tcW w:w="1985" w:type="dxa"/>
          </w:tcPr>
          <w:p w:rsidR="00332883" w:rsidRPr="00607D34" w:rsidRDefault="00332883" w:rsidP="00C27D8D">
            <w:pPr>
              <w:pStyle w:val="TableBodyText"/>
              <w:jc w:val="left"/>
            </w:pPr>
            <w:r w:rsidRPr="00607D34">
              <w:t>Magistrates</w:t>
            </w:r>
          </w:p>
        </w:tc>
        <w:tc>
          <w:tcPr>
            <w:tcW w:w="850" w:type="dxa"/>
            <w:vAlign w:val="bottom"/>
          </w:tcPr>
          <w:p w:rsidR="00332883" w:rsidRPr="00332883" w:rsidRDefault="00332883" w:rsidP="00332883">
            <w:pPr>
              <w:pStyle w:val="TableBodyText"/>
              <w:rPr>
                <w:sz w:val="18"/>
                <w:szCs w:val="18"/>
              </w:rPr>
            </w:pPr>
            <w:r w:rsidRPr="00332883">
              <w:rPr>
                <w:sz w:val="18"/>
                <w:szCs w:val="18"/>
              </w:rPr>
              <w:t xml:space="preserve"> 1.5</w:t>
            </w:r>
          </w:p>
        </w:tc>
        <w:tc>
          <w:tcPr>
            <w:tcW w:w="567" w:type="dxa"/>
            <w:vAlign w:val="bottom"/>
          </w:tcPr>
          <w:p w:rsidR="00332883" w:rsidRPr="00332883" w:rsidRDefault="00332883" w:rsidP="00332883">
            <w:pPr>
              <w:pStyle w:val="TableBodyText"/>
              <w:rPr>
                <w:sz w:val="18"/>
                <w:szCs w:val="18"/>
              </w:rPr>
            </w:pPr>
            <w:r w:rsidRPr="00332883">
              <w:rPr>
                <w:sz w:val="18"/>
                <w:szCs w:val="18"/>
              </w:rPr>
              <w:t xml:space="preserve"> 1.8</w:t>
            </w:r>
          </w:p>
        </w:tc>
        <w:tc>
          <w:tcPr>
            <w:tcW w:w="602" w:type="dxa"/>
            <w:vAlign w:val="bottom"/>
          </w:tcPr>
          <w:p w:rsidR="00332883" w:rsidRPr="00332883" w:rsidRDefault="00332883" w:rsidP="00332883">
            <w:pPr>
              <w:pStyle w:val="TableBodyText"/>
              <w:rPr>
                <w:sz w:val="18"/>
                <w:szCs w:val="18"/>
              </w:rPr>
            </w:pPr>
            <w:r w:rsidRPr="00332883">
              <w:rPr>
                <w:sz w:val="18"/>
                <w:szCs w:val="18"/>
              </w:rPr>
              <w:t xml:space="preserve"> 1.7</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1.9</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2.0</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2.3</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1.6</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6.2</w:t>
            </w:r>
          </w:p>
        </w:tc>
        <w:tc>
          <w:tcPr>
            <w:tcW w:w="709"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1.8</w:t>
            </w:r>
          </w:p>
        </w:tc>
      </w:tr>
      <w:tr w:rsidR="00332883" w:rsidRPr="00607D34" w:rsidTr="00C27D8D">
        <w:tc>
          <w:tcPr>
            <w:tcW w:w="1985" w:type="dxa"/>
          </w:tcPr>
          <w:p w:rsidR="00332883" w:rsidRPr="00607D34" w:rsidRDefault="00332883" w:rsidP="00C27D8D">
            <w:pPr>
              <w:pStyle w:val="TableBodyText"/>
              <w:jc w:val="left"/>
            </w:pPr>
            <w:r w:rsidRPr="00607D34">
              <w:t>Children’s</w:t>
            </w:r>
          </w:p>
        </w:tc>
        <w:tc>
          <w:tcPr>
            <w:tcW w:w="850" w:type="dxa"/>
            <w:vAlign w:val="bottom"/>
          </w:tcPr>
          <w:p w:rsidR="00332883" w:rsidRPr="00332883" w:rsidRDefault="00332883" w:rsidP="00332883">
            <w:pPr>
              <w:pStyle w:val="TableBodyText"/>
              <w:rPr>
                <w:sz w:val="18"/>
                <w:szCs w:val="18"/>
              </w:rPr>
            </w:pPr>
            <w:r w:rsidRPr="00332883">
              <w:rPr>
                <w:sz w:val="18"/>
                <w:szCs w:val="18"/>
              </w:rPr>
              <w:t xml:space="preserve"> 0.3</w:t>
            </w:r>
          </w:p>
        </w:tc>
        <w:tc>
          <w:tcPr>
            <w:tcW w:w="567"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02"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0.3</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0.3</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0.1</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0.6</w:t>
            </w:r>
          </w:p>
        </w:tc>
        <w:tc>
          <w:tcPr>
            <w:tcW w:w="709"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0.3</w:t>
            </w:r>
          </w:p>
        </w:tc>
      </w:tr>
      <w:tr w:rsidR="00332883" w:rsidRPr="00607D34" w:rsidTr="00C27D8D">
        <w:tc>
          <w:tcPr>
            <w:tcW w:w="1985" w:type="dxa"/>
          </w:tcPr>
          <w:p w:rsidR="00332883" w:rsidRPr="00607D34" w:rsidRDefault="00332883" w:rsidP="00C27D8D">
            <w:pPr>
              <w:pStyle w:val="TableBodyText"/>
              <w:jc w:val="left"/>
            </w:pPr>
            <w:r w:rsidRPr="00607D34">
              <w:t>Family</w:t>
            </w:r>
            <w:r>
              <w:rPr>
                <w:rStyle w:val="NoteLabel"/>
              </w:rPr>
              <w:t>e</w:t>
            </w:r>
          </w:p>
        </w:tc>
        <w:tc>
          <w:tcPr>
            <w:tcW w:w="850" w:type="dxa"/>
            <w:vAlign w:val="bottom"/>
          </w:tcPr>
          <w:p w:rsidR="00332883" w:rsidRPr="00332883" w:rsidRDefault="00332883" w:rsidP="00332883">
            <w:pPr>
              <w:pStyle w:val="TableBodyText"/>
              <w:rPr>
                <w:sz w:val="18"/>
                <w:szCs w:val="18"/>
              </w:rPr>
            </w:pPr>
            <w:r w:rsidRPr="00332883">
              <w:rPr>
                <w:sz w:val="18"/>
                <w:szCs w:val="18"/>
              </w:rPr>
              <w:t>..</w:t>
            </w:r>
          </w:p>
        </w:tc>
        <w:tc>
          <w:tcPr>
            <w:tcW w:w="567" w:type="dxa"/>
            <w:vAlign w:val="bottom"/>
          </w:tcPr>
          <w:p w:rsidR="00332883" w:rsidRPr="00332883" w:rsidRDefault="00332883" w:rsidP="00332883">
            <w:pPr>
              <w:pStyle w:val="TableBodyText"/>
              <w:rPr>
                <w:sz w:val="18"/>
                <w:szCs w:val="18"/>
              </w:rPr>
            </w:pPr>
            <w:r w:rsidRPr="00332883">
              <w:rPr>
                <w:sz w:val="18"/>
                <w:szCs w:val="18"/>
              </w:rPr>
              <w:t>..</w:t>
            </w:r>
          </w:p>
        </w:tc>
        <w:tc>
          <w:tcPr>
            <w:tcW w:w="602" w:type="dxa"/>
            <w:vAlign w:val="bottom"/>
          </w:tcPr>
          <w:p w:rsidR="00332883" w:rsidRPr="00332883" w:rsidRDefault="00332883" w:rsidP="00332883">
            <w:pPr>
              <w:pStyle w:val="TableBodyText"/>
              <w:rPr>
                <w:sz w:val="18"/>
                <w:szCs w:val="18"/>
              </w:rPr>
            </w:pPr>
            <w:r w:rsidRPr="00332883">
              <w:rPr>
                <w:sz w:val="18"/>
                <w:szCs w:val="18"/>
              </w:rPr>
              <w:t>..</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0.6</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4"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0.1</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0.2</w:t>
            </w:r>
          </w:p>
        </w:tc>
      </w:tr>
      <w:tr w:rsidR="00332883" w:rsidRPr="00607D34" w:rsidTr="00C27D8D">
        <w:tc>
          <w:tcPr>
            <w:tcW w:w="1985" w:type="dxa"/>
          </w:tcPr>
          <w:p w:rsidR="00332883" w:rsidRPr="00607D34" w:rsidRDefault="00332883" w:rsidP="00C27D8D">
            <w:pPr>
              <w:pStyle w:val="TableBodyText"/>
              <w:jc w:val="left"/>
            </w:pPr>
            <w:r>
              <w:t>Federal Circuit</w:t>
            </w:r>
            <w:r w:rsidRPr="00607D34">
              <w:t xml:space="preserve"> </w:t>
            </w:r>
          </w:p>
        </w:tc>
        <w:tc>
          <w:tcPr>
            <w:tcW w:w="850" w:type="dxa"/>
            <w:vAlign w:val="bottom"/>
          </w:tcPr>
          <w:p w:rsidR="00332883" w:rsidRPr="00332883" w:rsidRDefault="00332883" w:rsidP="00332883">
            <w:pPr>
              <w:pStyle w:val="TableBodyText"/>
              <w:rPr>
                <w:sz w:val="18"/>
                <w:szCs w:val="18"/>
              </w:rPr>
            </w:pPr>
            <w:r w:rsidRPr="00332883">
              <w:rPr>
                <w:sz w:val="18"/>
                <w:szCs w:val="18"/>
              </w:rPr>
              <w:t>..</w:t>
            </w:r>
          </w:p>
        </w:tc>
        <w:tc>
          <w:tcPr>
            <w:tcW w:w="567" w:type="dxa"/>
            <w:vAlign w:val="bottom"/>
          </w:tcPr>
          <w:p w:rsidR="00332883" w:rsidRPr="00332883" w:rsidRDefault="00332883" w:rsidP="00332883">
            <w:pPr>
              <w:pStyle w:val="TableBodyText"/>
              <w:rPr>
                <w:sz w:val="18"/>
                <w:szCs w:val="18"/>
              </w:rPr>
            </w:pPr>
            <w:r w:rsidRPr="00332883">
              <w:rPr>
                <w:sz w:val="18"/>
                <w:szCs w:val="18"/>
              </w:rPr>
              <w:t>..</w:t>
            </w:r>
          </w:p>
        </w:tc>
        <w:tc>
          <w:tcPr>
            <w:tcW w:w="602" w:type="dxa"/>
            <w:vAlign w:val="bottom"/>
          </w:tcPr>
          <w:p w:rsidR="00332883" w:rsidRPr="00332883" w:rsidRDefault="00332883" w:rsidP="00332883">
            <w:pPr>
              <w:pStyle w:val="TableBodyText"/>
              <w:rPr>
                <w:sz w:val="18"/>
                <w:szCs w:val="18"/>
              </w:rPr>
            </w:pPr>
            <w:r w:rsidRPr="00332883">
              <w:rPr>
                <w:sz w:val="18"/>
                <w:szCs w:val="18"/>
              </w:rPr>
              <w:t>..</w:t>
            </w:r>
          </w:p>
        </w:tc>
        <w:tc>
          <w:tcPr>
            <w:tcW w:w="674" w:type="dxa"/>
            <w:vAlign w:val="bottom"/>
          </w:tcPr>
          <w:p w:rsidR="00332883" w:rsidRPr="00332883" w:rsidRDefault="00332883" w:rsidP="00332883">
            <w:pPr>
              <w:pStyle w:val="TableBodyText"/>
              <w:rPr>
                <w:sz w:val="18"/>
                <w:szCs w:val="18"/>
              </w:rPr>
            </w:pPr>
            <w:r w:rsidRPr="00332883">
              <w:rPr>
                <w:sz w:val="18"/>
                <w:szCs w:val="18"/>
              </w:rPr>
              <w:t>..</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3" w:type="dxa"/>
            <w:vAlign w:val="bottom"/>
          </w:tcPr>
          <w:p w:rsidR="00332883" w:rsidRPr="00332883" w:rsidRDefault="00332883" w:rsidP="00332883">
            <w:pPr>
              <w:pStyle w:val="TableBodyText"/>
              <w:rPr>
                <w:sz w:val="18"/>
                <w:szCs w:val="18"/>
              </w:rPr>
            </w:pPr>
            <w:r w:rsidRPr="00332883">
              <w:rPr>
                <w:sz w:val="18"/>
                <w:szCs w:val="18"/>
              </w:rPr>
              <w:t>..</w:t>
            </w:r>
          </w:p>
        </w:tc>
        <w:tc>
          <w:tcPr>
            <w:tcW w:w="674"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0.3</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0.3</w:t>
            </w:r>
          </w:p>
        </w:tc>
      </w:tr>
      <w:tr w:rsidR="00332883" w:rsidRPr="00607D34" w:rsidTr="00C27D8D">
        <w:tc>
          <w:tcPr>
            <w:tcW w:w="1985" w:type="dxa"/>
          </w:tcPr>
          <w:p w:rsidR="00332883" w:rsidRPr="00607D34" w:rsidRDefault="00332883" w:rsidP="00584FFF">
            <w:pPr>
              <w:pStyle w:val="TableBodyText"/>
              <w:jc w:val="left"/>
            </w:pPr>
            <w:r w:rsidRPr="00607D34">
              <w:t>Coroners</w:t>
            </w:r>
          </w:p>
        </w:tc>
        <w:tc>
          <w:tcPr>
            <w:tcW w:w="850" w:type="dxa"/>
            <w:vAlign w:val="bottom"/>
          </w:tcPr>
          <w:p w:rsidR="00332883" w:rsidRPr="00332883" w:rsidRDefault="00332883" w:rsidP="00332883">
            <w:pPr>
              <w:pStyle w:val="TableBodyText"/>
              <w:rPr>
                <w:sz w:val="18"/>
                <w:szCs w:val="18"/>
              </w:rPr>
            </w:pPr>
            <w:r w:rsidRPr="00332883">
              <w:rPr>
                <w:sz w:val="18"/>
                <w:szCs w:val="18"/>
              </w:rPr>
              <w:t xml:space="preserve"> 0.1</w:t>
            </w:r>
          </w:p>
        </w:tc>
        <w:tc>
          <w:tcPr>
            <w:tcW w:w="567"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02"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0.1</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0.1</w:t>
            </w:r>
          </w:p>
        </w:tc>
        <w:tc>
          <w:tcPr>
            <w:tcW w:w="673" w:type="dxa"/>
            <w:vAlign w:val="bottom"/>
          </w:tcPr>
          <w:p w:rsidR="00332883" w:rsidRPr="00332883" w:rsidRDefault="00332883" w:rsidP="00332883">
            <w:pPr>
              <w:pStyle w:val="TableBodyText"/>
              <w:rPr>
                <w:sz w:val="18"/>
                <w:szCs w:val="18"/>
              </w:rPr>
            </w:pPr>
            <w:r w:rsidRPr="00332883">
              <w:rPr>
                <w:sz w:val="18"/>
                <w:szCs w:val="18"/>
              </w:rPr>
              <w:t xml:space="preserve"> 0.2</w:t>
            </w:r>
          </w:p>
        </w:tc>
        <w:tc>
          <w:tcPr>
            <w:tcW w:w="674" w:type="dxa"/>
            <w:vAlign w:val="bottom"/>
          </w:tcPr>
          <w:p w:rsidR="00332883" w:rsidRPr="00332883" w:rsidRDefault="00332883" w:rsidP="00332883">
            <w:pPr>
              <w:pStyle w:val="TableBodyText"/>
              <w:rPr>
                <w:sz w:val="18"/>
                <w:szCs w:val="18"/>
              </w:rPr>
            </w:pPr>
            <w:r w:rsidRPr="00332883">
              <w:rPr>
                <w:sz w:val="18"/>
                <w:szCs w:val="18"/>
              </w:rPr>
              <w:t xml:space="preserve"> 0.6</w:t>
            </w:r>
          </w:p>
        </w:tc>
        <w:tc>
          <w:tcPr>
            <w:tcW w:w="709" w:type="dxa"/>
            <w:vAlign w:val="bottom"/>
          </w:tcPr>
          <w:p w:rsidR="00332883" w:rsidRPr="00332883" w:rsidRDefault="00332883" w:rsidP="00332883">
            <w:pPr>
              <w:pStyle w:val="TableBodyText"/>
              <w:rPr>
                <w:sz w:val="18"/>
                <w:szCs w:val="18"/>
              </w:rPr>
            </w:pPr>
            <w:r w:rsidRPr="00332883">
              <w:rPr>
                <w:sz w:val="18"/>
                <w:szCs w:val="18"/>
              </w:rPr>
              <w:t>..</w:t>
            </w:r>
          </w:p>
        </w:tc>
        <w:tc>
          <w:tcPr>
            <w:tcW w:w="709" w:type="dxa"/>
            <w:vAlign w:val="bottom"/>
          </w:tcPr>
          <w:p w:rsidR="00332883" w:rsidRPr="00332883" w:rsidRDefault="00332883" w:rsidP="00332883">
            <w:pPr>
              <w:pStyle w:val="TableBodyText"/>
              <w:rPr>
                <w:sz w:val="18"/>
                <w:szCs w:val="18"/>
              </w:rPr>
            </w:pPr>
            <w:r w:rsidRPr="00332883">
              <w:rPr>
                <w:sz w:val="18"/>
                <w:szCs w:val="18"/>
              </w:rPr>
              <w:t xml:space="preserve"> 0.1</w:t>
            </w:r>
          </w:p>
        </w:tc>
      </w:tr>
      <w:tr w:rsidR="00332883" w:rsidRPr="00607D34" w:rsidTr="00C27D8D">
        <w:tc>
          <w:tcPr>
            <w:tcW w:w="1985" w:type="dxa"/>
            <w:tcBorders>
              <w:bottom w:val="single" w:sz="6" w:space="0" w:color="auto"/>
            </w:tcBorders>
          </w:tcPr>
          <w:p w:rsidR="00332883" w:rsidRPr="00607D34" w:rsidRDefault="00332883" w:rsidP="00C27D8D">
            <w:pPr>
              <w:pStyle w:val="TableBodyText"/>
              <w:jc w:val="left"/>
              <w:rPr>
                <w:rStyle w:val="NoteLabel"/>
              </w:rPr>
            </w:pPr>
            <w:r w:rsidRPr="00607D34">
              <w:rPr>
                <w:b/>
              </w:rPr>
              <w:t>Total</w:t>
            </w:r>
          </w:p>
        </w:tc>
        <w:tc>
          <w:tcPr>
            <w:tcW w:w="850"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3.6</w:t>
            </w:r>
          </w:p>
        </w:tc>
        <w:tc>
          <w:tcPr>
            <w:tcW w:w="567"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4.2</w:t>
            </w:r>
          </w:p>
        </w:tc>
        <w:tc>
          <w:tcPr>
            <w:tcW w:w="602"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3.3</w:t>
            </w:r>
          </w:p>
        </w:tc>
        <w:tc>
          <w:tcPr>
            <w:tcW w:w="674"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5.2</w:t>
            </w:r>
          </w:p>
        </w:tc>
        <w:tc>
          <w:tcPr>
            <w:tcW w:w="673"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4.5</w:t>
            </w:r>
          </w:p>
        </w:tc>
        <w:tc>
          <w:tcPr>
            <w:tcW w:w="673"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4.1</w:t>
            </w:r>
          </w:p>
        </w:tc>
        <w:tc>
          <w:tcPr>
            <w:tcW w:w="673"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3.5</w:t>
            </w:r>
          </w:p>
        </w:tc>
        <w:tc>
          <w:tcPr>
            <w:tcW w:w="674"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10.8</w:t>
            </w:r>
          </w:p>
        </w:tc>
        <w:tc>
          <w:tcPr>
            <w:tcW w:w="709"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0.7</w:t>
            </w:r>
          </w:p>
        </w:tc>
        <w:tc>
          <w:tcPr>
            <w:tcW w:w="709" w:type="dxa"/>
            <w:tcBorders>
              <w:bottom w:val="single" w:sz="6" w:space="0" w:color="auto"/>
            </w:tcBorders>
            <w:vAlign w:val="bottom"/>
          </w:tcPr>
          <w:p w:rsidR="00332883" w:rsidRPr="00332883" w:rsidRDefault="00332883" w:rsidP="00332883">
            <w:pPr>
              <w:pStyle w:val="TableBodyText"/>
              <w:rPr>
                <w:b/>
                <w:bCs/>
                <w:sz w:val="18"/>
                <w:szCs w:val="18"/>
              </w:rPr>
            </w:pPr>
            <w:r w:rsidRPr="00332883">
              <w:rPr>
                <w:b/>
                <w:bCs/>
                <w:sz w:val="18"/>
                <w:szCs w:val="18"/>
              </w:rPr>
              <w:t xml:space="preserve"> 4.7</w:t>
            </w:r>
          </w:p>
        </w:tc>
      </w:tr>
    </w:tbl>
    <w:p w:rsidR="006C7894" w:rsidRDefault="005464BB" w:rsidP="006C7894">
      <w:pPr>
        <w:pStyle w:val="Note"/>
      </w:pPr>
      <w:proofErr w:type="spellStart"/>
      <w:r w:rsidRPr="00C1080E">
        <w:rPr>
          <w:rStyle w:val="NoteLabel"/>
        </w:rPr>
        <w:t>a</w:t>
      </w:r>
      <w:proofErr w:type="spellEnd"/>
      <w:r w:rsidR="00990DD6" w:rsidRPr="00C1080E">
        <w:rPr>
          <w:rStyle w:val="NoteLabel"/>
        </w:rPr>
        <w:t> </w:t>
      </w:r>
      <w:r w:rsidR="006C7894" w:rsidRPr="00C1080E">
        <w:t>The Australian courts</w:t>
      </w:r>
      <w:r w:rsidR="000074F4" w:rsidRPr="00C1080E">
        <w:t>’</w:t>
      </w:r>
      <w:r w:rsidR="006C7894">
        <w:t xml:space="preserve"> results have been derived using the total population figure for Australia. </w:t>
      </w:r>
      <w:r w:rsidR="00990DD6">
        <w:rPr>
          <w:rStyle w:val="NoteLabel"/>
        </w:rPr>
        <w:t>b</w:t>
      </w:r>
      <w:r w:rsidR="006C7894">
        <w:t> </w:t>
      </w:r>
      <w:bookmarkStart w:id="10" w:name="OLE_LINK2"/>
      <w:r w:rsidR="006C7894">
        <w:t xml:space="preserve">Totals are </w:t>
      </w:r>
      <w:r w:rsidR="006C7894" w:rsidRPr="00C10A7E">
        <w:t xml:space="preserve">derived by dividing the total number of </w:t>
      </w:r>
      <w:r w:rsidR="006C7894">
        <w:t>judicial FTE</w:t>
      </w:r>
      <w:r w:rsidR="006C7894" w:rsidRPr="00C10A7E">
        <w:t xml:space="preserve"> </w:t>
      </w:r>
      <w:r w:rsidR="006C7894">
        <w:t>at each court level</w:t>
      </w:r>
      <w:r w:rsidR="006C7894" w:rsidRPr="00C10A7E">
        <w:t xml:space="preserve"> by the</w:t>
      </w:r>
      <w:r w:rsidR="00A139A9">
        <w:t xml:space="preserve"> relevant</w:t>
      </w:r>
      <w:r w:rsidR="006C7894">
        <w:t xml:space="preserve"> Australian population (per 100 </w:t>
      </w:r>
      <w:r w:rsidR="006C7894" w:rsidRPr="00C10A7E">
        <w:t>000).</w:t>
      </w:r>
      <w:r w:rsidR="006C7894">
        <w:t xml:space="preserve"> </w:t>
      </w:r>
      <w:bookmarkEnd w:id="10"/>
      <w:r w:rsidR="00990DD6">
        <w:rPr>
          <w:rStyle w:val="NoteLabel"/>
        </w:rPr>
        <w:t>c</w:t>
      </w:r>
      <w:r w:rsidR="006C7894">
        <w:t xml:space="preserve"> Population total for Australia includes ‘Other territories’. </w:t>
      </w:r>
      <w:r w:rsidR="006C7894" w:rsidRPr="0034323F">
        <w:t xml:space="preserve">Population data </w:t>
      </w:r>
      <w:r w:rsidR="006C7894">
        <w:t xml:space="preserve">for the financial year is the midpoint (31 December) </w:t>
      </w:r>
      <w:r w:rsidR="006C7894" w:rsidRPr="00A160D7">
        <w:t>estimate.</w:t>
      </w:r>
      <w:r w:rsidR="006C1B07" w:rsidRPr="00A160D7">
        <w:t xml:space="preserve"> </w:t>
      </w:r>
      <w:r w:rsidR="00990DD6">
        <w:rPr>
          <w:rStyle w:val="NoteLabel"/>
        </w:rPr>
        <w:t>d</w:t>
      </w:r>
      <w:r w:rsidR="006C1B07" w:rsidRPr="00A160D7">
        <w:rPr>
          <w:rStyle w:val="NoteLabel"/>
        </w:rPr>
        <w:t> </w:t>
      </w:r>
      <w:r w:rsidR="006C1B07" w:rsidRPr="00A160D7">
        <w:t>WA Supreme Court judicial FTE includes both General Division and Court of Appeal judicial officers</w:t>
      </w:r>
      <w:r w:rsidR="00FD3DCF">
        <w:t>.</w:t>
      </w:r>
      <w:r w:rsidR="00990DD6" w:rsidRPr="00C1080E">
        <w:rPr>
          <w:rStyle w:val="NoteLabel"/>
        </w:rPr>
        <w:t>e</w:t>
      </w:r>
      <w:r w:rsidR="006C7894" w:rsidRPr="00C1080E">
        <w:rPr>
          <w:rStyle w:val="NoteLabel"/>
        </w:rPr>
        <w:t> </w:t>
      </w:r>
      <w:r w:rsidR="006C7894" w:rsidRPr="00C1080E">
        <w:t>Family Court</w:t>
      </w:r>
      <w:r w:rsidR="006C7894">
        <w:t xml:space="preserve"> of Australia figures include Family Court of Australia judges assigned to the Full Court Appeals division. </w:t>
      </w:r>
      <w:r w:rsidR="006C7894">
        <w:rPr>
          <w:b/>
        </w:rPr>
        <w:t>.. </w:t>
      </w:r>
      <w:r w:rsidR="006C7894" w:rsidRPr="00E92ADD">
        <w:t>Not</w:t>
      </w:r>
      <w:r w:rsidR="006C7894">
        <w:t> applicable.</w:t>
      </w:r>
    </w:p>
    <w:p w:rsidR="006C7894" w:rsidRPr="000C1B5F" w:rsidRDefault="006C7894" w:rsidP="006C7894">
      <w:pPr>
        <w:pStyle w:val="Source"/>
      </w:pPr>
      <w:r>
        <w:rPr>
          <w:i/>
        </w:rPr>
        <w:t>Source</w:t>
      </w:r>
      <w:r>
        <w:t xml:space="preserve">: </w:t>
      </w:r>
      <w:r w:rsidRPr="007B653B">
        <w:t>Australian, State and Territory court</w:t>
      </w:r>
      <w:r>
        <w:t xml:space="preserve"> authorities and</w:t>
      </w:r>
      <w:r w:rsidRPr="007B653B">
        <w:t xml:space="preserve"> de</w:t>
      </w:r>
      <w:r>
        <w:t>partments (unpublished)</w:t>
      </w:r>
      <w:r w:rsidR="000074F4">
        <w:t xml:space="preserve"> table </w:t>
      </w:r>
      <w:proofErr w:type="spellStart"/>
      <w:r w:rsidR="000074F4">
        <w:t>7A.2</w:t>
      </w:r>
      <w:r w:rsidR="00017FDF">
        <w:t>7</w:t>
      </w:r>
      <w:proofErr w:type="spellEnd"/>
      <w:r w:rsidR="000074F4">
        <w:t>.</w:t>
      </w:r>
    </w:p>
    <w:p w:rsidR="00B65A65" w:rsidRDefault="00B65A65" w:rsidP="00B65A65">
      <w:pPr>
        <w:pStyle w:val="Heading4"/>
      </w:pPr>
      <w:r>
        <w:t>Effectiveness</w:t>
      </w:r>
      <w:r w:rsidR="00505751">
        <w:t xml:space="preserve"> — </w:t>
      </w:r>
      <w:r>
        <w:t>quality</w:t>
      </w:r>
    </w:p>
    <w:p w:rsidR="00463C7B" w:rsidRDefault="00BA3797" w:rsidP="003817DD">
      <w:pPr>
        <w:pStyle w:val="BodyText"/>
      </w:pPr>
      <w:r>
        <w:t>‘Quality’ is an indicator of government</w:t>
      </w:r>
      <w:r w:rsidR="00447667">
        <w:t>s’ achievement against the</w:t>
      </w:r>
      <w:r>
        <w:t xml:space="preserve"> objective </w:t>
      </w:r>
      <w:r w:rsidR="00447667">
        <w:t>of</w:t>
      </w:r>
      <w:r>
        <w:t xml:space="preserve"> provid</w:t>
      </w:r>
      <w:r w:rsidR="00447667">
        <w:t>ing</w:t>
      </w:r>
      <w:r>
        <w:t xml:space="preserve"> due process. </w:t>
      </w:r>
      <w:r w:rsidR="00B65A65">
        <w:t>The Steering Committee has identified quality as an important measure of court</w:t>
      </w:r>
      <w:r w:rsidR="00AE6CC7">
        <w:t xml:space="preserve"> performance (</w:t>
      </w:r>
      <w:r w:rsidR="00A76A9C">
        <w:t>box 7</w:t>
      </w:r>
      <w:r w:rsidR="00AE6CC7">
        <w:t>.</w:t>
      </w:r>
      <w:r w:rsidR="007961CF">
        <w:t>8</w:t>
      </w:r>
      <w:r w:rsidR="00B65A65">
        <w:t>).</w:t>
      </w:r>
      <w:r>
        <w:t xml:space="preserve"> However, a suitable indicator of quality for court</w:t>
      </w:r>
      <w:r w:rsidR="00952C06">
        <w:t>s</w:t>
      </w:r>
      <w:r>
        <w:t xml:space="preserve"> has not yet been identified for inclusion in the performance</w:t>
      </w:r>
      <w:r w:rsidR="001215E3">
        <w:t xml:space="preserve"> indicator</w:t>
      </w:r>
      <w:r>
        <w:t xml:space="preserve"> framework.</w:t>
      </w:r>
    </w:p>
    <w:p w:rsidR="00B65A65" w:rsidRPr="00205BCF" w:rsidRDefault="00B65A6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65A65">
        <w:tc>
          <w:tcPr>
            <w:tcW w:w="8771" w:type="dxa"/>
            <w:tcBorders>
              <w:top w:val="single" w:sz="6" w:space="0" w:color="auto"/>
              <w:bottom w:val="nil"/>
            </w:tcBorders>
          </w:tcPr>
          <w:p w:rsidR="00B65A65" w:rsidRPr="00B65A65" w:rsidRDefault="00B65A65">
            <w:pPr>
              <w:pStyle w:val="BoxTitle"/>
            </w:pPr>
            <w:r>
              <w:rPr>
                <w:b w:val="0"/>
              </w:rPr>
              <w:t>Box 7.</w:t>
            </w:r>
            <w:r w:rsidR="007961CF">
              <w:rPr>
                <w:b w:val="0"/>
                <w:noProof/>
              </w:rPr>
              <w:t>8</w:t>
            </w:r>
            <w:r>
              <w:tab/>
            </w:r>
            <w:r w:rsidRPr="00B65A65">
              <w:t>Indicators of quality</w:t>
            </w:r>
          </w:p>
        </w:tc>
      </w:tr>
      <w:tr w:rsidR="00B65A65">
        <w:trPr>
          <w:cantSplit/>
        </w:trPr>
        <w:tc>
          <w:tcPr>
            <w:tcW w:w="8771" w:type="dxa"/>
            <w:tcBorders>
              <w:top w:val="nil"/>
              <w:left w:val="single" w:sz="6" w:space="0" w:color="auto"/>
              <w:bottom w:val="nil"/>
              <w:right w:val="single" w:sz="6" w:space="0" w:color="auto"/>
            </w:tcBorders>
          </w:tcPr>
          <w:p w:rsidR="007926E1" w:rsidRDefault="00B65A65" w:rsidP="00B65A65">
            <w:pPr>
              <w:pStyle w:val="Box"/>
              <w:tabs>
                <w:tab w:val="left" w:pos="1020"/>
              </w:tabs>
            </w:pPr>
            <w:r w:rsidRPr="00B65A65">
              <w:t>Indicators of quality for court</w:t>
            </w:r>
            <w:r w:rsidR="001215E3">
              <w:t>s</w:t>
            </w:r>
            <w:r w:rsidRPr="00B65A65">
              <w:t xml:space="preserve"> have not yet been identified. </w:t>
            </w:r>
          </w:p>
          <w:p w:rsidR="00B65A65" w:rsidRPr="00B65A65" w:rsidRDefault="00B65A65" w:rsidP="00B65A65">
            <w:pPr>
              <w:pStyle w:val="Box"/>
              <w:tabs>
                <w:tab w:val="left" w:pos="1020"/>
              </w:tabs>
            </w:pPr>
            <w:r w:rsidRPr="00B65A65">
              <w:t>The perceptions of court users about the quality of the services delivered by courts may be strongly influenced by the outcomes of judicial decisions (which are not the subject of this chapter). Isolating perceptions of the quality of court administration may be difficult.</w:t>
            </w:r>
          </w:p>
        </w:tc>
      </w:tr>
      <w:tr w:rsidR="00B65A65">
        <w:trPr>
          <w:cantSplit/>
        </w:trPr>
        <w:tc>
          <w:tcPr>
            <w:tcW w:w="8771" w:type="dxa"/>
            <w:tcBorders>
              <w:top w:val="nil"/>
              <w:left w:val="single" w:sz="6" w:space="0" w:color="auto"/>
              <w:bottom w:val="single" w:sz="6" w:space="0" w:color="auto"/>
              <w:right w:val="single" w:sz="6" w:space="0" w:color="auto"/>
            </w:tcBorders>
          </w:tcPr>
          <w:p w:rsidR="00B65A65" w:rsidRDefault="00B65A65">
            <w:pPr>
              <w:pStyle w:val="Box"/>
              <w:spacing w:before="0" w:line="120" w:lineRule="exact"/>
            </w:pPr>
          </w:p>
        </w:tc>
      </w:tr>
      <w:tr w:rsidR="00B65A65">
        <w:tc>
          <w:tcPr>
            <w:tcW w:w="8771" w:type="dxa"/>
            <w:tcBorders>
              <w:top w:val="nil"/>
              <w:left w:val="nil"/>
              <w:bottom w:val="nil"/>
              <w:right w:val="nil"/>
            </w:tcBorders>
          </w:tcPr>
          <w:p w:rsidR="00B65A65" w:rsidRDefault="00B65A65">
            <w:pPr>
              <w:pStyle w:val="Box"/>
              <w:keepNext w:val="0"/>
              <w:spacing w:before="60" w:after="60" w:line="80" w:lineRule="exact"/>
              <w:rPr>
                <w:b/>
                <w:color w:val="FF00FF"/>
                <w:sz w:val="14"/>
              </w:rPr>
            </w:pPr>
          </w:p>
        </w:tc>
      </w:tr>
    </w:tbl>
    <w:p w:rsidR="00B9314C" w:rsidRDefault="00B9314C" w:rsidP="00B9314C">
      <w:pPr>
        <w:pStyle w:val="Heading4"/>
      </w:pPr>
      <w:r>
        <w:t>Effectiveness</w:t>
      </w:r>
      <w:r w:rsidR="00505751">
        <w:t xml:space="preserve"> — </w:t>
      </w:r>
      <w:r>
        <w:t>backlog</w:t>
      </w:r>
    </w:p>
    <w:p w:rsidR="0018632F" w:rsidRDefault="00F76227" w:rsidP="003817DD">
      <w:pPr>
        <w:pStyle w:val="BodyText"/>
      </w:pPr>
      <w:r>
        <w:t>‘</w:t>
      </w:r>
      <w:r w:rsidR="00276A97">
        <w:t>B</w:t>
      </w:r>
      <w:r w:rsidR="0018632F">
        <w:t xml:space="preserve">acklog’ is an indicator of governments’ </w:t>
      </w:r>
      <w:r w:rsidR="00CA0AD1">
        <w:t xml:space="preserve">achievement against the </w:t>
      </w:r>
      <w:r w:rsidR="0018632F">
        <w:t xml:space="preserve">objective </w:t>
      </w:r>
      <w:r w:rsidR="00CA0AD1">
        <w:t>of</w:t>
      </w:r>
      <w:r w:rsidR="0018632F">
        <w:t xml:space="preserve"> process</w:t>
      </w:r>
      <w:r w:rsidR="00CA0AD1">
        <w:t>ing</w:t>
      </w:r>
      <w:r w:rsidR="0018632F">
        <w:t xml:space="preserve"> matters in an expeditious and timely manner</w:t>
      </w:r>
      <w:r w:rsidR="00970457">
        <w:t xml:space="preserve"> (box 7.9)</w:t>
      </w:r>
      <w:r w:rsidR="0018632F">
        <w:t>. The indicator recognises that case processing must take some time</w:t>
      </w:r>
      <w:r w:rsidR="00314F7F">
        <w:t>, that such time does not necessarily equal delay and that the time it takes to process a case can be affected by factors outside the direct control of court administration</w:t>
      </w:r>
      <w:r w:rsidR="0018632F">
        <w:t xml:space="preserve">. </w:t>
      </w:r>
    </w:p>
    <w:p w:rsidR="00B9314C" w:rsidRPr="00205BCF" w:rsidRDefault="00B9314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9314C" w:rsidTr="00302195">
        <w:tc>
          <w:tcPr>
            <w:tcW w:w="8771" w:type="dxa"/>
            <w:tcBorders>
              <w:top w:val="single" w:sz="6" w:space="0" w:color="auto"/>
              <w:bottom w:val="nil"/>
              <w:right w:val="single" w:sz="4" w:space="0" w:color="auto"/>
            </w:tcBorders>
          </w:tcPr>
          <w:p w:rsidR="00B9314C" w:rsidRPr="00B9314C" w:rsidRDefault="00B9314C">
            <w:pPr>
              <w:pStyle w:val="BoxTitle"/>
            </w:pPr>
            <w:r>
              <w:rPr>
                <w:b w:val="0"/>
              </w:rPr>
              <w:t>Box 7.</w:t>
            </w:r>
            <w:r w:rsidR="007961CF">
              <w:rPr>
                <w:b w:val="0"/>
                <w:noProof/>
              </w:rPr>
              <w:t>9</w:t>
            </w:r>
            <w:r>
              <w:tab/>
            </w:r>
            <w:r w:rsidRPr="00B9314C">
              <w:t>Backlog</w:t>
            </w:r>
          </w:p>
        </w:tc>
      </w:tr>
      <w:tr w:rsidR="00B9314C" w:rsidTr="00302195">
        <w:trPr>
          <w:cantSplit/>
        </w:trPr>
        <w:tc>
          <w:tcPr>
            <w:tcW w:w="8771" w:type="dxa"/>
            <w:tcBorders>
              <w:top w:val="nil"/>
              <w:left w:val="single" w:sz="6" w:space="0" w:color="auto"/>
              <w:bottom w:val="nil"/>
              <w:right w:val="single" w:sz="4" w:space="0" w:color="auto"/>
            </w:tcBorders>
          </w:tcPr>
          <w:p w:rsidR="00B9314C" w:rsidRDefault="00B9314C" w:rsidP="00493D57">
            <w:pPr>
              <w:pStyle w:val="Box"/>
            </w:pPr>
            <w:r>
              <w:t>‘</w:t>
            </w:r>
            <w:r w:rsidR="00970457">
              <w:t>B</w:t>
            </w:r>
            <w:r>
              <w:t xml:space="preserve">acklog’ </w:t>
            </w:r>
            <w:r w:rsidR="00970457">
              <w:t xml:space="preserve">is defined as a </w:t>
            </w:r>
            <w:r w:rsidR="00DF47D7">
              <w:t>measure</w:t>
            </w:r>
            <w:r w:rsidR="00970457">
              <w:t xml:space="preserve"> of</w:t>
            </w:r>
            <w:r w:rsidR="00DF47D7">
              <w:t xml:space="preserve"> the age of a court’s pending caseload against nominated time standards. The number of cases in the nominated age category is expressed as a percentage of the total pending caseload.</w:t>
            </w:r>
          </w:p>
          <w:p w:rsidR="00B9314C" w:rsidRDefault="00B9314C" w:rsidP="00B9314C">
            <w:pPr>
              <w:pStyle w:val="Box"/>
            </w:pPr>
            <w:r>
              <w:t>The following national standards have been set</w:t>
            </w:r>
            <w:r w:rsidR="00970457">
              <w:t>.</w:t>
            </w:r>
          </w:p>
          <w:p w:rsidR="00B9314C" w:rsidRDefault="00970457" w:rsidP="00B9314C">
            <w:pPr>
              <w:pStyle w:val="Box"/>
            </w:pPr>
            <w:r>
              <w:t>For t</w:t>
            </w:r>
            <w:r w:rsidR="00B9314C">
              <w:t xml:space="preserve">he Federal </w:t>
            </w:r>
            <w:r w:rsidR="00F133CB">
              <w:t>Circuit</w:t>
            </w:r>
            <w:r w:rsidR="00B9314C">
              <w:t xml:space="preserve"> Court, magistrates’ and </w:t>
            </w:r>
            <w:r w:rsidR="009538B0">
              <w:t>children’s c</w:t>
            </w:r>
            <w:r w:rsidR="00BC62E9">
              <w:t>ourt</w:t>
            </w:r>
            <w:r w:rsidR="00B9314C">
              <w:t>s:</w:t>
            </w:r>
          </w:p>
          <w:p w:rsidR="00B9314C" w:rsidRDefault="00B9314C" w:rsidP="00B9314C">
            <w:pPr>
              <w:pStyle w:val="BoxListBullet"/>
            </w:pPr>
            <w:r>
              <w:t>n</w:t>
            </w:r>
            <w:r w:rsidR="00FD28C6">
              <w:t>o more than 10 </w:t>
            </w:r>
            <w:r w:rsidR="00A76A9C">
              <w:t>per cent</w:t>
            </w:r>
            <w:r>
              <w:t xml:space="preserve"> of </w:t>
            </w:r>
            <w:proofErr w:type="spellStart"/>
            <w:r>
              <w:t>lodgments</w:t>
            </w:r>
            <w:proofErr w:type="spellEnd"/>
            <w:r>
              <w:t xml:space="preserve"> pending completion are to be more than 6 months old</w:t>
            </w:r>
          </w:p>
          <w:p w:rsidR="00B9314C" w:rsidRDefault="00B9314C" w:rsidP="00B9314C">
            <w:pPr>
              <w:pStyle w:val="BoxListBullet"/>
            </w:pPr>
            <w:r>
              <w:t xml:space="preserve">no </w:t>
            </w:r>
            <w:proofErr w:type="spellStart"/>
            <w:r>
              <w:t>lodgments</w:t>
            </w:r>
            <w:proofErr w:type="spellEnd"/>
            <w:r>
              <w:t xml:space="preserve"> pending completion are to be more than 12 months old.</w:t>
            </w:r>
          </w:p>
          <w:p w:rsidR="00B9314C" w:rsidRDefault="00970457" w:rsidP="00B9314C">
            <w:pPr>
              <w:pStyle w:val="Box"/>
            </w:pPr>
            <w:r>
              <w:t xml:space="preserve">For </w:t>
            </w:r>
            <w:r w:rsidR="00B9314C">
              <w:t>Supreme courts, the Federal Court, district</w:t>
            </w:r>
            <w:r w:rsidR="00920EEA">
              <w:t>/county</w:t>
            </w:r>
            <w:r w:rsidR="00B9314C">
              <w:t xml:space="preserve">, family and </w:t>
            </w:r>
            <w:r w:rsidR="009538B0">
              <w:t>coroners’ c</w:t>
            </w:r>
            <w:r w:rsidR="00BC62E9">
              <w:t>ourt</w:t>
            </w:r>
            <w:r w:rsidR="00B9314C">
              <w:t>s and all appeals:</w:t>
            </w:r>
          </w:p>
          <w:p w:rsidR="00B9314C" w:rsidRDefault="00B9314C" w:rsidP="00B9314C">
            <w:pPr>
              <w:pStyle w:val="BoxListBullet"/>
            </w:pPr>
            <w:r>
              <w:t>no more th</w:t>
            </w:r>
            <w:r w:rsidR="00FD28C6">
              <w:t>an 10 </w:t>
            </w:r>
            <w:r w:rsidR="00A76A9C">
              <w:t>per cent</w:t>
            </w:r>
            <w:r>
              <w:t xml:space="preserve"> of </w:t>
            </w:r>
            <w:proofErr w:type="spellStart"/>
            <w:r>
              <w:t>lodgments</w:t>
            </w:r>
            <w:proofErr w:type="spellEnd"/>
            <w:r>
              <w:t xml:space="preserve"> pending completion are to be more than 12 months old</w:t>
            </w:r>
          </w:p>
          <w:p w:rsidR="00B9314C" w:rsidRDefault="00B9314C" w:rsidP="00B9314C">
            <w:pPr>
              <w:pStyle w:val="BoxListBullet"/>
            </w:pPr>
            <w:r>
              <w:t xml:space="preserve">no </w:t>
            </w:r>
            <w:proofErr w:type="spellStart"/>
            <w:r>
              <w:t>lodgments</w:t>
            </w:r>
            <w:proofErr w:type="spellEnd"/>
            <w:r>
              <w:t xml:space="preserve"> pending completion are to be more than 24 months old.</w:t>
            </w:r>
          </w:p>
          <w:p w:rsidR="00B9314C" w:rsidRDefault="00B9314C" w:rsidP="00493D57">
            <w:pPr>
              <w:pStyle w:val="Box"/>
            </w:pPr>
            <w:r>
              <w:t>Performance relative to the time standards indicates effective management of caseloads and</w:t>
            </w:r>
            <w:r w:rsidR="003D230A">
              <w:t xml:space="preserve"> timely</w:t>
            </w:r>
            <w:r>
              <w:t xml:space="preserve"> accessibility</w:t>
            </w:r>
            <w:r w:rsidR="003D230A">
              <w:t xml:space="preserve"> of court services</w:t>
            </w:r>
            <w:r>
              <w:t>.</w:t>
            </w:r>
          </w:p>
          <w:p w:rsidR="00B9314C" w:rsidRDefault="00B9314C" w:rsidP="00B9314C">
            <w:pPr>
              <w:pStyle w:val="Box"/>
            </w:pPr>
            <w:r>
              <w:t xml:space="preserve">Time taken to process cases is not necessarily </w:t>
            </w:r>
            <w:r w:rsidR="00952C06">
              <w:t xml:space="preserve">due to </w:t>
            </w:r>
            <w:r>
              <w:t>cour</w:t>
            </w:r>
            <w:r w:rsidR="00952C06">
              <w:t>t</w:t>
            </w:r>
            <w:r>
              <w:t xml:space="preserve"> delay. Some delays are caused by factors other than those related to the workload of the court (for example, a witness being </w:t>
            </w:r>
            <w:r w:rsidR="00373B3F">
              <w:t>un</w:t>
            </w:r>
            <w:r>
              <w:t>available).</w:t>
            </w:r>
          </w:p>
          <w:p w:rsidR="002B00D3" w:rsidRDefault="002B00D3" w:rsidP="002B00D3">
            <w:pPr>
              <w:pStyle w:val="Box"/>
            </w:pPr>
            <w:r>
              <w:t>Data reported for this indicator are:</w:t>
            </w:r>
          </w:p>
          <w:p w:rsidR="002B00D3" w:rsidRDefault="002B00D3" w:rsidP="002B00D3">
            <w:pPr>
              <w:pStyle w:val="ListBullet"/>
              <w:rPr>
                <w:rFonts w:ascii="Arial" w:hAnsi="Arial" w:cs="Arial"/>
                <w:sz w:val="22"/>
                <w:szCs w:val="22"/>
              </w:rPr>
            </w:pPr>
            <w:r w:rsidRPr="00CE0563">
              <w:rPr>
                <w:rFonts w:ascii="Arial" w:hAnsi="Arial" w:cs="Arial"/>
                <w:sz w:val="22"/>
                <w:szCs w:val="22"/>
              </w:rPr>
              <w:t>comparable (subject to caveats) across jurisdictions and over time</w:t>
            </w:r>
          </w:p>
          <w:p w:rsidR="002B00D3" w:rsidRPr="004F32AA" w:rsidRDefault="002B00D3" w:rsidP="002B00D3">
            <w:pPr>
              <w:pStyle w:val="ListBullet"/>
              <w:rPr>
                <w:rFonts w:ascii="Arial" w:hAnsi="Arial" w:cs="Arial"/>
                <w:sz w:val="22"/>
                <w:szCs w:val="22"/>
              </w:rPr>
            </w:pPr>
            <w:r w:rsidRPr="004F32AA">
              <w:rPr>
                <w:rFonts w:ascii="Arial" w:hAnsi="Arial" w:cs="Arial"/>
                <w:sz w:val="22"/>
                <w:szCs w:val="22"/>
              </w:rPr>
              <w:t>complete for the current reporting period (subject to caveats). All required 2012</w:t>
            </w:r>
            <w:r w:rsidR="00205BCF">
              <w:rPr>
                <w:rFonts w:ascii="Arial" w:hAnsi="Arial" w:cs="Arial"/>
                <w:sz w:val="22"/>
                <w:szCs w:val="22"/>
              </w:rPr>
              <w:noBreakHyphen/>
            </w:r>
            <w:r w:rsidRPr="004F32AA">
              <w:rPr>
                <w:rFonts w:ascii="Arial" w:hAnsi="Arial" w:cs="Arial"/>
                <w:sz w:val="22"/>
                <w:szCs w:val="22"/>
              </w:rPr>
              <w:t>13 data are available for all jurisdictions</w:t>
            </w:r>
            <w:r w:rsidR="00C4624A">
              <w:rPr>
                <w:rFonts w:ascii="Arial" w:hAnsi="Arial" w:cs="Arial"/>
                <w:sz w:val="22"/>
                <w:szCs w:val="22"/>
              </w:rPr>
              <w:t>.</w:t>
            </w:r>
          </w:p>
          <w:p w:rsidR="00C81B4E" w:rsidRDefault="00C4624A" w:rsidP="00C4624A">
            <w:pPr>
              <w:pStyle w:val="Box"/>
            </w:pPr>
            <w:r>
              <w:rPr>
                <w:szCs w:val="22"/>
              </w:rPr>
              <w:t>Information about d</w:t>
            </w:r>
            <w:r w:rsidR="00A87DCF" w:rsidRPr="009D5777">
              <w:rPr>
                <w:szCs w:val="22"/>
              </w:rPr>
              <w:t xml:space="preserve">ata quality </w:t>
            </w:r>
            <w:r w:rsidR="00A87DCF">
              <w:rPr>
                <w:szCs w:val="22"/>
              </w:rPr>
              <w:t>for this indicator is</w:t>
            </w:r>
            <w:r w:rsidR="00A87DCF" w:rsidRPr="009D5777">
              <w:rPr>
                <w:szCs w:val="22"/>
              </w:rPr>
              <w:t xml:space="preserve"> at </w:t>
            </w:r>
            <w:proofErr w:type="spellStart"/>
            <w:r w:rsidR="00A87DCF" w:rsidRPr="00990B51">
              <w:rPr>
                <w:szCs w:val="22"/>
              </w:rPr>
              <w:t>www.pc.gov.au</w:t>
            </w:r>
            <w:proofErr w:type="spellEnd"/>
            <w:r w:rsidR="00A87DCF" w:rsidRPr="00990B51">
              <w:rPr>
                <w:szCs w:val="22"/>
              </w:rPr>
              <w:t>/</w:t>
            </w:r>
            <w:proofErr w:type="spellStart"/>
            <w:r w:rsidR="00A87DCF" w:rsidRPr="00990B51">
              <w:rPr>
                <w:szCs w:val="22"/>
              </w:rPr>
              <w:t>gsp</w:t>
            </w:r>
            <w:proofErr w:type="spellEnd"/>
            <w:r w:rsidR="00A87DCF" w:rsidRPr="00990B51">
              <w:rPr>
                <w:szCs w:val="22"/>
              </w:rPr>
              <w:t>/reports/</w:t>
            </w:r>
            <w:proofErr w:type="spellStart"/>
            <w:r w:rsidR="00A87DCF" w:rsidRPr="00990B51">
              <w:rPr>
                <w:szCs w:val="22"/>
              </w:rPr>
              <w:t>rogs</w:t>
            </w:r>
            <w:proofErr w:type="spellEnd"/>
            <w:r w:rsidR="00A87DCF" w:rsidRPr="00990B51">
              <w:rPr>
                <w:szCs w:val="22"/>
              </w:rPr>
              <w:t>/201</w:t>
            </w:r>
            <w:r w:rsidR="00F13B3C">
              <w:rPr>
                <w:szCs w:val="22"/>
              </w:rPr>
              <w:t>4</w:t>
            </w:r>
            <w:r w:rsidR="00C81B4E">
              <w:rPr>
                <w:szCs w:val="22"/>
              </w:rPr>
              <w:t>.</w:t>
            </w:r>
          </w:p>
        </w:tc>
      </w:tr>
      <w:tr w:rsidR="00B9314C">
        <w:trPr>
          <w:cantSplit/>
        </w:trPr>
        <w:tc>
          <w:tcPr>
            <w:tcW w:w="8771" w:type="dxa"/>
            <w:tcBorders>
              <w:top w:val="nil"/>
              <w:left w:val="single" w:sz="6" w:space="0" w:color="auto"/>
              <w:bottom w:val="single" w:sz="6" w:space="0" w:color="auto"/>
              <w:right w:val="single" w:sz="6" w:space="0" w:color="auto"/>
            </w:tcBorders>
          </w:tcPr>
          <w:p w:rsidR="00B9314C" w:rsidRDefault="00B9314C">
            <w:pPr>
              <w:pStyle w:val="Box"/>
              <w:spacing w:before="0" w:line="120" w:lineRule="exact"/>
            </w:pPr>
          </w:p>
        </w:tc>
      </w:tr>
      <w:tr w:rsidR="00B9314C">
        <w:tc>
          <w:tcPr>
            <w:tcW w:w="8771" w:type="dxa"/>
            <w:tcBorders>
              <w:top w:val="nil"/>
              <w:left w:val="nil"/>
              <w:bottom w:val="nil"/>
              <w:right w:val="nil"/>
            </w:tcBorders>
          </w:tcPr>
          <w:p w:rsidR="00B9314C" w:rsidRDefault="00B9314C">
            <w:pPr>
              <w:pStyle w:val="Box"/>
              <w:keepNext w:val="0"/>
              <w:spacing w:before="60" w:after="60" w:line="80" w:lineRule="exact"/>
              <w:rPr>
                <w:b/>
                <w:color w:val="FF00FF"/>
                <w:sz w:val="14"/>
              </w:rPr>
            </w:pPr>
          </w:p>
        </w:tc>
      </w:tr>
    </w:tbl>
    <w:p w:rsidR="00E15555" w:rsidRDefault="00E15555" w:rsidP="00E15555">
      <w:pPr>
        <w:pStyle w:val="BodyText"/>
      </w:pPr>
      <w:r>
        <w:t>Results can be affected by the complexity and distribution of cases, which may vary across court levels within each State and Territory and the Australian courts (boxes 7.1, 7.2 and 7.3). Additionally, Tasmania, the ACT and the NT have a two</w:t>
      </w:r>
      <w:r>
        <w:noBreakHyphen/>
        <w:t>tier court system (that is, they do not have a district/county court level), whereas the other states and territories have a three</w:t>
      </w:r>
      <w:r>
        <w:noBreakHyphen/>
        <w:t xml:space="preserve">tier court system. This difference needs to be taken into account when comparing the results of the backlog indicator. </w:t>
      </w:r>
    </w:p>
    <w:p w:rsidR="00E132AF" w:rsidRPr="00E1327A" w:rsidRDefault="00E132AF" w:rsidP="00E132AF">
      <w:pPr>
        <w:pStyle w:val="BodyText"/>
      </w:pPr>
      <w:r w:rsidRPr="00E1327A">
        <w:t>Other factors that impact on backlog results are related to processes within the court system and whether cases have becom</w:t>
      </w:r>
      <w:r w:rsidR="001747EE">
        <w:t xml:space="preserve">e inactive or remained active. </w:t>
      </w:r>
      <w:r w:rsidRPr="00E1327A">
        <w:t>Some cases require processes to be finalised outside of the court or in another court level, and the case cannot proceed until that other process h</w:t>
      </w:r>
      <w:r>
        <w:t xml:space="preserve">as been finalised, </w:t>
      </w:r>
      <w:r w:rsidR="00970457">
        <w:t>that is,</w:t>
      </w:r>
      <w:r>
        <w:t xml:space="preserve"> it is ‘on </w:t>
      </w:r>
      <w:r>
        <w:lastRenderedPageBreak/>
        <w:t>hold’ or ‘</w:t>
      </w:r>
      <w:r w:rsidR="001747EE">
        <w:t xml:space="preserve">inactive’. </w:t>
      </w:r>
      <w:r w:rsidRPr="00E1327A">
        <w:t>In the criminal jurisdiction, those defendants who failed to appear when required and had warrants issued have been excluded from the pending caseload count as thei</w:t>
      </w:r>
      <w:r w:rsidR="001747EE">
        <w:t>r cases are considered inactive</w:t>
      </w:r>
      <w:r w:rsidRPr="00E1327A">
        <w:t xml:space="preserve"> until the defendant is apprehended. Other criminal jurisdiction processes that have a similar effect on backlogs over time are:</w:t>
      </w:r>
    </w:p>
    <w:p w:rsidR="00E132AF" w:rsidRPr="00202E78" w:rsidRDefault="00970457" w:rsidP="00A5030A">
      <w:pPr>
        <w:pStyle w:val="ListBullet"/>
        <w:rPr>
          <w:szCs w:val="26"/>
        </w:rPr>
      </w:pPr>
      <w:r>
        <w:rPr>
          <w:szCs w:val="26"/>
        </w:rPr>
        <w:t>r</w:t>
      </w:r>
      <w:r w:rsidR="00E132AF" w:rsidRPr="00202E78">
        <w:rPr>
          <w:szCs w:val="26"/>
        </w:rPr>
        <w:t>eferrals to Mental Health Tribunals</w:t>
      </w:r>
    </w:p>
    <w:p w:rsidR="00E132AF" w:rsidRPr="00202E78" w:rsidRDefault="00970457" w:rsidP="00A5030A">
      <w:pPr>
        <w:pStyle w:val="ListBullet"/>
        <w:rPr>
          <w:szCs w:val="26"/>
        </w:rPr>
      </w:pPr>
      <w:r>
        <w:rPr>
          <w:szCs w:val="26"/>
        </w:rPr>
        <w:t>r</w:t>
      </w:r>
      <w:r w:rsidR="00E132AF" w:rsidRPr="00202E78">
        <w:rPr>
          <w:szCs w:val="26"/>
        </w:rPr>
        <w:t>eferral to specialist courts</w:t>
      </w:r>
    </w:p>
    <w:p w:rsidR="00E132AF" w:rsidRPr="00202E78" w:rsidRDefault="00970457" w:rsidP="00A5030A">
      <w:pPr>
        <w:pStyle w:val="ListBullet"/>
        <w:rPr>
          <w:szCs w:val="26"/>
        </w:rPr>
      </w:pPr>
      <w:r>
        <w:rPr>
          <w:szCs w:val="26"/>
        </w:rPr>
        <w:t>m</w:t>
      </w:r>
      <w:r w:rsidR="00E132AF" w:rsidRPr="00202E78">
        <w:rPr>
          <w:szCs w:val="26"/>
        </w:rPr>
        <w:t>atters on Interlocutory Appeal</w:t>
      </w:r>
    </w:p>
    <w:p w:rsidR="00E132AF" w:rsidRPr="00202E78" w:rsidRDefault="00970457" w:rsidP="00A5030A">
      <w:pPr>
        <w:pStyle w:val="ListBullet"/>
        <w:rPr>
          <w:szCs w:val="26"/>
        </w:rPr>
      </w:pPr>
      <w:r>
        <w:rPr>
          <w:szCs w:val="26"/>
        </w:rPr>
        <w:t>c</w:t>
      </w:r>
      <w:r w:rsidR="00E132AF" w:rsidRPr="00202E78">
        <w:rPr>
          <w:szCs w:val="26"/>
        </w:rPr>
        <w:t>ases delayed by related cases or co-accused</w:t>
      </w:r>
    </w:p>
    <w:p w:rsidR="00E132AF" w:rsidRPr="00202E78" w:rsidRDefault="00970457" w:rsidP="00A5030A">
      <w:pPr>
        <w:pStyle w:val="ListBullet"/>
        <w:rPr>
          <w:szCs w:val="26"/>
        </w:rPr>
      </w:pPr>
      <w:r>
        <w:rPr>
          <w:szCs w:val="26"/>
        </w:rPr>
        <w:t>r</w:t>
      </w:r>
      <w:r w:rsidR="00E132AF" w:rsidRPr="00202E78">
        <w:rPr>
          <w:szCs w:val="26"/>
        </w:rPr>
        <w:t>eferrals to programs for rehabilitation</w:t>
      </w:r>
    </w:p>
    <w:p w:rsidR="00E132AF" w:rsidRPr="00202E78" w:rsidRDefault="00970457" w:rsidP="00A5030A">
      <w:pPr>
        <w:pStyle w:val="ListBullet"/>
        <w:rPr>
          <w:szCs w:val="26"/>
        </w:rPr>
      </w:pPr>
      <w:r>
        <w:rPr>
          <w:szCs w:val="26"/>
        </w:rPr>
        <w:t>f</w:t>
      </w:r>
      <w:r w:rsidR="00E132AF" w:rsidRPr="00202E78">
        <w:rPr>
          <w:szCs w:val="26"/>
        </w:rPr>
        <w:t xml:space="preserve">amily </w:t>
      </w:r>
      <w:r>
        <w:rPr>
          <w:szCs w:val="26"/>
        </w:rPr>
        <w:t>l</w:t>
      </w:r>
      <w:r w:rsidR="00E132AF" w:rsidRPr="00202E78">
        <w:rPr>
          <w:szCs w:val="26"/>
        </w:rPr>
        <w:t>aw matters determined “on-hold”.</w:t>
      </w:r>
    </w:p>
    <w:p w:rsidR="00E132AF" w:rsidRDefault="00E132AF" w:rsidP="00E132AF">
      <w:pPr>
        <w:pStyle w:val="BodyText"/>
      </w:pPr>
      <w:r w:rsidRPr="00E1327A">
        <w:t>The age of the pending workload and civil case processing timeliness can be affected by several factors (box 7.</w:t>
      </w:r>
      <w:r w:rsidR="007961CF">
        <w:t>10</w:t>
      </w:r>
      <w:r w:rsidRPr="00E1327A">
        <w:t>). Also differences in completion times in the civil jurisdiction of the states and territories generally reflect different case flow management practices, the individual needs of cases, and the priority given to criminal matters.</w:t>
      </w:r>
    </w:p>
    <w:p w:rsidR="00593048" w:rsidRPr="00205BCF" w:rsidRDefault="00593048" w:rsidP="00A5030A">
      <w:pPr>
        <w:pStyle w:val="BoxSpace"/>
        <w:rPr>
          <w:b/>
          <w:color w:val="FF00FF"/>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3048" w:rsidTr="00425593">
        <w:tc>
          <w:tcPr>
            <w:tcW w:w="8771" w:type="dxa"/>
            <w:tcBorders>
              <w:top w:val="single" w:sz="6" w:space="0" w:color="auto"/>
              <w:bottom w:val="nil"/>
            </w:tcBorders>
          </w:tcPr>
          <w:p w:rsidR="00593048" w:rsidRPr="004926CC" w:rsidRDefault="00593048" w:rsidP="00425593">
            <w:pPr>
              <w:pStyle w:val="BoxTitle"/>
            </w:pPr>
            <w:r>
              <w:rPr>
                <w:b w:val="0"/>
              </w:rPr>
              <w:t>Box 7.</w:t>
            </w:r>
            <w:r w:rsidR="007961CF">
              <w:rPr>
                <w:b w:val="0"/>
                <w:noProof/>
              </w:rPr>
              <w:t>10</w:t>
            </w:r>
            <w:r>
              <w:tab/>
            </w:r>
            <w:r w:rsidRPr="004926CC">
              <w:t>Civil timeliness factors</w:t>
            </w:r>
          </w:p>
        </w:tc>
      </w:tr>
      <w:tr w:rsidR="00593048" w:rsidTr="00425593">
        <w:trPr>
          <w:cantSplit/>
        </w:trPr>
        <w:tc>
          <w:tcPr>
            <w:tcW w:w="8771" w:type="dxa"/>
            <w:tcBorders>
              <w:top w:val="nil"/>
              <w:left w:val="single" w:sz="6" w:space="0" w:color="auto"/>
              <w:bottom w:val="nil"/>
              <w:right w:val="single" w:sz="6" w:space="0" w:color="auto"/>
            </w:tcBorders>
          </w:tcPr>
          <w:p w:rsidR="00593048" w:rsidRDefault="00593048" w:rsidP="00425593">
            <w:pPr>
              <w:pStyle w:val="Box"/>
            </w:pPr>
            <w:r>
              <w:t>The following factors may affect the timeliness of case processing in the civil courts:</w:t>
            </w:r>
          </w:p>
          <w:p w:rsidR="00593048" w:rsidRDefault="00593048" w:rsidP="00425593">
            <w:pPr>
              <w:pStyle w:val="BoxListBullet"/>
            </w:pPr>
            <w:r>
              <w:t>where civil cases are contested, a single case may involve several related applications or issues that require judgments and decisions by the court</w:t>
            </w:r>
          </w:p>
          <w:p w:rsidR="00593048" w:rsidRDefault="00593048" w:rsidP="00425593">
            <w:pPr>
              <w:pStyle w:val="BoxListBullet"/>
            </w:pPr>
            <w:r>
              <w:t>the parties to a case can significantly affect the conduct and timeliness of a case — that is, matters often may be adjourned at the instigation of, and by the consent of, the parties — such consent arrangements are outside the control of the court</w:t>
            </w:r>
          </w:p>
          <w:p w:rsidR="00593048" w:rsidRDefault="00593048" w:rsidP="00425593">
            <w:pPr>
              <w:pStyle w:val="BoxListBullet"/>
            </w:pPr>
            <w:r>
              <w:t>the court may employ case management or other dispute resolution processes (for example, mediation) that are alternatives to formal adjudication</w:t>
            </w:r>
          </w:p>
          <w:p w:rsidR="00593048" w:rsidRDefault="00593048" w:rsidP="00425593">
            <w:pPr>
              <w:pStyle w:val="BoxListBullet"/>
            </w:pPr>
            <w:r>
              <w:t>an inactive case is regarded as finalised (or closed) 12 months after the last action on the case (in accordance with the counting rules for this data collection).</w:t>
            </w:r>
          </w:p>
        </w:tc>
      </w:tr>
      <w:tr w:rsidR="00593048" w:rsidTr="00425593">
        <w:trPr>
          <w:cantSplit/>
        </w:trPr>
        <w:tc>
          <w:tcPr>
            <w:tcW w:w="8771" w:type="dxa"/>
            <w:tcBorders>
              <w:top w:val="nil"/>
              <w:left w:val="single" w:sz="6" w:space="0" w:color="auto"/>
              <w:bottom w:val="single" w:sz="6" w:space="0" w:color="auto"/>
              <w:right w:val="single" w:sz="6" w:space="0" w:color="auto"/>
            </w:tcBorders>
          </w:tcPr>
          <w:p w:rsidR="00593048" w:rsidRDefault="00593048" w:rsidP="00425593">
            <w:pPr>
              <w:pStyle w:val="Box"/>
              <w:spacing w:before="0" w:line="120" w:lineRule="exact"/>
            </w:pPr>
          </w:p>
        </w:tc>
      </w:tr>
      <w:tr w:rsidR="00593048" w:rsidTr="00425593">
        <w:tc>
          <w:tcPr>
            <w:tcW w:w="8771" w:type="dxa"/>
            <w:tcBorders>
              <w:top w:val="nil"/>
              <w:left w:val="nil"/>
              <w:bottom w:val="nil"/>
              <w:right w:val="nil"/>
            </w:tcBorders>
          </w:tcPr>
          <w:p w:rsidR="00593048" w:rsidRDefault="00593048" w:rsidP="00425593">
            <w:pPr>
              <w:pStyle w:val="Box"/>
              <w:keepNext w:val="0"/>
              <w:spacing w:before="60" w:after="60" w:line="80" w:lineRule="exact"/>
              <w:rPr>
                <w:b/>
                <w:color w:val="FF00FF"/>
                <w:sz w:val="14"/>
              </w:rPr>
            </w:pPr>
          </w:p>
        </w:tc>
      </w:tr>
    </w:tbl>
    <w:p w:rsidR="00593048" w:rsidRDefault="00593048" w:rsidP="00593048">
      <w:pPr>
        <w:pStyle w:val="BodyText"/>
      </w:pPr>
      <w:r>
        <w:t xml:space="preserve">The age of the pending caseload and case processing timeliness in criminal cases (and for some civil cases) can also be affected by orders or programs that are initiated following a court </w:t>
      </w:r>
      <w:proofErr w:type="spellStart"/>
      <w:r>
        <w:t>lodgment</w:t>
      </w:r>
      <w:proofErr w:type="spellEnd"/>
      <w:r>
        <w:t>, but prior to a court finalisation. These programs or orders are commonly referred to as diversion programs and are outlined in more detail in box 7.1</w:t>
      </w:r>
      <w:r w:rsidR="007961CF">
        <w:t>1</w:t>
      </w:r>
      <w:r>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3048" w:rsidTr="00425593">
        <w:tc>
          <w:tcPr>
            <w:tcW w:w="8771" w:type="dxa"/>
            <w:tcBorders>
              <w:top w:val="single" w:sz="6" w:space="0" w:color="auto"/>
              <w:bottom w:val="nil"/>
            </w:tcBorders>
          </w:tcPr>
          <w:p w:rsidR="00593048" w:rsidRPr="00DF1AE1" w:rsidRDefault="00593048" w:rsidP="00425593">
            <w:pPr>
              <w:pStyle w:val="BoxTitle"/>
            </w:pPr>
            <w:r>
              <w:rPr>
                <w:b w:val="0"/>
              </w:rPr>
              <w:lastRenderedPageBreak/>
              <w:t>Box 7.1</w:t>
            </w:r>
            <w:r w:rsidR="007961CF">
              <w:rPr>
                <w:b w:val="0"/>
              </w:rPr>
              <w:t>1</w:t>
            </w:r>
            <w:r>
              <w:tab/>
            </w:r>
            <w:r w:rsidRPr="00DF1AE1">
              <w:t>Diversion programs and the impact on timeliness</w:t>
            </w:r>
          </w:p>
        </w:tc>
      </w:tr>
      <w:tr w:rsidR="00593048" w:rsidTr="00425593">
        <w:trPr>
          <w:cantSplit/>
        </w:trPr>
        <w:tc>
          <w:tcPr>
            <w:tcW w:w="8771" w:type="dxa"/>
            <w:tcBorders>
              <w:top w:val="nil"/>
              <w:left w:val="single" w:sz="6" w:space="0" w:color="auto"/>
              <w:bottom w:val="nil"/>
              <w:right w:val="single" w:sz="6" w:space="0" w:color="auto"/>
            </w:tcBorders>
          </w:tcPr>
          <w:p w:rsidR="00593048" w:rsidRDefault="00593048" w:rsidP="00425593">
            <w:pPr>
              <w:pStyle w:val="Box"/>
            </w:pPr>
            <w:r>
              <w:t>Courts offer diversion programs to improve the quality of outcomes within the justice system and for the community generally. Diversion programs can involve processes that are outside the control of court adm</w:t>
            </w:r>
            <w:r w:rsidR="005118C2">
              <w:t>inistration</w:t>
            </w:r>
            <w:r>
              <w:t xml:space="preserve">. The period between </w:t>
            </w:r>
            <w:proofErr w:type="spellStart"/>
            <w:r>
              <w:t>lodgment</w:t>
            </w:r>
            <w:proofErr w:type="spellEnd"/>
            <w:r>
              <w:t xml:space="preserve"> and finalisation can be affected by those processes. Within the criminal justice system, diversion programs are usually </w:t>
            </w:r>
            <w:proofErr w:type="spellStart"/>
            <w:r>
              <w:t>focussed</w:t>
            </w:r>
            <w:proofErr w:type="spellEnd"/>
            <w:r>
              <w:t xml:space="preserve"> on rehabilitation for the defendant and/or restoration for the victim. They are most often (but not exclusively) used in magistrates’ courts, and </w:t>
            </w:r>
            <w:r w:rsidR="00045B30">
              <w:t xml:space="preserve">are </w:t>
            </w:r>
            <w:r>
              <w:t>usually voluntary. Examples include:</w:t>
            </w:r>
          </w:p>
          <w:p w:rsidR="00593048" w:rsidRDefault="00593048" w:rsidP="00341B5E">
            <w:pPr>
              <w:pStyle w:val="BoxListBullet"/>
            </w:pPr>
            <w:r>
              <w:t>referral of defendants to drug programs (from counselling through to treatment programs) — availabl</w:t>
            </w:r>
            <w:r w:rsidR="000D4979">
              <w:t>e in all states and territories</w:t>
            </w:r>
          </w:p>
          <w:p w:rsidR="003A7828" w:rsidRPr="00A160D7" w:rsidRDefault="003A7828" w:rsidP="00341B5E">
            <w:pPr>
              <w:pStyle w:val="BoxListBullet"/>
            </w:pPr>
            <w:r w:rsidRPr="00A160D7">
              <w:t>referral of defendants to therapeutic support programs while on bail and pre-plea (Courts Integrated Support Program and CREDIT/Bail in Victoria</w:t>
            </w:r>
            <w:r w:rsidR="00853EC1">
              <w:t>)</w:t>
            </w:r>
          </w:p>
          <w:p w:rsidR="00593048" w:rsidRDefault="00593048" w:rsidP="00341B5E">
            <w:pPr>
              <w:pStyle w:val="BoxListBullet"/>
            </w:pPr>
            <w:r>
              <w:t>referral of defendants to a mental health court (Queensland</w:t>
            </w:r>
            <w:r w:rsidR="000D4979">
              <w:t>,</w:t>
            </w:r>
            <w:r>
              <w:t xml:space="preserve"> SA</w:t>
            </w:r>
            <w:r w:rsidR="000D4979">
              <w:t xml:space="preserve"> </w:t>
            </w:r>
            <w:r w:rsidR="000D4979" w:rsidRPr="00E151A1">
              <w:t>and Tasmania</w:t>
            </w:r>
            <w:r>
              <w:t xml:space="preserve">) or for various mental health assessments (NSW, WA and the ACT) </w:t>
            </w:r>
          </w:p>
          <w:p w:rsidR="00593048" w:rsidRDefault="00593048" w:rsidP="00341B5E">
            <w:pPr>
              <w:pStyle w:val="BoxListBullet"/>
            </w:pPr>
            <w:r>
              <w:t xml:space="preserve">referral of defendants to </w:t>
            </w:r>
            <w:r w:rsidR="000D4979">
              <w:t xml:space="preserve">a family violence court (WA, </w:t>
            </w:r>
            <w:r>
              <w:t>SA</w:t>
            </w:r>
            <w:r w:rsidR="000D4979">
              <w:t xml:space="preserve"> </w:t>
            </w:r>
            <w:r w:rsidR="000D4979" w:rsidRPr="00E151A1">
              <w:t>and Tasmania</w:t>
            </w:r>
            <w:r>
              <w:t>) for participation in targeted programs</w:t>
            </w:r>
          </w:p>
          <w:p w:rsidR="00593048" w:rsidRDefault="00593048" w:rsidP="00341B5E">
            <w:pPr>
              <w:pStyle w:val="BoxListBullet"/>
            </w:pPr>
            <w:r>
              <w:t>referral of defendants to an Indigenous court or Circle Sentencing program (NSW, Victoria, Queensland,</w:t>
            </w:r>
            <w:r w:rsidR="0028094E">
              <w:t xml:space="preserve"> WA,</w:t>
            </w:r>
            <w:r>
              <w:t xml:space="preserve"> SA and the ACT).</w:t>
            </w:r>
          </w:p>
          <w:p w:rsidR="00593048" w:rsidRDefault="00593048" w:rsidP="00425593">
            <w:pPr>
              <w:pStyle w:val="Box"/>
            </w:pPr>
            <w:r>
              <w:t>The processes listed above can range in completion times between one week and seven years. With some diversion programs, success will delay finalisation significantly. For example, some drug court programs can require compliance for 12 months or longer before the defendant is considered to have completed the program.</w:t>
            </w:r>
          </w:p>
          <w:p w:rsidR="00593048" w:rsidRDefault="00593048" w:rsidP="00425593">
            <w:pPr>
              <w:pStyle w:val="Box"/>
            </w:pPr>
            <w:r>
              <w:t>Within the civil justice system, diversion programs can be a quicker and cheaper form of dispute resolution. Examples include:</w:t>
            </w:r>
          </w:p>
          <w:p w:rsidR="00593048" w:rsidRDefault="00593048" w:rsidP="00425593">
            <w:pPr>
              <w:pStyle w:val="BoxListBullet"/>
            </w:pPr>
            <w:r>
              <w:t>mediation — referrals can be made at any time during the proceedings. A court may require parties to complete a mediation program within a specified time, or can consider the timeframe to be ‘open-ended’ (for example, referrals to the National Native Title Tribunal). Completion time can also be affected by the complexity of the dispute and the number of parties involved, and can therefore vary significantly from case to case. Usually all parties consent to use mediation, but in some states parties can be ordered to mediate their dispute</w:t>
            </w:r>
          </w:p>
          <w:p w:rsidR="00593048" w:rsidRDefault="00593048" w:rsidP="00425593">
            <w:pPr>
              <w:pStyle w:val="BoxListBullet"/>
            </w:pPr>
            <w:r>
              <w:t>arbitration — referrals are usually made early in the proceedings and the court supervises the process. The hearing is shorter than a court hearing. Participation can be voluntary or by order</w:t>
            </w:r>
          </w:p>
          <w:p w:rsidR="00593048" w:rsidRDefault="00593048" w:rsidP="00425593">
            <w:pPr>
              <w:pStyle w:val="BoxListBullet"/>
            </w:pPr>
            <w:r>
              <w:t>reference to a referee — technical issues arising in proceedings may be referred to suitably qualified experts (referees) for inquiry and report. The court supervises the process and may adopt, vary or reject the report.</w:t>
            </w:r>
          </w:p>
          <w:p w:rsidR="00593048" w:rsidRDefault="00593048" w:rsidP="00425593">
            <w:pPr>
              <w:pStyle w:val="Box"/>
            </w:pPr>
            <w:r>
              <w:t>Success at mediation (settlement of the case) or at arbitration (acceptance of the arbitrator’s award) generally finalises cases earlier than if finalised by trial and judgment. Where the mediation or arbitration is unsuccessful, the delaying effect on finalisation is highly variable.</w:t>
            </w:r>
          </w:p>
        </w:tc>
      </w:tr>
      <w:tr w:rsidR="00593048" w:rsidTr="00425593">
        <w:trPr>
          <w:cantSplit/>
        </w:trPr>
        <w:tc>
          <w:tcPr>
            <w:tcW w:w="8771" w:type="dxa"/>
            <w:tcBorders>
              <w:top w:val="nil"/>
              <w:left w:val="single" w:sz="6" w:space="0" w:color="auto"/>
              <w:bottom w:val="single" w:sz="6" w:space="0" w:color="auto"/>
              <w:right w:val="single" w:sz="6" w:space="0" w:color="auto"/>
            </w:tcBorders>
          </w:tcPr>
          <w:p w:rsidR="00593048" w:rsidRDefault="00593048" w:rsidP="00425593">
            <w:pPr>
              <w:pStyle w:val="Box"/>
              <w:spacing w:before="0" w:line="120" w:lineRule="exact"/>
            </w:pPr>
          </w:p>
        </w:tc>
      </w:tr>
    </w:tbl>
    <w:p w:rsidR="004E5AB0" w:rsidRPr="00E1327A" w:rsidRDefault="004E5AB0" w:rsidP="004E5AB0">
      <w:pPr>
        <w:pStyle w:val="BodyText"/>
      </w:pPr>
      <w:r w:rsidRPr="00E1327A">
        <w:lastRenderedPageBreak/>
        <w:t>These factors mean that the impact on backlo</w:t>
      </w:r>
      <w:r>
        <w:t xml:space="preserve">gs by changes in levels of </w:t>
      </w:r>
      <w:proofErr w:type="spellStart"/>
      <w:r>
        <w:t>lodg</w:t>
      </w:r>
      <w:r w:rsidRPr="00E1327A">
        <w:t>ments</w:t>
      </w:r>
      <w:proofErr w:type="spellEnd"/>
      <w:r w:rsidRPr="00E1327A">
        <w:t xml:space="preserve"> or finalisations is</w:t>
      </w:r>
      <w:r>
        <w:t xml:space="preserve"> not direct. </w:t>
      </w:r>
      <w:r w:rsidRPr="00E1327A">
        <w:t>The impact will be influenced by cases that go through periods of inactivity, as well as different court processes, methods of data c</w:t>
      </w:r>
      <w:r>
        <w:t xml:space="preserve">ompilation and counting rules. </w:t>
      </w:r>
      <w:r w:rsidRPr="00E1327A">
        <w:t>Th</w:t>
      </w:r>
      <w:r>
        <w:t xml:space="preserve">is means that increases in </w:t>
      </w:r>
      <w:proofErr w:type="spellStart"/>
      <w:r>
        <w:t>lodg</w:t>
      </w:r>
      <w:r w:rsidRPr="00E1327A">
        <w:t>ments</w:t>
      </w:r>
      <w:proofErr w:type="spellEnd"/>
      <w:r w:rsidRPr="00E1327A">
        <w:t xml:space="preserve"> with decreasing finali</w:t>
      </w:r>
      <w:r>
        <w:t>sations does not necessarily result in</w:t>
      </w:r>
      <w:r w:rsidRPr="00E1327A">
        <w:t xml:space="preserve"> increases in backlogs. This needs to be taken into accoun</w:t>
      </w:r>
      <w:r>
        <w:t xml:space="preserve">t when comparing trends in </w:t>
      </w:r>
      <w:proofErr w:type="spellStart"/>
      <w:r>
        <w:t>lodg</w:t>
      </w:r>
      <w:r w:rsidRPr="00E1327A">
        <w:t>ments</w:t>
      </w:r>
      <w:proofErr w:type="spellEnd"/>
      <w:r w:rsidRPr="00E1327A">
        <w:t>, finalis</w:t>
      </w:r>
      <w:r w:rsidR="00585933">
        <w:t>ations and backlogs across the five</w:t>
      </w:r>
      <w:r w:rsidRPr="00E1327A">
        <w:t xml:space="preserve"> years of data.    </w:t>
      </w:r>
    </w:p>
    <w:p w:rsidR="00DD05D1" w:rsidRDefault="00DD05D1" w:rsidP="00A160D7">
      <w:pPr>
        <w:pStyle w:val="BodyText"/>
      </w:pPr>
      <w:r>
        <w:t>Data on the backlog for criminal matters at 30 June 20</w:t>
      </w:r>
      <w:r w:rsidR="006D2B1B">
        <w:t>13</w:t>
      </w:r>
      <w:r>
        <w:t xml:space="preserve"> are contained in table 7.12. Data showing backlog trends over five years are shown in attachment table </w:t>
      </w:r>
      <w:proofErr w:type="spellStart"/>
      <w:r>
        <w:t>7A.1</w:t>
      </w:r>
      <w:r w:rsidR="000717F9">
        <w:t>9</w:t>
      </w:r>
      <w:proofErr w:type="spellEnd"/>
      <w:r>
        <w:t xml:space="preserve">. </w:t>
      </w:r>
    </w:p>
    <w:p w:rsidR="002E56C3" w:rsidRPr="00240072" w:rsidRDefault="002E56C3">
      <w:pPr>
        <w:pStyle w:val="TableTitle"/>
      </w:pPr>
      <w:r w:rsidRPr="00240072">
        <w:rPr>
          <w:b w:val="0"/>
        </w:rPr>
        <w:lastRenderedPageBreak/>
        <w:t>Table 7.</w:t>
      </w:r>
      <w:r w:rsidR="000C6105">
        <w:rPr>
          <w:b w:val="0"/>
          <w:noProof/>
        </w:rPr>
        <w:t>12</w:t>
      </w:r>
      <w:r w:rsidRPr="00240072">
        <w:tab/>
        <w:t>Backlog</w:t>
      </w:r>
      <w:r w:rsidR="00505751" w:rsidRPr="00240072">
        <w:t xml:space="preserve"> — </w:t>
      </w:r>
      <w:r w:rsidR="00A45183">
        <w:t>all criminal matters,</w:t>
      </w:r>
      <w:r w:rsidRPr="00240072">
        <w:t xml:space="preserve"> at 30 June </w:t>
      </w:r>
      <w:r w:rsidR="008F7F75">
        <w:t>2013</w:t>
      </w:r>
    </w:p>
    <w:tbl>
      <w:tblPr>
        <w:tblW w:w="0" w:type="auto"/>
        <w:tblLayout w:type="fixed"/>
        <w:tblCellMar>
          <w:left w:w="0" w:type="dxa"/>
          <w:right w:w="0" w:type="dxa"/>
        </w:tblCellMar>
        <w:tblLook w:val="0000" w:firstRow="0" w:lastRow="0" w:firstColumn="0" w:lastColumn="0" w:noHBand="0" w:noVBand="0"/>
      </w:tblPr>
      <w:tblGrid>
        <w:gridCol w:w="1843"/>
        <w:gridCol w:w="540"/>
        <w:gridCol w:w="796"/>
        <w:gridCol w:w="797"/>
        <w:gridCol w:w="797"/>
        <w:gridCol w:w="797"/>
        <w:gridCol w:w="796"/>
        <w:gridCol w:w="797"/>
        <w:gridCol w:w="797"/>
        <w:gridCol w:w="797"/>
      </w:tblGrid>
      <w:tr w:rsidR="00C15CE0" w:rsidRPr="00B65A58" w:rsidTr="00DC17C9">
        <w:tc>
          <w:tcPr>
            <w:tcW w:w="1843" w:type="dxa"/>
            <w:tcBorders>
              <w:top w:val="single" w:sz="6" w:space="0" w:color="auto"/>
              <w:bottom w:val="single" w:sz="6" w:space="0" w:color="auto"/>
            </w:tcBorders>
          </w:tcPr>
          <w:p w:rsidR="00C15CE0" w:rsidRPr="00B65A58" w:rsidRDefault="00C15CE0" w:rsidP="00C15CE0">
            <w:pPr>
              <w:pStyle w:val="TableColumnHeading"/>
              <w:jc w:val="left"/>
            </w:pPr>
          </w:p>
        </w:tc>
        <w:tc>
          <w:tcPr>
            <w:tcW w:w="540" w:type="dxa"/>
            <w:tcBorders>
              <w:top w:val="single" w:sz="6" w:space="0" w:color="auto"/>
              <w:bottom w:val="single" w:sz="6" w:space="0" w:color="auto"/>
            </w:tcBorders>
          </w:tcPr>
          <w:p w:rsidR="00C15CE0" w:rsidRPr="00B65A58" w:rsidRDefault="00C15CE0" w:rsidP="00C15CE0">
            <w:pPr>
              <w:pStyle w:val="TableColumnHeading"/>
            </w:pPr>
            <w:r w:rsidRPr="00B65A58">
              <w:t>Unit</w:t>
            </w:r>
          </w:p>
        </w:tc>
        <w:tc>
          <w:tcPr>
            <w:tcW w:w="796" w:type="dxa"/>
            <w:tcBorders>
              <w:top w:val="single" w:sz="6" w:space="0" w:color="auto"/>
              <w:bottom w:val="single" w:sz="6" w:space="0" w:color="auto"/>
            </w:tcBorders>
          </w:tcPr>
          <w:p w:rsidR="00C15CE0" w:rsidRPr="00B65A58" w:rsidRDefault="00C15CE0" w:rsidP="00C15CE0">
            <w:pPr>
              <w:pStyle w:val="TableColumnHeading"/>
            </w:pPr>
            <w:r w:rsidRPr="00B65A58">
              <w:t>NSW</w:t>
            </w:r>
          </w:p>
        </w:tc>
        <w:tc>
          <w:tcPr>
            <w:tcW w:w="797" w:type="dxa"/>
            <w:tcBorders>
              <w:top w:val="single" w:sz="6" w:space="0" w:color="auto"/>
              <w:bottom w:val="single" w:sz="6" w:space="0" w:color="auto"/>
            </w:tcBorders>
          </w:tcPr>
          <w:p w:rsidR="00C15CE0" w:rsidRPr="00B65A58" w:rsidRDefault="00C15CE0" w:rsidP="00C15CE0">
            <w:pPr>
              <w:pStyle w:val="TableColumnHeading"/>
            </w:pPr>
            <w:r w:rsidRPr="00B65A58">
              <w:t>Vic</w:t>
            </w:r>
          </w:p>
        </w:tc>
        <w:tc>
          <w:tcPr>
            <w:tcW w:w="797" w:type="dxa"/>
            <w:tcBorders>
              <w:top w:val="single" w:sz="6" w:space="0" w:color="auto"/>
              <w:bottom w:val="single" w:sz="6" w:space="0" w:color="auto"/>
            </w:tcBorders>
          </w:tcPr>
          <w:p w:rsidR="00C15CE0" w:rsidRPr="00B65A58" w:rsidRDefault="00C15CE0" w:rsidP="00C15CE0">
            <w:pPr>
              <w:pStyle w:val="TableColumnHeading"/>
            </w:pPr>
            <w:r w:rsidRPr="00B65A58">
              <w:t>Qld</w:t>
            </w:r>
          </w:p>
        </w:tc>
        <w:tc>
          <w:tcPr>
            <w:tcW w:w="797" w:type="dxa"/>
            <w:tcBorders>
              <w:top w:val="single" w:sz="6" w:space="0" w:color="auto"/>
              <w:bottom w:val="single" w:sz="6" w:space="0" w:color="auto"/>
            </w:tcBorders>
          </w:tcPr>
          <w:p w:rsidR="00C15CE0" w:rsidRPr="00B65A58" w:rsidRDefault="00C15CE0" w:rsidP="00C15CE0">
            <w:pPr>
              <w:pStyle w:val="TableColumnHeading"/>
            </w:pPr>
            <w:r w:rsidRPr="00B65A58">
              <w:t>WA</w:t>
            </w:r>
          </w:p>
        </w:tc>
        <w:tc>
          <w:tcPr>
            <w:tcW w:w="796" w:type="dxa"/>
            <w:tcBorders>
              <w:top w:val="single" w:sz="6" w:space="0" w:color="auto"/>
              <w:bottom w:val="single" w:sz="6" w:space="0" w:color="auto"/>
            </w:tcBorders>
          </w:tcPr>
          <w:p w:rsidR="00C15CE0" w:rsidRPr="00B65A58" w:rsidRDefault="00C15CE0" w:rsidP="00C15CE0">
            <w:pPr>
              <w:pStyle w:val="TableColumnHeading"/>
            </w:pPr>
            <w:r w:rsidRPr="00B65A58">
              <w:t>SA</w:t>
            </w:r>
          </w:p>
        </w:tc>
        <w:tc>
          <w:tcPr>
            <w:tcW w:w="797" w:type="dxa"/>
            <w:tcBorders>
              <w:top w:val="single" w:sz="6" w:space="0" w:color="auto"/>
              <w:bottom w:val="single" w:sz="6" w:space="0" w:color="auto"/>
            </w:tcBorders>
          </w:tcPr>
          <w:p w:rsidR="00C15CE0" w:rsidRPr="00B65A58" w:rsidRDefault="00C15CE0" w:rsidP="00C15CE0">
            <w:pPr>
              <w:pStyle w:val="TableColumnHeading"/>
            </w:pPr>
            <w:proofErr w:type="spellStart"/>
            <w:r w:rsidRPr="00B65A58">
              <w:t>Tas</w:t>
            </w:r>
            <w:proofErr w:type="spellEnd"/>
          </w:p>
        </w:tc>
        <w:tc>
          <w:tcPr>
            <w:tcW w:w="797" w:type="dxa"/>
            <w:tcBorders>
              <w:top w:val="single" w:sz="6" w:space="0" w:color="auto"/>
              <w:bottom w:val="single" w:sz="6" w:space="0" w:color="auto"/>
            </w:tcBorders>
          </w:tcPr>
          <w:p w:rsidR="00C15CE0" w:rsidRPr="00B65A58" w:rsidRDefault="00C15CE0" w:rsidP="00C15CE0">
            <w:pPr>
              <w:pStyle w:val="TableColumnHeading"/>
            </w:pPr>
            <w:r w:rsidRPr="00B65A58">
              <w:t>ACT</w:t>
            </w:r>
          </w:p>
        </w:tc>
        <w:tc>
          <w:tcPr>
            <w:tcW w:w="797" w:type="dxa"/>
            <w:tcBorders>
              <w:top w:val="single" w:sz="6" w:space="0" w:color="auto"/>
              <w:bottom w:val="single" w:sz="6" w:space="0" w:color="auto"/>
            </w:tcBorders>
          </w:tcPr>
          <w:p w:rsidR="00C15CE0" w:rsidRPr="00B65A58" w:rsidRDefault="00C15CE0" w:rsidP="00C15CE0">
            <w:pPr>
              <w:pStyle w:val="TableColumnHeading"/>
              <w:ind w:right="28"/>
            </w:pPr>
            <w:r w:rsidRPr="00B65A58">
              <w:t>NT</w:t>
            </w:r>
            <w:r w:rsidR="00176DCA">
              <w:t xml:space="preserve"> </w:t>
            </w:r>
          </w:p>
        </w:tc>
      </w:tr>
      <w:tr w:rsidR="000931F9" w:rsidRPr="00B65A58" w:rsidTr="00DC17C9">
        <w:tc>
          <w:tcPr>
            <w:tcW w:w="8757" w:type="dxa"/>
            <w:gridSpan w:val="10"/>
            <w:tcBorders>
              <w:top w:val="single" w:sz="6" w:space="0" w:color="auto"/>
            </w:tcBorders>
            <w:shd w:val="clear" w:color="auto" w:fill="auto"/>
          </w:tcPr>
          <w:p w:rsidR="000931F9" w:rsidRPr="000B7D55" w:rsidRDefault="000931F9" w:rsidP="000931F9">
            <w:pPr>
              <w:pStyle w:val="TableBodyText"/>
              <w:ind w:right="28"/>
              <w:jc w:val="left"/>
              <w:rPr>
                <w:color w:val="FF0000"/>
                <w:sz w:val="18"/>
                <w:szCs w:val="18"/>
              </w:rPr>
            </w:pPr>
            <w:r>
              <w:rPr>
                <w:b/>
              </w:rPr>
              <w:t>H</w:t>
            </w:r>
            <w:r w:rsidRPr="00B65A58">
              <w:rPr>
                <w:b/>
              </w:rPr>
              <w:t>igher</w:t>
            </w:r>
            <w:r w:rsidR="00DA472C">
              <w:rPr>
                <w:rStyle w:val="NoteLabel"/>
              </w:rPr>
              <w:t>a</w:t>
            </w:r>
            <w:r w:rsidRPr="00A356B5">
              <w:rPr>
                <w:rStyle w:val="NoteLabel"/>
              </w:rPr>
              <w:t>,</w:t>
            </w:r>
            <w:r>
              <w:rPr>
                <w:rStyle w:val="NoteLabel"/>
              </w:rPr>
              <w:t xml:space="preserve"> </w:t>
            </w:r>
            <w:r w:rsidR="00DA472C">
              <w:rPr>
                <w:rStyle w:val="NoteLabel"/>
              </w:rPr>
              <w:t>b</w:t>
            </w:r>
            <w:r>
              <w:rPr>
                <w:b/>
              </w:rPr>
              <w:t xml:space="preserve"> — </w:t>
            </w:r>
            <w:r w:rsidRPr="00B65A58">
              <w:rPr>
                <w:b/>
              </w:rPr>
              <w:t>appeal</w:t>
            </w:r>
          </w:p>
        </w:tc>
      </w:tr>
      <w:tr w:rsidR="00360265" w:rsidRPr="000D5F36" w:rsidTr="00DC17C9">
        <w:tc>
          <w:tcPr>
            <w:tcW w:w="1843" w:type="dxa"/>
            <w:shd w:val="clear" w:color="auto" w:fill="auto"/>
          </w:tcPr>
          <w:p w:rsidR="00360265" w:rsidRPr="000D5F36" w:rsidRDefault="00360265" w:rsidP="00C15CE0">
            <w:pPr>
              <w:pStyle w:val="TableBodyText"/>
              <w:jc w:val="left"/>
            </w:pPr>
            <w:r w:rsidRPr="000D5F36">
              <w:t>Pending caseload</w:t>
            </w:r>
          </w:p>
        </w:tc>
        <w:tc>
          <w:tcPr>
            <w:tcW w:w="540" w:type="dxa"/>
            <w:shd w:val="clear" w:color="auto" w:fill="auto"/>
            <w:vAlign w:val="bottom"/>
          </w:tcPr>
          <w:p w:rsidR="00360265" w:rsidRPr="000D5F36" w:rsidRDefault="00360265" w:rsidP="00C15CE0">
            <w:pPr>
              <w:pStyle w:val="TableBodyText"/>
              <w:rPr>
                <w:sz w:val="18"/>
                <w:szCs w:val="18"/>
              </w:rPr>
            </w:pPr>
            <w:r w:rsidRPr="000D5F36">
              <w:rPr>
                <w:sz w:val="18"/>
                <w:szCs w:val="18"/>
              </w:rPr>
              <w:t>no.</w:t>
            </w:r>
          </w:p>
        </w:tc>
        <w:tc>
          <w:tcPr>
            <w:tcW w:w="796" w:type="dxa"/>
            <w:shd w:val="clear" w:color="auto" w:fill="auto"/>
            <w:vAlign w:val="bottom"/>
          </w:tcPr>
          <w:p w:rsidR="00360265" w:rsidRPr="00360265" w:rsidRDefault="00360265" w:rsidP="00360265">
            <w:pPr>
              <w:pStyle w:val="TableBodyText"/>
              <w:rPr>
                <w:sz w:val="18"/>
                <w:szCs w:val="18"/>
              </w:rPr>
            </w:pPr>
            <w:r w:rsidRPr="00360265">
              <w:rPr>
                <w:sz w:val="18"/>
                <w:szCs w:val="18"/>
              </w:rPr>
              <w:t>1</w:t>
            </w:r>
            <w:r w:rsidR="001D0891">
              <w:rPr>
                <w:sz w:val="18"/>
                <w:szCs w:val="18"/>
              </w:rPr>
              <w:t xml:space="preserve"> </w:t>
            </w:r>
            <w:r w:rsidRPr="00360265">
              <w:rPr>
                <w:sz w:val="18"/>
                <w:szCs w:val="18"/>
              </w:rPr>
              <w:t>513</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w:t>
            </w:r>
            <w:r w:rsidR="001D0891">
              <w:rPr>
                <w:sz w:val="18"/>
                <w:szCs w:val="18"/>
              </w:rPr>
              <w:t xml:space="preserve"> </w:t>
            </w:r>
            <w:r w:rsidRPr="00360265">
              <w:rPr>
                <w:sz w:val="18"/>
                <w:szCs w:val="18"/>
              </w:rPr>
              <w:t>282</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369</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241</w:t>
            </w:r>
          </w:p>
        </w:tc>
        <w:tc>
          <w:tcPr>
            <w:tcW w:w="796" w:type="dxa"/>
            <w:shd w:val="clear" w:color="auto" w:fill="auto"/>
            <w:vAlign w:val="bottom"/>
          </w:tcPr>
          <w:p w:rsidR="00360265" w:rsidRPr="00360265" w:rsidRDefault="00360265" w:rsidP="00360265">
            <w:pPr>
              <w:pStyle w:val="TableBodyText"/>
              <w:rPr>
                <w:sz w:val="18"/>
                <w:szCs w:val="18"/>
              </w:rPr>
            </w:pPr>
            <w:r w:rsidRPr="00360265">
              <w:rPr>
                <w:sz w:val="18"/>
                <w:szCs w:val="18"/>
              </w:rPr>
              <w:t>71</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14</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60</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18</w:t>
            </w:r>
          </w:p>
        </w:tc>
      </w:tr>
      <w:tr w:rsidR="00360265" w:rsidRPr="00E76E1D" w:rsidTr="00DC17C9">
        <w:tc>
          <w:tcPr>
            <w:tcW w:w="1843" w:type="dxa"/>
            <w:shd w:val="clear" w:color="auto" w:fill="auto"/>
          </w:tcPr>
          <w:p w:rsidR="00360265" w:rsidRPr="00E76E1D" w:rsidRDefault="00360265" w:rsidP="00C15CE0">
            <w:pPr>
              <w:pStyle w:val="TableBodyText"/>
              <w:jc w:val="left"/>
              <w:rPr>
                <w:i/>
              </w:rPr>
            </w:pPr>
            <w:r w:rsidRPr="00E76E1D">
              <w:rPr>
                <w:i/>
              </w:rPr>
              <w:t xml:space="preserve">cases &gt; 12 </w:t>
            </w:r>
            <w:proofErr w:type="spellStart"/>
            <w:r w:rsidRPr="00E76E1D">
              <w:rPr>
                <w:i/>
              </w:rPr>
              <w:t>mths</w:t>
            </w:r>
            <w:proofErr w:type="spellEnd"/>
          </w:p>
        </w:tc>
        <w:tc>
          <w:tcPr>
            <w:tcW w:w="540" w:type="dxa"/>
            <w:shd w:val="clear" w:color="auto" w:fill="auto"/>
            <w:vAlign w:val="bottom"/>
          </w:tcPr>
          <w:p w:rsidR="00360265" w:rsidRPr="00E76E1D" w:rsidRDefault="00360265" w:rsidP="00C15CE0">
            <w:pPr>
              <w:pStyle w:val="TableBodyText"/>
              <w:rPr>
                <w:i/>
                <w:iCs/>
                <w:sz w:val="18"/>
                <w:szCs w:val="18"/>
              </w:rPr>
            </w:pPr>
            <w:r w:rsidRPr="00E76E1D">
              <w:rPr>
                <w:i/>
                <w:iCs/>
                <w:sz w:val="18"/>
                <w:szCs w:val="18"/>
              </w:rPr>
              <w:t>%</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3.2</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7.6</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7.9</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5.0</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1.4</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11.7</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w:t>
            </w:r>
          </w:p>
        </w:tc>
      </w:tr>
      <w:tr w:rsidR="00360265" w:rsidRPr="00E76E1D" w:rsidTr="00DC17C9">
        <w:tc>
          <w:tcPr>
            <w:tcW w:w="1843" w:type="dxa"/>
            <w:shd w:val="clear" w:color="auto" w:fill="auto"/>
          </w:tcPr>
          <w:p w:rsidR="00360265" w:rsidRPr="00E76E1D" w:rsidRDefault="00360265" w:rsidP="00C15CE0">
            <w:pPr>
              <w:pStyle w:val="TableBodyText"/>
              <w:jc w:val="left"/>
              <w:rPr>
                <w:i/>
              </w:rPr>
            </w:pPr>
            <w:r w:rsidRPr="00E76E1D">
              <w:rPr>
                <w:i/>
              </w:rPr>
              <w:t xml:space="preserve">cases &gt; 24 </w:t>
            </w:r>
            <w:proofErr w:type="spellStart"/>
            <w:r w:rsidRPr="00E76E1D">
              <w:rPr>
                <w:i/>
              </w:rPr>
              <w:t>mths</w:t>
            </w:r>
            <w:proofErr w:type="spellEnd"/>
          </w:p>
        </w:tc>
        <w:tc>
          <w:tcPr>
            <w:tcW w:w="540" w:type="dxa"/>
            <w:shd w:val="clear" w:color="auto" w:fill="auto"/>
            <w:vAlign w:val="bottom"/>
          </w:tcPr>
          <w:p w:rsidR="00360265" w:rsidRPr="00E76E1D" w:rsidRDefault="00360265" w:rsidP="00C15CE0">
            <w:pPr>
              <w:pStyle w:val="TableBodyText"/>
              <w:rPr>
                <w:i/>
                <w:iCs/>
                <w:sz w:val="18"/>
                <w:szCs w:val="18"/>
              </w:rPr>
            </w:pPr>
            <w:r w:rsidRPr="00E76E1D">
              <w:rPr>
                <w:i/>
                <w:iCs/>
                <w:sz w:val="18"/>
                <w:szCs w:val="18"/>
              </w:rPr>
              <w:t>%</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0.6</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1.6</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1.6</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0.4</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1.4</w:t>
            </w:r>
          </w:p>
        </w:tc>
        <w:tc>
          <w:tcPr>
            <w:tcW w:w="797" w:type="dxa"/>
            <w:shd w:val="clear" w:color="auto" w:fill="auto"/>
            <w:vAlign w:val="bottom"/>
          </w:tcPr>
          <w:p w:rsidR="00360265" w:rsidRPr="00360265" w:rsidRDefault="00AF036B" w:rsidP="00360265">
            <w:pPr>
              <w:pStyle w:val="TableBodyText"/>
              <w:rPr>
                <w:iCs/>
                <w:sz w:val="18"/>
                <w:szCs w:val="18"/>
              </w:rPr>
            </w:pPr>
            <w:r w:rsidRPr="00360265">
              <w:rPr>
                <w:iCs/>
                <w:sz w:val="18"/>
                <w:szCs w:val="18"/>
              </w:rPr>
              <w:t>–</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5.0</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w:t>
            </w:r>
          </w:p>
        </w:tc>
      </w:tr>
      <w:tr w:rsidR="00C879EA" w:rsidRPr="00E76E1D" w:rsidTr="00DC17C9">
        <w:tc>
          <w:tcPr>
            <w:tcW w:w="8757" w:type="dxa"/>
            <w:gridSpan w:val="10"/>
            <w:shd w:val="clear" w:color="auto" w:fill="auto"/>
          </w:tcPr>
          <w:p w:rsidR="00C879EA" w:rsidRPr="00E76E1D" w:rsidRDefault="00C879EA" w:rsidP="000931F9">
            <w:pPr>
              <w:pStyle w:val="TableBodyText"/>
              <w:ind w:right="28"/>
              <w:jc w:val="left"/>
            </w:pPr>
            <w:r w:rsidRPr="00FE3767">
              <w:rPr>
                <w:b/>
              </w:rPr>
              <w:t>Higher</w:t>
            </w:r>
            <w:r w:rsidR="00DA472C">
              <w:rPr>
                <w:rStyle w:val="NoteLabel"/>
              </w:rPr>
              <w:t>a</w:t>
            </w:r>
            <w:r w:rsidR="00502AF2">
              <w:rPr>
                <w:rStyle w:val="NoteLabel"/>
              </w:rPr>
              <w:t xml:space="preserve">, </w:t>
            </w:r>
            <w:r w:rsidR="00DA472C">
              <w:rPr>
                <w:rStyle w:val="NoteLabel"/>
              </w:rPr>
              <w:t>b</w:t>
            </w:r>
            <w:r w:rsidRPr="00E76E1D">
              <w:rPr>
                <w:b/>
              </w:rPr>
              <w:t xml:space="preserve"> — non</w:t>
            </w:r>
            <w:r w:rsidRPr="00E76E1D">
              <w:rPr>
                <w:b/>
              </w:rPr>
              <w:noBreakHyphen/>
              <w:t>appeal</w:t>
            </w:r>
          </w:p>
        </w:tc>
      </w:tr>
      <w:tr w:rsidR="00360265" w:rsidRPr="00F51DAE" w:rsidTr="00DC17C9">
        <w:tc>
          <w:tcPr>
            <w:tcW w:w="1843" w:type="dxa"/>
            <w:shd w:val="clear" w:color="auto" w:fill="auto"/>
          </w:tcPr>
          <w:p w:rsidR="00360265" w:rsidRPr="00F51DAE" w:rsidRDefault="00360265" w:rsidP="00C15CE0">
            <w:pPr>
              <w:pStyle w:val="TableBodyText"/>
              <w:jc w:val="left"/>
            </w:pPr>
            <w:r w:rsidRPr="00F51DAE">
              <w:t>Pending caseload</w:t>
            </w:r>
          </w:p>
        </w:tc>
        <w:tc>
          <w:tcPr>
            <w:tcW w:w="540" w:type="dxa"/>
            <w:shd w:val="clear" w:color="auto" w:fill="auto"/>
            <w:vAlign w:val="bottom"/>
          </w:tcPr>
          <w:p w:rsidR="00360265" w:rsidRPr="00F51DAE" w:rsidRDefault="00360265" w:rsidP="00C15CE0">
            <w:pPr>
              <w:pStyle w:val="TableBodyText"/>
              <w:rPr>
                <w:sz w:val="18"/>
                <w:szCs w:val="18"/>
              </w:rPr>
            </w:pPr>
            <w:r w:rsidRPr="00F51DAE">
              <w:rPr>
                <w:sz w:val="18"/>
                <w:szCs w:val="18"/>
              </w:rPr>
              <w:t>no.</w:t>
            </w:r>
          </w:p>
        </w:tc>
        <w:tc>
          <w:tcPr>
            <w:tcW w:w="796" w:type="dxa"/>
            <w:shd w:val="clear" w:color="auto" w:fill="auto"/>
            <w:vAlign w:val="bottom"/>
          </w:tcPr>
          <w:p w:rsidR="00360265" w:rsidRPr="00360265" w:rsidRDefault="00360265" w:rsidP="00360265">
            <w:pPr>
              <w:pStyle w:val="TableBodyText"/>
              <w:rPr>
                <w:sz w:val="18"/>
                <w:szCs w:val="18"/>
              </w:rPr>
            </w:pPr>
            <w:r w:rsidRPr="00360265">
              <w:rPr>
                <w:sz w:val="18"/>
                <w:szCs w:val="18"/>
              </w:rPr>
              <w:t>2</w:t>
            </w:r>
            <w:r w:rsidR="001D0891">
              <w:rPr>
                <w:sz w:val="18"/>
                <w:szCs w:val="18"/>
              </w:rPr>
              <w:t xml:space="preserve"> </w:t>
            </w:r>
            <w:r w:rsidRPr="00360265">
              <w:rPr>
                <w:sz w:val="18"/>
                <w:szCs w:val="18"/>
              </w:rPr>
              <w:t>913</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w:t>
            </w:r>
            <w:r w:rsidR="001D0891">
              <w:rPr>
                <w:sz w:val="18"/>
                <w:szCs w:val="18"/>
              </w:rPr>
              <w:t xml:space="preserve"> </w:t>
            </w:r>
            <w:r w:rsidRPr="00360265">
              <w:rPr>
                <w:sz w:val="18"/>
                <w:szCs w:val="18"/>
              </w:rPr>
              <w:t>736</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w:t>
            </w:r>
            <w:r w:rsidR="001D0891">
              <w:rPr>
                <w:sz w:val="18"/>
                <w:szCs w:val="18"/>
              </w:rPr>
              <w:t xml:space="preserve"> </w:t>
            </w:r>
            <w:r w:rsidRPr="00360265">
              <w:rPr>
                <w:sz w:val="18"/>
                <w:szCs w:val="18"/>
              </w:rPr>
              <w:t>835</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w:t>
            </w:r>
            <w:r w:rsidR="001D0891">
              <w:rPr>
                <w:sz w:val="18"/>
                <w:szCs w:val="18"/>
              </w:rPr>
              <w:t xml:space="preserve"> </w:t>
            </w:r>
            <w:r w:rsidRPr="00360265">
              <w:rPr>
                <w:sz w:val="18"/>
                <w:szCs w:val="18"/>
              </w:rPr>
              <w:t>111</w:t>
            </w:r>
          </w:p>
        </w:tc>
        <w:tc>
          <w:tcPr>
            <w:tcW w:w="796" w:type="dxa"/>
            <w:shd w:val="clear" w:color="auto" w:fill="auto"/>
            <w:vAlign w:val="bottom"/>
          </w:tcPr>
          <w:p w:rsidR="00360265" w:rsidRPr="00360265" w:rsidRDefault="00360265" w:rsidP="00360265">
            <w:pPr>
              <w:pStyle w:val="TableBodyText"/>
              <w:rPr>
                <w:sz w:val="18"/>
                <w:szCs w:val="18"/>
              </w:rPr>
            </w:pPr>
            <w:r w:rsidRPr="00360265">
              <w:rPr>
                <w:sz w:val="18"/>
                <w:szCs w:val="18"/>
              </w:rPr>
              <w:t>1</w:t>
            </w:r>
            <w:r w:rsidR="001D0891">
              <w:rPr>
                <w:sz w:val="18"/>
                <w:szCs w:val="18"/>
              </w:rPr>
              <w:t xml:space="preserve"> </w:t>
            </w:r>
            <w:r w:rsidRPr="00360265">
              <w:rPr>
                <w:sz w:val="18"/>
                <w:szCs w:val="18"/>
              </w:rPr>
              <w:t>525</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316</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194</w:t>
            </w:r>
          </w:p>
        </w:tc>
        <w:tc>
          <w:tcPr>
            <w:tcW w:w="797" w:type="dxa"/>
            <w:shd w:val="clear" w:color="auto" w:fill="auto"/>
            <w:vAlign w:val="bottom"/>
          </w:tcPr>
          <w:p w:rsidR="00360265" w:rsidRPr="00360265" w:rsidRDefault="00360265" w:rsidP="00360265">
            <w:pPr>
              <w:pStyle w:val="TableBodyText"/>
              <w:rPr>
                <w:sz w:val="18"/>
                <w:szCs w:val="18"/>
              </w:rPr>
            </w:pPr>
            <w:r w:rsidRPr="00360265">
              <w:rPr>
                <w:sz w:val="18"/>
                <w:szCs w:val="18"/>
              </w:rPr>
              <w:t>124</w:t>
            </w:r>
          </w:p>
        </w:tc>
      </w:tr>
      <w:tr w:rsidR="00360265" w:rsidRPr="00F51DAE" w:rsidTr="002B76D7">
        <w:tc>
          <w:tcPr>
            <w:tcW w:w="1843" w:type="dxa"/>
            <w:shd w:val="clear" w:color="auto" w:fill="auto"/>
          </w:tcPr>
          <w:p w:rsidR="00360265" w:rsidRPr="00F51DAE" w:rsidRDefault="00360265" w:rsidP="00C15CE0">
            <w:pPr>
              <w:pStyle w:val="TableBodyText"/>
              <w:jc w:val="left"/>
              <w:rPr>
                <w:i/>
              </w:rPr>
            </w:pPr>
            <w:r w:rsidRPr="00F51DAE">
              <w:rPr>
                <w:i/>
              </w:rPr>
              <w:t xml:space="preserve">cases &gt; 12 </w:t>
            </w:r>
            <w:proofErr w:type="spellStart"/>
            <w:r w:rsidRPr="00F51DAE">
              <w:rPr>
                <w:i/>
              </w:rPr>
              <w:t>mths</w:t>
            </w:r>
            <w:proofErr w:type="spellEnd"/>
          </w:p>
        </w:tc>
        <w:tc>
          <w:tcPr>
            <w:tcW w:w="540" w:type="dxa"/>
            <w:shd w:val="clear" w:color="auto" w:fill="auto"/>
            <w:vAlign w:val="bottom"/>
          </w:tcPr>
          <w:p w:rsidR="00360265" w:rsidRPr="00F51DAE" w:rsidRDefault="00360265" w:rsidP="00C15CE0">
            <w:pPr>
              <w:pStyle w:val="TableBodyText"/>
              <w:rPr>
                <w:i/>
                <w:iCs/>
                <w:sz w:val="18"/>
                <w:szCs w:val="18"/>
              </w:rPr>
            </w:pPr>
            <w:r w:rsidRPr="00F51DAE">
              <w:rPr>
                <w:i/>
                <w:iCs/>
                <w:sz w:val="18"/>
                <w:szCs w:val="18"/>
              </w:rPr>
              <w:t>%</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11.2</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17.5</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19.1</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7.0</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17.6</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25.0</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43.8</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2.4</w:t>
            </w:r>
          </w:p>
        </w:tc>
      </w:tr>
      <w:tr w:rsidR="00360265" w:rsidRPr="00F51DAE" w:rsidTr="002B76D7">
        <w:tc>
          <w:tcPr>
            <w:tcW w:w="1843" w:type="dxa"/>
            <w:shd w:val="clear" w:color="auto" w:fill="auto"/>
          </w:tcPr>
          <w:p w:rsidR="00360265" w:rsidRPr="00F51DAE" w:rsidRDefault="00360265" w:rsidP="00C15CE0">
            <w:pPr>
              <w:pStyle w:val="TableBodyText"/>
              <w:jc w:val="left"/>
              <w:rPr>
                <w:i/>
              </w:rPr>
            </w:pPr>
            <w:r w:rsidRPr="00F51DAE">
              <w:rPr>
                <w:i/>
              </w:rPr>
              <w:t xml:space="preserve">cases &gt; 24 </w:t>
            </w:r>
            <w:proofErr w:type="spellStart"/>
            <w:r w:rsidRPr="00F51DAE">
              <w:rPr>
                <w:i/>
              </w:rPr>
              <w:t>mths</w:t>
            </w:r>
            <w:proofErr w:type="spellEnd"/>
          </w:p>
        </w:tc>
        <w:tc>
          <w:tcPr>
            <w:tcW w:w="540" w:type="dxa"/>
            <w:shd w:val="clear" w:color="auto" w:fill="auto"/>
            <w:vAlign w:val="bottom"/>
          </w:tcPr>
          <w:p w:rsidR="00360265" w:rsidRPr="00F51DAE" w:rsidRDefault="00360265" w:rsidP="00C15CE0">
            <w:pPr>
              <w:pStyle w:val="TableBodyText"/>
              <w:rPr>
                <w:i/>
                <w:iCs/>
                <w:sz w:val="18"/>
                <w:szCs w:val="18"/>
              </w:rPr>
            </w:pPr>
            <w:r w:rsidRPr="00F51DAE">
              <w:rPr>
                <w:i/>
                <w:iCs/>
                <w:sz w:val="18"/>
                <w:szCs w:val="18"/>
              </w:rPr>
              <w:t>%</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1.2</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3.2</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6.3</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1.3</w:t>
            </w:r>
          </w:p>
        </w:tc>
        <w:tc>
          <w:tcPr>
            <w:tcW w:w="796"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3.1</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10.4</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 xml:space="preserve"> 17.0</w:t>
            </w:r>
          </w:p>
        </w:tc>
        <w:tc>
          <w:tcPr>
            <w:tcW w:w="797" w:type="dxa"/>
            <w:shd w:val="clear" w:color="auto" w:fill="auto"/>
            <w:vAlign w:val="bottom"/>
          </w:tcPr>
          <w:p w:rsidR="00360265" w:rsidRPr="00360265" w:rsidRDefault="00360265" w:rsidP="00360265">
            <w:pPr>
              <w:pStyle w:val="TableBodyText"/>
              <w:rPr>
                <w:iCs/>
                <w:sz w:val="18"/>
                <w:szCs w:val="18"/>
              </w:rPr>
            </w:pPr>
            <w:r w:rsidRPr="00360265">
              <w:rPr>
                <w:iCs/>
                <w:sz w:val="18"/>
                <w:szCs w:val="18"/>
              </w:rPr>
              <w:t>–</w:t>
            </w:r>
          </w:p>
        </w:tc>
      </w:tr>
      <w:tr w:rsidR="00C879EA" w:rsidRPr="00E76E1D" w:rsidTr="00E31645">
        <w:trPr>
          <w:trHeight w:val="260"/>
        </w:trPr>
        <w:tc>
          <w:tcPr>
            <w:tcW w:w="8757" w:type="dxa"/>
            <w:gridSpan w:val="10"/>
          </w:tcPr>
          <w:p w:rsidR="00C879EA" w:rsidRPr="00E76E1D" w:rsidRDefault="00C879EA" w:rsidP="00D01EEE">
            <w:pPr>
              <w:pStyle w:val="TableBodyText"/>
              <w:ind w:right="28"/>
              <w:jc w:val="left"/>
            </w:pPr>
            <w:r w:rsidRPr="00E76E1D">
              <w:rPr>
                <w:b/>
              </w:rPr>
              <w:t>Supreme</w:t>
            </w:r>
            <w:r w:rsidR="00DA472C">
              <w:rPr>
                <w:rStyle w:val="NoteLabel"/>
              </w:rPr>
              <w:t>b</w:t>
            </w:r>
            <w:r w:rsidR="005F0FFA">
              <w:rPr>
                <w:rStyle w:val="NoteLabel"/>
              </w:rPr>
              <w:t xml:space="preserve">, </w:t>
            </w:r>
            <w:r w:rsidR="00DA472C">
              <w:rPr>
                <w:rStyle w:val="NoteLabel"/>
              </w:rPr>
              <w:t>c</w:t>
            </w:r>
            <w:r w:rsidRPr="00E76E1D">
              <w:rPr>
                <w:b/>
              </w:rPr>
              <w:t xml:space="preserve"> — appeal</w:t>
            </w:r>
          </w:p>
        </w:tc>
      </w:tr>
      <w:tr w:rsidR="00360265" w:rsidRPr="00E76E1D" w:rsidTr="0017362F">
        <w:tc>
          <w:tcPr>
            <w:tcW w:w="1843" w:type="dxa"/>
          </w:tcPr>
          <w:p w:rsidR="00360265" w:rsidRPr="00E76E1D" w:rsidRDefault="00360265" w:rsidP="00C15CE0">
            <w:pPr>
              <w:pStyle w:val="TableBodyText"/>
              <w:jc w:val="left"/>
            </w:pPr>
            <w:r w:rsidRPr="00E76E1D">
              <w:t>Pending caseload</w:t>
            </w:r>
          </w:p>
        </w:tc>
        <w:tc>
          <w:tcPr>
            <w:tcW w:w="540" w:type="dxa"/>
            <w:vAlign w:val="bottom"/>
          </w:tcPr>
          <w:p w:rsidR="00360265" w:rsidRPr="00E76E1D" w:rsidRDefault="00360265" w:rsidP="00C15CE0">
            <w:pPr>
              <w:pStyle w:val="TableBodyText"/>
              <w:rPr>
                <w:sz w:val="18"/>
                <w:szCs w:val="18"/>
              </w:rPr>
            </w:pPr>
            <w:r w:rsidRPr="00E76E1D">
              <w:rPr>
                <w:sz w:val="18"/>
                <w:szCs w:val="18"/>
              </w:rPr>
              <w:t>no.</w:t>
            </w:r>
          </w:p>
        </w:tc>
        <w:tc>
          <w:tcPr>
            <w:tcW w:w="796" w:type="dxa"/>
            <w:vAlign w:val="bottom"/>
          </w:tcPr>
          <w:p w:rsidR="00360265" w:rsidRPr="00360265" w:rsidRDefault="00360265" w:rsidP="00360265">
            <w:pPr>
              <w:pStyle w:val="TableBodyText"/>
              <w:rPr>
                <w:sz w:val="18"/>
                <w:szCs w:val="18"/>
              </w:rPr>
            </w:pPr>
            <w:r w:rsidRPr="00360265">
              <w:rPr>
                <w:sz w:val="18"/>
                <w:szCs w:val="18"/>
              </w:rPr>
              <w:t>216</w:t>
            </w:r>
          </w:p>
        </w:tc>
        <w:tc>
          <w:tcPr>
            <w:tcW w:w="797" w:type="dxa"/>
            <w:vAlign w:val="bottom"/>
          </w:tcPr>
          <w:p w:rsidR="00360265" w:rsidRPr="00360265" w:rsidRDefault="00360265" w:rsidP="00360265">
            <w:pPr>
              <w:pStyle w:val="TableBodyText"/>
              <w:rPr>
                <w:sz w:val="18"/>
                <w:szCs w:val="18"/>
              </w:rPr>
            </w:pPr>
            <w:r w:rsidRPr="00360265">
              <w:rPr>
                <w:sz w:val="18"/>
                <w:szCs w:val="18"/>
              </w:rPr>
              <w:t>202</w:t>
            </w:r>
          </w:p>
        </w:tc>
        <w:tc>
          <w:tcPr>
            <w:tcW w:w="797" w:type="dxa"/>
            <w:vAlign w:val="bottom"/>
          </w:tcPr>
          <w:p w:rsidR="00360265" w:rsidRPr="00360265" w:rsidRDefault="00360265" w:rsidP="00360265">
            <w:pPr>
              <w:pStyle w:val="TableBodyText"/>
              <w:rPr>
                <w:sz w:val="18"/>
                <w:szCs w:val="18"/>
              </w:rPr>
            </w:pPr>
            <w:r w:rsidRPr="00360265">
              <w:rPr>
                <w:sz w:val="18"/>
                <w:szCs w:val="18"/>
              </w:rPr>
              <w:t>208</w:t>
            </w:r>
          </w:p>
        </w:tc>
        <w:tc>
          <w:tcPr>
            <w:tcW w:w="797" w:type="dxa"/>
            <w:vAlign w:val="bottom"/>
          </w:tcPr>
          <w:p w:rsidR="00360265" w:rsidRPr="00360265" w:rsidRDefault="00360265" w:rsidP="00360265">
            <w:pPr>
              <w:pStyle w:val="TableBodyText"/>
              <w:rPr>
                <w:sz w:val="18"/>
                <w:szCs w:val="18"/>
              </w:rPr>
            </w:pPr>
            <w:r w:rsidRPr="00360265">
              <w:rPr>
                <w:sz w:val="18"/>
                <w:szCs w:val="18"/>
              </w:rPr>
              <w:t>241</w:t>
            </w:r>
          </w:p>
        </w:tc>
        <w:tc>
          <w:tcPr>
            <w:tcW w:w="796" w:type="dxa"/>
            <w:vAlign w:val="bottom"/>
          </w:tcPr>
          <w:p w:rsidR="00360265" w:rsidRPr="00360265" w:rsidRDefault="00360265" w:rsidP="00360265">
            <w:pPr>
              <w:pStyle w:val="TableBodyText"/>
              <w:rPr>
                <w:sz w:val="18"/>
                <w:szCs w:val="18"/>
              </w:rPr>
            </w:pPr>
            <w:r w:rsidRPr="00360265">
              <w:rPr>
                <w:sz w:val="18"/>
                <w:szCs w:val="18"/>
              </w:rPr>
              <w:t>71</w:t>
            </w:r>
          </w:p>
        </w:tc>
        <w:tc>
          <w:tcPr>
            <w:tcW w:w="797" w:type="dxa"/>
            <w:vAlign w:val="bottom"/>
          </w:tcPr>
          <w:p w:rsidR="00360265" w:rsidRPr="00360265" w:rsidRDefault="00360265" w:rsidP="00360265">
            <w:pPr>
              <w:pStyle w:val="TableBodyText"/>
              <w:rPr>
                <w:sz w:val="18"/>
                <w:szCs w:val="18"/>
              </w:rPr>
            </w:pPr>
            <w:r w:rsidRPr="00360265">
              <w:rPr>
                <w:sz w:val="18"/>
                <w:szCs w:val="18"/>
              </w:rPr>
              <w:t>14</w:t>
            </w:r>
          </w:p>
        </w:tc>
        <w:tc>
          <w:tcPr>
            <w:tcW w:w="797" w:type="dxa"/>
            <w:vAlign w:val="bottom"/>
          </w:tcPr>
          <w:p w:rsidR="00360265" w:rsidRPr="00360265" w:rsidRDefault="00360265" w:rsidP="00360265">
            <w:pPr>
              <w:pStyle w:val="TableBodyText"/>
              <w:rPr>
                <w:sz w:val="18"/>
                <w:szCs w:val="18"/>
              </w:rPr>
            </w:pPr>
            <w:r w:rsidRPr="00360265">
              <w:rPr>
                <w:sz w:val="18"/>
                <w:szCs w:val="18"/>
              </w:rPr>
              <w:t>60</w:t>
            </w:r>
          </w:p>
        </w:tc>
        <w:tc>
          <w:tcPr>
            <w:tcW w:w="797" w:type="dxa"/>
            <w:vAlign w:val="bottom"/>
          </w:tcPr>
          <w:p w:rsidR="00360265" w:rsidRPr="00360265" w:rsidRDefault="00360265" w:rsidP="00360265">
            <w:pPr>
              <w:pStyle w:val="TableBodyText"/>
              <w:rPr>
                <w:sz w:val="18"/>
                <w:szCs w:val="18"/>
              </w:rPr>
            </w:pPr>
            <w:r w:rsidRPr="00360265">
              <w:rPr>
                <w:sz w:val="18"/>
                <w:szCs w:val="18"/>
              </w:rPr>
              <w:t>18</w:t>
            </w:r>
          </w:p>
        </w:tc>
      </w:tr>
      <w:tr w:rsidR="00360265" w:rsidRPr="00E76E1D" w:rsidTr="0017362F">
        <w:tc>
          <w:tcPr>
            <w:tcW w:w="1843" w:type="dxa"/>
          </w:tcPr>
          <w:p w:rsidR="00360265" w:rsidRPr="00E76E1D" w:rsidRDefault="00360265" w:rsidP="00C15CE0">
            <w:pPr>
              <w:pStyle w:val="TableBodyText"/>
              <w:jc w:val="left"/>
              <w:rPr>
                <w:i/>
              </w:rPr>
            </w:pPr>
            <w:r w:rsidRPr="00E76E1D">
              <w:rPr>
                <w:i/>
              </w:rPr>
              <w:t xml:space="preserve">cases &gt; 12 </w:t>
            </w:r>
            <w:proofErr w:type="spellStart"/>
            <w:r w:rsidRPr="00E76E1D">
              <w:rPr>
                <w:i/>
              </w:rPr>
              <w:t>mths</w:t>
            </w:r>
            <w:proofErr w:type="spellEnd"/>
          </w:p>
        </w:tc>
        <w:tc>
          <w:tcPr>
            <w:tcW w:w="540" w:type="dxa"/>
            <w:vAlign w:val="bottom"/>
          </w:tcPr>
          <w:p w:rsidR="00360265" w:rsidRPr="00E76E1D" w:rsidRDefault="00360265" w:rsidP="00C15CE0">
            <w:pPr>
              <w:pStyle w:val="TableBodyText"/>
              <w:rPr>
                <w:i/>
                <w:iCs/>
                <w:sz w:val="18"/>
                <w:szCs w:val="18"/>
              </w:rPr>
            </w:pPr>
            <w:r w:rsidRPr="00E76E1D">
              <w:rPr>
                <w:i/>
                <w:iCs/>
                <w:sz w:val="18"/>
                <w:szCs w:val="18"/>
              </w:rPr>
              <w:t>%</w:t>
            </w:r>
          </w:p>
        </w:tc>
        <w:tc>
          <w:tcPr>
            <w:tcW w:w="796" w:type="dxa"/>
            <w:vAlign w:val="bottom"/>
          </w:tcPr>
          <w:p w:rsidR="00360265" w:rsidRPr="00360265" w:rsidRDefault="00360265" w:rsidP="00360265">
            <w:pPr>
              <w:pStyle w:val="TableBodyText"/>
              <w:rPr>
                <w:iCs/>
                <w:sz w:val="18"/>
                <w:szCs w:val="18"/>
              </w:rPr>
            </w:pPr>
            <w:r w:rsidRPr="00360265">
              <w:rPr>
                <w:iCs/>
                <w:sz w:val="18"/>
                <w:szCs w:val="18"/>
              </w:rPr>
              <w:t xml:space="preserve"> 14.4</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14.4</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7.2</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5.0</w:t>
            </w:r>
          </w:p>
        </w:tc>
        <w:tc>
          <w:tcPr>
            <w:tcW w:w="796" w:type="dxa"/>
            <w:vAlign w:val="bottom"/>
          </w:tcPr>
          <w:p w:rsidR="00360265" w:rsidRPr="00360265" w:rsidRDefault="00360265" w:rsidP="00360265">
            <w:pPr>
              <w:pStyle w:val="TableBodyText"/>
              <w:rPr>
                <w:iCs/>
                <w:sz w:val="18"/>
                <w:szCs w:val="18"/>
              </w:rPr>
            </w:pPr>
            <w:r w:rsidRPr="00360265">
              <w:rPr>
                <w:iCs/>
                <w:sz w:val="18"/>
                <w:szCs w:val="18"/>
              </w:rPr>
              <w:t xml:space="preserve"> 1.4</w:t>
            </w:r>
          </w:p>
        </w:tc>
        <w:tc>
          <w:tcPr>
            <w:tcW w:w="797" w:type="dxa"/>
            <w:vAlign w:val="bottom"/>
          </w:tcPr>
          <w:p w:rsidR="00360265" w:rsidRPr="00360265" w:rsidRDefault="00360265" w:rsidP="00360265">
            <w:pPr>
              <w:pStyle w:val="TableBodyText"/>
              <w:rPr>
                <w:iCs/>
                <w:sz w:val="18"/>
                <w:szCs w:val="18"/>
              </w:rPr>
            </w:pPr>
            <w:r w:rsidRPr="00360265">
              <w:rPr>
                <w:iCs/>
                <w:sz w:val="18"/>
                <w:szCs w:val="18"/>
              </w:rPr>
              <w:t>–</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11.7</w:t>
            </w:r>
          </w:p>
        </w:tc>
        <w:tc>
          <w:tcPr>
            <w:tcW w:w="797" w:type="dxa"/>
            <w:vAlign w:val="bottom"/>
          </w:tcPr>
          <w:p w:rsidR="00360265" w:rsidRPr="00360265" w:rsidRDefault="00360265" w:rsidP="00360265">
            <w:pPr>
              <w:pStyle w:val="TableBodyText"/>
              <w:rPr>
                <w:iCs/>
                <w:sz w:val="18"/>
                <w:szCs w:val="18"/>
              </w:rPr>
            </w:pPr>
            <w:r w:rsidRPr="00360265">
              <w:rPr>
                <w:iCs/>
                <w:sz w:val="18"/>
                <w:szCs w:val="18"/>
              </w:rPr>
              <w:t>–</w:t>
            </w:r>
          </w:p>
        </w:tc>
      </w:tr>
      <w:tr w:rsidR="00360265" w:rsidRPr="00E76E1D" w:rsidTr="0017362F">
        <w:tc>
          <w:tcPr>
            <w:tcW w:w="1843" w:type="dxa"/>
          </w:tcPr>
          <w:p w:rsidR="00360265" w:rsidRPr="00E76E1D" w:rsidRDefault="00360265" w:rsidP="00C15CE0">
            <w:pPr>
              <w:pStyle w:val="TableBodyText"/>
              <w:jc w:val="left"/>
              <w:rPr>
                <w:i/>
              </w:rPr>
            </w:pPr>
            <w:r w:rsidRPr="00E76E1D">
              <w:rPr>
                <w:i/>
              </w:rPr>
              <w:t xml:space="preserve">cases &gt; 24 </w:t>
            </w:r>
            <w:proofErr w:type="spellStart"/>
            <w:r w:rsidRPr="00E76E1D">
              <w:rPr>
                <w:i/>
              </w:rPr>
              <w:t>mths</w:t>
            </w:r>
            <w:proofErr w:type="spellEnd"/>
          </w:p>
        </w:tc>
        <w:tc>
          <w:tcPr>
            <w:tcW w:w="540" w:type="dxa"/>
            <w:vAlign w:val="bottom"/>
          </w:tcPr>
          <w:p w:rsidR="00360265" w:rsidRPr="00E76E1D" w:rsidRDefault="00360265" w:rsidP="00C15CE0">
            <w:pPr>
              <w:pStyle w:val="TableBodyText"/>
              <w:rPr>
                <w:i/>
                <w:iCs/>
                <w:sz w:val="18"/>
                <w:szCs w:val="18"/>
              </w:rPr>
            </w:pPr>
            <w:r w:rsidRPr="00E76E1D">
              <w:rPr>
                <w:i/>
                <w:iCs/>
                <w:sz w:val="18"/>
                <w:szCs w:val="18"/>
              </w:rPr>
              <w:t>%</w:t>
            </w:r>
          </w:p>
        </w:tc>
        <w:tc>
          <w:tcPr>
            <w:tcW w:w="796" w:type="dxa"/>
            <w:vAlign w:val="bottom"/>
          </w:tcPr>
          <w:p w:rsidR="00360265" w:rsidRPr="00360265" w:rsidRDefault="00360265" w:rsidP="00360265">
            <w:pPr>
              <w:pStyle w:val="TableBodyText"/>
              <w:rPr>
                <w:iCs/>
                <w:sz w:val="18"/>
                <w:szCs w:val="18"/>
              </w:rPr>
            </w:pPr>
            <w:r w:rsidRPr="00360265">
              <w:rPr>
                <w:iCs/>
                <w:sz w:val="18"/>
                <w:szCs w:val="18"/>
              </w:rPr>
              <w:t xml:space="preserve"> 4.2</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1.0</w:t>
            </w:r>
          </w:p>
        </w:tc>
        <w:tc>
          <w:tcPr>
            <w:tcW w:w="797" w:type="dxa"/>
            <w:vAlign w:val="bottom"/>
          </w:tcPr>
          <w:p w:rsidR="00360265" w:rsidRPr="00360265" w:rsidRDefault="00360265" w:rsidP="00360265">
            <w:pPr>
              <w:pStyle w:val="TableBodyText"/>
              <w:rPr>
                <w:iCs/>
                <w:sz w:val="18"/>
                <w:szCs w:val="18"/>
              </w:rPr>
            </w:pPr>
            <w:r w:rsidRPr="00360265">
              <w:rPr>
                <w:iCs/>
                <w:sz w:val="18"/>
                <w:szCs w:val="18"/>
              </w:rPr>
              <w:t>–</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w:t>
            </w:r>
            <w:r w:rsidR="00AF036B">
              <w:rPr>
                <w:iCs/>
                <w:sz w:val="18"/>
                <w:szCs w:val="18"/>
              </w:rPr>
              <w:t>0</w:t>
            </w:r>
            <w:r w:rsidRPr="00360265">
              <w:rPr>
                <w:iCs/>
                <w:sz w:val="18"/>
                <w:szCs w:val="18"/>
              </w:rPr>
              <w:t>.4</w:t>
            </w:r>
          </w:p>
        </w:tc>
        <w:tc>
          <w:tcPr>
            <w:tcW w:w="796" w:type="dxa"/>
            <w:vAlign w:val="bottom"/>
          </w:tcPr>
          <w:p w:rsidR="00360265" w:rsidRPr="00360265" w:rsidRDefault="00360265" w:rsidP="00360265">
            <w:pPr>
              <w:pStyle w:val="TableBodyText"/>
              <w:rPr>
                <w:iCs/>
                <w:sz w:val="18"/>
                <w:szCs w:val="18"/>
              </w:rPr>
            </w:pPr>
            <w:r w:rsidRPr="00360265">
              <w:rPr>
                <w:iCs/>
                <w:sz w:val="18"/>
                <w:szCs w:val="18"/>
              </w:rPr>
              <w:t xml:space="preserve"> 1.4</w:t>
            </w:r>
          </w:p>
        </w:tc>
        <w:tc>
          <w:tcPr>
            <w:tcW w:w="797" w:type="dxa"/>
            <w:vAlign w:val="bottom"/>
          </w:tcPr>
          <w:p w:rsidR="00360265" w:rsidRPr="00360265" w:rsidRDefault="00360265" w:rsidP="00360265">
            <w:pPr>
              <w:pStyle w:val="TableBodyText"/>
              <w:rPr>
                <w:iCs/>
                <w:sz w:val="18"/>
                <w:szCs w:val="18"/>
              </w:rPr>
            </w:pPr>
            <w:r w:rsidRPr="00360265">
              <w:rPr>
                <w:iCs/>
                <w:sz w:val="18"/>
                <w:szCs w:val="18"/>
              </w:rPr>
              <w:t>–</w:t>
            </w:r>
          </w:p>
        </w:tc>
        <w:tc>
          <w:tcPr>
            <w:tcW w:w="797" w:type="dxa"/>
            <w:vAlign w:val="bottom"/>
          </w:tcPr>
          <w:p w:rsidR="00360265" w:rsidRPr="00360265" w:rsidRDefault="00360265" w:rsidP="00360265">
            <w:pPr>
              <w:pStyle w:val="TableBodyText"/>
              <w:rPr>
                <w:iCs/>
                <w:sz w:val="18"/>
                <w:szCs w:val="18"/>
              </w:rPr>
            </w:pPr>
            <w:r w:rsidRPr="00360265">
              <w:rPr>
                <w:iCs/>
                <w:sz w:val="18"/>
                <w:szCs w:val="18"/>
              </w:rPr>
              <w:t xml:space="preserve"> 5.0</w:t>
            </w:r>
          </w:p>
        </w:tc>
        <w:tc>
          <w:tcPr>
            <w:tcW w:w="797" w:type="dxa"/>
            <w:vAlign w:val="bottom"/>
          </w:tcPr>
          <w:p w:rsidR="00360265" w:rsidRPr="00360265" w:rsidRDefault="00360265" w:rsidP="00360265">
            <w:pPr>
              <w:pStyle w:val="TableBodyText"/>
              <w:rPr>
                <w:iCs/>
                <w:sz w:val="18"/>
                <w:szCs w:val="18"/>
              </w:rPr>
            </w:pPr>
            <w:r w:rsidRPr="00360265">
              <w:rPr>
                <w:iCs/>
                <w:sz w:val="18"/>
                <w:szCs w:val="18"/>
              </w:rPr>
              <w:t>–</w:t>
            </w:r>
          </w:p>
        </w:tc>
      </w:tr>
      <w:tr w:rsidR="00C879EA" w:rsidRPr="00542102" w:rsidTr="000931F9">
        <w:tc>
          <w:tcPr>
            <w:tcW w:w="8757" w:type="dxa"/>
            <w:gridSpan w:val="10"/>
          </w:tcPr>
          <w:p w:rsidR="00C879EA" w:rsidRPr="00542102" w:rsidRDefault="00C879EA" w:rsidP="000931F9">
            <w:pPr>
              <w:pStyle w:val="TableBodyText"/>
              <w:ind w:right="28"/>
              <w:jc w:val="left"/>
            </w:pPr>
            <w:r w:rsidRPr="00FE3767">
              <w:rPr>
                <w:b/>
              </w:rPr>
              <w:t>Supreme</w:t>
            </w:r>
            <w:r w:rsidR="00DA472C">
              <w:rPr>
                <w:rStyle w:val="NoteLabel"/>
              </w:rPr>
              <w:t>b</w:t>
            </w:r>
            <w:r w:rsidR="005F0FFA">
              <w:rPr>
                <w:rStyle w:val="NoteLabel"/>
              </w:rPr>
              <w:t xml:space="preserve">, </w:t>
            </w:r>
            <w:r w:rsidR="00DA472C">
              <w:rPr>
                <w:rStyle w:val="NoteLabel"/>
              </w:rPr>
              <w:t>c</w:t>
            </w:r>
            <w:r w:rsidRPr="00542102">
              <w:rPr>
                <w:b/>
              </w:rPr>
              <w:t xml:space="preserve"> — non</w:t>
            </w:r>
            <w:r w:rsidRPr="00542102">
              <w:rPr>
                <w:b/>
              </w:rPr>
              <w:noBreakHyphen/>
              <w:t>appeal</w:t>
            </w:r>
          </w:p>
        </w:tc>
      </w:tr>
      <w:tr w:rsidR="004B16C3" w:rsidRPr="00F51DAE" w:rsidTr="0017362F">
        <w:tc>
          <w:tcPr>
            <w:tcW w:w="1843" w:type="dxa"/>
          </w:tcPr>
          <w:p w:rsidR="004B16C3" w:rsidRPr="00F51DAE" w:rsidRDefault="004B16C3" w:rsidP="00C15CE0">
            <w:pPr>
              <w:pStyle w:val="TableBodyText"/>
              <w:jc w:val="left"/>
            </w:pPr>
            <w:r w:rsidRPr="00F51DAE">
              <w:t>Pending caseload</w:t>
            </w:r>
          </w:p>
        </w:tc>
        <w:tc>
          <w:tcPr>
            <w:tcW w:w="540" w:type="dxa"/>
            <w:vAlign w:val="bottom"/>
          </w:tcPr>
          <w:p w:rsidR="004B16C3" w:rsidRPr="00F51DAE" w:rsidRDefault="004B16C3" w:rsidP="00C15CE0">
            <w:pPr>
              <w:pStyle w:val="TableBodyText"/>
              <w:rPr>
                <w:sz w:val="18"/>
                <w:szCs w:val="18"/>
              </w:rPr>
            </w:pPr>
            <w:r w:rsidRPr="00F51DAE">
              <w:rPr>
                <w:sz w:val="18"/>
                <w:szCs w:val="18"/>
              </w:rPr>
              <w:t>no.</w:t>
            </w:r>
          </w:p>
        </w:tc>
        <w:tc>
          <w:tcPr>
            <w:tcW w:w="796" w:type="dxa"/>
            <w:vAlign w:val="bottom"/>
          </w:tcPr>
          <w:p w:rsidR="004B16C3" w:rsidRPr="004B16C3" w:rsidRDefault="004B16C3" w:rsidP="004B16C3">
            <w:pPr>
              <w:pStyle w:val="TableBodyText"/>
              <w:rPr>
                <w:sz w:val="18"/>
                <w:szCs w:val="18"/>
              </w:rPr>
            </w:pPr>
            <w:r w:rsidRPr="004B16C3">
              <w:rPr>
                <w:sz w:val="18"/>
                <w:szCs w:val="18"/>
              </w:rPr>
              <w:t>108</w:t>
            </w:r>
          </w:p>
        </w:tc>
        <w:tc>
          <w:tcPr>
            <w:tcW w:w="797" w:type="dxa"/>
            <w:vAlign w:val="bottom"/>
          </w:tcPr>
          <w:p w:rsidR="004B16C3" w:rsidRPr="004B16C3" w:rsidRDefault="004B16C3" w:rsidP="004B16C3">
            <w:pPr>
              <w:pStyle w:val="TableBodyText"/>
              <w:rPr>
                <w:sz w:val="18"/>
                <w:szCs w:val="18"/>
              </w:rPr>
            </w:pPr>
            <w:r w:rsidRPr="004B16C3">
              <w:rPr>
                <w:sz w:val="18"/>
                <w:szCs w:val="18"/>
              </w:rPr>
              <w:t>99</w:t>
            </w:r>
          </w:p>
        </w:tc>
        <w:tc>
          <w:tcPr>
            <w:tcW w:w="797" w:type="dxa"/>
            <w:vAlign w:val="bottom"/>
          </w:tcPr>
          <w:p w:rsidR="004B16C3" w:rsidRPr="004B16C3" w:rsidRDefault="004B16C3" w:rsidP="004B16C3">
            <w:pPr>
              <w:pStyle w:val="TableBodyText"/>
              <w:rPr>
                <w:sz w:val="18"/>
                <w:szCs w:val="18"/>
              </w:rPr>
            </w:pPr>
            <w:r w:rsidRPr="004B16C3">
              <w:rPr>
                <w:sz w:val="18"/>
                <w:szCs w:val="18"/>
              </w:rPr>
              <w:t>345</w:t>
            </w:r>
          </w:p>
        </w:tc>
        <w:tc>
          <w:tcPr>
            <w:tcW w:w="797" w:type="dxa"/>
            <w:vAlign w:val="bottom"/>
          </w:tcPr>
          <w:p w:rsidR="004B16C3" w:rsidRPr="004B16C3" w:rsidRDefault="004B16C3" w:rsidP="004B16C3">
            <w:pPr>
              <w:pStyle w:val="TableBodyText"/>
              <w:rPr>
                <w:sz w:val="18"/>
                <w:szCs w:val="18"/>
              </w:rPr>
            </w:pPr>
            <w:r w:rsidRPr="004B16C3">
              <w:rPr>
                <w:sz w:val="18"/>
                <w:szCs w:val="18"/>
              </w:rPr>
              <w:t>125</w:t>
            </w:r>
          </w:p>
        </w:tc>
        <w:tc>
          <w:tcPr>
            <w:tcW w:w="796" w:type="dxa"/>
            <w:vAlign w:val="bottom"/>
          </w:tcPr>
          <w:p w:rsidR="004B16C3" w:rsidRPr="004B16C3" w:rsidRDefault="004B16C3" w:rsidP="004B16C3">
            <w:pPr>
              <w:pStyle w:val="TableBodyText"/>
              <w:rPr>
                <w:sz w:val="18"/>
                <w:szCs w:val="18"/>
              </w:rPr>
            </w:pPr>
            <w:r w:rsidRPr="004B16C3">
              <w:rPr>
                <w:sz w:val="18"/>
                <w:szCs w:val="18"/>
              </w:rPr>
              <w:t>40</w:t>
            </w:r>
          </w:p>
        </w:tc>
        <w:tc>
          <w:tcPr>
            <w:tcW w:w="797" w:type="dxa"/>
            <w:vAlign w:val="bottom"/>
          </w:tcPr>
          <w:p w:rsidR="004B16C3" w:rsidRPr="004B16C3" w:rsidRDefault="004B16C3" w:rsidP="004B16C3">
            <w:pPr>
              <w:pStyle w:val="TableBodyText"/>
              <w:rPr>
                <w:sz w:val="18"/>
                <w:szCs w:val="18"/>
              </w:rPr>
            </w:pPr>
            <w:r w:rsidRPr="004B16C3">
              <w:rPr>
                <w:sz w:val="18"/>
                <w:szCs w:val="18"/>
              </w:rPr>
              <w:t>316</w:t>
            </w:r>
          </w:p>
        </w:tc>
        <w:tc>
          <w:tcPr>
            <w:tcW w:w="797" w:type="dxa"/>
            <w:vAlign w:val="bottom"/>
          </w:tcPr>
          <w:p w:rsidR="004B16C3" w:rsidRPr="004B16C3" w:rsidRDefault="004B16C3" w:rsidP="004B16C3">
            <w:pPr>
              <w:pStyle w:val="TableBodyText"/>
              <w:rPr>
                <w:sz w:val="18"/>
                <w:szCs w:val="18"/>
              </w:rPr>
            </w:pPr>
            <w:r w:rsidRPr="004B16C3">
              <w:rPr>
                <w:sz w:val="18"/>
                <w:szCs w:val="18"/>
              </w:rPr>
              <w:t>194</w:t>
            </w:r>
          </w:p>
        </w:tc>
        <w:tc>
          <w:tcPr>
            <w:tcW w:w="797" w:type="dxa"/>
            <w:vAlign w:val="bottom"/>
          </w:tcPr>
          <w:p w:rsidR="004B16C3" w:rsidRPr="004B16C3" w:rsidRDefault="004B16C3" w:rsidP="004B16C3">
            <w:pPr>
              <w:pStyle w:val="TableBodyText"/>
              <w:rPr>
                <w:sz w:val="18"/>
                <w:szCs w:val="18"/>
              </w:rPr>
            </w:pPr>
            <w:r w:rsidRPr="004B16C3">
              <w:rPr>
                <w:sz w:val="18"/>
                <w:szCs w:val="18"/>
              </w:rPr>
              <w:t>124</w:t>
            </w:r>
          </w:p>
        </w:tc>
      </w:tr>
      <w:tr w:rsidR="004B16C3" w:rsidRPr="00F51DAE" w:rsidTr="0017362F">
        <w:tc>
          <w:tcPr>
            <w:tcW w:w="1843" w:type="dxa"/>
          </w:tcPr>
          <w:p w:rsidR="004B16C3" w:rsidRPr="00F51DAE" w:rsidRDefault="004B16C3" w:rsidP="00C15CE0">
            <w:pPr>
              <w:pStyle w:val="TableBodyText"/>
              <w:jc w:val="left"/>
              <w:rPr>
                <w:i/>
              </w:rPr>
            </w:pPr>
            <w:r w:rsidRPr="00F51DAE">
              <w:rPr>
                <w:i/>
              </w:rPr>
              <w:t xml:space="preserve">cases &gt; 12 </w:t>
            </w:r>
            <w:proofErr w:type="spellStart"/>
            <w:r w:rsidRPr="00F51DAE">
              <w:rPr>
                <w:i/>
              </w:rPr>
              <w:t>mths</w:t>
            </w:r>
            <w:proofErr w:type="spellEnd"/>
          </w:p>
        </w:tc>
        <w:tc>
          <w:tcPr>
            <w:tcW w:w="540" w:type="dxa"/>
            <w:vAlign w:val="bottom"/>
          </w:tcPr>
          <w:p w:rsidR="004B16C3" w:rsidRPr="00F51DAE" w:rsidRDefault="004B16C3" w:rsidP="00C15CE0">
            <w:pPr>
              <w:pStyle w:val="TableBodyText"/>
              <w:rPr>
                <w:i/>
                <w:iCs/>
                <w:sz w:val="18"/>
                <w:szCs w:val="18"/>
              </w:rPr>
            </w:pPr>
            <w:r w:rsidRPr="00F51DAE">
              <w:rPr>
                <w:i/>
                <w:iCs/>
                <w:sz w:val="18"/>
                <w:szCs w:val="18"/>
              </w:rPr>
              <w:t>%</w:t>
            </w:r>
          </w:p>
        </w:tc>
        <w:tc>
          <w:tcPr>
            <w:tcW w:w="796" w:type="dxa"/>
            <w:vAlign w:val="bottom"/>
          </w:tcPr>
          <w:p w:rsidR="004B16C3" w:rsidRPr="004B16C3" w:rsidRDefault="004B16C3" w:rsidP="004B16C3">
            <w:pPr>
              <w:pStyle w:val="TableBodyText"/>
              <w:rPr>
                <w:iCs/>
                <w:sz w:val="18"/>
                <w:szCs w:val="18"/>
              </w:rPr>
            </w:pPr>
            <w:r w:rsidRPr="004B16C3">
              <w:rPr>
                <w:iCs/>
                <w:sz w:val="18"/>
                <w:szCs w:val="18"/>
              </w:rPr>
              <w:t xml:space="preserve">  20.4</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8.1</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26.4</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7.2</w:t>
            </w:r>
          </w:p>
        </w:tc>
        <w:tc>
          <w:tcPr>
            <w:tcW w:w="796" w:type="dxa"/>
            <w:vAlign w:val="bottom"/>
          </w:tcPr>
          <w:p w:rsidR="004B16C3" w:rsidRPr="004B16C3" w:rsidRDefault="004B16C3" w:rsidP="004B16C3">
            <w:pPr>
              <w:pStyle w:val="TableBodyText"/>
              <w:rPr>
                <w:iCs/>
                <w:sz w:val="18"/>
                <w:szCs w:val="18"/>
              </w:rPr>
            </w:pPr>
            <w:r w:rsidRPr="004B16C3">
              <w:rPr>
                <w:iCs/>
                <w:sz w:val="18"/>
                <w:szCs w:val="18"/>
              </w:rPr>
              <w:t xml:space="preserve">  20.0</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25.0</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43.8</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2.4</w:t>
            </w:r>
          </w:p>
        </w:tc>
      </w:tr>
      <w:tr w:rsidR="004B16C3" w:rsidRPr="00F51DAE" w:rsidTr="0017362F">
        <w:tc>
          <w:tcPr>
            <w:tcW w:w="1843" w:type="dxa"/>
          </w:tcPr>
          <w:p w:rsidR="004B16C3" w:rsidRPr="00F51DAE" w:rsidRDefault="004B16C3" w:rsidP="00C15CE0">
            <w:pPr>
              <w:pStyle w:val="TableBodyText"/>
              <w:jc w:val="left"/>
              <w:rPr>
                <w:i/>
              </w:rPr>
            </w:pPr>
            <w:r w:rsidRPr="00F51DAE">
              <w:rPr>
                <w:i/>
              </w:rPr>
              <w:t xml:space="preserve">cases &gt; 24 </w:t>
            </w:r>
            <w:proofErr w:type="spellStart"/>
            <w:r w:rsidRPr="00F51DAE">
              <w:rPr>
                <w:i/>
              </w:rPr>
              <w:t>mths</w:t>
            </w:r>
            <w:proofErr w:type="spellEnd"/>
          </w:p>
        </w:tc>
        <w:tc>
          <w:tcPr>
            <w:tcW w:w="540" w:type="dxa"/>
            <w:vAlign w:val="bottom"/>
          </w:tcPr>
          <w:p w:rsidR="004B16C3" w:rsidRPr="00F51DAE" w:rsidRDefault="004B16C3" w:rsidP="00C15CE0">
            <w:pPr>
              <w:pStyle w:val="TableBodyText"/>
              <w:rPr>
                <w:i/>
                <w:iCs/>
                <w:sz w:val="18"/>
                <w:szCs w:val="18"/>
              </w:rPr>
            </w:pPr>
            <w:r w:rsidRPr="00F51DAE">
              <w:rPr>
                <w:i/>
                <w:iCs/>
                <w:sz w:val="18"/>
                <w:szCs w:val="18"/>
              </w:rPr>
              <w:t>%</w:t>
            </w:r>
          </w:p>
        </w:tc>
        <w:tc>
          <w:tcPr>
            <w:tcW w:w="796" w:type="dxa"/>
            <w:vAlign w:val="bottom"/>
          </w:tcPr>
          <w:p w:rsidR="004B16C3" w:rsidRPr="004B16C3" w:rsidRDefault="004B16C3" w:rsidP="004B16C3">
            <w:pPr>
              <w:pStyle w:val="TableBodyText"/>
              <w:rPr>
                <w:iCs/>
                <w:sz w:val="18"/>
                <w:szCs w:val="18"/>
              </w:rPr>
            </w:pPr>
            <w:r w:rsidRPr="004B16C3">
              <w:rPr>
                <w:iCs/>
                <w:sz w:val="18"/>
                <w:szCs w:val="18"/>
              </w:rPr>
              <w:t xml:space="preserve">  2.8</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2.0</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10.1</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0.8</w:t>
            </w:r>
          </w:p>
        </w:tc>
        <w:tc>
          <w:tcPr>
            <w:tcW w:w="796" w:type="dxa"/>
            <w:vAlign w:val="bottom"/>
          </w:tcPr>
          <w:p w:rsidR="004B16C3" w:rsidRPr="004B16C3" w:rsidRDefault="004B16C3" w:rsidP="004B16C3">
            <w:pPr>
              <w:pStyle w:val="TableBodyText"/>
              <w:rPr>
                <w:iCs/>
                <w:sz w:val="18"/>
                <w:szCs w:val="18"/>
              </w:rPr>
            </w:pPr>
            <w:r w:rsidRPr="004B16C3">
              <w:rPr>
                <w:iCs/>
                <w:sz w:val="18"/>
                <w:szCs w:val="18"/>
              </w:rPr>
              <w:t>–</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10.4</w:t>
            </w:r>
          </w:p>
        </w:tc>
        <w:tc>
          <w:tcPr>
            <w:tcW w:w="797" w:type="dxa"/>
            <w:vAlign w:val="bottom"/>
          </w:tcPr>
          <w:p w:rsidR="004B16C3" w:rsidRPr="004B16C3" w:rsidRDefault="004B16C3" w:rsidP="004B16C3">
            <w:pPr>
              <w:pStyle w:val="TableBodyText"/>
              <w:rPr>
                <w:iCs/>
                <w:sz w:val="18"/>
                <w:szCs w:val="18"/>
              </w:rPr>
            </w:pPr>
            <w:r w:rsidRPr="004B16C3">
              <w:rPr>
                <w:iCs/>
                <w:sz w:val="18"/>
                <w:szCs w:val="18"/>
              </w:rPr>
              <w:t xml:space="preserve">  17.0</w:t>
            </w:r>
          </w:p>
        </w:tc>
        <w:tc>
          <w:tcPr>
            <w:tcW w:w="797" w:type="dxa"/>
            <w:vAlign w:val="bottom"/>
          </w:tcPr>
          <w:p w:rsidR="004B16C3" w:rsidRPr="004B16C3" w:rsidRDefault="004B16C3" w:rsidP="004B16C3">
            <w:pPr>
              <w:pStyle w:val="TableBodyText"/>
              <w:rPr>
                <w:iCs/>
                <w:sz w:val="18"/>
                <w:szCs w:val="18"/>
              </w:rPr>
            </w:pPr>
            <w:r w:rsidRPr="004B16C3">
              <w:rPr>
                <w:iCs/>
                <w:sz w:val="18"/>
                <w:szCs w:val="18"/>
              </w:rPr>
              <w:t>–</w:t>
            </w:r>
          </w:p>
        </w:tc>
      </w:tr>
      <w:tr w:rsidR="00C879EA" w:rsidRPr="003107B7" w:rsidTr="000931F9">
        <w:tc>
          <w:tcPr>
            <w:tcW w:w="8757" w:type="dxa"/>
            <w:gridSpan w:val="10"/>
          </w:tcPr>
          <w:p w:rsidR="00C879EA" w:rsidRPr="003107B7" w:rsidRDefault="00C879EA" w:rsidP="00184AB5">
            <w:pPr>
              <w:pStyle w:val="TableBodyText"/>
              <w:ind w:right="28"/>
              <w:jc w:val="left"/>
            </w:pPr>
            <w:r w:rsidRPr="003107B7">
              <w:rPr>
                <w:b/>
              </w:rPr>
              <w:t>District/County</w:t>
            </w:r>
            <w:r w:rsidR="00DA472C">
              <w:rPr>
                <w:rStyle w:val="NoteLabel"/>
              </w:rPr>
              <w:t>c</w:t>
            </w:r>
            <w:r w:rsidR="005F0FFA">
              <w:rPr>
                <w:rStyle w:val="NoteLabel"/>
              </w:rPr>
              <w:t xml:space="preserve">, </w:t>
            </w:r>
            <w:r w:rsidR="00DA472C">
              <w:rPr>
                <w:rStyle w:val="NoteLabel"/>
              </w:rPr>
              <w:t>d</w:t>
            </w:r>
            <w:r w:rsidRPr="003107B7">
              <w:rPr>
                <w:b/>
              </w:rPr>
              <w:t xml:space="preserve"> — appeal</w:t>
            </w:r>
          </w:p>
        </w:tc>
      </w:tr>
      <w:tr w:rsidR="00E51E38" w:rsidRPr="003107B7" w:rsidTr="00B636B2">
        <w:tc>
          <w:tcPr>
            <w:tcW w:w="1843" w:type="dxa"/>
          </w:tcPr>
          <w:p w:rsidR="00E51E38" w:rsidRPr="003107B7" w:rsidRDefault="00E51E38" w:rsidP="00C15CE0">
            <w:pPr>
              <w:pStyle w:val="TableBodyText"/>
              <w:jc w:val="left"/>
            </w:pPr>
            <w:r w:rsidRPr="003107B7">
              <w:t>Pending caseload</w:t>
            </w:r>
          </w:p>
        </w:tc>
        <w:tc>
          <w:tcPr>
            <w:tcW w:w="540" w:type="dxa"/>
            <w:vAlign w:val="bottom"/>
          </w:tcPr>
          <w:p w:rsidR="00E51E38" w:rsidRPr="003107B7" w:rsidRDefault="00E51E38" w:rsidP="00C15CE0">
            <w:pPr>
              <w:pStyle w:val="TableBodyText"/>
              <w:rPr>
                <w:sz w:val="18"/>
                <w:szCs w:val="18"/>
              </w:rPr>
            </w:pPr>
            <w:r w:rsidRPr="003107B7">
              <w:rPr>
                <w:sz w:val="18"/>
                <w:szCs w:val="18"/>
              </w:rPr>
              <w:t>no.</w:t>
            </w:r>
          </w:p>
        </w:tc>
        <w:tc>
          <w:tcPr>
            <w:tcW w:w="796" w:type="dxa"/>
            <w:vAlign w:val="bottom"/>
          </w:tcPr>
          <w:p w:rsidR="00E51E38" w:rsidRPr="00E74D91" w:rsidRDefault="00E51E38" w:rsidP="00E74D91">
            <w:pPr>
              <w:pStyle w:val="TableBodyText"/>
              <w:rPr>
                <w:sz w:val="18"/>
                <w:szCs w:val="18"/>
              </w:rPr>
            </w:pPr>
            <w:r w:rsidRPr="00E74D91">
              <w:rPr>
                <w:sz w:val="18"/>
                <w:szCs w:val="18"/>
              </w:rPr>
              <w:t>1 297</w:t>
            </w:r>
          </w:p>
        </w:tc>
        <w:tc>
          <w:tcPr>
            <w:tcW w:w="797" w:type="dxa"/>
            <w:vAlign w:val="bottom"/>
          </w:tcPr>
          <w:p w:rsidR="00E51E38" w:rsidRPr="00E74D91" w:rsidRDefault="00E51E38" w:rsidP="00E74D91">
            <w:pPr>
              <w:pStyle w:val="TableBodyText"/>
              <w:rPr>
                <w:sz w:val="18"/>
                <w:szCs w:val="18"/>
              </w:rPr>
            </w:pPr>
            <w:r w:rsidRPr="00E74D91">
              <w:rPr>
                <w:sz w:val="18"/>
                <w:szCs w:val="18"/>
              </w:rPr>
              <w:t>1 080</w:t>
            </w:r>
          </w:p>
        </w:tc>
        <w:tc>
          <w:tcPr>
            <w:tcW w:w="797" w:type="dxa"/>
            <w:vAlign w:val="bottom"/>
          </w:tcPr>
          <w:p w:rsidR="00E51E38" w:rsidRPr="00E74D91" w:rsidRDefault="00E51E38" w:rsidP="00E74D91">
            <w:pPr>
              <w:pStyle w:val="TableBodyText"/>
              <w:rPr>
                <w:sz w:val="18"/>
                <w:szCs w:val="18"/>
              </w:rPr>
            </w:pPr>
            <w:r w:rsidRPr="00E74D91">
              <w:rPr>
                <w:sz w:val="18"/>
                <w:szCs w:val="18"/>
              </w:rPr>
              <w:t>161</w:t>
            </w:r>
          </w:p>
        </w:tc>
        <w:tc>
          <w:tcPr>
            <w:tcW w:w="797" w:type="dxa"/>
            <w:vAlign w:val="bottom"/>
          </w:tcPr>
          <w:p w:rsidR="00E51E38" w:rsidRPr="005450BB" w:rsidRDefault="00E51E38" w:rsidP="005450BB">
            <w:pPr>
              <w:pStyle w:val="TableBodyText"/>
              <w:rPr>
                <w:sz w:val="18"/>
              </w:rPr>
            </w:pPr>
            <w:r>
              <w:rPr>
                <w:sz w:val="18"/>
              </w:rPr>
              <w:t>..</w:t>
            </w:r>
          </w:p>
        </w:tc>
        <w:tc>
          <w:tcPr>
            <w:tcW w:w="796"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r>
      <w:tr w:rsidR="00E51E38" w:rsidRPr="003107B7" w:rsidTr="00B636B2">
        <w:tc>
          <w:tcPr>
            <w:tcW w:w="1843" w:type="dxa"/>
          </w:tcPr>
          <w:p w:rsidR="00E51E38" w:rsidRPr="003107B7" w:rsidRDefault="00E51E38" w:rsidP="00C15CE0">
            <w:pPr>
              <w:pStyle w:val="TableBodyText"/>
              <w:jc w:val="left"/>
              <w:rPr>
                <w:i/>
              </w:rPr>
            </w:pPr>
            <w:r w:rsidRPr="003107B7">
              <w:rPr>
                <w:i/>
              </w:rPr>
              <w:t xml:space="preserve">cases &gt; 12 </w:t>
            </w:r>
            <w:proofErr w:type="spellStart"/>
            <w:r w:rsidRPr="003107B7">
              <w:rPr>
                <w:i/>
              </w:rPr>
              <w:t>mths</w:t>
            </w:r>
            <w:proofErr w:type="spellEnd"/>
          </w:p>
        </w:tc>
        <w:tc>
          <w:tcPr>
            <w:tcW w:w="540" w:type="dxa"/>
            <w:vAlign w:val="bottom"/>
          </w:tcPr>
          <w:p w:rsidR="00E51E38" w:rsidRPr="003107B7" w:rsidRDefault="00E51E38" w:rsidP="00C15CE0">
            <w:pPr>
              <w:pStyle w:val="TableBodyText"/>
              <w:rPr>
                <w:i/>
                <w:iCs/>
                <w:sz w:val="18"/>
                <w:szCs w:val="18"/>
              </w:rPr>
            </w:pPr>
            <w:r w:rsidRPr="003107B7">
              <w:rPr>
                <w:i/>
                <w:iCs/>
                <w:sz w:val="18"/>
                <w:szCs w:val="18"/>
              </w:rPr>
              <w:t>%</w:t>
            </w:r>
          </w:p>
        </w:tc>
        <w:tc>
          <w:tcPr>
            <w:tcW w:w="796" w:type="dxa"/>
            <w:vAlign w:val="bottom"/>
          </w:tcPr>
          <w:p w:rsidR="00E51E38" w:rsidRPr="00E74D91" w:rsidRDefault="00E51E38" w:rsidP="00E74D91">
            <w:pPr>
              <w:pStyle w:val="TableBodyText"/>
              <w:rPr>
                <w:iCs/>
                <w:sz w:val="18"/>
                <w:szCs w:val="18"/>
              </w:rPr>
            </w:pPr>
            <w:r w:rsidRPr="00E74D91">
              <w:rPr>
                <w:iCs/>
                <w:sz w:val="18"/>
                <w:szCs w:val="18"/>
              </w:rPr>
              <w:t xml:space="preserve">  1.3</w:t>
            </w:r>
          </w:p>
        </w:tc>
        <w:tc>
          <w:tcPr>
            <w:tcW w:w="797" w:type="dxa"/>
            <w:vAlign w:val="bottom"/>
          </w:tcPr>
          <w:p w:rsidR="00E51E38" w:rsidRPr="00E74D91" w:rsidRDefault="00E51E38" w:rsidP="00E74D91">
            <w:pPr>
              <w:pStyle w:val="TableBodyText"/>
              <w:rPr>
                <w:iCs/>
                <w:sz w:val="18"/>
                <w:szCs w:val="18"/>
              </w:rPr>
            </w:pPr>
            <w:r w:rsidRPr="00E74D91">
              <w:rPr>
                <w:iCs/>
                <w:sz w:val="18"/>
                <w:szCs w:val="18"/>
              </w:rPr>
              <w:t xml:space="preserve">  6.4</w:t>
            </w:r>
          </w:p>
        </w:tc>
        <w:tc>
          <w:tcPr>
            <w:tcW w:w="797" w:type="dxa"/>
            <w:vAlign w:val="bottom"/>
          </w:tcPr>
          <w:p w:rsidR="00E51E38" w:rsidRPr="00E74D91" w:rsidRDefault="00E51E38" w:rsidP="00E74D91">
            <w:pPr>
              <w:pStyle w:val="TableBodyText"/>
              <w:rPr>
                <w:iCs/>
                <w:sz w:val="18"/>
                <w:szCs w:val="18"/>
              </w:rPr>
            </w:pPr>
            <w:r w:rsidRPr="00E74D91">
              <w:rPr>
                <w:iCs/>
                <w:sz w:val="18"/>
                <w:szCs w:val="18"/>
              </w:rPr>
              <w:t xml:space="preserve">  8.7</w:t>
            </w:r>
          </w:p>
        </w:tc>
        <w:tc>
          <w:tcPr>
            <w:tcW w:w="797" w:type="dxa"/>
          </w:tcPr>
          <w:p w:rsidR="00E51E38" w:rsidRDefault="00E51E38" w:rsidP="00E51E38">
            <w:pPr>
              <w:pStyle w:val="TableBodyText"/>
            </w:pPr>
            <w:r w:rsidRPr="007E1F4A">
              <w:t>..</w:t>
            </w:r>
          </w:p>
        </w:tc>
        <w:tc>
          <w:tcPr>
            <w:tcW w:w="796"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r>
      <w:tr w:rsidR="00E51E38" w:rsidRPr="003107B7" w:rsidTr="00B636B2">
        <w:tc>
          <w:tcPr>
            <w:tcW w:w="1843" w:type="dxa"/>
          </w:tcPr>
          <w:p w:rsidR="00E51E38" w:rsidRPr="003107B7" w:rsidRDefault="00E51E38" w:rsidP="00C15CE0">
            <w:pPr>
              <w:pStyle w:val="TableBodyText"/>
              <w:jc w:val="left"/>
              <w:rPr>
                <w:i/>
              </w:rPr>
            </w:pPr>
            <w:r w:rsidRPr="003107B7">
              <w:rPr>
                <w:i/>
              </w:rPr>
              <w:t xml:space="preserve">cases &gt; 24 </w:t>
            </w:r>
            <w:proofErr w:type="spellStart"/>
            <w:r w:rsidRPr="003107B7">
              <w:rPr>
                <w:i/>
              </w:rPr>
              <w:t>mths</w:t>
            </w:r>
            <w:proofErr w:type="spellEnd"/>
          </w:p>
        </w:tc>
        <w:tc>
          <w:tcPr>
            <w:tcW w:w="540" w:type="dxa"/>
            <w:vAlign w:val="bottom"/>
          </w:tcPr>
          <w:p w:rsidR="00E51E38" w:rsidRPr="003107B7" w:rsidRDefault="00E51E38" w:rsidP="00C15CE0">
            <w:pPr>
              <w:pStyle w:val="TableBodyText"/>
              <w:rPr>
                <w:i/>
                <w:iCs/>
                <w:sz w:val="18"/>
                <w:szCs w:val="18"/>
              </w:rPr>
            </w:pPr>
            <w:r w:rsidRPr="003107B7">
              <w:rPr>
                <w:i/>
                <w:iCs/>
                <w:sz w:val="18"/>
                <w:szCs w:val="18"/>
              </w:rPr>
              <w:t>%</w:t>
            </w:r>
          </w:p>
        </w:tc>
        <w:tc>
          <w:tcPr>
            <w:tcW w:w="796" w:type="dxa"/>
            <w:vAlign w:val="bottom"/>
          </w:tcPr>
          <w:p w:rsidR="00E51E38" w:rsidRPr="00E74D91" w:rsidRDefault="00E51E38" w:rsidP="00E74D91">
            <w:pPr>
              <w:pStyle w:val="TableBodyText"/>
              <w:rPr>
                <w:iCs/>
                <w:sz w:val="18"/>
                <w:szCs w:val="18"/>
              </w:rPr>
            </w:pPr>
            <w:r w:rsidRPr="00E74D91">
              <w:rPr>
                <w:iCs/>
                <w:sz w:val="18"/>
                <w:szCs w:val="18"/>
              </w:rPr>
              <w:t>–</w:t>
            </w:r>
          </w:p>
        </w:tc>
        <w:tc>
          <w:tcPr>
            <w:tcW w:w="797" w:type="dxa"/>
            <w:vAlign w:val="bottom"/>
          </w:tcPr>
          <w:p w:rsidR="00E51E38" w:rsidRPr="00E74D91" w:rsidRDefault="00E51E38" w:rsidP="00E74D91">
            <w:pPr>
              <w:pStyle w:val="TableBodyText"/>
              <w:rPr>
                <w:iCs/>
                <w:sz w:val="18"/>
                <w:szCs w:val="18"/>
              </w:rPr>
            </w:pPr>
            <w:r w:rsidRPr="00E74D91">
              <w:rPr>
                <w:iCs/>
                <w:sz w:val="18"/>
                <w:szCs w:val="18"/>
              </w:rPr>
              <w:t xml:space="preserve">  1.7</w:t>
            </w:r>
          </w:p>
        </w:tc>
        <w:tc>
          <w:tcPr>
            <w:tcW w:w="797" w:type="dxa"/>
            <w:vAlign w:val="bottom"/>
          </w:tcPr>
          <w:p w:rsidR="00E51E38" w:rsidRPr="00E74D91" w:rsidRDefault="00E51E38" w:rsidP="00E74D91">
            <w:pPr>
              <w:pStyle w:val="TableBodyText"/>
              <w:rPr>
                <w:iCs/>
                <w:sz w:val="18"/>
                <w:szCs w:val="18"/>
              </w:rPr>
            </w:pPr>
            <w:r w:rsidRPr="00E74D91">
              <w:rPr>
                <w:iCs/>
                <w:sz w:val="18"/>
                <w:szCs w:val="18"/>
              </w:rPr>
              <w:t xml:space="preserve">  3.7</w:t>
            </w:r>
          </w:p>
        </w:tc>
        <w:tc>
          <w:tcPr>
            <w:tcW w:w="797" w:type="dxa"/>
          </w:tcPr>
          <w:p w:rsidR="00E51E38" w:rsidRDefault="00E51E38" w:rsidP="00E51E38">
            <w:pPr>
              <w:pStyle w:val="TableBodyText"/>
            </w:pPr>
            <w:r w:rsidRPr="007E1F4A">
              <w:t>..</w:t>
            </w:r>
          </w:p>
        </w:tc>
        <w:tc>
          <w:tcPr>
            <w:tcW w:w="796"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c>
          <w:tcPr>
            <w:tcW w:w="797" w:type="dxa"/>
          </w:tcPr>
          <w:p w:rsidR="00E51E38" w:rsidRDefault="00E51E38" w:rsidP="00E51E38">
            <w:pPr>
              <w:pStyle w:val="TableBodyText"/>
            </w:pPr>
            <w:r w:rsidRPr="00D72513">
              <w:t>..</w:t>
            </w:r>
          </w:p>
        </w:tc>
      </w:tr>
      <w:tr w:rsidR="00C879EA" w:rsidRPr="004D3757" w:rsidTr="000931F9">
        <w:tc>
          <w:tcPr>
            <w:tcW w:w="8757" w:type="dxa"/>
            <w:gridSpan w:val="10"/>
          </w:tcPr>
          <w:p w:rsidR="00C879EA" w:rsidRPr="004D3757" w:rsidRDefault="00C879EA" w:rsidP="000931F9">
            <w:pPr>
              <w:pStyle w:val="TableBodyText"/>
              <w:ind w:right="28"/>
              <w:jc w:val="left"/>
            </w:pPr>
            <w:r w:rsidRPr="00E51E38">
              <w:rPr>
                <w:b/>
              </w:rPr>
              <w:t>District/County</w:t>
            </w:r>
            <w:r w:rsidR="00DA472C" w:rsidRPr="00E51E38">
              <w:rPr>
                <w:rStyle w:val="NoteLabel"/>
                <w:sz w:val="20"/>
              </w:rPr>
              <w:t>c</w:t>
            </w:r>
            <w:r w:rsidR="00DA472C">
              <w:rPr>
                <w:rStyle w:val="NoteLabel"/>
              </w:rPr>
              <w:t xml:space="preserve"> </w:t>
            </w:r>
            <w:r w:rsidRPr="004D3757">
              <w:rPr>
                <w:b/>
              </w:rPr>
              <w:t>— non</w:t>
            </w:r>
            <w:r w:rsidRPr="004D3757">
              <w:rPr>
                <w:b/>
              </w:rPr>
              <w:noBreakHyphen/>
              <w:t>appeal</w:t>
            </w:r>
          </w:p>
        </w:tc>
      </w:tr>
      <w:tr w:rsidR="00E51E38" w:rsidRPr="004D3757" w:rsidTr="00B636B2">
        <w:tc>
          <w:tcPr>
            <w:tcW w:w="1843" w:type="dxa"/>
          </w:tcPr>
          <w:p w:rsidR="00E51E38" w:rsidRPr="004D3757" w:rsidRDefault="00E51E38" w:rsidP="00C15CE0">
            <w:pPr>
              <w:pStyle w:val="TableBodyText"/>
              <w:jc w:val="left"/>
            </w:pPr>
            <w:r w:rsidRPr="004D3757">
              <w:t>Pending caseload</w:t>
            </w:r>
          </w:p>
        </w:tc>
        <w:tc>
          <w:tcPr>
            <w:tcW w:w="540" w:type="dxa"/>
            <w:vAlign w:val="bottom"/>
          </w:tcPr>
          <w:p w:rsidR="00E51E38" w:rsidRPr="004D3757" w:rsidRDefault="00E51E38" w:rsidP="00C15CE0">
            <w:pPr>
              <w:pStyle w:val="TableBodyText"/>
              <w:rPr>
                <w:sz w:val="18"/>
                <w:szCs w:val="18"/>
              </w:rPr>
            </w:pPr>
            <w:r w:rsidRPr="004D3757">
              <w:rPr>
                <w:sz w:val="18"/>
                <w:szCs w:val="18"/>
              </w:rPr>
              <w:t>no.</w:t>
            </w:r>
          </w:p>
        </w:tc>
        <w:tc>
          <w:tcPr>
            <w:tcW w:w="796" w:type="dxa"/>
            <w:vAlign w:val="bottom"/>
          </w:tcPr>
          <w:p w:rsidR="00E51E38" w:rsidRPr="001D0891" w:rsidRDefault="00E51E38" w:rsidP="001D0891">
            <w:pPr>
              <w:pStyle w:val="TableBodyText"/>
              <w:rPr>
                <w:sz w:val="18"/>
                <w:szCs w:val="18"/>
              </w:rPr>
            </w:pPr>
            <w:r w:rsidRPr="001D0891">
              <w:rPr>
                <w:sz w:val="18"/>
                <w:szCs w:val="18"/>
              </w:rPr>
              <w:t>2</w:t>
            </w:r>
            <w:r>
              <w:rPr>
                <w:sz w:val="18"/>
                <w:szCs w:val="18"/>
              </w:rPr>
              <w:t xml:space="preserve"> </w:t>
            </w:r>
            <w:r w:rsidRPr="001D0891">
              <w:rPr>
                <w:sz w:val="18"/>
                <w:szCs w:val="18"/>
              </w:rPr>
              <w:t>805</w:t>
            </w:r>
          </w:p>
        </w:tc>
        <w:tc>
          <w:tcPr>
            <w:tcW w:w="797" w:type="dxa"/>
            <w:vAlign w:val="bottom"/>
          </w:tcPr>
          <w:p w:rsidR="00E51E38" w:rsidRPr="001D0891" w:rsidRDefault="00E51E38" w:rsidP="001D0891">
            <w:pPr>
              <w:pStyle w:val="TableBodyText"/>
              <w:rPr>
                <w:sz w:val="18"/>
                <w:szCs w:val="18"/>
              </w:rPr>
            </w:pPr>
            <w:r w:rsidRPr="001D0891">
              <w:rPr>
                <w:sz w:val="18"/>
                <w:szCs w:val="18"/>
              </w:rPr>
              <w:t>1</w:t>
            </w:r>
            <w:r>
              <w:rPr>
                <w:sz w:val="18"/>
                <w:szCs w:val="18"/>
              </w:rPr>
              <w:t xml:space="preserve"> </w:t>
            </w:r>
            <w:r w:rsidRPr="001D0891">
              <w:rPr>
                <w:sz w:val="18"/>
                <w:szCs w:val="18"/>
              </w:rPr>
              <w:t>637</w:t>
            </w:r>
          </w:p>
        </w:tc>
        <w:tc>
          <w:tcPr>
            <w:tcW w:w="797" w:type="dxa"/>
            <w:vAlign w:val="bottom"/>
          </w:tcPr>
          <w:p w:rsidR="00E51E38" w:rsidRPr="001D0891" w:rsidRDefault="00E51E38" w:rsidP="001D0891">
            <w:pPr>
              <w:pStyle w:val="TableBodyText"/>
              <w:rPr>
                <w:sz w:val="18"/>
                <w:szCs w:val="18"/>
              </w:rPr>
            </w:pPr>
            <w:r w:rsidRPr="001D0891">
              <w:rPr>
                <w:sz w:val="18"/>
                <w:szCs w:val="18"/>
              </w:rPr>
              <w:t>1</w:t>
            </w:r>
            <w:r>
              <w:rPr>
                <w:sz w:val="18"/>
                <w:szCs w:val="18"/>
              </w:rPr>
              <w:t xml:space="preserve"> </w:t>
            </w:r>
            <w:r w:rsidRPr="001D0891">
              <w:rPr>
                <w:sz w:val="18"/>
                <w:szCs w:val="18"/>
              </w:rPr>
              <w:t>490</w:t>
            </w:r>
          </w:p>
        </w:tc>
        <w:tc>
          <w:tcPr>
            <w:tcW w:w="797" w:type="dxa"/>
            <w:vAlign w:val="bottom"/>
          </w:tcPr>
          <w:p w:rsidR="00E51E38" w:rsidRPr="001D0891" w:rsidRDefault="00E51E38" w:rsidP="001D0891">
            <w:pPr>
              <w:pStyle w:val="TableBodyText"/>
              <w:rPr>
                <w:sz w:val="18"/>
                <w:szCs w:val="18"/>
              </w:rPr>
            </w:pPr>
            <w:r w:rsidRPr="001D0891">
              <w:rPr>
                <w:sz w:val="18"/>
                <w:szCs w:val="18"/>
              </w:rPr>
              <w:t>986</w:t>
            </w:r>
          </w:p>
        </w:tc>
        <w:tc>
          <w:tcPr>
            <w:tcW w:w="796" w:type="dxa"/>
            <w:vAlign w:val="bottom"/>
          </w:tcPr>
          <w:p w:rsidR="00E51E38" w:rsidRPr="001D0891" w:rsidRDefault="00E51E38" w:rsidP="001D0891">
            <w:pPr>
              <w:pStyle w:val="TableBodyText"/>
              <w:rPr>
                <w:sz w:val="18"/>
                <w:szCs w:val="18"/>
              </w:rPr>
            </w:pPr>
            <w:r w:rsidRPr="001D0891">
              <w:rPr>
                <w:sz w:val="18"/>
                <w:szCs w:val="18"/>
              </w:rPr>
              <w:t>1</w:t>
            </w:r>
            <w:r>
              <w:rPr>
                <w:sz w:val="18"/>
                <w:szCs w:val="18"/>
              </w:rPr>
              <w:t xml:space="preserve"> </w:t>
            </w:r>
            <w:r w:rsidRPr="001D0891">
              <w:rPr>
                <w:sz w:val="18"/>
                <w:szCs w:val="18"/>
              </w:rPr>
              <w:t>485</w:t>
            </w:r>
          </w:p>
        </w:tc>
        <w:tc>
          <w:tcPr>
            <w:tcW w:w="797" w:type="dxa"/>
          </w:tcPr>
          <w:p w:rsidR="00E51E38" w:rsidRDefault="00E51E38" w:rsidP="00E51E38">
            <w:pPr>
              <w:pStyle w:val="TableBodyText"/>
            </w:pPr>
            <w:r w:rsidRPr="005F766B">
              <w:t>..</w:t>
            </w:r>
          </w:p>
        </w:tc>
        <w:tc>
          <w:tcPr>
            <w:tcW w:w="797" w:type="dxa"/>
          </w:tcPr>
          <w:p w:rsidR="00E51E38" w:rsidRDefault="00E51E38" w:rsidP="00E51E38">
            <w:pPr>
              <w:pStyle w:val="TableBodyText"/>
            </w:pPr>
            <w:r w:rsidRPr="005F766B">
              <w:t>..</w:t>
            </w:r>
          </w:p>
        </w:tc>
        <w:tc>
          <w:tcPr>
            <w:tcW w:w="797" w:type="dxa"/>
          </w:tcPr>
          <w:p w:rsidR="00E51E38" w:rsidRDefault="00E51E38" w:rsidP="00E51E38">
            <w:pPr>
              <w:pStyle w:val="TableBodyText"/>
            </w:pPr>
            <w:r w:rsidRPr="005F766B">
              <w:t>..</w:t>
            </w:r>
          </w:p>
        </w:tc>
      </w:tr>
      <w:tr w:rsidR="00E51E38" w:rsidRPr="004D3757" w:rsidTr="00B636B2">
        <w:tc>
          <w:tcPr>
            <w:tcW w:w="1843" w:type="dxa"/>
          </w:tcPr>
          <w:p w:rsidR="00E51E38" w:rsidRPr="004D3757" w:rsidRDefault="00E51E38" w:rsidP="00C15CE0">
            <w:pPr>
              <w:pStyle w:val="TableBodyText"/>
              <w:jc w:val="left"/>
              <w:rPr>
                <w:i/>
              </w:rPr>
            </w:pPr>
            <w:r w:rsidRPr="004D3757">
              <w:rPr>
                <w:i/>
              </w:rPr>
              <w:t xml:space="preserve">cases &gt; 12 </w:t>
            </w:r>
            <w:proofErr w:type="spellStart"/>
            <w:r w:rsidRPr="004D3757">
              <w:rPr>
                <w:i/>
              </w:rPr>
              <w:t>mths</w:t>
            </w:r>
            <w:proofErr w:type="spellEnd"/>
          </w:p>
        </w:tc>
        <w:tc>
          <w:tcPr>
            <w:tcW w:w="540" w:type="dxa"/>
            <w:vAlign w:val="bottom"/>
          </w:tcPr>
          <w:p w:rsidR="00E51E38" w:rsidRPr="004D3757" w:rsidRDefault="00E51E38" w:rsidP="00C15CE0">
            <w:pPr>
              <w:pStyle w:val="TableBodyText"/>
              <w:rPr>
                <w:i/>
                <w:iCs/>
                <w:sz w:val="18"/>
                <w:szCs w:val="18"/>
              </w:rPr>
            </w:pPr>
            <w:r w:rsidRPr="004D3757">
              <w:rPr>
                <w:i/>
                <w:iCs/>
                <w:sz w:val="18"/>
                <w:szCs w:val="18"/>
              </w:rPr>
              <w:t>%</w:t>
            </w:r>
          </w:p>
        </w:tc>
        <w:tc>
          <w:tcPr>
            <w:tcW w:w="796" w:type="dxa"/>
            <w:vAlign w:val="bottom"/>
          </w:tcPr>
          <w:p w:rsidR="00E51E38" w:rsidRPr="001D0891" w:rsidRDefault="00E51E38" w:rsidP="001D0891">
            <w:pPr>
              <w:pStyle w:val="TableBodyText"/>
              <w:rPr>
                <w:iCs/>
                <w:sz w:val="18"/>
                <w:szCs w:val="18"/>
              </w:rPr>
            </w:pPr>
            <w:r w:rsidRPr="001D0891">
              <w:rPr>
                <w:iCs/>
                <w:sz w:val="18"/>
                <w:szCs w:val="18"/>
              </w:rPr>
              <w:t xml:space="preserve">  10.9</w:t>
            </w:r>
          </w:p>
        </w:tc>
        <w:tc>
          <w:tcPr>
            <w:tcW w:w="797" w:type="dxa"/>
            <w:vAlign w:val="bottom"/>
          </w:tcPr>
          <w:p w:rsidR="00E51E38" w:rsidRPr="001D0891" w:rsidRDefault="00E51E38" w:rsidP="001D0891">
            <w:pPr>
              <w:pStyle w:val="TableBodyText"/>
              <w:rPr>
                <w:iCs/>
                <w:sz w:val="18"/>
                <w:szCs w:val="18"/>
              </w:rPr>
            </w:pPr>
            <w:r w:rsidRPr="001D0891">
              <w:rPr>
                <w:iCs/>
                <w:sz w:val="18"/>
                <w:szCs w:val="18"/>
              </w:rPr>
              <w:t xml:space="preserve">  18.1</w:t>
            </w:r>
          </w:p>
        </w:tc>
        <w:tc>
          <w:tcPr>
            <w:tcW w:w="797" w:type="dxa"/>
            <w:vAlign w:val="bottom"/>
          </w:tcPr>
          <w:p w:rsidR="00E51E38" w:rsidRPr="001D0891" w:rsidRDefault="00E51E38" w:rsidP="001D0891">
            <w:pPr>
              <w:pStyle w:val="TableBodyText"/>
              <w:rPr>
                <w:iCs/>
                <w:sz w:val="18"/>
                <w:szCs w:val="18"/>
              </w:rPr>
            </w:pPr>
            <w:r w:rsidRPr="001D0891">
              <w:rPr>
                <w:iCs/>
                <w:sz w:val="18"/>
                <w:szCs w:val="18"/>
              </w:rPr>
              <w:t xml:space="preserve">  17.4</w:t>
            </w:r>
          </w:p>
        </w:tc>
        <w:tc>
          <w:tcPr>
            <w:tcW w:w="797" w:type="dxa"/>
            <w:vAlign w:val="bottom"/>
          </w:tcPr>
          <w:p w:rsidR="00E51E38" w:rsidRPr="001D0891" w:rsidRDefault="00E51E38" w:rsidP="001D0891">
            <w:pPr>
              <w:pStyle w:val="TableBodyText"/>
              <w:rPr>
                <w:iCs/>
                <w:sz w:val="18"/>
                <w:szCs w:val="18"/>
              </w:rPr>
            </w:pPr>
            <w:r w:rsidRPr="001D0891">
              <w:rPr>
                <w:iCs/>
                <w:sz w:val="18"/>
                <w:szCs w:val="18"/>
              </w:rPr>
              <w:t xml:space="preserve">  7.0</w:t>
            </w:r>
          </w:p>
        </w:tc>
        <w:tc>
          <w:tcPr>
            <w:tcW w:w="796" w:type="dxa"/>
            <w:vAlign w:val="bottom"/>
          </w:tcPr>
          <w:p w:rsidR="00E51E38" w:rsidRPr="001D0891" w:rsidRDefault="00E51E38" w:rsidP="001D0891">
            <w:pPr>
              <w:pStyle w:val="TableBodyText"/>
              <w:rPr>
                <w:iCs/>
                <w:sz w:val="18"/>
                <w:szCs w:val="18"/>
              </w:rPr>
            </w:pPr>
            <w:r w:rsidRPr="001D0891">
              <w:rPr>
                <w:iCs/>
                <w:sz w:val="18"/>
                <w:szCs w:val="18"/>
              </w:rPr>
              <w:t xml:space="preserve">  17.6</w:t>
            </w:r>
          </w:p>
        </w:tc>
        <w:tc>
          <w:tcPr>
            <w:tcW w:w="797" w:type="dxa"/>
          </w:tcPr>
          <w:p w:rsidR="00E51E38" w:rsidRDefault="00E51E38" w:rsidP="00E51E38">
            <w:pPr>
              <w:pStyle w:val="TableBodyText"/>
            </w:pPr>
            <w:r w:rsidRPr="005F766B">
              <w:t>..</w:t>
            </w:r>
          </w:p>
        </w:tc>
        <w:tc>
          <w:tcPr>
            <w:tcW w:w="797" w:type="dxa"/>
          </w:tcPr>
          <w:p w:rsidR="00E51E38" w:rsidRDefault="00E51E38" w:rsidP="00E51E38">
            <w:pPr>
              <w:pStyle w:val="TableBodyText"/>
            </w:pPr>
            <w:r w:rsidRPr="005F766B">
              <w:t>..</w:t>
            </w:r>
          </w:p>
        </w:tc>
        <w:tc>
          <w:tcPr>
            <w:tcW w:w="797" w:type="dxa"/>
          </w:tcPr>
          <w:p w:rsidR="00E51E38" w:rsidRDefault="00E51E38" w:rsidP="00E51E38">
            <w:pPr>
              <w:pStyle w:val="TableBodyText"/>
            </w:pPr>
            <w:r w:rsidRPr="005F766B">
              <w:t>..</w:t>
            </w:r>
          </w:p>
        </w:tc>
      </w:tr>
      <w:tr w:rsidR="00E51E38" w:rsidRPr="004D3757" w:rsidTr="00B636B2">
        <w:tc>
          <w:tcPr>
            <w:tcW w:w="1843" w:type="dxa"/>
          </w:tcPr>
          <w:p w:rsidR="00E51E38" w:rsidRPr="004D3757" w:rsidRDefault="00E51E38" w:rsidP="00C15CE0">
            <w:pPr>
              <w:pStyle w:val="TableBodyText"/>
              <w:jc w:val="left"/>
              <w:rPr>
                <w:i/>
              </w:rPr>
            </w:pPr>
            <w:r w:rsidRPr="004D3757">
              <w:rPr>
                <w:i/>
              </w:rPr>
              <w:t xml:space="preserve">cases &gt; 24 </w:t>
            </w:r>
            <w:proofErr w:type="spellStart"/>
            <w:r w:rsidRPr="004D3757">
              <w:rPr>
                <w:i/>
              </w:rPr>
              <w:t>mths</w:t>
            </w:r>
            <w:proofErr w:type="spellEnd"/>
          </w:p>
        </w:tc>
        <w:tc>
          <w:tcPr>
            <w:tcW w:w="540" w:type="dxa"/>
            <w:vAlign w:val="bottom"/>
          </w:tcPr>
          <w:p w:rsidR="00E51E38" w:rsidRPr="004D3757" w:rsidRDefault="00E51E38" w:rsidP="00C15CE0">
            <w:pPr>
              <w:pStyle w:val="TableBodyText"/>
              <w:rPr>
                <w:i/>
                <w:iCs/>
                <w:sz w:val="18"/>
                <w:szCs w:val="18"/>
              </w:rPr>
            </w:pPr>
            <w:r w:rsidRPr="004D3757">
              <w:rPr>
                <w:i/>
                <w:iCs/>
                <w:sz w:val="18"/>
                <w:szCs w:val="18"/>
              </w:rPr>
              <w:t>%</w:t>
            </w:r>
          </w:p>
        </w:tc>
        <w:tc>
          <w:tcPr>
            <w:tcW w:w="796" w:type="dxa"/>
            <w:vAlign w:val="bottom"/>
          </w:tcPr>
          <w:p w:rsidR="00E51E38" w:rsidRPr="001D0891" w:rsidRDefault="00E51E38" w:rsidP="001D0891">
            <w:pPr>
              <w:pStyle w:val="TableBodyText"/>
              <w:rPr>
                <w:iCs/>
                <w:sz w:val="18"/>
                <w:szCs w:val="18"/>
              </w:rPr>
            </w:pPr>
            <w:r w:rsidRPr="001D0891">
              <w:rPr>
                <w:iCs/>
                <w:sz w:val="18"/>
                <w:szCs w:val="18"/>
              </w:rPr>
              <w:t xml:space="preserve">  1.1</w:t>
            </w:r>
          </w:p>
        </w:tc>
        <w:tc>
          <w:tcPr>
            <w:tcW w:w="797" w:type="dxa"/>
            <w:vAlign w:val="bottom"/>
          </w:tcPr>
          <w:p w:rsidR="00E51E38" w:rsidRPr="001D0891" w:rsidRDefault="00E51E38" w:rsidP="001D0891">
            <w:pPr>
              <w:pStyle w:val="TableBodyText"/>
              <w:rPr>
                <w:iCs/>
                <w:sz w:val="18"/>
                <w:szCs w:val="18"/>
              </w:rPr>
            </w:pPr>
            <w:r w:rsidRPr="001D0891">
              <w:rPr>
                <w:iCs/>
                <w:sz w:val="18"/>
                <w:szCs w:val="18"/>
              </w:rPr>
              <w:t xml:space="preserve">  3.2</w:t>
            </w:r>
          </w:p>
        </w:tc>
        <w:tc>
          <w:tcPr>
            <w:tcW w:w="797" w:type="dxa"/>
            <w:vAlign w:val="bottom"/>
          </w:tcPr>
          <w:p w:rsidR="00E51E38" w:rsidRPr="001D0891" w:rsidRDefault="00E51E38" w:rsidP="001D0891">
            <w:pPr>
              <w:pStyle w:val="TableBodyText"/>
              <w:rPr>
                <w:iCs/>
                <w:sz w:val="18"/>
                <w:szCs w:val="18"/>
              </w:rPr>
            </w:pPr>
            <w:r w:rsidRPr="001D0891">
              <w:rPr>
                <w:iCs/>
                <w:sz w:val="18"/>
                <w:szCs w:val="18"/>
              </w:rPr>
              <w:t xml:space="preserve">  5.4</w:t>
            </w:r>
          </w:p>
        </w:tc>
        <w:tc>
          <w:tcPr>
            <w:tcW w:w="797" w:type="dxa"/>
            <w:vAlign w:val="bottom"/>
          </w:tcPr>
          <w:p w:rsidR="00E51E38" w:rsidRPr="001D0891" w:rsidRDefault="00E51E38" w:rsidP="001D0891">
            <w:pPr>
              <w:pStyle w:val="TableBodyText"/>
              <w:rPr>
                <w:iCs/>
                <w:sz w:val="18"/>
                <w:szCs w:val="18"/>
              </w:rPr>
            </w:pPr>
            <w:r w:rsidRPr="001D0891">
              <w:rPr>
                <w:iCs/>
                <w:sz w:val="18"/>
                <w:szCs w:val="18"/>
              </w:rPr>
              <w:t xml:space="preserve">  1.3</w:t>
            </w:r>
          </w:p>
        </w:tc>
        <w:tc>
          <w:tcPr>
            <w:tcW w:w="796" w:type="dxa"/>
            <w:vAlign w:val="bottom"/>
          </w:tcPr>
          <w:p w:rsidR="00E51E38" w:rsidRPr="001D0891" w:rsidRDefault="00E51E38" w:rsidP="001D0891">
            <w:pPr>
              <w:pStyle w:val="TableBodyText"/>
              <w:rPr>
                <w:iCs/>
                <w:sz w:val="18"/>
                <w:szCs w:val="18"/>
              </w:rPr>
            </w:pPr>
            <w:r w:rsidRPr="001D0891">
              <w:rPr>
                <w:iCs/>
                <w:sz w:val="18"/>
                <w:szCs w:val="18"/>
              </w:rPr>
              <w:t xml:space="preserve">  3.2</w:t>
            </w:r>
          </w:p>
        </w:tc>
        <w:tc>
          <w:tcPr>
            <w:tcW w:w="797" w:type="dxa"/>
          </w:tcPr>
          <w:p w:rsidR="00E51E38" w:rsidRDefault="00E51E38" w:rsidP="00E51E38">
            <w:pPr>
              <w:pStyle w:val="TableBodyText"/>
            </w:pPr>
            <w:r w:rsidRPr="005F766B">
              <w:t>..</w:t>
            </w:r>
          </w:p>
        </w:tc>
        <w:tc>
          <w:tcPr>
            <w:tcW w:w="797" w:type="dxa"/>
          </w:tcPr>
          <w:p w:rsidR="00E51E38" w:rsidRDefault="00E51E38" w:rsidP="00E51E38">
            <w:pPr>
              <w:pStyle w:val="TableBodyText"/>
            </w:pPr>
            <w:r w:rsidRPr="005F766B">
              <w:t>..</w:t>
            </w:r>
          </w:p>
        </w:tc>
        <w:tc>
          <w:tcPr>
            <w:tcW w:w="797" w:type="dxa"/>
          </w:tcPr>
          <w:p w:rsidR="00E51E38" w:rsidRDefault="00E51E38" w:rsidP="00E51E38">
            <w:pPr>
              <w:pStyle w:val="TableBodyText"/>
            </w:pPr>
            <w:r w:rsidRPr="005F766B">
              <w:t>..</w:t>
            </w:r>
          </w:p>
        </w:tc>
      </w:tr>
      <w:tr w:rsidR="00C879EA" w:rsidRPr="004D3757" w:rsidTr="000931F9">
        <w:tc>
          <w:tcPr>
            <w:tcW w:w="8757" w:type="dxa"/>
            <w:gridSpan w:val="10"/>
          </w:tcPr>
          <w:p w:rsidR="00C879EA" w:rsidRPr="001C2A3E" w:rsidRDefault="00C879EA" w:rsidP="000931F9">
            <w:pPr>
              <w:pStyle w:val="TableBodyText"/>
              <w:ind w:right="28"/>
              <w:jc w:val="left"/>
              <w:rPr>
                <w:rStyle w:val="NoteLabel"/>
              </w:rPr>
            </w:pPr>
            <w:r w:rsidRPr="004D3757">
              <w:rPr>
                <w:b/>
              </w:rPr>
              <w:t>Magistrates’</w:t>
            </w:r>
          </w:p>
        </w:tc>
      </w:tr>
      <w:tr w:rsidR="001D0891" w:rsidRPr="004D3757" w:rsidTr="0017362F">
        <w:tc>
          <w:tcPr>
            <w:tcW w:w="1843" w:type="dxa"/>
          </w:tcPr>
          <w:p w:rsidR="001D0891" w:rsidRPr="004D3757" w:rsidRDefault="001D0891" w:rsidP="00C15CE0">
            <w:pPr>
              <w:pStyle w:val="TableBodyText"/>
              <w:jc w:val="left"/>
            </w:pPr>
            <w:r w:rsidRPr="004D3757">
              <w:t>Pending caseload</w:t>
            </w:r>
          </w:p>
        </w:tc>
        <w:tc>
          <w:tcPr>
            <w:tcW w:w="540" w:type="dxa"/>
            <w:vAlign w:val="bottom"/>
          </w:tcPr>
          <w:p w:rsidR="001D0891" w:rsidRPr="004D3757" w:rsidRDefault="001D0891" w:rsidP="00C15CE0">
            <w:pPr>
              <w:pStyle w:val="TableBodyText"/>
              <w:rPr>
                <w:sz w:val="18"/>
                <w:szCs w:val="18"/>
              </w:rPr>
            </w:pPr>
            <w:r w:rsidRPr="004D3757">
              <w:rPr>
                <w:sz w:val="18"/>
                <w:szCs w:val="18"/>
              </w:rPr>
              <w:t>no.</w:t>
            </w:r>
          </w:p>
        </w:tc>
        <w:tc>
          <w:tcPr>
            <w:tcW w:w="796" w:type="dxa"/>
            <w:vAlign w:val="bottom"/>
          </w:tcPr>
          <w:p w:rsidR="001D0891" w:rsidRPr="001D0891" w:rsidRDefault="001D0891" w:rsidP="001D0891">
            <w:pPr>
              <w:pStyle w:val="TableBodyText"/>
              <w:rPr>
                <w:sz w:val="18"/>
                <w:szCs w:val="18"/>
              </w:rPr>
            </w:pPr>
            <w:r w:rsidRPr="001D0891">
              <w:rPr>
                <w:sz w:val="18"/>
                <w:szCs w:val="18"/>
              </w:rPr>
              <w:t>34</w:t>
            </w:r>
            <w:r>
              <w:rPr>
                <w:sz w:val="18"/>
                <w:szCs w:val="18"/>
              </w:rPr>
              <w:t xml:space="preserve"> </w:t>
            </w:r>
            <w:r w:rsidRPr="001D0891">
              <w:rPr>
                <w:sz w:val="18"/>
                <w:szCs w:val="18"/>
              </w:rPr>
              <w:t>567</w:t>
            </w:r>
          </w:p>
        </w:tc>
        <w:tc>
          <w:tcPr>
            <w:tcW w:w="797" w:type="dxa"/>
            <w:vAlign w:val="bottom"/>
          </w:tcPr>
          <w:p w:rsidR="001D0891" w:rsidRPr="001D0891" w:rsidRDefault="001D0891" w:rsidP="001D0891">
            <w:pPr>
              <w:pStyle w:val="TableBodyText"/>
              <w:rPr>
                <w:sz w:val="18"/>
                <w:szCs w:val="18"/>
              </w:rPr>
            </w:pPr>
            <w:r w:rsidRPr="001D0891">
              <w:rPr>
                <w:sz w:val="18"/>
                <w:szCs w:val="18"/>
              </w:rPr>
              <w:t>36</w:t>
            </w:r>
            <w:r>
              <w:rPr>
                <w:sz w:val="18"/>
                <w:szCs w:val="18"/>
              </w:rPr>
              <w:t xml:space="preserve"> </w:t>
            </w:r>
            <w:r w:rsidRPr="001D0891">
              <w:rPr>
                <w:sz w:val="18"/>
                <w:szCs w:val="18"/>
              </w:rPr>
              <w:t>686</w:t>
            </w:r>
          </w:p>
        </w:tc>
        <w:tc>
          <w:tcPr>
            <w:tcW w:w="797" w:type="dxa"/>
            <w:vAlign w:val="bottom"/>
          </w:tcPr>
          <w:p w:rsidR="001D0891" w:rsidRPr="001D0891" w:rsidRDefault="001D0891" w:rsidP="001D0891">
            <w:pPr>
              <w:pStyle w:val="TableBodyText"/>
              <w:rPr>
                <w:sz w:val="18"/>
                <w:szCs w:val="18"/>
              </w:rPr>
            </w:pPr>
            <w:r w:rsidRPr="001D0891">
              <w:rPr>
                <w:sz w:val="18"/>
                <w:szCs w:val="18"/>
              </w:rPr>
              <w:t>31</w:t>
            </w:r>
            <w:r>
              <w:rPr>
                <w:sz w:val="18"/>
                <w:szCs w:val="18"/>
              </w:rPr>
              <w:t xml:space="preserve"> </w:t>
            </w:r>
            <w:r w:rsidRPr="001D0891">
              <w:rPr>
                <w:sz w:val="18"/>
                <w:szCs w:val="18"/>
              </w:rPr>
              <w:t>131</w:t>
            </w:r>
          </w:p>
        </w:tc>
        <w:tc>
          <w:tcPr>
            <w:tcW w:w="797" w:type="dxa"/>
            <w:vAlign w:val="bottom"/>
          </w:tcPr>
          <w:p w:rsidR="001D0891" w:rsidRPr="001D0891" w:rsidRDefault="001D0891" w:rsidP="001D0891">
            <w:pPr>
              <w:pStyle w:val="TableBodyText"/>
              <w:rPr>
                <w:sz w:val="18"/>
                <w:szCs w:val="18"/>
              </w:rPr>
            </w:pPr>
            <w:r w:rsidRPr="001D0891">
              <w:rPr>
                <w:sz w:val="18"/>
                <w:szCs w:val="18"/>
              </w:rPr>
              <w:t>10</w:t>
            </w:r>
            <w:r>
              <w:rPr>
                <w:sz w:val="18"/>
                <w:szCs w:val="18"/>
              </w:rPr>
              <w:t xml:space="preserve"> </w:t>
            </w:r>
            <w:r w:rsidRPr="001D0891">
              <w:rPr>
                <w:sz w:val="18"/>
                <w:szCs w:val="18"/>
              </w:rPr>
              <w:t>039</w:t>
            </w:r>
          </w:p>
        </w:tc>
        <w:tc>
          <w:tcPr>
            <w:tcW w:w="796" w:type="dxa"/>
            <w:vAlign w:val="bottom"/>
          </w:tcPr>
          <w:p w:rsidR="001D0891" w:rsidRPr="001D0891" w:rsidRDefault="001D0891" w:rsidP="001D0891">
            <w:pPr>
              <w:pStyle w:val="TableBodyText"/>
              <w:rPr>
                <w:sz w:val="18"/>
                <w:szCs w:val="18"/>
              </w:rPr>
            </w:pPr>
            <w:r w:rsidRPr="001D0891">
              <w:rPr>
                <w:sz w:val="18"/>
                <w:szCs w:val="18"/>
              </w:rPr>
              <w:t>18</w:t>
            </w:r>
            <w:r>
              <w:rPr>
                <w:sz w:val="18"/>
                <w:szCs w:val="18"/>
              </w:rPr>
              <w:t xml:space="preserve"> </w:t>
            </w:r>
            <w:r w:rsidRPr="001D0891">
              <w:rPr>
                <w:sz w:val="18"/>
                <w:szCs w:val="18"/>
              </w:rPr>
              <w:t>429</w:t>
            </w:r>
          </w:p>
        </w:tc>
        <w:tc>
          <w:tcPr>
            <w:tcW w:w="797" w:type="dxa"/>
            <w:vAlign w:val="bottom"/>
          </w:tcPr>
          <w:p w:rsidR="001D0891" w:rsidRPr="001D0891" w:rsidRDefault="001D0891" w:rsidP="001D0891">
            <w:pPr>
              <w:pStyle w:val="TableBodyText"/>
              <w:rPr>
                <w:sz w:val="18"/>
                <w:szCs w:val="18"/>
              </w:rPr>
            </w:pPr>
            <w:r w:rsidRPr="001D0891">
              <w:rPr>
                <w:sz w:val="18"/>
                <w:szCs w:val="18"/>
              </w:rPr>
              <w:t>5</w:t>
            </w:r>
            <w:r>
              <w:rPr>
                <w:sz w:val="18"/>
                <w:szCs w:val="18"/>
              </w:rPr>
              <w:t xml:space="preserve"> </w:t>
            </w:r>
            <w:r w:rsidRPr="001D0891">
              <w:rPr>
                <w:sz w:val="18"/>
                <w:szCs w:val="18"/>
              </w:rPr>
              <w:t>566</w:t>
            </w:r>
          </w:p>
        </w:tc>
        <w:tc>
          <w:tcPr>
            <w:tcW w:w="797" w:type="dxa"/>
            <w:vAlign w:val="bottom"/>
          </w:tcPr>
          <w:p w:rsidR="001D0891" w:rsidRPr="001D0891" w:rsidRDefault="001D0891" w:rsidP="001D0891">
            <w:pPr>
              <w:pStyle w:val="TableBodyText"/>
              <w:rPr>
                <w:sz w:val="18"/>
                <w:szCs w:val="18"/>
              </w:rPr>
            </w:pPr>
            <w:r w:rsidRPr="001D0891">
              <w:rPr>
                <w:sz w:val="18"/>
                <w:szCs w:val="18"/>
              </w:rPr>
              <w:t>1</w:t>
            </w:r>
            <w:r>
              <w:rPr>
                <w:sz w:val="18"/>
                <w:szCs w:val="18"/>
              </w:rPr>
              <w:t xml:space="preserve"> </w:t>
            </w:r>
            <w:r w:rsidRPr="001D0891">
              <w:rPr>
                <w:sz w:val="18"/>
                <w:szCs w:val="18"/>
              </w:rPr>
              <w:t>604</w:t>
            </w:r>
          </w:p>
        </w:tc>
        <w:tc>
          <w:tcPr>
            <w:tcW w:w="797" w:type="dxa"/>
            <w:vAlign w:val="bottom"/>
          </w:tcPr>
          <w:p w:rsidR="001D0891" w:rsidRPr="001D0891" w:rsidRDefault="001D0891" w:rsidP="001D0891">
            <w:pPr>
              <w:pStyle w:val="TableBodyText"/>
              <w:rPr>
                <w:sz w:val="18"/>
                <w:szCs w:val="18"/>
              </w:rPr>
            </w:pPr>
            <w:r w:rsidRPr="001D0891">
              <w:rPr>
                <w:sz w:val="18"/>
                <w:szCs w:val="18"/>
              </w:rPr>
              <w:t>2</w:t>
            </w:r>
            <w:r>
              <w:rPr>
                <w:sz w:val="18"/>
                <w:szCs w:val="18"/>
              </w:rPr>
              <w:t xml:space="preserve"> </w:t>
            </w:r>
            <w:r w:rsidRPr="001D0891">
              <w:rPr>
                <w:sz w:val="18"/>
                <w:szCs w:val="18"/>
              </w:rPr>
              <w:t>468</w:t>
            </w:r>
          </w:p>
        </w:tc>
      </w:tr>
      <w:tr w:rsidR="001D0891" w:rsidRPr="004D3757" w:rsidTr="0017362F">
        <w:tc>
          <w:tcPr>
            <w:tcW w:w="1843" w:type="dxa"/>
          </w:tcPr>
          <w:p w:rsidR="001D0891" w:rsidRPr="004D3757" w:rsidRDefault="001D0891" w:rsidP="00C15CE0">
            <w:pPr>
              <w:pStyle w:val="TableBodyText"/>
              <w:jc w:val="left"/>
              <w:rPr>
                <w:i/>
              </w:rPr>
            </w:pPr>
            <w:r w:rsidRPr="004D3757">
              <w:rPr>
                <w:i/>
              </w:rPr>
              <w:t xml:space="preserve">cases &gt; 6 </w:t>
            </w:r>
            <w:proofErr w:type="spellStart"/>
            <w:r w:rsidRPr="004D3757">
              <w:rPr>
                <w:i/>
              </w:rPr>
              <w:t>mths</w:t>
            </w:r>
            <w:proofErr w:type="spellEnd"/>
          </w:p>
        </w:tc>
        <w:tc>
          <w:tcPr>
            <w:tcW w:w="540" w:type="dxa"/>
            <w:vAlign w:val="bottom"/>
          </w:tcPr>
          <w:p w:rsidR="001D0891" w:rsidRPr="004D3757" w:rsidRDefault="001D0891" w:rsidP="00C15CE0">
            <w:pPr>
              <w:pStyle w:val="TableBodyText"/>
              <w:rPr>
                <w:i/>
                <w:iCs/>
                <w:sz w:val="18"/>
                <w:szCs w:val="18"/>
              </w:rPr>
            </w:pPr>
            <w:r w:rsidRPr="004D3757">
              <w:rPr>
                <w:i/>
                <w:iCs/>
                <w:sz w:val="18"/>
                <w:szCs w:val="18"/>
              </w:rPr>
              <w:t>%</w:t>
            </w:r>
          </w:p>
        </w:tc>
        <w:tc>
          <w:tcPr>
            <w:tcW w:w="796" w:type="dxa"/>
            <w:vAlign w:val="bottom"/>
          </w:tcPr>
          <w:p w:rsidR="001D0891" w:rsidRPr="001D0891" w:rsidRDefault="001D0891" w:rsidP="001D0891">
            <w:pPr>
              <w:pStyle w:val="TableBodyText"/>
              <w:rPr>
                <w:iCs/>
                <w:sz w:val="18"/>
                <w:szCs w:val="18"/>
              </w:rPr>
            </w:pPr>
            <w:r w:rsidRPr="001D0891">
              <w:rPr>
                <w:iCs/>
                <w:sz w:val="18"/>
                <w:szCs w:val="18"/>
              </w:rPr>
              <w:t xml:space="preserve"> 12.2</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23.7</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26.4</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27.2</w:t>
            </w:r>
          </w:p>
        </w:tc>
        <w:tc>
          <w:tcPr>
            <w:tcW w:w="796" w:type="dxa"/>
            <w:vAlign w:val="bottom"/>
          </w:tcPr>
          <w:p w:rsidR="001D0891" w:rsidRPr="001D0891" w:rsidRDefault="001D0891" w:rsidP="001D0891">
            <w:pPr>
              <w:pStyle w:val="TableBodyText"/>
              <w:rPr>
                <w:iCs/>
                <w:sz w:val="18"/>
                <w:szCs w:val="18"/>
              </w:rPr>
            </w:pPr>
            <w:r w:rsidRPr="001D0891">
              <w:rPr>
                <w:iCs/>
                <w:sz w:val="18"/>
                <w:szCs w:val="18"/>
              </w:rPr>
              <w:t xml:space="preserve"> 26.5</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27.8</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27.0</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21.8</w:t>
            </w:r>
          </w:p>
        </w:tc>
      </w:tr>
      <w:tr w:rsidR="001D0891" w:rsidRPr="004D3757" w:rsidTr="0017362F">
        <w:tc>
          <w:tcPr>
            <w:tcW w:w="1843" w:type="dxa"/>
          </w:tcPr>
          <w:p w:rsidR="001D0891" w:rsidRPr="004D3757" w:rsidRDefault="001D0891" w:rsidP="00C15CE0">
            <w:pPr>
              <w:pStyle w:val="TableBodyText"/>
              <w:jc w:val="left"/>
              <w:rPr>
                <w:i/>
              </w:rPr>
            </w:pPr>
            <w:r w:rsidRPr="004D3757">
              <w:rPr>
                <w:i/>
              </w:rPr>
              <w:t xml:space="preserve">cases &gt;12 </w:t>
            </w:r>
            <w:proofErr w:type="spellStart"/>
            <w:r w:rsidRPr="004D3757">
              <w:rPr>
                <w:i/>
              </w:rPr>
              <w:t>mths</w:t>
            </w:r>
            <w:proofErr w:type="spellEnd"/>
          </w:p>
        </w:tc>
        <w:tc>
          <w:tcPr>
            <w:tcW w:w="540" w:type="dxa"/>
            <w:vAlign w:val="bottom"/>
          </w:tcPr>
          <w:p w:rsidR="001D0891" w:rsidRPr="004D3757" w:rsidRDefault="001D0891" w:rsidP="00C15CE0">
            <w:pPr>
              <w:pStyle w:val="TableBodyText"/>
              <w:rPr>
                <w:i/>
                <w:iCs/>
                <w:sz w:val="18"/>
                <w:szCs w:val="18"/>
              </w:rPr>
            </w:pPr>
            <w:r w:rsidRPr="004D3757">
              <w:rPr>
                <w:i/>
                <w:iCs/>
                <w:sz w:val="18"/>
                <w:szCs w:val="18"/>
              </w:rPr>
              <w:t>%</w:t>
            </w:r>
          </w:p>
        </w:tc>
        <w:tc>
          <w:tcPr>
            <w:tcW w:w="796" w:type="dxa"/>
            <w:vAlign w:val="bottom"/>
          </w:tcPr>
          <w:p w:rsidR="001D0891" w:rsidRPr="001D0891" w:rsidRDefault="001D0891" w:rsidP="001D0891">
            <w:pPr>
              <w:pStyle w:val="TableBodyText"/>
              <w:rPr>
                <w:iCs/>
                <w:sz w:val="18"/>
                <w:szCs w:val="18"/>
              </w:rPr>
            </w:pPr>
            <w:r w:rsidRPr="001D0891">
              <w:rPr>
                <w:iCs/>
                <w:sz w:val="18"/>
                <w:szCs w:val="18"/>
              </w:rPr>
              <w:t xml:space="preserve"> 2.4</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7.6</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11.1</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9.0</w:t>
            </w:r>
          </w:p>
        </w:tc>
        <w:tc>
          <w:tcPr>
            <w:tcW w:w="796" w:type="dxa"/>
            <w:vAlign w:val="bottom"/>
          </w:tcPr>
          <w:p w:rsidR="001D0891" w:rsidRPr="001D0891" w:rsidRDefault="001D0891" w:rsidP="001D0891">
            <w:pPr>
              <w:pStyle w:val="TableBodyText"/>
              <w:rPr>
                <w:iCs/>
                <w:sz w:val="18"/>
                <w:szCs w:val="18"/>
              </w:rPr>
            </w:pPr>
            <w:r w:rsidRPr="001D0891">
              <w:rPr>
                <w:iCs/>
                <w:sz w:val="18"/>
                <w:szCs w:val="18"/>
              </w:rPr>
              <w:t xml:space="preserve"> 9.0</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12.8</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9.2</w:t>
            </w:r>
          </w:p>
        </w:tc>
        <w:tc>
          <w:tcPr>
            <w:tcW w:w="797" w:type="dxa"/>
            <w:vAlign w:val="bottom"/>
          </w:tcPr>
          <w:p w:rsidR="001D0891" w:rsidRPr="001D0891" w:rsidRDefault="001D0891" w:rsidP="001D0891">
            <w:pPr>
              <w:pStyle w:val="TableBodyText"/>
              <w:rPr>
                <w:iCs/>
                <w:sz w:val="18"/>
                <w:szCs w:val="18"/>
              </w:rPr>
            </w:pPr>
            <w:r w:rsidRPr="001D0891">
              <w:rPr>
                <w:iCs/>
                <w:sz w:val="18"/>
                <w:szCs w:val="18"/>
              </w:rPr>
              <w:t xml:space="preserve"> 10.6</w:t>
            </w:r>
          </w:p>
        </w:tc>
      </w:tr>
      <w:tr w:rsidR="00C879EA" w:rsidRPr="004D3757" w:rsidTr="000931F9">
        <w:tc>
          <w:tcPr>
            <w:tcW w:w="8757" w:type="dxa"/>
            <w:gridSpan w:val="10"/>
          </w:tcPr>
          <w:p w:rsidR="00C879EA" w:rsidRPr="001C2A3E" w:rsidRDefault="00C879EA" w:rsidP="000931F9">
            <w:pPr>
              <w:pStyle w:val="TableBodyText"/>
              <w:ind w:right="28"/>
              <w:jc w:val="left"/>
              <w:rPr>
                <w:rStyle w:val="NoteLabel"/>
              </w:rPr>
            </w:pPr>
            <w:r w:rsidRPr="004D3757">
              <w:rPr>
                <w:b/>
              </w:rPr>
              <w:t>Children’s</w:t>
            </w:r>
          </w:p>
        </w:tc>
      </w:tr>
      <w:tr w:rsidR="00C7313B" w:rsidRPr="004D3757" w:rsidTr="0017362F">
        <w:tc>
          <w:tcPr>
            <w:tcW w:w="1843" w:type="dxa"/>
          </w:tcPr>
          <w:p w:rsidR="00C7313B" w:rsidRPr="004D3757" w:rsidRDefault="00C7313B" w:rsidP="00C15CE0">
            <w:pPr>
              <w:pStyle w:val="TableBodyText"/>
              <w:jc w:val="left"/>
            </w:pPr>
            <w:r w:rsidRPr="004D3757">
              <w:t>Pending caseload</w:t>
            </w:r>
          </w:p>
        </w:tc>
        <w:tc>
          <w:tcPr>
            <w:tcW w:w="540" w:type="dxa"/>
            <w:vAlign w:val="bottom"/>
          </w:tcPr>
          <w:p w:rsidR="00C7313B" w:rsidRPr="004D3757" w:rsidRDefault="00C7313B" w:rsidP="00C15CE0">
            <w:pPr>
              <w:pStyle w:val="TableBodyText"/>
              <w:rPr>
                <w:sz w:val="18"/>
                <w:szCs w:val="18"/>
              </w:rPr>
            </w:pPr>
            <w:r w:rsidRPr="004D3757">
              <w:rPr>
                <w:sz w:val="18"/>
                <w:szCs w:val="18"/>
              </w:rPr>
              <w:t>no.</w:t>
            </w:r>
          </w:p>
        </w:tc>
        <w:tc>
          <w:tcPr>
            <w:tcW w:w="796" w:type="dxa"/>
            <w:vAlign w:val="bottom"/>
          </w:tcPr>
          <w:p w:rsidR="00C7313B" w:rsidRPr="00C7313B" w:rsidRDefault="00C7313B" w:rsidP="00C7313B">
            <w:pPr>
              <w:pStyle w:val="TableBodyText"/>
              <w:rPr>
                <w:sz w:val="18"/>
                <w:szCs w:val="18"/>
              </w:rPr>
            </w:pPr>
            <w:r w:rsidRPr="00C7313B">
              <w:rPr>
                <w:sz w:val="18"/>
                <w:szCs w:val="18"/>
              </w:rPr>
              <w:t>3</w:t>
            </w:r>
            <w:r>
              <w:rPr>
                <w:sz w:val="18"/>
                <w:szCs w:val="18"/>
              </w:rPr>
              <w:t xml:space="preserve"> </w:t>
            </w:r>
            <w:r w:rsidRPr="00C7313B">
              <w:rPr>
                <w:sz w:val="18"/>
                <w:szCs w:val="18"/>
              </w:rPr>
              <w:t>009</w:t>
            </w:r>
          </w:p>
        </w:tc>
        <w:tc>
          <w:tcPr>
            <w:tcW w:w="797" w:type="dxa"/>
            <w:vAlign w:val="bottom"/>
          </w:tcPr>
          <w:p w:rsidR="00C7313B" w:rsidRPr="00C7313B" w:rsidRDefault="00C7313B" w:rsidP="00C7313B">
            <w:pPr>
              <w:pStyle w:val="TableBodyText"/>
              <w:rPr>
                <w:sz w:val="18"/>
                <w:szCs w:val="18"/>
              </w:rPr>
            </w:pPr>
            <w:r w:rsidRPr="00C7313B">
              <w:rPr>
                <w:sz w:val="18"/>
                <w:szCs w:val="18"/>
              </w:rPr>
              <w:t>3</w:t>
            </w:r>
            <w:r>
              <w:rPr>
                <w:sz w:val="18"/>
                <w:szCs w:val="18"/>
              </w:rPr>
              <w:t xml:space="preserve"> </w:t>
            </w:r>
            <w:r w:rsidRPr="00C7313B">
              <w:rPr>
                <w:sz w:val="18"/>
                <w:szCs w:val="18"/>
              </w:rPr>
              <w:t>605</w:t>
            </w:r>
          </w:p>
        </w:tc>
        <w:tc>
          <w:tcPr>
            <w:tcW w:w="797" w:type="dxa"/>
            <w:vAlign w:val="bottom"/>
          </w:tcPr>
          <w:p w:rsidR="00C7313B" w:rsidRPr="00C7313B" w:rsidRDefault="00C7313B" w:rsidP="00C7313B">
            <w:pPr>
              <w:pStyle w:val="TableBodyText"/>
              <w:rPr>
                <w:sz w:val="18"/>
                <w:szCs w:val="18"/>
              </w:rPr>
            </w:pPr>
            <w:r w:rsidRPr="00C7313B">
              <w:rPr>
                <w:sz w:val="18"/>
                <w:szCs w:val="18"/>
              </w:rPr>
              <w:t>2</w:t>
            </w:r>
            <w:r>
              <w:rPr>
                <w:sz w:val="18"/>
                <w:szCs w:val="18"/>
              </w:rPr>
              <w:t xml:space="preserve"> </w:t>
            </w:r>
            <w:r w:rsidRPr="00C7313B">
              <w:rPr>
                <w:sz w:val="18"/>
                <w:szCs w:val="18"/>
              </w:rPr>
              <w:t>285</w:t>
            </w:r>
          </w:p>
        </w:tc>
        <w:tc>
          <w:tcPr>
            <w:tcW w:w="797" w:type="dxa"/>
            <w:vAlign w:val="bottom"/>
          </w:tcPr>
          <w:p w:rsidR="00C7313B" w:rsidRPr="00C7313B" w:rsidRDefault="00C7313B" w:rsidP="00C7313B">
            <w:pPr>
              <w:pStyle w:val="TableBodyText"/>
              <w:rPr>
                <w:sz w:val="18"/>
                <w:szCs w:val="18"/>
              </w:rPr>
            </w:pPr>
            <w:r w:rsidRPr="00C7313B">
              <w:rPr>
                <w:sz w:val="18"/>
                <w:szCs w:val="18"/>
              </w:rPr>
              <w:t>1</w:t>
            </w:r>
            <w:r>
              <w:rPr>
                <w:sz w:val="18"/>
                <w:szCs w:val="18"/>
              </w:rPr>
              <w:t xml:space="preserve"> </w:t>
            </w:r>
            <w:r w:rsidRPr="00C7313B">
              <w:rPr>
                <w:sz w:val="18"/>
                <w:szCs w:val="18"/>
              </w:rPr>
              <w:t>172</w:t>
            </w:r>
          </w:p>
        </w:tc>
        <w:tc>
          <w:tcPr>
            <w:tcW w:w="796" w:type="dxa"/>
            <w:vAlign w:val="bottom"/>
          </w:tcPr>
          <w:p w:rsidR="00C7313B" w:rsidRPr="00C7313B" w:rsidRDefault="00C7313B" w:rsidP="00C7313B">
            <w:pPr>
              <w:pStyle w:val="TableBodyText"/>
              <w:rPr>
                <w:sz w:val="18"/>
                <w:szCs w:val="18"/>
              </w:rPr>
            </w:pPr>
            <w:r w:rsidRPr="00C7313B">
              <w:rPr>
                <w:sz w:val="18"/>
                <w:szCs w:val="18"/>
              </w:rPr>
              <w:t>1</w:t>
            </w:r>
            <w:r>
              <w:rPr>
                <w:sz w:val="18"/>
                <w:szCs w:val="18"/>
              </w:rPr>
              <w:t xml:space="preserve"> </w:t>
            </w:r>
            <w:r w:rsidRPr="00C7313B">
              <w:rPr>
                <w:sz w:val="18"/>
                <w:szCs w:val="18"/>
              </w:rPr>
              <w:t>643</w:t>
            </w:r>
          </w:p>
        </w:tc>
        <w:tc>
          <w:tcPr>
            <w:tcW w:w="797" w:type="dxa"/>
            <w:vAlign w:val="bottom"/>
          </w:tcPr>
          <w:p w:rsidR="00C7313B" w:rsidRPr="00C7313B" w:rsidRDefault="00C7313B" w:rsidP="00C7313B">
            <w:pPr>
              <w:pStyle w:val="TableBodyText"/>
              <w:rPr>
                <w:sz w:val="18"/>
                <w:szCs w:val="18"/>
              </w:rPr>
            </w:pPr>
            <w:r w:rsidRPr="00C7313B">
              <w:rPr>
                <w:sz w:val="18"/>
                <w:szCs w:val="18"/>
              </w:rPr>
              <w:t>524</w:t>
            </w:r>
          </w:p>
        </w:tc>
        <w:tc>
          <w:tcPr>
            <w:tcW w:w="797" w:type="dxa"/>
            <w:vAlign w:val="bottom"/>
          </w:tcPr>
          <w:p w:rsidR="00C7313B" w:rsidRPr="00C7313B" w:rsidRDefault="00C7313B" w:rsidP="00C7313B">
            <w:pPr>
              <w:pStyle w:val="TableBodyText"/>
              <w:rPr>
                <w:sz w:val="18"/>
                <w:szCs w:val="18"/>
              </w:rPr>
            </w:pPr>
            <w:r w:rsidRPr="00C7313B">
              <w:rPr>
                <w:sz w:val="18"/>
                <w:szCs w:val="18"/>
              </w:rPr>
              <w:t>135</w:t>
            </w:r>
          </w:p>
        </w:tc>
        <w:tc>
          <w:tcPr>
            <w:tcW w:w="797" w:type="dxa"/>
            <w:vAlign w:val="bottom"/>
          </w:tcPr>
          <w:p w:rsidR="00C7313B" w:rsidRPr="00C7313B" w:rsidRDefault="00C7313B" w:rsidP="00C7313B">
            <w:pPr>
              <w:pStyle w:val="TableBodyText"/>
              <w:rPr>
                <w:sz w:val="18"/>
                <w:szCs w:val="18"/>
              </w:rPr>
            </w:pPr>
            <w:r w:rsidRPr="00C7313B">
              <w:rPr>
                <w:sz w:val="18"/>
                <w:szCs w:val="18"/>
              </w:rPr>
              <w:t>497</w:t>
            </w:r>
          </w:p>
        </w:tc>
      </w:tr>
      <w:tr w:rsidR="00C7313B" w:rsidRPr="004D3757" w:rsidTr="0017362F">
        <w:tc>
          <w:tcPr>
            <w:tcW w:w="1843" w:type="dxa"/>
          </w:tcPr>
          <w:p w:rsidR="00C7313B" w:rsidRPr="004D3757" w:rsidRDefault="00C7313B" w:rsidP="00C15CE0">
            <w:pPr>
              <w:pStyle w:val="TableBodyText"/>
              <w:jc w:val="left"/>
              <w:rPr>
                <w:i/>
              </w:rPr>
            </w:pPr>
            <w:r w:rsidRPr="004D3757">
              <w:rPr>
                <w:i/>
              </w:rPr>
              <w:t xml:space="preserve">cases &gt; 6 </w:t>
            </w:r>
            <w:proofErr w:type="spellStart"/>
            <w:r w:rsidRPr="004D3757">
              <w:rPr>
                <w:i/>
              </w:rPr>
              <w:t>mths</w:t>
            </w:r>
            <w:proofErr w:type="spellEnd"/>
          </w:p>
        </w:tc>
        <w:tc>
          <w:tcPr>
            <w:tcW w:w="540" w:type="dxa"/>
            <w:vAlign w:val="bottom"/>
          </w:tcPr>
          <w:p w:rsidR="00C7313B" w:rsidRPr="004D3757" w:rsidRDefault="00C7313B" w:rsidP="00C15CE0">
            <w:pPr>
              <w:pStyle w:val="TableBodyText"/>
              <w:rPr>
                <w:i/>
                <w:iCs/>
                <w:sz w:val="18"/>
                <w:szCs w:val="18"/>
              </w:rPr>
            </w:pPr>
            <w:r w:rsidRPr="004D3757">
              <w:rPr>
                <w:i/>
                <w:iCs/>
                <w:sz w:val="18"/>
                <w:szCs w:val="18"/>
              </w:rPr>
              <w:t>%</w:t>
            </w:r>
          </w:p>
        </w:tc>
        <w:tc>
          <w:tcPr>
            <w:tcW w:w="796" w:type="dxa"/>
            <w:vAlign w:val="bottom"/>
          </w:tcPr>
          <w:p w:rsidR="00C7313B" w:rsidRPr="00C7313B" w:rsidRDefault="00C7313B" w:rsidP="00C7313B">
            <w:pPr>
              <w:pStyle w:val="TableBodyText"/>
              <w:rPr>
                <w:iCs/>
                <w:sz w:val="18"/>
                <w:szCs w:val="18"/>
              </w:rPr>
            </w:pPr>
            <w:r w:rsidRPr="00C7313B">
              <w:rPr>
                <w:iCs/>
                <w:sz w:val="18"/>
                <w:szCs w:val="18"/>
              </w:rPr>
              <w:t xml:space="preserve"> 14.3</w:t>
            </w:r>
          </w:p>
        </w:tc>
        <w:tc>
          <w:tcPr>
            <w:tcW w:w="797" w:type="dxa"/>
            <w:vAlign w:val="bottom"/>
          </w:tcPr>
          <w:p w:rsidR="00C7313B" w:rsidRPr="00C7313B" w:rsidRDefault="00C7313B" w:rsidP="00C7313B">
            <w:pPr>
              <w:pStyle w:val="TableBodyText"/>
              <w:rPr>
                <w:iCs/>
                <w:sz w:val="18"/>
                <w:szCs w:val="18"/>
              </w:rPr>
            </w:pPr>
            <w:r w:rsidRPr="00C7313B">
              <w:rPr>
                <w:iCs/>
                <w:sz w:val="18"/>
                <w:szCs w:val="18"/>
              </w:rPr>
              <w:t xml:space="preserve"> 14.7</w:t>
            </w:r>
          </w:p>
        </w:tc>
        <w:tc>
          <w:tcPr>
            <w:tcW w:w="797" w:type="dxa"/>
            <w:vAlign w:val="bottom"/>
          </w:tcPr>
          <w:p w:rsidR="00C7313B" w:rsidRPr="00C7313B" w:rsidRDefault="00C7313B" w:rsidP="00C7313B">
            <w:pPr>
              <w:pStyle w:val="TableBodyText"/>
              <w:rPr>
                <w:iCs/>
                <w:sz w:val="18"/>
                <w:szCs w:val="18"/>
              </w:rPr>
            </w:pPr>
            <w:r w:rsidRPr="00C7313B">
              <w:rPr>
                <w:iCs/>
                <w:sz w:val="18"/>
                <w:szCs w:val="18"/>
              </w:rPr>
              <w:t xml:space="preserve"> 23.8</w:t>
            </w:r>
          </w:p>
        </w:tc>
        <w:tc>
          <w:tcPr>
            <w:tcW w:w="797" w:type="dxa"/>
            <w:vAlign w:val="bottom"/>
          </w:tcPr>
          <w:p w:rsidR="00C7313B" w:rsidRPr="00C7313B" w:rsidRDefault="00C7313B" w:rsidP="00C7313B">
            <w:pPr>
              <w:pStyle w:val="TableBodyText"/>
              <w:rPr>
                <w:iCs/>
                <w:sz w:val="18"/>
                <w:szCs w:val="18"/>
              </w:rPr>
            </w:pPr>
            <w:r w:rsidRPr="00C7313B">
              <w:rPr>
                <w:iCs/>
                <w:sz w:val="18"/>
                <w:szCs w:val="18"/>
              </w:rPr>
              <w:t xml:space="preserve"> 24.7</w:t>
            </w:r>
          </w:p>
        </w:tc>
        <w:tc>
          <w:tcPr>
            <w:tcW w:w="796" w:type="dxa"/>
            <w:vAlign w:val="bottom"/>
          </w:tcPr>
          <w:p w:rsidR="00C7313B" w:rsidRPr="00C7313B" w:rsidRDefault="00C7313B" w:rsidP="00C7313B">
            <w:pPr>
              <w:pStyle w:val="TableBodyText"/>
              <w:rPr>
                <w:iCs/>
                <w:sz w:val="18"/>
                <w:szCs w:val="18"/>
              </w:rPr>
            </w:pPr>
            <w:r w:rsidRPr="00C7313B">
              <w:rPr>
                <w:iCs/>
                <w:sz w:val="18"/>
                <w:szCs w:val="18"/>
              </w:rPr>
              <w:t xml:space="preserve"> 18.6</w:t>
            </w:r>
          </w:p>
        </w:tc>
        <w:tc>
          <w:tcPr>
            <w:tcW w:w="797" w:type="dxa"/>
            <w:vAlign w:val="bottom"/>
          </w:tcPr>
          <w:p w:rsidR="00C7313B" w:rsidRPr="00C7313B" w:rsidRDefault="00C7313B" w:rsidP="00C7313B">
            <w:pPr>
              <w:pStyle w:val="TableBodyText"/>
              <w:rPr>
                <w:iCs/>
                <w:sz w:val="18"/>
                <w:szCs w:val="18"/>
              </w:rPr>
            </w:pPr>
            <w:r w:rsidRPr="00C7313B">
              <w:rPr>
                <w:iCs/>
                <w:sz w:val="18"/>
                <w:szCs w:val="18"/>
              </w:rPr>
              <w:t xml:space="preserve"> 29.0</w:t>
            </w:r>
          </w:p>
        </w:tc>
        <w:tc>
          <w:tcPr>
            <w:tcW w:w="797" w:type="dxa"/>
            <w:vAlign w:val="bottom"/>
          </w:tcPr>
          <w:p w:rsidR="00C7313B" w:rsidRPr="00C7313B" w:rsidRDefault="00C7313B" w:rsidP="00C7313B">
            <w:pPr>
              <w:pStyle w:val="TableBodyText"/>
              <w:rPr>
                <w:iCs/>
                <w:sz w:val="18"/>
                <w:szCs w:val="18"/>
              </w:rPr>
            </w:pPr>
            <w:r w:rsidRPr="00C7313B">
              <w:rPr>
                <w:iCs/>
                <w:sz w:val="18"/>
                <w:szCs w:val="18"/>
              </w:rPr>
              <w:t xml:space="preserve"> 30.4</w:t>
            </w:r>
          </w:p>
        </w:tc>
        <w:tc>
          <w:tcPr>
            <w:tcW w:w="797" w:type="dxa"/>
            <w:vAlign w:val="bottom"/>
          </w:tcPr>
          <w:p w:rsidR="00C7313B" w:rsidRPr="00C7313B" w:rsidRDefault="00C7313B" w:rsidP="00C7313B">
            <w:pPr>
              <w:pStyle w:val="TableBodyText"/>
              <w:rPr>
                <w:iCs/>
                <w:sz w:val="18"/>
                <w:szCs w:val="18"/>
              </w:rPr>
            </w:pPr>
            <w:r w:rsidRPr="00C7313B">
              <w:rPr>
                <w:iCs/>
                <w:sz w:val="18"/>
                <w:szCs w:val="18"/>
              </w:rPr>
              <w:t xml:space="preserve"> 18.5</w:t>
            </w:r>
          </w:p>
        </w:tc>
      </w:tr>
      <w:tr w:rsidR="00C7313B" w:rsidRPr="004D3757" w:rsidTr="0017362F">
        <w:tc>
          <w:tcPr>
            <w:tcW w:w="1843" w:type="dxa"/>
            <w:tcBorders>
              <w:bottom w:val="single" w:sz="4" w:space="0" w:color="auto"/>
            </w:tcBorders>
          </w:tcPr>
          <w:p w:rsidR="00C7313B" w:rsidRPr="004D3757" w:rsidRDefault="00C7313B" w:rsidP="00C15CE0">
            <w:pPr>
              <w:pStyle w:val="TableBodyText"/>
              <w:jc w:val="left"/>
              <w:rPr>
                <w:i/>
              </w:rPr>
            </w:pPr>
            <w:r w:rsidRPr="004D3757">
              <w:rPr>
                <w:i/>
              </w:rPr>
              <w:t xml:space="preserve">cases &gt;12 </w:t>
            </w:r>
            <w:proofErr w:type="spellStart"/>
            <w:r w:rsidRPr="004D3757">
              <w:rPr>
                <w:i/>
              </w:rPr>
              <w:t>mths</w:t>
            </w:r>
            <w:proofErr w:type="spellEnd"/>
          </w:p>
        </w:tc>
        <w:tc>
          <w:tcPr>
            <w:tcW w:w="540" w:type="dxa"/>
            <w:tcBorders>
              <w:bottom w:val="single" w:sz="4" w:space="0" w:color="auto"/>
            </w:tcBorders>
            <w:vAlign w:val="bottom"/>
          </w:tcPr>
          <w:p w:rsidR="00C7313B" w:rsidRPr="004D3757" w:rsidRDefault="00C7313B" w:rsidP="00C15CE0">
            <w:pPr>
              <w:pStyle w:val="TableBodyText"/>
              <w:rPr>
                <w:i/>
                <w:iCs/>
                <w:sz w:val="18"/>
                <w:szCs w:val="18"/>
              </w:rPr>
            </w:pPr>
            <w:r w:rsidRPr="004D3757">
              <w:rPr>
                <w:i/>
                <w:iCs/>
                <w:sz w:val="18"/>
                <w:szCs w:val="18"/>
              </w:rPr>
              <w:t>%</w:t>
            </w:r>
          </w:p>
        </w:tc>
        <w:tc>
          <w:tcPr>
            <w:tcW w:w="796"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2.3</w:t>
            </w:r>
          </w:p>
        </w:tc>
        <w:tc>
          <w:tcPr>
            <w:tcW w:w="797"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4.0</w:t>
            </w:r>
          </w:p>
        </w:tc>
        <w:tc>
          <w:tcPr>
            <w:tcW w:w="797"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10.9</w:t>
            </w:r>
          </w:p>
        </w:tc>
        <w:tc>
          <w:tcPr>
            <w:tcW w:w="797"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9.3</w:t>
            </w:r>
          </w:p>
        </w:tc>
        <w:tc>
          <w:tcPr>
            <w:tcW w:w="796"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3.2</w:t>
            </w:r>
          </w:p>
        </w:tc>
        <w:tc>
          <w:tcPr>
            <w:tcW w:w="797"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13.2</w:t>
            </w:r>
          </w:p>
        </w:tc>
        <w:tc>
          <w:tcPr>
            <w:tcW w:w="797"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12.6</w:t>
            </w:r>
          </w:p>
        </w:tc>
        <w:tc>
          <w:tcPr>
            <w:tcW w:w="797" w:type="dxa"/>
            <w:tcBorders>
              <w:bottom w:val="single" w:sz="4" w:space="0" w:color="auto"/>
            </w:tcBorders>
            <w:vAlign w:val="bottom"/>
          </w:tcPr>
          <w:p w:rsidR="00C7313B" w:rsidRPr="00C7313B" w:rsidRDefault="00C7313B" w:rsidP="00C7313B">
            <w:pPr>
              <w:pStyle w:val="TableBodyText"/>
              <w:rPr>
                <w:iCs/>
                <w:sz w:val="18"/>
                <w:szCs w:val="18"/>
              </w:rPr>
            </w:pPr>
            <w:r w:rsidRPr="00C7313B">
              <w:rPr>
                <w:iCs/>
                <w:sz w:val="18"/>
                <w:szCs w:val="18"/>
              </w:rPr>
              <w:t xml:space="preserve"> 8.7</w:t>
            </w:r>
          </w:p>
        </w:tc>
      </w:tr>
    </w:tbl>
    <w:p w:rsidR="002E56C3" w:rsidRDefault="00502AF2" w:rsidP="00997E3F">
      <w:pPr>
        <w:pStyle w:val="Note"/>
      </w:pPr>
      <w:r w:rsidRPr="00F66BA3">
        <w:rPr>
          <w:rStyle w:val="NoteLabel"/>
        </w:rPr>
        <w:t>a </w:t>
      </w:r>
      <w:r w:rsidR="00C15CE0" w:rsidRPr="00F66BA3">
        <w:t>Higher</w:t>
      </w:r>
      <w:r w:rsidR="00C15CE0">
        <w:t xml:space="preserve"> refers to </w:t>
      </w:r>
      <w:r w:rsidR="00C1524C">
        <w:t>s</w:t>
      </w:r>
      <w:r w:rsidR="00BC62E9">
        <w:t>upreme</w:t>
      </w:r>
      <w:r w:rsidR="00C15CE0">
        <w:t xml:space="preserve"> and </w:t>
      </w:r>
      <w:r w:rsidR="00C1524C">
        <w:t>d</w:t>
      </w:r>
      <w:r w:rsidR="00BC62E9">
        <w:t>istrict</w:t>
      </w:r>
      <w:r w:rsidR="00C1524C">
        <w:t>/county c</w:t>
      </w:r>
      <w:r w:rsidR="00BC62E9">
        <w:t>ourt</w:t>
      </w:r>
      <w:r w:rsidR="00C15CE0">
        <w:t xml:space="preserve">s combined. </w:t>
      </w:r>
      <w:r w:rsidR="00DA472C">
        <w:rPr>
          <w:rStyle w:val="NoteLabel"/>
        </w:rPr>
        <w:t>b</w:t>
      </w:r>
      <w:r w:rsidR="000C5E0A">
        <w:rPr>
          <w:rStyle w:val="NoteLabel"/>
        </w:rPr>
        <w:t> </w:t>
      </w:r>
      <w:r w:rsidR="00C15CE0">
        <w:t xml:space="preserve">In NSW, the criminal </w:t>
      </w:r>
      <w:proofErr w:type="spellStart"/>
      <w:r w:rsidR="00C15CE0">
        <w:t>casemix</w:t>
      </w:r>
      <w:proofErr w:type="spellEnd"/>
      <w:r w:rsidR="00C15CE0">
        <w:t xml:space="preserve"> of the Supreme Court is principally murder and manslaughter cases and therefore not directly comparable with </w:t>
      </w:r>
      <w:r w:rsidR="00C1524C">
        <w:t>supreme c</w:t>
      </w:r>
      <w:r w:rsidR="00BC62E9">
        <w:t>ourt</w:t>
      </w:r>
      <w:r w:rsidR="00C15CE0">
        <w:t>s in other states and territories.</w:t>
      </w:r>
      <w:r w:rsidR="00E74487">
        <w:rPr>
          <w:rStyle w:val="NoteLabel"/>
        </w:rPr>
        <w:t xml:space="preserve"> </w:t>
      </w:r>
      <w:r w:rsidR="00DA472C">
        <w:rPr>
          <w:rStyle w:val="NoteLabel"/>
        </w:rPr>
        <w:t>c</w:t>
      </w:r>
      <w:r w:rsidR="00E74487">
        <w:t> </w:t>
      </w:r>
      <w:r w:rsidR="009F2CA2">
        <w:t>For Q</w:t>
      </w:r>
      <w:r w:rsidR="00C1524C">
        <w:t>ueensland s</w:t>
      </w:r>
      <w:r w:rsidR="00083146" w:rsidRPr="00083146">
        <w:t>upreme</w:t>
      </w:r>
      <w:r w:rsidR="00C1524C">
        <w:t xml:space="preserve"> and d</w:t>
      </w:r>
      <w:r w:rsidR="00EB5278">
        <w:t>istrict</w:t>
      </w:r>
      <w:r w:rsidR="00C1524C">
        <w:t xml:space="preserve"> c</w:t>
      </w:r>
      <w:r w:rsidR="00083146" w:rsidRPr="00083146">
        <w:t>ourt</w:t>
      </w:r>
      <w:r w:rsidR="00C1524C">
        <w:t>s</w:t>
      </w:r>
      <w:r w:rsidR="009F2CA2">
        <w:t>,</w:t>
      </w:r>
      <w:r w:rsidR="00083146" w:rsidRPr="00083146">
        <w:t xml:space="preserve"> the age of </w:t>
      </w:r>
      <w:r w:rsidR="000C349A">
        <w:t>non</w:t>
      </w:r>
      <w:r w:rsidR="000C349A">
        <w:noBreakHyphen/>
        <w:t>ap</w:t>
      </w:r>
      <w:r w:rsidR="00083146" w:rsidRPr="00083146">
        <w:t xml:space="preserve">peal cases </w:t>
      </w:r>
      <w:r w:rsidR="009F2CA2">
        <w:t>is</w:t>
      </w:r>
      <w:r w:rsidR="00083146" w:rsidRPr="00083146">
        <w:t xml:space="preserve"> calculated </w:t>
      </w:r>
      <w:r w:rsidR="009F2CA2">
        <w:t>from</w:t>
      </w:r>
      <w:r w:rsidR="00083146" w:rsidRPr="00083146">
        <w:t xml:space="preserve"> the date the </w:t>
      </w:r>
      <w:r w:rsidR="003E1E55">
        <w:t>court r</w:t>
      </w:r>
      <w:r w:rsidR="00D7723F">
        <w:t>ecord w</w:t>
      </w:r>
      <w:r w:rsidR="003E1E55">
        <w:t>as</w:t>
      </w:r>
      <w:r w:rsidR="009F2CA2">
        <w:t xml:space="preserve"> first</w:t>
      </w:r>
      <w:r w:rsidR="003E1E55">
        <w:t xml:space="preserve"> </w:t>
      </w:r>
      <w:r w:rsidR="009F2CA2">
        <w:t>created</w:t>
      </w:r>
      <w:r w:rsidR="003E1E55">
        <w:t xml:space="preserve"> </w:t>
      </w:r>
      <w:r w:rsidR="009F2CA2">
        <w:t>i</w:t>
      </w:r>
      <w:r w:rsidR="003E1E55">
        <w:t>n the computerised case management s</w:t>
      </w:r>
      <w:r w:rsidR="00D7723F">
        <w:t>ystem in the</w:t>
      </w:r>
      <w:r w:rsidR="00C1524C">
        <w:t xml:space="preserve"> s</w:t>
      </w:r>
      <w:r w:rsidR="00083146" w:rsidRPr="00083146">
        <w:t>upreme</w:t>
      </w:r>
      <w:r w:rsidR="00D7723F">
        <w:t xml:space="preserve"> or</w:t>
      </w:r>
      <w:r w:rsidR="00C1524C">
        <w:t xml:space="preserve"> d</w:t>
      </w:r>
      <w:r w:rsidR="00EB5278">
        <w:t xml:space="preserve">istrict </w:t>
      </w:r>
      <w:r w:rsidR="00C1524C">
        <w:t>c</w:t>
      </w:r>
      <w:r w:rsidR="00083146" w:rsidRPr="00083146">
        <w:t>ourt, not</w:t>
      </w:r>
      <w:r w:rsidR="009F2CA2">
        <w:t xml:space="preserve"> from the date of</w:t>
      </w:r>
      <w:r w:rsidR="00083146" w:rsidRPr="00083146">
        <w:t xml:space="preserve"> the committal orde</w:t>
      </w:r>
      <w:r w:rsidR="00C1524C">
        <w:t xml:space="preserve">r in </w:t>
      </w:r>
      <w:r w:rsidR="00D7723F">
        <w:t xml:space="preserve">the </w:t>
      </w:r>
      <w:r w:rsidR="00C1524C">
        <w:t>magistrates’ c</w:t>
      </w:r>
      <w:r w:rsidR="002328F2">
        <w:t>ourt</w:t>
      </w:r>
      <w:r w:rsidR="00E74487">
        <w:t>.</w:t>
      </w:r>
      <w:r w:rsidR="00AF1D02">
        <w:t xml:space="preserve"> </w:t>
      </w:r>
      <w:r w:rsidR="00DA472C">
        <w:rPr>
          <w:rStyle w:val="NoteLabel"/>
        </w:rPr>
        <w:t>d</w:t>
      </w:r>
      <w:r w:rsidR="006F5996">
        <w:rPr>
          <w:rStyle w:val="NoteLabel"/>
        </w:rPr>
        <w:t> </w:t>
      </w:r>
      <w:r w:rsidR="00C15CE0">
        <w:t xml:space="preserve">There is no criminal appellate jurisdiction in the district courts in WA or SA. All criminal appeals from </w:t>
      </w:r>
      <w:r w:rsidR="00C1524C">
        <w:t>magistrates’ c</w:t>
      </w:r>
      <w:r w:rsidR="00BC62E9">
        <w:t>ourt</w:t>
      </w:r>
      <w:r w:rsidR="00C1524C">
        <w:t>s go directly to supreme c</w:t>
      </w:r>
      <w:r w:rsidR="00BC62E9">
        <w:t>ourt</w:t>
      </w:r>
      <w:r w:rsidR="00C15CE0">
        <w:t>s in these states.</w:t>
      </w:r>
      <w:r w:rsidR="00245CA6">
        <w:t xml:space="preserve"> </w:t>
      </w:r>
      <w:r w:rsidR="00E92ADD">
        <w:rPr>
          <w:b/>
        </w:rPr>
        <w:t>.. </w:t>
      </w:r>
      <w:r w:rsidR="00E92ADD" w:rsidRPr="00E92ADD">
        <w:t>Not</w:t>
      </w:r>
      <w:r w:rsidR="00E92ADD">
        <w:t> applicable</w:t>
      </w:r>
      <w:r w:rsidR="00C15CE0">
        <w:t xml:space="preserve">. </w:t>
      </w:r>
      <w:r w:rsidR="00C15CE0" w:rsidRPr="000301E8">
        <w:rPr>
          <w:b/>
        </w:rPr>
        <w:t>–</w:t>
      </w:r>
      <w:r w:rsidR="00C15CE0">
        <w:t xml:space="preserve"> Nil or rounded to zero.</w:t>
      </w:r>
    </w:p>
    <w:p w:rsidR="002E56C3" w:rsidRPr="002E56C3" w:rsidRDefault="002E56C3" w:rsidP="002E56C3">
      <w:pPr>
        <w:pStyle w:val="Source"/>
      </w:pPr>
      <w:r>
        <w:rPr>
          <w:i/>
        </w:rPr>
        <w:t>Source</w:t>
      </w:r>
      <w:r>
        <w:t xml:space="preserve">: </w:t>
      </w:r>
      <w:r w:rsidR="00C15CE0">
        <w:t xml:space="preserve">State and Territory court authorities and departments (unpublished); </w:t>
      </w:r>
      <w:r w:rsidR="00A76A9C">
        <w:t>table </w:t>
      </w:r>
      <w:proofErr w:type="spellStart"/>
      <w:r w:rsidR="00A76A9C">
        <w:t>7</w:t>
      </w:r>
      <w:r w:rsidR="00C15CE0">
        <w:t>A.1</w:t>
      </w:r>
      <w:r w:rsidR="002B23A5">
        <w:t>9</w:t>
      </w:r>
      <w:proofErr w:type="spellEnd"/>
      <w:r w:rsidR="00C15CE0">
        <w:t>.</w:t>
      </w:r>
    </w:p>
    <w:p w:rsidR="00DD05D1" w:rsidRDefault="00D4118A" w:rsidP="00D0442F">
      <w:pPr>
        <w:pStyle w:val="BodyText"/>
      </w:pPr>
      <w:r>
        <w:br w:type="page"/>
      </w:r>
      <w:r w:rsidR="000448C1">
        <w:lastRenderedPageBreak/>
        <w:t>Backlog data</w:t>
      </w:r>
      <w:r w:rsidR="00DD05D1">
        <w:t xml:space="preserve"> for civil matters are contained in table 7.13. In the civil jurisdiction, those </w:t>
      </w:r>
      <w:proofErr w:type="spellStart"/>
      <w:r w:rsidR="00DD05D1">
        <w:t>lodgments</w:t>
      </w:r>
      <w:proofErr w:type="spellEnd"/>
      <w:r w:rsidR="00DD05D1">
        <w:t xml:space="preserve"> that have not been acted upon in the past 12 months are counted as finalised for the purpose of this Report, the aim being to focus on those matters that are part of an ‘active pending’ population. Some courts (for example, the Australian courts) proactively manage all their civil cases and apply this deeming rule to very few, if any, cases.</w:t>
      </w:r>
    </w:p>
    <w:p w:rsidR="00D254C5" w:rsidRPr="00D254C5" w:rsidRDefault="00A42FB5" w:rsidP="00C36BD4">
      <w:pPr>
        <w:pStyle w:val="TableTitle"/>
        <w:ind w:left="0" w:firstLine="0"/>
      </w:pPr>
      <w:r>
        <w:rPr>
          <w:b w:val="0"/>
        </w:rPr>
        <w:br w:type="page"/>
      </w:r>
      <w:r w:rsidR="00D254C5">
        <w:rPr>
          <w:b w:val="0"/>
        </w:rPr>
        <w:lastRenderedPageBreak/>
        <w:t>Table 7.</w:t>
      </w:r>
      <w:r w:rsidR="000C6105">
        <w:rPr>
          <w:b w:val="0"/>
          <w:noProof/>
        </w:rPr>
        <w:t>13</w:t>
      </w:r>
      <w:r w:rsidR="00D254C5">
        <w:tab/>
      </w:r>
      <w:r w:rsidR="00D254C5" w:rsidRPr="00D254C5">
        <w:t>Backlog</w:t>
      </w:r>
      <w:r w:rsidR="00505751">
        <w:t xml:space="preserve"> — </w:t>
      </w:r>
      <w:r w:rsidR="00D254C5" w:rsidRPr="00D254C5">
        <w:t>all c</w:t>
      </w:r>
      <w:r w:rsidR="00D254C5">
        <w:t xml:space="preserve">ivil matters, as at 30 June </w:t>
      </w:r>
      <w:r w:rsidR="00A9088F">
        <w:t>2013</w:t>
      </w:r>
    </w:p>
    <w:tbl>
      <w:tblPr>
        <w:tblW w:w="8790" w:type="dxa"/>
        <w:tblLayout w:type="fixed"/>
        <w:tblCellMar>
          <w:left w:w="0" w:type="dxa"/>
          <w:right w:w="0" w:type="dxa"/>
        </w:tblCellMar>
        <w:tblLook w:val="0000" w:firstRow="0" w:lastRow="0" w:firstColumn="0" w:lastColumn="0" w:noHBand="0" w:noVBand="0"/>
      </w:tblPr>
      <w:tblGrid>
        <w:gridCol w:w="1699"/>
        <w:gridCol w:w="566"/>
        <w:gridCol w:w="723"/>
        <w:gridCol w:w="724"/>
        <w:gridCol w:w="725"/>
        <w:gridCol w:w="724"/>
        <w:gridCol w:w="725"/>
        <w:gridCol w:w="725"/>
        <w:gridCol w:w="724"/>
        <w:gridCol w:w="725"/>
        <w:gridCol w:w="730"/>
      </w:tblGrid>
      <w:tr w:rsidR="00D254C5" w:rsidRPr="00D82B90" w:rsidTr="00DC17C9">
        <w:tc>
          <w:tcPr>
            <w:tcW w:w="1699" w:type="dxa"/>
            <w:tcBorders>
              <w:top w:val="single" w:sz="6" w:space="0" w:color="auto"/>
              <w:bottom w:val="single" w:sz="6" w:space="0" w:color="auto"/>
            </w:tcBorders>
          </w:tcPr>
          <w:p w:rsidR="00D254C5" w:rsidRPr="00D82B90" w:rsidRDefault="00D254C5" w:rsidP="00D254C5">
            <w:pPr>
              <w:pStyle w:val="TableColumnHeading"/>
              <w:jc w:val="left"/>
            </w:pPr>
          </w:p>
        </w:tc>
        <w:tc>
          <w:tcPr>
            <w:tcW w:w="566" w:type="dxa"/>
            <w:tcBorders>
              <w:top w:val="single" w:sz="6" w:space="0" w:color="auto"/>
              <w:bottom w:val="single" w:sz="6" w:space="0" w:color="auto"/>
            </w:tcBorders>
          </w:tcPr>
          <w:p w:rsidR="00D254C5" w:rsidRPr="00D82B90" w:rsidRDefault="00D254C5" w:rsidP="00D254C5">
            <w:pPr>
              <w:pStyle w:val="TableColumnHeading"/>
            </w:pPr>
            <w:r w:rsidRPr="00D82B90">
              <w:t>Unit</w:t>
            </w:r>
          </w:p>
        </w:tc>
        <w:tc>
          <w:tcPr>
            <w:tcW w:w="723" w:type="dxa"/>
            <w:tcBorders>
              <w:top w:val="single" w:sz="6" w:space="0" w:color="auto"/>
              <w:bottom w:val="single" w:sz="6" w:space="0" w:color="auto"/>
            </w:tcBorders>
          </w:tcPr>
          <w:p w:rsidR="00D254C5" w:rsidRPr="00D82B90" w:rsidRDefault="00D254C5" w:rsidP="00D254C5">
            <w:pPr>
              <w:pStyle w:val="TableColumnHeading"/>
            </w:pPr>
            <w:r w:rsidRPr="00D82B90">
              <w:t>NSW</w:t>
            </w:r>
          </w:p>
        </w:tc>
        <w:tc>
          <w:tcPr>
            <w:tcW w:w="724" w:type="dxa"/>
            <w:tcBorders>
              <w:top w:val="single" w:sz="6" w:space="0" w:color="auto"/>
              <w:bottom w:val="single" w:sz="6" w:space="0" w:color="auto"/>
            </w:tcBorders>
          </w:tcPr>
          <w:p w:rsidR="00D254C5" w:rsidRPr="00D82B90" w:rsidRDefault="00D254C5" w:rsidP="00D254C5">
            <w:pPr>
              <w:pStyle w:val="TableColumnHeading"/>
            </w:pPr>
            <w:r w:rsidRPr="00D82B90">
              <w:t>Vic</w:t>
            </w:r>
          </w:p>
        </w:tc>
        <w:tc>
          <w:tcPr>
            <w:tcW w:w="725" w:type="dxa"/>
            <w:tcBorders>
              <w:top w:val="single" w:sz="6" w:space="0" w:color="auto"/>
              <w:bottom w:val="single" w:sz="6" w:space="0" w:color="auto"/>
            </w:tcBorders>
          </w:tcPr>
          <w:p w:rsidR="00D254C5" w:rsidRPr="00D82B90" w:rsidRDefault="00D254C5" w:rsidP="00D254C5">
            <w:pPr>
              <w:pStyle w:val="TableColumnHeading"/>
            </w:pPr>
            <w:r w:rsidRPr="00D82B90">
              <w:t>Qld</w:t>
            </w:r>
          </w:p>
        </w:tc>
        <w:tc>
          <w:tcPr>
            <w:tcW w:w="724" w:type="dxa"/>
            <w:tcBorders>
              <w:top w:val="single" w:sz="6" w:space="0" w:color="auto"/>
              <w:bottom w:val="single" w:sz="6" w:space="0" w:color="auto"/>
            </w:tcBorders>
          </w:tcPr>
          <w:p w:rsidR="00D254C5" w:rsidRPr="00D82B90" w:rsidRDefault="00D254C5" w:rsidP="00D254C5">
            <w:pPr>
              <w:pStyle w:val="TableColumnHeading"/>
            </w:pPr>
            <w:r w:rsidRPr="00D82B90">
              <w:t>WA</w:t>
            </w:r>
          </w:p>
        </w:tc>
        <w:tc>
          <w:tcPr>
            <w:tcW w:w="725" w:type="dxa"/>
            <w:tcBorders>
              <w:top w:val="single" w:sz="6" w:space="0" w:color="auto"/>
              <w:bottom w:val="single" w:sz="6" w:space="0" w:color="auto"/>
            </w:tcBorders>
          </w:tcPr>
          <w:p w:rsidR="00D254C5" w:rsidRPr="00D82B90" w:rsidRDefault="00D254C5" w:rsidP="00D254C5">
            <w:pPr>
              <w:pStyle w:val="TableColumnHeading"/>
            </w:pPr>
            <w:r w:rsidRPr="00D82B90">
              <w:t>SA</w:t>
            </w:r>
          </w:p>
        </w:tc>
        <w:tc>
          <w:tcPr>
            <w:tcW w:w="725" w:type="dxa"/>
            <w:tcBorders>
              <w:top w:val="single" w:sz="6" w:space="0" w:color="auto"/>
              <w:bottom w:val="single" w:sz="6" w:space="0" w:color="auto"/>
            </w:tcBorders>
          </w:tcPr>
          <w:p w:rsidR="00D254C5" w:rsidRPr="00D82B90" w:rsidRDefault="00D254C5" w:rsidP="00D254C5">
            <w:pPr>
              <w:pStyle w:val="TableColumnHeading"/>
            </w:pPr>
            <w:proofErr w:type="spellStart"/>
            <w:r w:rsidRPr="00D82B90">
              <w:t>Tas</w:t>
            </w:r>
            <w:proofErr w:type="spellEnd"/>
          </w:p>
        </w:tc>
        <w:tc>
          <w:tcPr>
            <w:tcW w:w="724" w:type="dxa"/>
            <w:tcBorders>
              <w:top w:val="single" w:sz="6" w:space="0" w:color="auto"/>
              <w:bottom w:val="single" w:sz="6" w:space="0" w:color="auto"/>
            </w:tcBorders>
          </w:tcPr>
          <w:p w:rsidR="00D254C5" w:rsidRPr="00D82B90" w:rsidRDefault="00D254C5" w:rsidP="00D254C5">
            <w:pPr>
              <w:pStyle w:val="TableColumnHeading"/>
            </w:pPr>
            <w:r w:rsidRPr="00D82B90">
              <w:t>ACT</w:t>
            </w:r>
          </w:p>
        </w:tc>
        <w:tc>
          <w:tcPr>
            <w:tcW w:w="725" w:type="dxa"/>
            <w:tcBorders>
              <w:top w:val="single" w:sz="6" w:space="0" w:color="auto"/>
              <w:bottom w:val="single" w:sz="6" w:space="0" w:color="auto"/>
            </w:tcBorders>
          </w:tcPr>
          <w:p w:rsidR="00D254C5" w:rsidRPr="00D82B90" w:rsidRDefault="00D254C5" w:rsidP="00D254C5">
            <w:pPr>
              <w:pStyle w:val="TableColumnHeading"/>
            </w:pPr>
            <w:r w:rsidRPr="00D82B90">
              <w:t>NT</w:t>
            </w:r>
          </w:p>
        </w:tc>
        <w:tc>
          <w:tcPr>
            <w:tcW w:w="730" w:type="dxa"/>
            <w:tcBorders>
              <w:top w:val="single" w:sz="6" w:space="0" w:color="auto"/>
              <w:bottom w:val="single" w:sz="6" w:space="0" w:color="auto"/>
            </w:tcBorders>
          </w:tcPr>
          <w:p w:rsidR="00D254C5" w:rsidRPr="00D82B90" w:rsidRDefault="00D254C5" w:rsidP="00D254C5">
            <w:pPr>
              <w:pStyle w:val="TableColumnHeading"/>
              <w:ind w:right="28"/>
              <w:rPr>
                <w:szCs w:val="18"/>
              </w:rPr>
            </w:pPr>
            <w:proofErr w:type="spellStart"/>
            <w:r w:rsidRPr="00D82B90">
              <w:rPr>
                <w:szCs w:val="18"/>
              </w:rPr>
              <w:t>Aust</w:t>
            </w:r>
            <w:proofErr w:type="spellEnd"/>
            <w:r w:rsidRPr="00D82B90">
              <w:rPr>
                <w:szCs w:val="18"/>
              </w:rPr>
              <w:t xml:space="preserve"> c</w:t>
            </w:r>
            <w:r w:rsidR="00DA2E8B" w:rsidRPr="00D82B90">
              <w:rPr>
                <w:szCs w:val="18"/>
              </w:rPr>
              <w:t>ourts</w:t>
            </w:r>
          </w:p>
        </w:tc>
      </w:tr>
      <w:tr w:rsidR="001967C0" w:rsidRPr="00D82B90" w:rsidTr="00DC17C9">
        <w:tc>
          <w:tcPr>
            <w:tcW w:w="8790" w:type="dxa"/>
            <w:gridSpan w:val="11"/>
            <w:tcBorders>
              <w:top w:val="single" w:sz="6" w:space="0" w:color="auto"/>
            </w:tcBorders>
            <w:shd w:val="clear" w:color="auto" w:fill="auto"/>
          </w:tcPr>
          <w:p w:rsidR="001967C0" w:rsidRPr="00D82B90" w:rsidRDefault="001967C0" w:rsidP="001967C0">
            <w:pPr>
              <w:pStyle w:val="TableBodyText"/>
              <w:ind w:right="28"/>
              <w:jc w:val="left"/>
              <w:rPr>
                <w:szCs w:val="18"/>
              </w:rPr>
            </w:pPr>
            <w:r w:rsidRPr="00D82B90">
              <w:rPr>
                <w:b/>
              </w:rPr>
              <w:t>Higher</w:t>
            </w:r>
            <w:r w:rsidR="00CD7E65">
              <w:rPr>
                <w:rStyle w:val="NoteLabel"/>
                <w:sz w:val="20"/>
              </w:rPr>
              <w:t>a</w:t>
            </w:r>
            <w:r w:rsidRPr="00D82B90">
              <w:rPr>
                <w:b/>
              </w:rPr>
              <w:t xml:space="preserve"> — appeal</w:t>
            </w:r>
          </w:p>
        </w:tc>
      </w:tr>
      <w:tr w:rsidR="0024092A" w:rsidRPr="00801C06" w:rsidTr="00DC17C9">
        <w:tc>
          <w:tcPr>
            <w:tcW w:w="1699" w:type="dxa"/>
            <w:shd w:val="clear" w:color="auto" w:fill="auto"/>
          </w:tcPr>
          <w:p w:rsidR="0024092A" w:rsidRPr="00801C06" w:rsidRDefault="0024092A" w:rsidP="00276A4F">
            <w:pPr>
              <w:pStyle w:val="TableBodyText"/>
              <w:ind w:right="0"/>
              <w:jc w:val="left"/>
            </w:pPr>
            <w:r w:rsidRPr="00801C06">
              <w:t>Pending caseload</w:t>
            </w:r>
          </w:p>
        </w:tc>
        <w:tc>
          <w:tcPr>
            <w:tcW w:w="566" w:type="dxa"/>
            <w:shd w:val="clear" w:color="auto" w:fill="auto"/>
          </w:tcPr>
          <w:p w:rsidR="0024092A" w:rsidRPr="00801C06" w:rsidRDefault="0024092A" w:rsidP="00D254C5">
            <w:pPr>
              <w:pStyle w:val="TableBodyText"/>
              <w:rPr>
                <w:szCs w:val="18"/>
              </w:rPr>
            </w:pPr>
            <w:r w:rsidRPr="00801C06">
              <w:rPr>
                <w:szCs w:val="18"/>
              </w:rPr>
              <w:t>no.</w:t>
            </w:r>
          </w:p>
        </w:tc>
        <w:tc>
          <w:tcPr>
            <w:tcW w:w="723" w:type="dxa"/>
            <w:shd w:val="clear" w:color="auto" w:fill="auto"/>
            <w:vAlign w:val="bottom"/>
          </w:tcPr>
          <w:p w:rsidR="0024092A" w:rsidRPr="0024092A" w:rsidRDefault="0024092A" w:rsidP="0024092A">
            <w:pPr>
              <w:pStyle w:val="TableBodyText"/>
              <w:rPr>
                <w:sz w:val="18"/>
                <w:szCs w:val="18"/>
              </w:rPr>
            </w:pPr>
            <w:r w:rsidRPr="0024092A">
              <w:rPr>
                <w:sz w:val="18"/>
                <w:szCs w:val="18"/>
              </w:rPr>
              <w:t>749</w:t>
            </w:r>
          </w:p>
        </w:tc>
        <w:tc>
          <w:tcPr>
            <w:tcW w:w="724" w:type="dxa"/>
            <w:shd w:val="clear" w:color="auto" w:fill="auto"/>
            <w:vAlign w:val="bottom"/>
          </w:tcPr>
          <w:p w:rsidR="0024092A" w:rsidRPr="0024092A" w:rsidRDefault="0024092A" w:rsidP="0024092A">
            <w:pPr>
              <w:pStyle w:val="TableBodyText"/>
              <w:rPr>
                <w:sz w:val="18"/>
                <w:szCs w:val="18"/>
              </w:rPr>
            </w:pPr>
            <w:r w:rsidRPr="0024092A">
              <w:rPr>
                <w:sz w:val="18"/>
                <w:szCs w:val="18"/>
              </w:rPr>
              <w:t>379</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152</w:t>
            </w:r>
          </w:p>
        </w:tc>
        <w:tc>
          <w:tcPr>
            <w:tcW w:w="724" w:type="dxa"/>
            <w:shd w:val="clear" w:color="auto" w:fill="auto"/>
            <w:vAlign w:val="bottom"/>
          </w:tcPr>
          <w:p w:rsidR="0024092A" w:rsidRPr="0024092A" w:rsidRDefault="0024092A" w:rsidP="0024092A">
            <w:pPr>
              <w:pStyle w:val="TableBodyText"/>
              <w:rPr>
                <w:sz w:val="18"/>
                <w:szCs w:val="18"/>
              </w:rPr>
            </w:pPr>
            <w:r w:rsidRPr="0024092A">
              <w:rPr>
                <w:sz w:val="18"/>
                <w:szCs w:val="18"/>
              </w:rPr>
              <w:t>186</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133</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56</w:t>
            </w:r>
          </w:p>
        </w:tc>
        <w:tc>
          <w:tcPr>
            <w:tcW w:w="724" w:type="dxa"/>
            <w:shd w:val="clear" w:color="auto" w:fill="auto"/>
            <w:vAlign w:val="bottom"/>
          </w:tcPr>
          <w:p w:rsidR="0024092A" w:rsidRPr="0024092A" w:rsidRDefault="0024092A" w:rsidP="0024092A">
            <w:pPr>
              <w:pStyle w:val="TableBodyText"/>
              <w:rPr>
                <w:sz w:val="18"/>
                <w:szCs w:val="18"/>
              </w:rPr>
            </w:pPr>
            <w:r w:rsidRPr="0024092A">
              <w:rPr>
                <w:sz w:val="18"/>
                <w:szCs w:val="18"/>
              </w:rPr>
              <w:t>59</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41</w:t>
            </w:r>
          </w:p>
        </w:tc>
        <w:tc>
          <w:tcPr>
            <w:tcW w:w="730" w:type="dxa"/>
            <w:shd w:val="clear" w:color="auto" w:fill="auto"/>
            <w:vAlign w:val="bottom"/>
          </w:tcPr>
          <w:p w:rsidR="0024092A" w:rsidRPr="0024092A" w:rsidRDefault="0024092A" w:rsidP="0024092A">
            <w:pPr>
              <w:pStyle w:val="TableBodyText"/>
              <w:rPr>
                <w:sz w:val="18"/>
                <w:szCs w:val="18"/>
              </w:rPr>
            </w:pPr>
            <w:r w:rsidRPr="0024092A">
              <w:rPr>
                <w:sz w:val="18"/>
                <w:szCs w:val="18"/>
              </w:rPr>
              <w:t>282</w:t>
            </w:r>
          </w:p>
        </w:tc>
      </w:tr>
      <w:tr w:rsidR="0024092A" w:rsidRPr="00801C06" w:rsidTr="00DC17C9">
        <w:tc>
          <w:tcPr>
            <w:tcW w:w="1699" w:type="dxa"/>
            <w:shd w:val="clear" w:color="auto" w:fill="auto"/>
          </w:tcPr>
          <w:p w:rsidR="0024092A" w:rsidRPr="00801C06" w:rsidRDefault="0024092A" w:rsidP="00D254C5">
            <w:pPr>
              <w:pStyle w:val="TableBodyText"/>
              <w:jc w:val="left"/>
              <w:rPr>
                <w:i/>
              </w:rPr>
            </w:pPr>
            <w:r w:rsidRPr="00801C06">
              <w:rPr>
                <w:i/>
              </w:rPr>
              <w:t xml:space="preserve">cases &gt; 12 </w:t>
            </w:r>
            <w:proofErr w:type="spellStart"/>
            <w:r w:rsidRPr="00801C06">
              <w:rPr>
                <w:i/>
              </w:rPr>
              <w:t>mths</w:t>
            </w:r>
            <w:proofErr w:type="spellEnd"/>
            <w:r w:rsidRPr="00801C06">
              <w:rPr>
                <w:i/>
              </w:rPr>
              <w:t xml:space="preserve"> </w:t>
            </w:r>
          </w:p>
        </w:tc>
        <w:tc>
          <w:tcPr>
            <w:tcW w:w="566" w:type="dxa"/>
            <w:shd w:val="clear" w:color="auto" w:fill="auto"/>
          </w:tcPr>
          <w:p w:rsidR="0024092A" w:rsidRPr="00801C06" w:rsidRDefault="0024092A" w:rsidP="00D254C5">
            <w:pPr>
              <w:pStyle w:val="TableBodyText"/>
              <w:rPr>
                <w:i/>
                <w:szCs w:val="18"/>
              </w:rPr>
            </w:pPr>
            <w:r w:rsidRPr="00801C06">
              <w:rPr>
                <w:i/>
                <w:szCs w:val="18"/>
              </w:rPr>
              <w:t>%</w:t>
            </w:r>
          </w:p>
        </w:tc>
        <w:tc>
          <w:tcPr>
            <w:tcW w:w="723"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24.2</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19.5</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5.9</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12.4</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9.0</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14.3</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33.9</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2.4</w:t>
            </w:r>
          </w:p>
        </w:tc>
        <w:tc>
          <w:tcPr>
            <w:tcW w:w="730"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6.4</w:t>
            </w:r>
          </w:p>
        </w:tc>
      </w:tr>
      <w:tr w:rsidR="0024092A" w:rsidRPr="000C0277" w:rsidTr="00DC17C9">
        <w:tc>
          <w:tcPr>
            <w:tcW w:w="1699" w:type="dxa"/>
            <w:shd w:val="clear" w:color="auto" w:fill="auto"/>
          </w:tcPr>
          <w:p w:rsidR="0024092A" w:rsidRPr="000C0277" w:rsidRDefault="0024092A" w:rsidP="00D254C5">
            <w:pPr>
              <w:pStyle w:val="TableBodyText"/>
              <w:jc w:val="left"/>
              <w:rPr>
                <w:i/>
              </w:rPr>
            </w:pPr>
            <w:r w:rsidRPr="000C0277">
              <w:rPr>
                <w:i/>
              </w:rPr>
              <w:t xml:space="preserve">cases &gt; 24 </w:t>
            </w:r>
            <w:proofErr w:type="spellStart"/>
            <w:r w:rsidRPr="000C0277">
              <w:rPr>
                <w:i/>
              </w:rPr>
              <w:t>mths</w:t>
            </w:r>
            <w:proofErr w:type="spellEnd"/>
          </w:p>
        </w:tc>
        <w:tc>
          <w:tcPr>
            <w:tcW w:w="566" w:type="dxa"/>
            <w:shd w:val="clear" w:color="auto" w:fill="auto"/>
          </w:tcPr>
          <w:p w:rsidR="0024092A" w:rsidRPr="000C0277" w:rsidRDefault="0024092A" w:rsidP="00D254C5">
            <w:pPr>
              <w:pStyle w:val="TableBodyText"/>
              <w:rPr>
                <w:i/>
                <w:szCs w:val="18"/>
              </w:rPr>
            </w:pPr>
            <w:r w:rsidRPr="000C0277">
              <w:rPr>
                <w:i/>
                <w:szCs w:val="18"/>
              </w:rPr>
              <w:t>%</w:t>
            </w:r>
          </w:p>
        </w:tc>
        <w:tc>
          <w:tcPr>
            <w:tcW w:w="723"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9.2</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3.2</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2.6</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1.1</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3.0</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3.6</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11.9</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2.4</w:t>
            </w:r>
          </w:p>
        </w:tc>
        <w:tc>
          <w:tcPr>
            <w:tcW w:w="730"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2.1</w:t>
            </w:r>
          </w:p>
        </w:tc>
      </w:tr>
      <w:tr w:rsidR="001967C0" w:rsidRPr="000C0277" w:rsidTr="00DC17C9">
        <w:tc>
          <w:tcPr>
            <w:tcW w:w="8790" w:type="dxa"/>
            <w:gridSpan w:val="11"/>
            <w:shd w:val="clear" w:color="auto" w:fill="auto"/>
          </w:tcPr>
          <w:p w:rsidR="001967C0" w:rsidRPr="000C0277" w:rsidRDefault="001967C0" w:rsidP="001967C0">
            <w:pPr>
              <w:pStyle w:val="TableBodyText"/>
              <w:ind w:right="28"/>
              <w:jc w:val="left"/>
            </w:pPr>
            <w:r w:rsidRPr="000C0277">
              <w:rPr>
                <w:b/>
              </w:rPr>
              <w:t>Higher</w:t>
            </w:r>
            <w:r w:rsidR="00826011" w:rsidRPr="000C0277">
              <w:rPr>
                <w:b/>
              </w:rPr>
              <w:t xml:space="preserve"> (</w:t>
            </w:r>
            <w:proofErr w:type="spellStart"/>
            <w:r w:rsidR="00826011" w:rsidRPr="000C0277">
              <w:rPr>
                <w:b/>
              </w:rPr>
              <w:t>excl</w:t>
            </w:r>
            <w:proofErr w:type="spellEnd"/>
            <w:r w:rsidR="00826011" w:rsidRPr="000C0277">
              <w:rPr>
                <w:b/>
              </w:rPr>
              <w:t xml:space="preserve"> probate)</w:t>
            </w:r>
            <w:r w:rsidR="00CD7E65">
              <w:rPr>
                <w:rStyle w:val="NoteLabel"/>
                <w:sz w:val="20"/>
              </w:rPr>
              <w:t>a</w:t>
            </w:r>
            <w:r w:rsidRPr="000C0277">
              <w:rPr>
                <w:b/>
              </w:rPr>
              <w:t xml:space="preserve"> — non</w:t>
            </w:r>
            <w:r w:rsidRPr="000C0277">
              <w:rPr>
                <w:b/>
              </w:rPr>
              <w:noBreakHyphen/>
              <w:t>appeal</w:t>
            </w:r>
            <w:r w:rsidR="00CD7E65">
              <w:rPr>
                <w:rStyle w:val="NoteLabel"/>
                <w:sz w:val="20"/>
              </w:rPr>
              <w:t>b</w:t>
            </w:r>
          </w:p>
        </w:tc>
      </w:tr>
      <w:tr w:rsidR="0024092A" w:rsidRPr="000C0277" w:rsidTr="00DC17C9">
        <w:tc>
          <w:tcPr>
            <w:tcW w:w="1699" w:type="dxa"/>
            <w:shd w:val="clear" w:color="auto" w:fill="auto"/>
          </w:tcPr>
          <w:p w:rsidR="0024092A" w:rsidRPr="000C0277" w:rsidRDefault="0024092A" w:rsidP="00276A4F">
            <w:pPr>
              <w:pStyle w:val="TableBodyText"/>
              <w:ind w:right="0"/>
              <w:jc w:val="left"/>
            </w:pPr>
            <w:r w:rsidRPr="000C0277">
              <w:t>Pending caseload</w:t>
            </w:r>
          </w:p>
        </w:tc>
        <w:tc>
          <w:tcPr>
            <w:tcW w:w="566" w:type="dxa"/>
            <w:shd w:val="clear" w:color="auto" w:fill="auto"/>
          </w:tcPr>
          <w:p w:rsidR="0024092A" w:rsidRPr="000C0277" w:rsidRDefault="0024092A" w:rsidP="00D254C5">
            <w:pPr>
              <w:pStyle w:val="TableBodyText"/>
              <w:rPr>
                <w:szCs w:val="18"/>
              </w:rPr>
            </w:pPr>
            <w:r w:rsidRPr="000C0277">
              <w:rPr>
                <w:szCs w:val="18"/>
              </w:rPr>
              <w:t>no.</w:t>
            </w:r>
          </w:p>
        </w:tc>
        <w:tc>
          <w:tcPr>
            <w:tcW w:w="723" w:type="dxa"/>
            <w:shd w:val="clear" w:color="auto" w:fill="auto"/>
            <w:vAlign w:val="bottom"/>
          </w:tcPr>
          <w:p w:rsidR="0024092A" w:rsidRPr="0024092A" w:rsidRDefault="0024092A" w:rsidP="0024092A">
            <w:pPr>
              <w:pStyle w:val="TableBodyText"/>
              <w:rPr>
                <w:sz w:val="18"/>
                <w:szCs w:val="18"/>
              </w:rPr>
            </w:pPr>
            <w:r w:rsidRPr="0024092A">
              <w:rPr>
                <w:sz w:val="18"/>
                <w:szCs w:val="18"/>
              </w:rPr>
              <w:t>13</w:t>
            </w:r>
            <w:r w:rsidR="000219FD">
              <w:rPr>
                <w:sz w:val="18"/>
                <w:szCs w:val="18"/>
              </w:rPr>
              <w:t xml:space="preserve"> </w:t>
            </w:r>
            <w:r w:rsidRPr="0024092A">
              <w:rPr>
                <w:sz w:val="18"/>
                <w:szCs w:val="18"/>
              </w:rPr>
              <w:t>129</w:t>
            </w:r>
          </w:p>
        </w:tc>
        <w:tc>
          <w:tcPr>
            <w:tcW w:w="724" w:type="dxa"/>
            <w:shd w:val="clear" w:color="auto" w:fill="auto"/>
            <w:vAlign w:val="bottom"/>
          </w:tcPr>
          <w:p w:rsidR="0024092A" w:rsidRPr="0024092A" w:rsidRDefault="0024092A" w:rsidP="0024092A">
            <w:pPr>
              <w:pStyle w:val="TableBodyText"/>
              <w:rPr>
                <w:sz w:val="18"/>
                <w:szCs w:val="18"/>
              </w:rPr>
            </w:pPr>
            <w:r w:rsidRPr="0024092A">
              <w:rPr>
                <w:sz w:val="18"/>
                <w:szCs w:val="18"/>
              </w:rPr>
              <w:t>11</w:t>
            </w:r>
            <w:r w:rsidR="000219FD">
              <w:rPr>
                <w:sz w:val="18"/>
                <w:szCs w:val="18"/>
              </w:rPr>
              <w:t xml:space="preserve"> </w:t>
            </w:r>
            <w:r w:rsidRPr="0024092A">
              <w:rPr>
                <w:sz w:val="18"/>
                <w:szCs w:val="18"/>
              </w:rPr>
              <w:t>361</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7</w:t>
            </w:r>
            <w:r w:rsidR="000219FD">
              <w:rPr>
                <w:sz w:val="18"/>
                <w:szCs w:val="18"/>
              </w:rPr>
              <w:t xml:space="preserve"> </w:t>
            </w:r>
            <w:r w:rsidRPr="0024092A">
              <w:rPr>
                <w:sz w:val="18"/>
                <w:szCs w:val="18"/>
              </w:rPr>
              <w:t>764</w:t>
            </w:r>
          </w:p>
        </w:tc>
        <w:tc>
          <w:tcPr>
            <w:tcW w:w="724" w:type="dxa"/>
            <w:shd w:val="clear" w:color="auto" w:fill="auto"/>
            <w:vAlign w:val="bottom"/>
          </w:tcPr>
          <w:p w:rsidR="0024092A" w:rsidRPr="0024092A" w:rsidRDefault="0024092A" w:rsidP="0024092A">
            <w:pPr>
              <w:pStyle w:val="TableBodyText"/>
              <w:rPr>
                <w:sz w:val="18"/>
                <w:szCs w:val="18"/>
              </w:rPr>
            </w:pPr>
            <w:r w:rsidRPr="0024092A">
              <w:rPr>
                <w:sz w:val="18"/>
                <w:szCs w:val="18"/>
              </w:rPr>
              <w:t>6</w:t>
            </w:r>
            <w:r w:rsidR="000219FD">
              <w:rPr>
                <w:sz w:val="18"/>
                <w:szCs w:val="18"/>
              </w:rPr>
              <w:t xml:space="preserve"> </w:t>
            </w:r>
            <w:r w:rsidRPr="0024092A">
              <w:rPr>
                <w:sz w:val="18"/>
                <w:szCs w:val="18"/>
              </w:rPr>
              <w:t>054</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4</w:t>
            </w:r>
            <w:r w:rsidR="000219FD">
              <w:rPr>
                <w:sz w:val="18"/>
                <w:szCs w:val="18"/>
              </w:rPr>
              <w:t xml:space="preserve"> </w:t>
            </w:r>
            <w:r w:rsidRPr="0024092A">
              <w:rPr>
                <w:sz w:val="18"/>
                <w:szCs w:val="18"/>
              </w:rPr>
              <w:t>221</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898</w:t>
            </w:r>
          </w:p>
        </w:tc>
        <w:tc>
          <w:tcPr>
            <w:tcW w:w="724" w:type="dxa"/>
            <w:shd w:val="clear" w:color="auto" w:fill="auto"/>
            <w:vAlign w:val="bottom"/>
          </w:tcPr>
          <w:p w:rsidR="0024092A" w:rsidRPr="0024092A" w:rsidRDefault="0024092A" w:rsidP="0024092A">
            <w:pPr>
              <w:pStyle w:val="TableBodyText"/>
              <w:rPr>
                <w:sz w:val="18"/>
                <w:szCs w:val="18"/>
              </w:rPr>
            </w:pPr>
            <w:r w:rsidRPr="0024092A">
              <w:rPr>
                <w:sz w:val="18"/>
                <w:szCs w:val="18"/>
              </w:rPr>
              <w:t>723</w:t>
            </w:r>
          </w:p>
        </w:tc>
        <w:tc>
          <w:tcPr>
            <w:tcW w:w="725" w:type="dxa"/>
            <w:shd w:val="clear" w:color="auto" w:fill="auto"/>
            <w:vAlign w:val="bottom"/>
          </w:tcPr>
          <w:p w:rsidR="0024092A" w:rsidRPr="0024092A" w:rsidRDefault="0024092A" w:rsidP="0024092A">
            <w:pPr>
              <w:pStyle w:val="TableBodyText"/>
              <w:rPr>
                <w:sz w:val="18"/>
                <w:szCs w:val="18"/>
              </w:rPr>
            </w:pPr>
            <w:r w:rsidRPr="0024092A">
              <w:rPr>
                <w:sz w:val="18"/>
                <w:szCs w:val="18"/>
              </w:rPr>
              <w:t>104</w:t>
            </w:r>
          </w:p>
        </w:tc>
        <w:tc>
          <w:tcPr>
            <w:tcW w:w="730" w:type="dxa"/>
            <w:shd w:val="clear" w:color="auto" w:fill="auto"/>
            <w:vAlign w:val="bottom"/>
          </w:tcPr>
          <w:p w:rsidR="0024092A" w:rsidRPr="0024092A" w:rsidRDefault="0024092A" w:rsidP="0024092A">
            <w:pPr>
              <w:pStyle w:val="TableBodyText"/>
              <w:rPr>
                <w:sz w:val="18"/>
                <w:szCs w:val="18"/>
              </w:rPr>
            </w:pPr>
            <w:r w:rsidRPr="0024092A">
              <w:rPr>
                <w:sz w:val="18"/>
                <w:szCs w:val="18"/>
              </w:rPr>
              <w:t>2</w:t>
            </w:r>
            <w:r w:rsidR="000219FD">
              <w:rPr>
                <w:sz w:val="18"/>
                <w:szCs w:val="18"/>
              </w:rPr>
              <w:t xml:space="preserve"> </w:t>
            </w:r>
            <w:r w:rsidRPr="0024092A">
              <w:rPr>
                <w:sz w:val="18"/>
                <w:szCs w:val="18"/>
              </w:rPr>
              <w:t>602</w:t>
            </w:r>
          </w:p>
        </w:tc>
      </w:tr>
      <w:tr w:rsidR="0024092A" w:rsidRPr="00EC5668" w:rsidTr="002B76D7">
        <w:tc>
          <w:tcPr>
            <w:tcW w:w="1699" w:type="dxa"/>
            <w:shd w:val="clear" w:color="auto" w:fill="auto"/>
          </w:tcPr>
          <w:p w:rsidR="0024092A" w:rsidRPr="00EC5668" w:rsidRDefault="0024092A" w:rsidP="00D254C5">
            <w:pPr>
              <w:pStyle w:val="TableBodyText"/>
              <w:jc w:val="left"/>
              <w:rPr>
                <w:i/>
              </w:rPr>
            </w:pPr>
            <w:r w:rsidRPr="00EC5668">
              <w:rPr>
                <w:i/>
              </w:rPr>
              <w:t xml:space="preserve">cases &gt;12 </w:t>
            </w:r>
            <w:proofErr w:type="spellStart"/>
            <w:r w:rsidRPr="00EC5668">
              <w:rPr>
                <w:i/>
              </w:rPr>
              <w:t>mths</w:t>
            </w:r>
            <w:proofErr w:type="spellEnd"/>
          </w:p>
        </w:tc>
        <w:tc>
          <w:tcPr>
            <w:tcW w:w="566" w:type="dxa"/>
            <w:shd w:val="clear" w:color="auto" w:fill="auto"/>
          </w:tcPr>
          <w:p w:rsidR="0024092A" w:rsidRPr="00EC5668" w:rsidRDefault="0024092A" w:rsidP="00D254C5">
            <w:pPr>
              <w:pStyle w:val="TableBodyText"/>
              <w:rPr>
                <w:i/>
                <w:szCs w:val="18"/>
              </w:rPr>
            </w:pPr>
            <w:r w:rsidRPr="00EC5668">
              <w:rPr>
                <w:i/>
                <w:szCs w:val="18"/>
              </w:rPr>
              <w:t>%</w:t>
            </w:r>
          </w:p>
        </w:tc>
        <w:tc>
          <w:tcPr>
            <w:tcW w:w="723"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26.8</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29.6</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23.7</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36.8</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37.3</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28.2</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48.8</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35.6</w:t>
            </w:r>
          </w:p>
        </w:tc>
        <w:tc>
          <w:tcPr>
            <w:tcW w:w="730"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38.1</w:t>
            </w:r>
          </w:p>
        </w:tc>
      </w:tr>
      <w:tr w:rsidR="0024092A" w:rsidRPr="00EC5668" w:rsidTr="002B76D7">
        <w:tc>
          <w:tcPr>
            <w:tcW w:w="1699" w:type="dxa"/>
            <w:shd w:val="clear" w:color="auto" w:fill="auto"/>
          </w:tcPr>
          <w:p w:rsidR="0024092A" w:rsidRPr="00EC5668" w:rsidRDefault="0024092A" w:rsidP="00D254C5">
            <w:pPr>
              <w:pStyle w:val="TableBodyText"/>
              <w:jc w:val="left"/>
              <w:rPr>
                <w:i/>
              </w:rPr>
            </w:pPr>
            <w:r w:rsidRPr="00EC5668">
              <w:rPr>
                <w:i/>
              </w:rPr>
              <w:t xml:space="preserve">cases &gt; 24 </w:t>
            </w:r>
            <w:proofErr w:type="spellStart"/>
            <w:r w:rsidRPr="00EC5668">
              <w:rPr>
                <w:i/>
              </w:rPr>
              <w:t>mths</w:t>
            </w:r>
            <w:proofErr w:type="spellEnd"/>
          </w:p>
        </w:tc>
        <w:tc>
          <w:tcPr>
            <w:tcW w:w="566" w:type="dxa"/>
            <w:shd w:val="clear" w:color="auto" w:fill="auto"/>
          </w:tcPr>
          <w:p w:rsidR="0024092A" w:rsidRPr="00EC5668" w:rsidRDefault="0024092A" w:rsidP="00D254C5">
            <w:pPr>
              <w:pStyle w:val="TableBodyText"/>
              <w:rPr>
                <w:i/>
                <w:szCs w:val="18"/>
              </w:rPr>
            </w:pPr>
            <w:r w:rsidRPr="00EC5668">
              <w:rPr>
                <w:i/>
                <w:szCs w:val="18"/>
              </w:rPr>
              <w:t>%</w:t>
            </w:r>
          </w:p>
        </w:tc>
        <w:tc>
          <w:tcPr>
            <w:tcW w:w="723"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9.7</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12.5</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6.3</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13.6</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18.5</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8.2</w:t>
            </w:r>
          </w:p>
        </w:tc>
        <w:tc>
          <w:tcPr>
            <w:tcW w:w="724"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23.9</w:t>
            </w:r>
          </w:p>
        </w:tc>
        <w:tc>
          <w:tcPr>
            <w:tcW w:w="725"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11.5</w:t>
            </w:r>
          </w:p>
        </w:tc>
        <w:tc>
          <w:tcPr>
            <w:tcW w:w="730" w:type="dxa"/>
            <w:shd w:val="clear" w:color="auto" w:fill="auto"/>
            <w:vAlign w:val="bottom"/>
          </w:tcPr>
          <w:p w:rsidR="0024092A" w:rsidRPr="0024092A" w:rsidRDefault="0024092A" w:rsidP="0024092A">
            <w:pPr>
              <w:pStyle w:val="TableBodyText"/>
              <w:rPr>
                <w:iCs/>
                <w:sz w:val="18"/>
                <w:szCs w:val="18"/>
              </w:rPr>
            </w:pPr>
            <w:r w:rsidRPr="0024092A">
              <w:rPr>
                <w:iCs/>
                <w:sz w:val="18"/>
                <w:szCs w:val="18"/>
              </w:rPr>
              <w:t xml:space="preserve"> 23.1</w:t>
            </w:r>
          </w:p>
        </w:tc>
      </w:tr>
      <w:tr w:rsidR="001967C0" w:rsidRPr="00937B10" w:rsidTr="00E31645">
        <w:tc>
          <w:tcPr>
            <w:tcW w:w="8790" w:type="dxa"/>
            <w:gridSpan w:val="11"/>
          </w:tcPr>
          <w:p w:rsidR="001967C0" w:rsidRPr="00937B10" w:rsidRDefault="001967C0" w:rsidP="00D01EEE">
            <w:pPr>
              <w:pStyle w:val="TableBodyText"/>
              <w:ind w:right="28"/>
              <w:jc w:val="left"/>
            </w:pPr>
            <w:r w:rsidRPr="00937B10">
              <w:rPr>
                <w:b/>
              </w:rPr>
              <w:t>Supreme</w:t>
            </w:r>
            <w:r w:rsidR="00F43AAD" w:rsidRPr="00937B10">
              <w:rPr>
                <w:b/>
              </w:rPr>
              <w:t>/</w:t>
            </w:r>
            <w:r w:rsidRPr="00937B10">
              <w:rPr>
                <w:b/>
              </w:rPr>
              <w:t>Federal — appeal</w:t>
            </w:r>
            <w:r w:rsidR="00CD7E65">
              <w:rPr>
                <w:rStyle w:val="NoteLabel"/>
                <w:sz w:val="20"/>
              </w:rPr>
              <w:t>a</w:t>
            </w:r>
          </w:p>
        </w:tc>
      </w:tr>
      <w:tr w:rsidR="0024092A" w:rsidRPr="00937B10" w:rsidTr="00C92B2F">
        <w:tc>
          <w:tcPr>
            <w:tcW w:w="1699" w:type="dxa"/>
          </w:tcPr>
          <w:p w:rsidR="0024092A" w:rsidRPr="00937B10" w:rsidRDefault="0024092A" w:rsidP="00276A4F">
            <w:pPr>
              <w:pStyle w:val="TableBodyText"/>
              <w:ind w:right="0"/>
              <w:jc w:val="left"/>
            </w:pPr>
            <w:r w:rsidRPr="00937B10">
              <w:t>Pending caseload</w:t>
            </w:r>
          </w:p>
        </w:tc>
        <w:tc>
          <w:tcPr>
            <w:tcW w:w="566" w:type="dxa"/>
          </w:tcPr>
          <w:p w:rsidR="0024092A" w:rsidRPr="00937B10" w:rsidRDefault="0024092A" w:rsidP="00D254C5">
            <w:pPr>
              <w:pStyle w:val="TableBodyText"/>
              <w:rPr>
                <w:szCs w:val="18"/>
              </w:rPr>
            </w:pPr>
            <w:r w:rsidRPr="00937B10">
              <w:rPr>
                <w:szCs w:val="18"/>
              </w:rPr>
              <w:t>no.</w:t>
            </w:r>
          </w:p>
        </w:tc>
        <w:tc>
          <w:tcPr>
            <w:tcW w:w="723" w:type="dxa"/>
            <w:vAlign w:val="bottom"/>
          </w:tcPr>
          <w:p w:rsidR="0024092A" w:rsidRPr="0024092A" w:rsidRDefault="0024092A" w:rsidP="0024092A">
            <w:pPr>
              <w:pStyle w:val="TableBodyText"/>
              <w:rPr>
                <w:sz w:val="18"/>
                <w:szCs w:val="18"/>
              </w:rPr>
            </w:pPr>
            <w:r w:rsidRPr="0024092A">
              <w:rPr>
                <w:sz w:val="18"/>
                <w:szCs w:val="18"/>
              </w:rPr>
              <w:t>669</w:t>
            </w:r>
          </w:p>
        </w:tc>
        <w:tc>
          <w:tcPr>
            <w:tcW w:w="724" w:type="dxa"/>
            <w:vAlign w:val="bottom"/>
          </w:tcPr>
          <w:p w:rsidR="0024092A" w:rsidRPr="0024092A" w:rsidRDefault="0024092A" w:rsidP="0024092A">
            <w:pPr>
              <w:pStyle w:val="TableBodyText"/>
              <w:rPr>
                <w:sz w:val="18"/>
                <w:szCs w:val="18"/>
              </w:rPr>
            </w:pPr>
            <w:r w:rsidRPr="0024092A">
              <w:rPr>
                <w:sz w:val="18"/>
                <w:szCs w:val="18"/>
              </w:rPr>
              <w:t>288</w:t>
            </w:r>
          </w:p>
        </w:tc>
        <w:tc>
          <w:tcPr>
            <w:tcW w:w="725" w:type="dxa"/>
            <w:vAlign w:val="bottom"/>
          </w:tcPr>
          <w:p w:rsidR="0024092A" w:rsidRPr="0024092A" w:rsidRDefault="0024092A" w:rsidP="0024092A">
            <w:pPr>
              <w:pStyle w:val="TableBodyText"/>
              <w:rPr>
                <w:sz w:val="18"/>
                <w:szCs w:val="18"/>
              </w:rPr>
            </w:pPr>
            <w:r w:rsidRPr="0024092A">
              <w:rPr>
                <w:sz w:val="18"/>
                <w:szCs w:val="18"/>
              </w:rPr>
              <w:t>114</w:t>
            </w:r>
          </w:p>
        </w:tc>
        <w:tc>
          <w:tcPr>
            <w:tcW w:w="724" w:type="dxa"/>
            <w:vAlign w:val="bottom"/>
          </w:tcPr>
          <w:p w:rsidR="0024092A" w:rsidRPr="0024092A" w:rsidRDefault="0024092A" w:rsidP="0024092A">
            <w:pPr>
              <w:pStyle w:val="TableBodyText"/>
              <w:rPr>
                <w:sz w:val="18"/>
                <w:szCs w:val="18"/>
              </w:rPr>
            </w:pPr>
            <w:r w:rsidRPr="0024092A">
              <w:rPr>
                <w:sz w:val="18"/>
                <w:szCs w:val="18"/>
              </w:rPr>
              <w:t>127</w:t>
            </w:r>
          </w:p>
        </w:tc>
        <w:tc>
          <w:tcPr>
            <w:tcW w:w="725" w:type="dxa"/>
            <w:vAlign w:val="bottom"/>
          </w:tcPr>
          <w:p w:rsidR="0024092A" w:rsidRPr="0024092A" w:rsidRDefault="0024092A" w:rsidP="0024092A">
            <w:pPr>
              <w:pStyle w:val="TableBodyText"/>
              <w:rPr>
                <w:sz w:val="18"/>
                <w:szCs w:val="18"/>
              </w:rPr>
            </w:pPr>
            <w:r w:rsidRPr="0024092A">
              <w:rPr>
                <w:sz w:val="18"/>
                <w:szCs w:val="18"/>
              </w:rPr>
              <w:t>56</w:t>
            </w:r>
          </w:p>
        </w:tc>
        <w:tc>
          <w:tcPr>
            <w:tcW w:w="725" w:type="dxa"/>
            <w:vAlign w:val="bottom"/>
          </w:tcPr>
          <w:p w:rsidR="0024092A" w:rsidRPr="0024092A" w:rsidRDefault="0024092A" w:rsidP="0024092A">
            <w:pPr>
              <w:pStyle w:val="TableBodyText"/>
              <w:rPr>
                <w:sz w:val="18"/>
                <w:szCs w:val="18"/>
              </w:rPr>
            </w:pPr>
            <w:r w:rsidRPr="0024092A">
              <w:rPr>
                <w:sz w:val="18"/>
                <w:szCs w:val="18"/>
              </w:rPr>
              <w:t>56</w:t>
            </w:r>
          </w:p>
        </w:tc>
        <w:tc>
          <w:tcPr>
            <w:tcW w:w="724" w:type="dxa"/>
            <w:vAlign w:val="bottom"/>
          </w:tcPr>
          <w:p w:rsidR="0024092A" w:rsidRPr="0024092A" w:rsidRDefault="0024092A" w:rsidP="0024092A">
            <w:pPr>
              <w:pStyle w:val="TableBodyText"/>
              <w:rPr>
                <w:sz w:val="18"/>
                <w:szCs w:val="18"/>
              </w:rPr>
            </w:pPr>
            <w:r w:rsidRPr="0024092A">
              <w:rPr>
                <w:sz w:val="18"/>
                <w:szCs w:val="18"/>
              </w:rPr>
              <w:t>59</w:t>
            </w:r>
          </w:p>
        </w:tc>
        <w:tc>
          <w:tcPr>
            <w:tcW w:w="725" w:type="dxa"/>
            <w:vAlign w:val="bottom"/>
          </w:tcPr>
          <w:p w:rsidR="0024092A" w:rsidRPr="0024092A" w:rsidRDefault="0024092A" w:rsidP="0024092A">
            <w:pPr>
              <w:pStyle w:val="TableBodyText"/>
              <w:rPr>
                <w:sz w:val="18"/>
                <w:szCs w:val="18"/>
              </w:rPr>
            </w:pPr>
            <w:r w:rsidRPr="0024092A">
              <w:rPr>
                <w:sz w:val="18"/>
                <w:szCs w:val="18"/>
              </w:rPr>
              <w:t>41</w:t>
            </w:r>
          </w:p>
        </w:tc>
        <w:tc>
          <w:tcPr>
            <w:tcW w:w="730" w:type="dxa"/>
            <w:vAlign w:val="bottom"/>
          </w:tcPr>
          <w:p w:rsidR="0024092A" w:rsidRPr="0024092A" w:rsidRDefault="0024092A" w:rsidP="0024092A">
            <w:pPr>
              <w:pStyle w:val="TableBodyText"/>
              <w:rPr>
                <w:sz w:val="18"/>
                <w:szCs w:val="18"/>
              </w:rPr>
            </w:pPr>
            <w:r w:rsidRPr="0024092A">
              <w:rPr>
                <w:sz w:val="18"/>
                <w:szCs w:val="18"/>
              </w:rPr>
              <w:t>282</w:t>
            </w:r>
          </w:p>
        </w:tc>
      </w:tr>
      <w:tr w:rsidR="0024092A" w:rsidRPr="00937B10" w:rsidTr="00C92B2F">
        <w:tc>
          <w:tcPr>
            <w:tcW w:w="1699" w:type="dxa"/>
          </w:tcPr>
          <w:p w:rsidR="0024092A" w:rsidRPr="00937B10" w:rsidRDefault="0024092A" w:rsidP="00D254C5">
            <w:pPr>
              <w:pStyle w:val="TableBodyText"/>
              <w:jc w:val="left"/>
              <w:rPr>
                <w:i/>
              </w:rPr>
            </w:pPr>
            <w:r w:rsidRPr="00937B10">
              <w:rPr>
                <w:i/>
              </w:rPr>
              <w:t xml:space="preserve">cases &gt;12 </w:t>
            </w:r>
            <w:proofErr w:type="spellStart"/>
            <w:r w:rsidRPr="00937B10">
              <w:rPr>
                <w:i/>
              </w:rPr>
              <w:t>mths</w:t>
            </w:r>
            <w:proofErr w:type="spellEnd"/>
          </w:p>
        </w:tc>
        <w:tc>
          <w:tcPr>
            <w:tcW w:w="566" w:type="dxa"/>
          </w:tcPr>
          <w:p w:rsidR="0024092A" w:rsidRPr="00937B10" w:rsidRDefault="0024092A" w:rsidP="00D254C5">
            <w:pPr>
              <w:pStyle w:val="TableBodyText"/>
              <w:rPr>
                <w:i/>
                <w:szCs w:val="18"/>
              </w:rPr>
            </w:pPr>
            <w:r w:rsidRPr="00937B10">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26.0</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22.2</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14.2</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10.7</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14.3</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33.9</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2.4</w:t>
            </w:r>
          </w:p>
        </w:tc>
        <w:tc>
          <w:tcPr>
            <w:tcW w:w="730" w:type="dxa"/>
            <w:vAlign w:val="bottom"/>
          </w:tcPr>
          <w:p w:rsidR="0024092A" w:rsidRPr="0024092A" w:rsidRDefault="0024092A" w:rsidP="0024092A">
            <w:pPr>
              <w:pStyle w:val="TableBodyText"/>
              <w:rPr>
                <w:iCs/>
                <w:sz w:val="18"/>
                <w:szCs w:val="18"/>
              </w:rPr>
            </w:pPr>
            <w:r w:rsidRPr="0024092A">
              <w:rPr>
                <w:iCs/>
                <w:sz w:val="18"/>
                <w:szCs w:val="18"/>
              </w:rPr>
              <w:t xml:space="preserve"> 6.4</w:t>
            </w:r>
          </w:p>
        </w:tc>
      </w:tr>
      <w:tr w:rsidR="0024092A" w:rsidRPr="00937B10" w:rsidTr="00C92B2F">
        <w:tc>
          <w:tcPr>
            <w:tcW w:w="1699" w:type="dxa"/>
          </w:tcPr>
          <w:p w:rsidR="0024092A" w:rsidRPr="00937B10" w:rsidRDefault="0024092A" w:rsidP="00D254C5">
            <w:pPr>
              <w:pStyle w:val="TableBodyText"/>
              <w:jc w:val="left"/>
              <w:rPr>
                <w:i/>
              </w:rPr>
            </w:pPr>
            <w:r w:rsidRPr="00937B10">
              <w:rPr>
                <w:i/>
              </w:rPr>
              <w:t xml:space="preserve">cases &gt; 24 </w:t>
            </w:r>
            <w:proofErr w:type="spellStart"/>
            <w:r w:rsidRPr="00937B10">
              <w:rPr>
                <w:i/>
              </w:rPr>
              <w:t>mths</w:t>
            </w:r>
            <w:proofErr w:type="spellEnd"/>
          </w:p>
        </w:tc>
        <w:tc>
          <w:tcPr>
            <w:tcW w:w="566" w:type="dxa"/>
          </w:tcPr>
          <w:p w:rsidR="0024092A" w:rsidRPr="00937B10" w:rsidRDefault="0024092A" w:rsidP="00D254C5">
            <w:pPr>
              <w:pStyle w:val="TableBodyText"/>
              <w:rPr>
                <w:i/>
                <w:szCs w:val="18"/>
              </w:rPr>
            </w:pPr>
            <w:r w:rsidRPr="00937B10">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10.3</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3.5</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1.6</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5.4</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3.6</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11.9</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2.4</w:t>
            </w:r>
          </w:p>
        </w:tc>
        <w:tc>
          <w:tcPr>
            <w:tcW w:w="730" w:type="dxa"/>
            <w:vAlign w:val="bottom"/>
          </w:tcPr>
          <w:p w:rsidR="0024092A" w:rsidRPr="0024092A" w:rsidRDefault="0024092A" w:rsidP="0024092A">
            <w:pPr>
              <w:pStyle w:val="TableBodyText"/>
              <w:rPr>
                <w:iCs/>
                <w:sz w:val="18"/>
                <w:szCs w:val="18"/>
              </w:rPr>
            </w:pPr>
            <w:r w:rsidRPr="0024092A">
              <w:rPr>
                <w:iCs/>
                <w:sz w:val="18"/>
                <w:szCs w:val="18"/>
              </w:rPr>
              <w:t xml:space="preserve"> 2.1</w:t>
            </w:r>
          </w:p>
        </w:tc>
      </w:tr>
      <w:tr w:rsidR="001967C0" w:rsidRPr="00937B10" w:rsidTr="001967C0">
        <w:tc>
          <w:tcPr>
            <w:tcW w:w="8790" w:type="dxa"/>
            <w:gridSpan w:val="11"/>
          </w:tcPr>
          <w:p w:rsidR="001967C0" w:rsidRPr="00937B10" w:rsidRDefault="00F43AAD" w:rsidP="001967C0">
            <w:pPr>
              <w:pStyle w:val="TableBodyText"/>
              <w:ind w:right="28"/>
              <w:jc w:val="left"/>
            </w:pPr>
            <w:r w:rsidRPr="00937B10">
              <w:rPr>
                <w:b/>
              </w:rPr>
              <w:t>Supreme</w:t>
            </w:r>
            <w:r w:rsidR="00826011" w:rsidRPr="00937B10">
              <w:rPr>
                <w:b/>
              </w:rPr>
              <w:t xml:space="preserve"> (</w:t>
            </w:r>
            <w:proofErr w:type="spellStart"/>
            <w:r w:rsidR="00826011" w:rsidRPr="00937B10">
              <w:rPr>
                <w:b/>
              </w:rPr>
              <w:t>excl</w:t>
            </w:r>
            <w:proofErr w:type="spellEnd"/>
            <w:r w:rsidR="00826011" w:rsidRPr="00937B10">
              <w:rPr>
                <w:b/>
              </w:rPr>
              <w:t xml:space="preserve"> probate)</w:t>
            </w:r>
            <w:r w:rsidRPr="00937B10">
              <w:rPr>
                <w:b/>
              </w:rPr>
              <w:t>/</w:t>
            </w:r>
            <w:r w:rsidR="00826011" w:rsidRPr="00937B10">
              <w:rPr>
                <w:b/>
              </w:rPr>
              <w:t>Federal</w:t>
            </w:r>
            <w:r w:rsidR="00826011" w:rsidRPr="00937B10">
              <w:rPr>
                <w:b/>
                <w:sz w:val="18"/>
              </w:rPr>
              <w:t xml:space="preserve"> </w:t>
            </w:r>
            <w:r w:rsidR="001967C0" w:rsidRPr="00937B10">
              <w:rPr>
                <w:b/>
              </w:rPr>
              <w:t>— non-appeal</w:t>
            </w:r>
            <w:r w:rsidR="00CD7E65">
              <w:rPr>
                <w:rStyle w:val="NoteLabel"/>
                <w:sz w:val="20"/>
              </w:rPr>
              <w:t>b</w:t>
            </w:r>
          </w:p>
        </w:tc>
      </w:tr>
      <w:tr w:rsidR="0024092A" w:rsidRPr="00937B10" w:rsidTr="00C92B2F">
        <w:tc>
          <w:tcPr>
            <w:tcW w:w="1699" w:type="dxa"/>
          </w:tcPr>
          <w:p w:rsidR="0024092A" w:rsidRPr="00937B10" w:rsidRDefault="0024092A" w:rsidP="00276A4F">
            <w:pPr>
              <w:pStyle w:val="TableBodyText"/>
              <w:ind w:right="0"/>
              <w:jc w:val="left"/>
            </w:pPr>
            <w:r w:rsidRPr="00937B10">
              <w:t>Pending caseload</w:t>
            </w:r>
          </w:p>
        </w:tc>
        <w:tc>
          <w:tcPr>
            <w:tcW w:w="566" w:type="dxa"/>
          </w:tcPr>
          <w:p w:rsidR="0024092A" w:rsidRPr="00937B10" w:rsidRDefault="0024092A" w:rsidP="00D254C5">
            <w:pPr>
              <w:pStyle w:val="TableBodyText"/>
              <w:rPr>
                <w:szCs w:val="18"/>
              </w:rPr>
            </w:pPr>
            <w:r w:rsidRPr="00937B10">
              <w:rPr>
                <w:szCs w:val="18"/>
              </w:rPr>
              <w:t>no.</w:t>
            </w:r>
          </w:p>
        </w:tc>
        <w:tc>
          <w:tcPr>
            <w:tcW w:w="723" w:type="dxa"/>
            <w:vAlign w:val="bottom"/>
          </w:tcPr>
          <w:p w:rsidR="0024092A" w:rsidRPr="0024092A" w:rsidRDefault="0024092A" w:rsidP="0024092A">
            <w:pPr>
              <w:pStyle w:val="TableBodyText"/>
              <w:rPr>
                <w:sz w:val="18"/>
                <w:szCs w:val="18"/>
              </w:rPr>
            </w:pPr>
            <w:r w:rsidRPr="0024092A">
              <w:rPr>
                <w:sz w:val="18"/>
                <w:szCs w:val="18"/>
              </w:rPr>
              <w:t>6</w:t>
            </w:r>
            <w:r w:rsidR="000219FD">
              <w:rPr>
                <w:sz w:val="18"/>
                <w:szCs w:val="18"/>
              </w:rPr>
              <w:t xml:space="preserve"> </w:t>
            </w:r>
            <w:r w:rsidRPr="0024092A">
              <w:rPr>
                <w:sz w:val="18"/>
                <w:szCs w:val="18"/>
              </w:rPr>
              <w:t>609</w:t>
            </w:r>
          </w:p>
        </w:tc>
        <w:tc>
          <w:tcPr>
            <w:tcW w:w="724" w:type="dxa"/>
            <w:vAlign w:val="bottom"/>
          </w:tcPr>
          <w:p w:rsidR="0024092A" w:rsidRPr="0024092A" w:rsidRDefault="0024092A" w:rsidP="0024092A">
            <w:pPr>
              <w:pStyle w:val="TableBodyText"/>
              <w:rPr>
                <w:sz w:val="18"/>
                <w:szCs w:val="18"/>
              </w:rPr>
            </w:pPr>
            <w:r w:rsidRPr="0024092A">
              <w:rPr>
                <w:sz w:val="18"/>
                <w:szCs w:val="18"/>
              </w:rPr>
              <w:t>4</w:t>
            </w:r>
            <w:r w:rsidR="000219FD">
              <w:rPr>
                <w:sz w:val="18"/>
                <w:szCs w:val="18"/>
              </w:rPr>
              <w:t xml:space="preserve"> </w:t>
            </w:r>
            <w:r w:rsidRPr="0024092A">
              <w:rPr>
                <w:sz w:val="18"/>
                <w:szCs w:val="18"/>
              </w:rPr>
              <w:t>011</w:t>
            </w:r>
          </w:p>
        </w:tc>
        <w:tc>
          <w:tcPr>
            <w:tcW w:w="725" w:type="dxa"/>
            <w:vAlign w:val="bottom"/>
          </w:tcPr>
          <w:p w:rsidR="0024092A" w:rsidRPr="0024092A" w:rsidRDefault="0024092A" w:rsidP="0024092A">
            <w:pPr>
              <w:pStyle w:val="TableBodyText"/>
              <w:rPr>
                <w:sz w:val="18"/>
                <w:szCs w:val="18"/>
              </w:rPr>
            </w:pPr>
            <w:r w:rsidRPr="0024092A">
              <w:rPr>
                <w:sz w:val="18"/>
                <w:szCs w:val="18"/>
              </w:rPr>
              <w:t>3</w:t>
            </w:r>
            <w:r w:rsidR="000219FD">
              <w:rPr>
                <w:sz w:val="18"/>
                <w:szCs w:val="18"/>
              </w:rPr>
              <w:t xml:space="preserve"> </w:t>
            </w:r>
            <w:r w:rsidRPr="0024092A">
              <w:rPr>
                <w:sz w:val="18"/>
                <w:szCs w:val="18"/>
              </w:rPr>
              <w:t>054</w:t>
            </w:r>
          </w:p>
        </w:tc>
        <w:tc>
          <w:tcPr>
            <w:tcW w:w="724" w:type="dxa"/>
            <w:vAlign w:val="bottom"/>
          </w:tcPr>
          <w:p w:rsidR="0024092A" w:rsidRPr="0024092A" w:rsidRDefault="0024092A" w:rsidP="0024092A">
            <w:pPr>
              <w:pStyle w:val="TableBodyText"/>
              <w:rPr>
                <w:sz w:val="18"/>
                <w:szCs w:val="18"/>
              </w:rPr>
            </w:pPr>
            <w:r w:rsidRPr="0024092A">
              <w:rPr>
                <w:sz w:val="18"/>
                <w:szCs w:val="18"/>
              </w:rPr>
              <w:t>2</w:t>
            </w:r>
            <w:r w:rsidR="000219FD">
              <w:rPr>
                <w:sz w:val="18"/>
                <w:szCs w:val="18"/>
              </w:rPr>
              <w:t xml:space="preserve"> </w:t>
            </w:r>
            <w:r w:rsidRPr="0024092A">
              <w:rPr>
                <w:sz w:val="18"/>
                <w:szCs w:val="18"/>
              </w:rPr>
              <w:t>296</w:t>
            </w:r>
          </w:p>
        </w:tc>
        <w:tc>
          <w:tcPr>
            <w:tcW w:w="725" w:type="dxa"/>
            <w:vAlign w:val="bottom"/>
          </w:tcPr>
          <w:p w:rsidR="0024092A" w:rsidRPr="0024092A" w:rsidRDefault="0024092A" w:rsidP="0024092A">
            <w:pPr>
              <w:pStyle w:val="TableBodyText"/>
              <w:rPr>
                <w:sz w:val="18"/>
                <w:szCs w:val="18"/>
              </w:rPr>
            </w:pPr>
            <w:r w:rsidRPr="0024092A">
              <w:rPr>
                <w:sz w:val="18"/>
                <w:szCs w:val="18"/>
              </w:rPr>
              <w:t>703</w:t>
            </w:r>
          </w:p>
        </w:tc>
        <w:tc>
          <w:tcPr>
            <w:tcW w:w="725" w:type="dxa"/>
            <w:vAlign w:val="bottom"/>
          </w:tcPr>
          <w:p w:rsidR="0024092A" w:rsidRPr="0024092A" w:rsidRDefault="0024092A" w:rsidP="0024092A">
            <w:pPr>
              <w:pStyle w:val="TableBodyText"/>
              <w:rPr>
                <w:sz w:val="18"/>
                <w:szCs w:val="18"/>
              </w:rPr>
            </w:pPr>
            <w:r w:rsidRPr="0024092A">
              <w:rPr>
                <w:sz w:val="18"/>
                <w:szCs w:val="18"/>
              </w:rPr>
              <w:t>898</w:t>
            </w:r>
          </w:p>
        </w:tc>
        <w:tc>
          <w:tcPr>
            <w:tcW w:w="724" w:type="dxa"/>
            <w:vAlign w:val="bottom"/>
          </w:tcPr>
          <w:p w:rsidR="0024092A" w:rsidRPr="0024092A" w:rsidRDefault="0024092A" w:rsidP="0024092A">
            <w:pPr>
              <w:pStyle w:val="TableBodyText"/>
              <w:rPr>
                <w:sz w:val="18"/>
                <w:szCs w:val="18"/>
              </w:rPr>
            </w:pPr>
            <w:r w:rsidRPr="0024092A">
              <w:rPr>
                <w:sz w:val="18"/>
                <w:szCs w:val="18"/>
              </w:rPr>
              <w:t>723</w:t>
            </w:r>
          </w:p>
        </w:tc>
        <w:tc>
          <w:tcPr>
            <w:tcW w:w="725" w:type="dxa"/>
            <w:vAlign w:val="bottom"/>
          </w:tcPr>
          <w:p w:rsidR="0024092A" w:rsidRPr="0024092A" w:rsidRDefault="0024092A" w:rsidP="0024092A">
            <w:pPr>
              <w:pStyle w:val="TableBodyText"/>
              <w:rPr>
                <w:sz w:val="18"/>
                <w:szCs w:val="18"/>
              </w:rPr>
            </w:pPr>
            <w:r w:rsidRPr="0024092A">
              <w:rPr>
                <w:sz w:val="18"/>
                <w:szCs w:val="18"/>
              </w:rPr>
              <w:t>104</w:t>
            </w:r>
          </w:p>
        </w:tc>
        <w:tc>
          <w:tcPr>
            <w:tcW w:w="730" w:type="dxa"/>
            <w:vAlign w:val="bottom"/>
          </w:tcPr>
          <w:p w:rsidR="0024092A" w:rsidRPr="0024092A" w:rsidRDefault="0024092A" w:rsidP="0024092A">
            <w:pPr>
              <w:pStyle w:val="TableBodyText"/>
              <w:rPr>
                <w:sz w:val="18"/>
                <w:szCs w:val="18"/>
              </w:rPr>
            </w:pPr>
            <w:r w:rsidRPr="0024092A">
              <w:rPr>
                <w:sz w:val="18"/>
                <w:szCs w:val="18"/>
              </w:rPr>
              <w:t>2</w:t>
            </w:r>
            <w:r w:rsidR="000219FD">
              <w:rPr>
                <w:sz w:val="18"/>
                <w:szCs w:val="18"/>
              </w:rPr>
              <w:t xml:space="preserve"> </w:t>
            </w:r>
            <w:r w:rsidRPr="0024092A">
              <w:rPr>
                <w:sz w:val="18"/>
                <w:szCs w:val="18"/>
              </w:rPr>
              <w:t>602</w:t>
            </w:r>
          </w:p>
        </w:tc>
      </w:tr>
      <w:tr w:rsidR="0024092A" w:rsidRPr="00937B10" w:rsidTr="00C92B2F">
        <w:tc>
          <w:tcPr>
            <w:tcW w:w="1699" w:type="dxa"/>
          </w:tcPr>
          <w:p w:rsidR="0024092A" w:rsidRPr="00937B10" w:rsidRDefault="0024092A" w:rsidP="00D254C5">
            <w:pPr>
              <w:pStyle w:val="TableBodyText"/>
              <w:jc w:val="left"/>
              <w:rPr>
                <w:i/>
              </w:rPr>
            </w:pPr>
            <w:r w:rsidRPr="00937B10">
              <w:rPr>
                <w:i/>
              </w:rPr>
              <w:t xml:space="preserve">cases &gt;12 </w:t>
            </w:r>
            <w:proofErr w:type="spellStart"/>
            <w:r w:rsidRPr="00937B10">
              <w:rPr>
                <w:i/>
              </w:rPr>
              <w:t>mths</w:t>
            </w:r>
            <w:proofErr w:type="spellEnd"/>
          </w:p>
        </w:tc>
        <w:tc>
          <w:tcPr>
            <w:tcW w:w="566" w:type="dxa"/>
          </w:tcPr>
          <w:p w:rsidR="0024092A" w:rsidRPr="00937B10" w:rsidRDefault="0024092A" w:rsidP="00D254C5">
            <w:pPr>
              <w:pStyle w:val="TableBodyText"/>
              <w:rPr>
                <w:i/>
                <w:szCs w:val="18"/>
              </w:rPr>
            </w:pPr>
            <w:r w:rsidRPr="00937B10">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30.4</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26.5</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29.6</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37.0</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31.2</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28.2</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48.8</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35.6</w:t>
            </w:r>
          </w:p>
        </w:tc>
        <w:tc>
          <w:tcPr>
            <w:tcW w:w="730" w:type="dxa"/>
            <w:vAlign w:val="bottom"/>
          </w:tcPr>
          <w:p w:rsidR="0024092A" w:rsidRPr="0024092A" w:rsidRDefault="0024092A" w:rsidP="0024092A">
            <w:pPr>
              <w:pStyle w:val="TableBodyText"/>
              <w:rPr>
                <w:iCs/>
                <w:sz w:val="18"/>
                <w:szCs w:val="18"/>
              </w:rPr>
            </w:pPr>
            <w:r w:rsidRPr="0024092A">
              <w:rPr>
                <w:iCs/>
                <w:sz w:val="18"/>
                <w:szCs w:val="18"/>
              </w:rPr>
              <w:t xml:space="preserve"> 38.1</w:t>
            </w:r>
          </w:p>
        </w:tc>
      </w:tr>
      <w:tr w:rsidR="0024092A" w:rsidRPr="00937B10" w:rsidTr="00C92B2F">
        <w:tc>
          <w:tcPr>
            <w:tcW w:w="1699" w:type="dxa"/>
          </w:tcPr>
          <w:p w:rsidR="0024092A" w:rsidRPr="00937B10" w:rsidRDefault="0024092A" w:rsidP="00D254C5">
            <w:pPr>
              <w:pStyle w:val="TableBodyText"/>
              <w:jc w:val="left"/>
              <w:rPr>
                <w:i/>
              </w:rPr>
            </w:pPr>
            <w:r w:rsidRPr="00937B10">
              <w:rPr>
                <w:i/>
              </w:rPr>
              <w:t xml:space="preserve">cases &gt; 24 </w:t>
            </w:r>
            <w:proofErr w:type="spellStart"/>
            <w:r w:rsidRPr="00937B10">
              <w:rPr>
                <w:i/>
              </w:rPr>
              <w:t>mths</w:t>
            </w:r>
            <w:proofErr w:type="spellEnd"/>
          </w:p>
        </w:tc>
        <w:tc>
          <w:tcPr>
            <w:tcW w:w="566" w:type="dxa"/>
          </w:tcPr>
          <w:p w:rsidR="0024092A" w:rsidRPr="00937B10" w:rsidRDefault="0024092A" w:rsidP="00D254C5">
            <w:pPr>
              <w:pStyle w:val="TableBodyText"/>
              <w:rPr>
                <w:i/>
                <w:szCs w:val="18"/>
              </w:rPr>
            </w:pPr>
            <w:r w:rsidRPr="00937B10">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14.3</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11.1</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10.1</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17.3</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14.5</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8.2</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23.9</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11.5</w:t>
            </w:r>
          </w:p>
        </w:tc>
        <w:tc>
          <w:tcPr>
            <w:tcW w:w="730" w:type="dxa"/>
            <w:vAlign w:val="bottom"/>
          </w:tcPr>
          <w:p w:rsidR="0024092A" w:rsidRPr="0024092A" w:rsidRDefault="0024092A" w:rsidP="0024092A">
            <w:pPr>
              <w:pStyle w:val="TableBodyText"/>
              <w:rPr>
                <w:iCs/>
                <w:sz w:val="18"/>
                <w:szCs w:val="18"/>
              </w:rPr>
            </w:pPr>
            <w:r w:rsidRPr="0024092A">
              <w:rPr>
                <w:iCs/>
                <w:sz w:val="18"/>
                <w:szCs w:val="18"/>
              </w:rPr>
              <w:t xml:space="preserve"> 23.1</w:t>
            </w:r>
          </w:p>
        </w:tc>
      </w:tr>
      <w:tr w:rsidR="001967C0" w:rsidRPr="00937B10" w:rsidTr="001967C0">
        <w:tc>
          <w:tcPr>
            <w:tcW w:w="8790" w:type="dxa"/>
            <w:gridSpan w:val="11"/>
          </w:tcPr>
          <w:p w:rsidR="001967C0" w:rsidRPr="00937B10" w:rsidRDefault="00F43AAD" w:rsidP="001967C0">
            <w:pPr>
              <w:pStyle w:val="TableBodyText"/>
              <w:ind w:right="28"/>
              <w:jc w:val="left"/>
            </w:pPr>
            <w:r w:rsidRPr="00937B10">
              <w:rPr>
                <w:b/>
              </w:rPr>
              <w:t>District/county</w:t>
            </w:r>
            <w:r w:rsidR="001967C0" w:rsidRPr="00937B10">
              <w:rPr>
                <w:b/>
              </w:rPr>
              <w:t xml:space="preserve"> — appeal</w:t>
            </w:r>
          </w:p>
        </w:tc>
      </w:tr>
      <w:tr w:rsidR="007D653A" w:rsidRPr="00937B10" w:rsidTr="00C92B2F">
        <w:tc>
          <w:tcPr>
            <w:tcW w:w="1699" w:type="dxa"/>
          </w:tcPr>
          <w:p w:rsidR="007D653A" w:rsidRPr="00937B10" w:rsidRDefault="007D653A" w:rsidP="00276A4F">
            <w:pPr>
              <w:pStyle w:val="TableBodyText"/>
              <w:ind w:right="0"/>
              <w:jc w:val="left"/>
            </w:pPr>
            <w:r w:rsidRPr="00937B10">
              <w:t>Pending caseload</w:t>
            </w:r>
          </w:p>
        </w:tc>
        <w:tc>
          <w:tcPr>
            <w:tcW w:w="566" w:type="dxa"/>
          </w:tcPr>
          <w:p w:rsidR="007D653A" w:rsidRPr="00937B10" w:rsidRDefault="007D653A" w:rsidP="00D254C5">
            <w:pPr>
              <w:pStyle w:val="TableBodyText"/>
              <w:rPr>
                <w:szCs w:val="18"/>
              </w:rPr>
            </w:pPr>
            <w:r w:rsidRPr="00937B10">
              <w:rPr>
                <w:szCs w:val="18"/>
              </w:rPr>
              <w:t>no.</w:t>
            </w:r>
          </w:p>
        </w:tc>
        <w:tc>
          <w:tcPr>
            <w:tcW w:w="723" w:type="dxa"/>
            <w:vAlign w:val="bottom"/>
          </w:tcPr>
          <w:p w:rsidR="007D653A" w:rsidRPr="0024092A" w:rsidRDefault="007D653A" w:rsidP="0024092A">
            <w:pPr>
              <w:pStyle w:val="TableBodyText"/>
              <w:rPr>
                <w:sz w:val="18"/>
                <w:szCs w:val="18"/>
              </w:rPr>
            </w:pPr>
            <w:r w:rsidRPr="0024092A">
              <w:rPr>
                <w:sz w:val="18"/>
                <w:szCs w:val="18"/>
              </w:rPr>
              <w:t>80</w:t>
            </w:r>
          </w:p>
        </w:tc>
        <w:tc>
          <w:tcPr>
            <w:tcW w:w="724" w:type="dxa"/>
            <w:vAlign w:val="bottom"/>
          </w:tcPr>
          <w:p w:rsidR="007D653A" w:rsidRPr="0024092A" w:rsidRDefault="007D653A" w:rsidP="0024092A">
            <w:pPr>
              <w:pStyle w:val="TableBodyText"/>
              <w:rPr>
                <w:sz w:val="18"/>
                <w:szCs w:val="18"/>
              </w:rPr>
            </w:pPr>
            <w:r w:rsidRPr="0024092A">
              <w:rPr>
                <w:sz w:val="18"/>
                <w:szCs w:val="18"/>
              </w:rPr>
              <w:t>91</w:t>
            </w:r>
          </w:p>
        </w:tc>
        <w:tc>
          <w:tcPr>
            <w:tcW w:w="725" w:type="dxa"/>
            <w:vAlign w:val="bottom"/>
          </w:tcPr>
          <w:p w:rsidR="007D653A" w:rsidRPr="0024092A" w:rsidRDefault="007D653A" w:rsidP="0024092A">
            <w:pPr>
              <w:pStyle w:val="TableBodyText"/>
              <w:rPr>
                <w:sz w:val="18"/>
                <w:szCs w:val="18"/>
              </w:rPr>
            </w:pPr>
            <w:r w:rsidRPr="0024092A">
              <w:rPr>
                <w:sz w:val="18"/>
                <w:szCs w:val="18"/>
              </w:rPr>
              <w:t>38</w:t>
            </w:r>
          </w:p>
        </w:tc>
        <w:tc>
          <w:tcPr>
            <w:tcW w:w="724" w:type="dxa"/>
            <w:vAlign w:val="bottom"/>
          </w:tcPr>
          <w:p w:rsidR="007D653A" w:rsidRPr="0024092A" w:rsidRDefault="007D653A" w:rsidP="0024092A">
            <w:pPr>
              <w:pStyle w:val="TableBodyText"/>
              <w:rPr>
                <w:sz w:val="18"/>
                <w:szCs w:val="18"/>
              </w:rPr>
            </w:pPr>
            <w:r w:rsidRPr="0024092A">
              <w:rPr>
                <w:sz w:val="18"/>
                <w:szCs w:val="18"/>
              </w:rPr>
              <w:t>59</w:t>
            </w:r>
          </w:p>
        </w:tc>
        <w:tc>
          <w:tcPr>
            <w:tcW w:w="725" w:type="dxa"/>
            <w:vAlign w:val="bottom"/>
          </w:tcPr>
          <w:p w:rsidR="007D653A" w:rsidRPr="0024092A" w:rsidRDefault="007D653A" w:rsidP="0024092A">
            <w:pPr>
              <w:pStyle w:val="TableBodyText"/>
              <w:rPr>
                <w:sz w:val="18"/>
                <w:szCs w:val="18"/>
              </w:rPr>
            </w:pPr>
            <w:r w:rsidRPr="0024092A">
              <w:rPr>
                <w:sz w:val="18"/>
                <w:szCs w:val="18"/>
              </w:rPr>
              <w:t>77</w:t>
            </w:r>
          </w:p>
        </w:tc>
        <w:tc>
          <w:tcPr>
            <w:tcW w:w="725" w:type="dxa"/>
            <w:vAlign w:val="bottom"/>
          </w:tcPr>
          <w:p w:rsidR="007D653A" w:rsidRPr="0024092A" w:rsidRDefault="007D653A" w:rsidP="00B636B2">
            <w:pPr>
              <w:pStyle w:val="TableBodyText"/>
              <w:rPr>
                <w:sz w:val="18"/>
                <w:szCs w:val="18"/>
              </w:rPr>
            </w:pPr>
            <w:r w:rsidRPr="0024092A">
              <w:rPr>
                <w:sz w:val="18"/>
                <w:szCs w:val="18"/>
              </w:rPr>
              <w:t>..</w:t>
            </w:r>
          </w:p>
        </w:tc>
        <w:tc>
          <w:tcPr>
            <w:tcW w:w="724" w:type="dxa"/>
            <w:vAlign w:val="bottom"/>
          </w:tcPr>
          <w:p w:rsidR="007D653A" w:rsidRPr="0024092A" w:rsidRDefault="007D653A" w:rsidP="00B636B2">
            <w:pPr>
              <w:pStyle w:val="TableBodyText"/>
              <w:rPr>
                <w:sz w:val="18"/>
                <w:szCs w:val="18"/>
              </w:rPr>
            </w:pPr>
            <w:r w:rsidRPr="0024092A">
              <w:rPr>
                <w:sz w:val="18"/>
                <w:szCs w:val="18"/>
              </w:rPr>
              <w:t>..</w:t>
            </w:r>
          </w:p>
        </w:tc>
        <w:tc>
          <w:tcPr>
            <w:tcW w:w="725" w:type="dxa"/>
            <w:vAlign w:val="bottom"/>
          </w:tcPr>
          <w:p w:rsidR="007D653A" w:rsidRPr="0024092A" w:rsidRDefault="007D653A" w:rsidP="00B636B2">
            <w:pPr>
              <w:pStyle w:val="TableBodyText"/>
              <w:rPr>
                <w:sz w:val="18"/>
                <w:szCs w:val="18"/>
              </w:rPr>
            </w:pPr>
            <w:r w:rsidRPr="0024092A">
              <w:rPr>
                <w:sz w:val="18"/>
                <w:szCs w:val="18"/>
              </w:rPr>
              <w:t>..</w:t>
            </w:r>
          </w:p>
        </w:tc>
        <w:tc>
          <w:tcPr>
            <w:tcW w:w="730" w:type="dxa"/>
            <w:vAlign w:val="bottom"/>
          </w:tcPr>
          <w:p w:rsidR="007D653A" w:rsidRPr="0024092A" w:rsidRDefault="007D653A" w:rsidP="00B636B2">
            <w:pPr>
              <w:pStyle w:val="TableBodyText"/>
              <w:rPr>
                <w:sz w:val="18"/>
                <w:szCs w:val="18"/>
              </w:rPr>
            </w:pPr>
            <w:r w:rsidRPr="0024092A">
              <w:rPr>
                <w:sz w:val="18"/>
                <w:szCs w:val="18"/>
              </w:rPr>
              <w:t>..</w:t>
            </w:r>
          </w:p>
        </w:tc>
      </w:tr>
      <w:tr w:rsidR="007D653A" w:rsidRPr="00FE6886" w:rsidTr="00C92B2F">
        <w:tc>
          <w:tcPr>
            <w:tcW w:w="1699" w:type="dxa"/>
          </w:tcPr>
          <w:p w:rsidR="007D653A" w:rsidRPr="00FE6886" w:rsidRDefault="007D653A" w:rsidP="00D254C5">
            <w:pPr>
              <w:pStyle w:val="TableBodyText"/>
              <w:jc w:val="left"/>
              <w:rPr>
                <w:i/>
              </w:rPr>
            </w:pPr>
            <w:r w:rsidRPr="00FE6886">
              <w:rPr>
                <w:i/>
              </w:rPr>
              <w:t xml:space="preserve">cases &gt;12 </w:t>
            </w:r>
            <w:proofErr w:type="spellStart"/>
            <w:r w:rsidRPr="00FE6886">
              <w:rPr>
                <w:i/>
              </w:rPr>
              <w:t>mths</w:t>
            </w:r>
            <w:proofErr w:type="spellEnd"/>
          </w:p>
        </w:tc>
        <w:tc>
          <w:tcPr>
            <w:tcW w:w="566" w:type="dxa"/>
          </w:tcPr>
          <w:p w:rsidR="007D653A" w:rsidRPr="00FE6886" w:rsidRDefault="007D653A" w:rsidP="00D254C5">
            <w:pPr>
              <w:pStyle w:val="TableBodyText"/>
              <w:rPr>
                <w:i/>
                <w:szCs w:val="18"/>
              </w:rPr>
            </w:pPr>
            <w:r w:rsidRPr="00FE6886">
              <w:rPr>
                <w:i/>
                <w:szCs w:val="18"/>
              </w:rPr>
              <w:t>%</w:t>
            </w:r>
          </w:p>
        </w:tc>
        <w:tc>
          <w:tcPr>
            <w:tcW w:w="723" w:type="dxa"/>
            <w:vAlign w:val="bottom"/>
          </w:tcPr>
          <w:p w:rsidR="007D653A" w:rsidRPr="0024092A" w:rsidRDefault="007D653A" w:rsidP="0024092A">
            <w:pPr>
              <w:pStyle w:val="TableBodyText"/>
              <w:rPr>
                <w:iCs/>
                <w:sz w:val="18"/>
                <w:szCs w:val="18"/>
              </w:rPr>
            </w:pPr>
            <w:r w:rsidRPr="0024092A">
              <w:rPr>
                <w:iCs/>
                <w:sz w:val="18"/>
                <w:szCs w:val="18"/>
              </w:rPr>
              <w:t xml:space="preserve"> 8.8</w:t>
            </w:r>
          </w:p>
        </w:tc>
        <w:tc>
          <w:tcPr>
            <w:tcW w:w="724" w:type="dxa"/>
            <w:vAlign w:val="bottom"/>
          </w:tcPr>
          <w:p w:rsidR="007D653A" w:rsidRPr="0024092A" w:rsidRDefault="007D653A" w:rsidP="0024092A">
            <w:pPr>
              <w:pStyle w:val="TableBodyText"/>
              <w:rPr>
                <w:iCs/>
                <w:sz w:val="18"/>
                <w:szCs w:val="18"/>
              </w:rPr>
            </w:pPr>
            <w:r w:rsidRPr="0024092A">
              <w:rPr>
                <w:iCs/>
                <w:sz w:val="18"/>
                <w:szCs w:val="18"/>
              </w:rPr>
              <w:t xml:space="preserve"> 11.0</w:t>
            </w:r>
          </w:p>
        </w:tc>
        <w:tc>
          <w:tcPr>
            <w:tcW w:w="725" w:type="dxa"/>
            <w:vAlign w:val="bottom"/>
          </w:tcPr>
          <w:p w:rsidR="007D653A" w:rsidRPr="0024092A" w:rsidRDefault="007D653A" w:rsidP="0024092A">
            <w:pPr>
              <w:pStyle w:val="TableBodyText"/>
              <w:rPr>
                <w:iCs/>
                <w:sz w:val="18"/>
                <w:szCs w:val="18"/>
              </w:rPr>
            </w:pPr>
            <w:r w:rsidRPr="0024092A">
              <w:rPr>
                <w:iCs/>
                <w:sz w:val="18"/>
                <w:szCs w:val="18"/>
              </w:rPr>
              <w:t xml:space="preserve"> 23.7</w:t>
            </w:r>
          </w:p>
        </w:tc>
        <w:tc>
          <w:tcPr>
            <w:tcW w:w="724" w:type="dxa"/>
            <w:vAlign w:val="bottom"/>
          </w:tcPr>
          <w:p w:rsidR="007D653A" w:rsidRPr="0024092A" w:rsidRDefault="007D653A" w:rsidP="0024092A">
            <w:pPr>
              <w:pStyle w:val="TableBodyText"/>
              <w:rPr>
                <w:iCs/>
                <w:sz w:val="18"/>
                <w:szCs w:val="18"/>
              </w:rPr>
            </w:pPr>
            <w:r w:rsidRPr="0024092A">
              <w:rPr>
                <w:iCs/>
                <w:sz w:val="18"/>
                <w:szCs w:val="18"/>
              </w:rPr>
              <w:t xml:space="preserve"> 8.5</w:t>
            </w:r>
          </w:p>
        </w:tc>
        <w:tc>
          <w:tcPr>
            <w:tcW w:w="725" w:type="dxa"/>
            <w:vAlign w:val="bottom"/>
          </w:tcPr>
          <w:p w:rsidR="007D653A" w:rsidRPr="0024092A" w:rsidRDefault="007D653A" w:rsidP="0024092A">
            <w:pPr>
              <w:pStyle w:val="TableBodyText"/>
              <w:rPr>
                <w:iCs/>
                <w:sz w:val="18"/>
                <w:szCs w:val="18"/>
              </w:rPr>
            </w:pPr>
            <w:r w:rsidRPr="0024092A">
              <w:rPr>
                <w:iCs/>
                <w:sz w:val="18"/>
                <w:szCs w:val="18"/>
              </w:rPr>
              <w:t xml:space="preserve"> 7.8</w:t>
            </w:r>
          </w:p>
        </w:tc>
        <w:tc>
          <w:tcPr>
            <w:tcW w:w="725" w:type="dxa"/>
            <w:vAlign w:val="bottom"/>
          </w:tcPr>
          <w:p w:rsidR="007D653A" w:rsidRPr="0024092A" w:rsidRDefault="007D653A" w:rsidP="00B636B2">
            <w:pPr>
              <w:pStyle w:val="TableBodyText"/>
              <w:rPr>
                <w:i/>
                <w:iCs/>
                <w:sz w:val="18"/>
                <w:szCs w:val="18"/>
              </w:rPr>
            </w:pPr>
            <w:r w:rsidRPr="0024092A">
              <w:rPr>
                <w:i/>
                <w:iCs/>
                <w:sz w:val="18"/>
                <w:szCs w:val="18"/>
              </w:rPr>
              <w:t>..</w:t>
            </w:r>
          </w:p>
        </w:tc>
        <w:tc>
          <w:tcPr>
            <w:tcW w:w="724" w:type="dxa"/>
            <w:vAlign w:val="bottom"/>
          </w:tcPr>
          <w:p w:rsidR="007D653A" w:rsidRPr="0024092A" w:rsidRDefault="007D653A" w:rsidP="00B636B2">
            <w:pPr>
              <w:pStyle w:val="TableBodyText"/>
              <w:rPr>
                <w:i/>
                <w:iCs/>
                <w:sz w:val="18"/>
                <w:szCs w:val="18"/>
              </w:rPr>
            </w:pPr>
            <w:r w:rsidRPr="0024092A">
              <w:rPr>
                <w:i/>
                <w:iCs/>
                <w:sz w:val="18"/>
                <w:szCs w:val="18"/>
              </w:rPr>
              <w:t>..</w:t>
            </w:r>
          </w:p>
        </w:tc>
        <w:tc>
          <w:tcPr>
            <w:tcW w:w="725" w:type="dxa"/>
            <w:vAlign w:val="bottom"/>
          </w:tcPr>
          <w:p w:rsidR="007D653A" w:rsidRPr="0024092A" w:rsidRDefault="007D653A" w:rsidP="00B636B2">
            <w:pPr>
              <w:pStyle w:val="TableBodyText"/>
              <w:rPr>
                <w:i/>
                <w:iCs/>
                <w:sz w:val="18"/>
                <w:szCs w:val="18"/>
              </w:rPr>
            </w:pPr>
            <w:r w:rsidRPr="0024092A">
              <w:rPr>
                <w:i/>
                <w:iCs/>
                <w:sz w:val="18"/>
                <w:szCs w:val="18"/>
              </w:rPr>
              <w:t>..</w:t>
            </w:r>
          </w:p>
        </w:tc>
        <w:tc>
          <w:tcPr>
            <w:tcW w:w="730" w:type="dxa"/>
            <w:vAlign w:val="bottom"/>
          </w:tcPr>
          <w:p w:rsidR="007D653A" w:rsidRPr="0024092A" w:rsidRDefault="007D653A" w:rsidP="00B636B2">
            <w:pPr>
              <w:pStyle w:val="TableBodyText"/>
              <w:rPr>
                <w:i/>
                <w:iCs/>
                <w:sz w:val="18"/>
                <w:szCs w:val="18"/>
              </w:rPr>
            </w:pPr>
            <w:r w:rsidRPr="0024092A">
              <w:rPr>
                <w:i/>
                <w:iCs/>
                <w:sz w:val="18"/>
                <w:szCs w:val="18"/>
              </w:rPr>
              <w:t>..</w:t>
            </w:r>
          </w:p>
        </w:tc>
      </w:tr>
      <w:tr w:rsidR="007D653A" w:rsidRPr="00FE6886" w:rsidTr="00C92B2F">
        <w:tc>
          <w:tcPr>
            <w:tcW w:w="1699" w:type="dxa"/>
          </w:tcPr>
          <w:p w:rsidR="007D653A" w:rsidRPr="00FE6886" w:rsidRDefault="007D653A" w:rsidP="00D254C5">
            <w:pPr>
              <w:pStyle w:val="TableBodyText"/>
              <w:jc w:val="left"/>
              <w:rPr>
                <w:i/>
              </w:rPr>
            </w:pPr>
            <w:r w:rsidRPr="00FE6886">
              <w:rPr>
                <w:i/>
              </w:rPr>
              <w:t xml:space="preserve">cases &gt;24 </w:t>
            </w:r>
            <w:proofErr w:type="spellStart"/>
            <w:r w:rsidRPr="00FE6886">
              <w:rPr>
                <w:i/>
              </w:rPr>
              <w:t>mths</w:t>
            </w:r>
            <w:proofErr w:type="spellEnd"/>
          </w:p>
        </w:tc>
        <w:tc>
          <w:tcPr>
            <w:tcW w:w="566" w:type="dxa"/>
          </w:tcPr>
          <w:p w:rsidR="007D653A" w:rsidRPr="00FE6886" w:rsidRDefault="007D653A" w:rsidP="00D254C5">
            <w:pPr>
              <w:pStyle w:val="TableBodyText"/>
              <w:rPr>
                <w:i/>
                <w:szCs w:val="18"/>
              </w:rPr>
            </w:pPr>
            <w:r w:rsidRPr="00FE6886">
              <w:rPr>
                <w:i/>
                <w:szCs w:val="18"/>
              </w:rPr>
              <w:t>%</w:t>
            </w:r>
          </w:p>
        </w:tc>
        <w:tc>
          <w:tcPr>
            <w:tcW w:w="723" w:type="dxa"/>
            <w:vAlign w:val="bottom"/>
          </w:tcPr>
          <w:p w:rsidR="007D653A" w:rsidRPr="0024092A" w:rsidRDefault="007D653A" w:rsidP="0024092A">
            <w:pPr>
              <w:pStyle w:val="TableBodyText"/>
              <w:rPr>
                <w:iCs/>
                <w:sz w:val="18"/>
                <w:szCs w:val="18"/>
              </w:rPr>
            </w:pPr>
            <w:r w:rsidRPr="0024092A">
              <w:rPr>
                <w:iCs/>
                <w:sz w:val="18"/>
                <w:szCs w:val="18"/>
              </w:rPr>
              <w:t>–</w:t>
            </w:r>
          </w:p>
        </w:tc>
        <w:tc>
          <w:tcPr>
            <w:tcW w:w="724" w:type="dxa"/>
            <w:vAlign w:val="bottom"/>
          </w:tcPr>
          <w:p w:rsidR="007D653A" w:rsidRPr="0024092A" w:rsidRDefault="007D653A" w:rsidP="0024092A">
            <w:pPr>
              <w:pStyle w:val="TableBodyText"/>
              <w:rPr>
                <w:iCs/>
                <w:sz w:val="18"/>
                <w:szCs w:val="18"/>
              </w:rPr>
            </w:pPr>
            <w:r w:rsidRPr="0024092A">
              <w:rPr>
                <w:iCs/>
                <w:sz w:val="18"/>
                <w:szCs w:val="18"/>
              </w:rPr>
              <w:t xml:space="preserve"> 2.2</w:t>
            </w:r>
          </w:p>
        </w:tc>
        <w:tc>
          <w:tcPr>
            <w:tcW w:w="725" w:type="dxa"/>
            <w:vAlign w:val="bottom"/>
          </w:tcPr>
          <w:p w:rsidR="007D653A" w:rsidRPr="0024092A" w:rsidRDefault="007D653A" w:rsidP="0024092A">
            <w:pPr>
              <w:pStyle w:val="TableBodyText"/>
              <w:rPr>
                <w:iCs/>
                <w:sz w:val="18"/>
                <w:szCs w:val="18"/>
              </w:rPr>
            </w:pPr>
            <w:r w:rsidRPr="0024092A">
              <w:rPr>
                <w:iCs/>
                <w:sz w:val="18"/>
                <w:szCs w:val="18"/>
              </w:rPr>
              <w:t xml:space="preserve"> 10.5</w:t>
            </w:r>
          </w:p>
        </w:tc>
        <w:tc>
          <w:tcPr>
            <w:tcW w:w="724" w:type="dxa"/>
            <w:vAlign w:val="bottom"/>
          </w:tcPr>
          <w:p w:rsidR="007D653A" w:rsidRPr="0024092A" w:rsidRDefault="007D653A" w:rsidP="0024092A">
            <w:pPr>
              <w:pStyle w:val="TableBodyText"/>
              <w:rPr>
                <w:iCs/>
                <w:sz w:val="18"/>
                <w:szCs w:val="18"/>
              </w:rPr>
            </w:pPr>
            <w:r w:rsidRPr="0024092A">
              <w:rPr>
                <w:iCs/>
                <w:sz w:val="18"/>
                <w:szCs w:val="18"/>
              </w:rPr>
              <w:t>–</w:t>
            </w:r>
          </w:p>
        </w:tc>
        <w:tc>
          <w:tcPr>
            <w:tcW w:w="725" w:type="dxa"/>
            <w:vAlign w:val="bottom"/>
          </w:tcPr>
          <w:p w:rsidR="007D653A" w:rsidRPr="0024092A" w:rsidRDefault="007D653A" w:rsidP="0024092A">
            <w:pPr>
              <w:pStyle w:val="TableBodyText"/>
              <w:rPr>
                <w:iCs/>
                <w:sz w:val="18"/>
                <w:szCs w:val="18"/>
              </w:rPr>
            </w:pPr>
            <w:r w:rsidRPr="0024092A">
              <w:rPr>
                <w:iCs/>
                <w:sz w:val="18"/>
                <w:szCs w:val="18"/>
              </w:rPr>
              <w:t xml:space="preserve"> 1.3</w:t>
            </w:r>
          </w:p>
        </w:tc>
        <w:tc>
          <w:tcPr>
            <w:tcW w:w="725" w:type="dxa"/>
            <w:vAlign w:val="bottom"/>
          </w:tcPr>
          <w:p w:rsidR="007D653A" w:rsidRPr="0024092A" w:rsidRDefault="007D653A" w:rsidP="00B636B2">
            <w:pPr>
              <w:pStyle w:val="TableBodyText"/>
              <w:rPr>
                <w:i/>
                <w:iCs/>
                <w:sz w:val="18"/>
                <w:szCs w:val="18"/>
              </w:rPr>
            </w:pPr>
            <w:r w:rsidRPr="0024092A">
              <w:rPr>
                <w:i/>
                <w:iCs/>
                <w:sz w:val="18"/>
                <w:szCs w:val="18"/>
              </w:rPr>
              <w:t>..</w:t>
            </w:r>
          </w:p>
        </w:tc>
        <w:tc>
          <w:tcPr>
            <w:tcW w:w="724" w:type="dxa"/>
            <w:vAlign w:val="bottom"/>
          </w:tcPr>
          <w:p w:rsidR="007D653A" w:rsidRPr="0024092A" w:rsidRDefault="007D653A" w:rsidP="00B636B2">
            <w:pPr>
              <w:pStyle w:val="TableBodyText"/>
              <w:rPr>
                <w:i/>
                <w:iCs/>
                <w:sz w:val="18"/>
                <w:szCs w:val="18"/>
              </w:rPr>
            </w:pPr>
            <w:r w:rsidRPr="0024092A">
              <w:rPr>
                <w:i/>
                <w:iCs/>
                <w:sz w:val="18"/>
                <w:szCs w:val="18"/>
              </w:rPr>
              <w:t>..</w:t>
            </w:r>
          </w:p>
        </w:tc>
        <w:tc>
          <w:tcPr>
            <w:tcW w:w="725" w:type="dxa"/>
            <w:vAlign w:val="bottom"/>
          </w:tcPr>
          <w:p w:rsidR="007D653A" w:rsidRPr="0024092A" w:rsidRDefault="007D653A" w:rsidP="00B636B2">
            <w:pPr>
              <w:pStyle w:val="TableBodyText"/>
              <w:rPr>
                <w:i/>
                <w:iCs/>
                <w:sz w:val="18"/>
                <w:szCs w:val="18"/>
              </w:rPr>
            </w:pPr>
            <w:r w:rsidRPr="0024092A">
              <w:rPr>
                <w:i/>
                <w:iCs/>
                <w:sz w:val="18"/>
                <w:szCs w:val="18"/>
              </w:rPr>
              <w:t>..</w:t>
            </w:r>
          </w:p>
        </w:tc>
        <w:tc>
          <w:tcPr>
            <w:tcW w:w="730" w:type="dxa"/>
            <w:vAlign w:val="bottom"/>
          </w:tcPr>
          <w:p w:rsidR="007D653A" w:rsidRPr="0024092A" w:rsidRDefault="007D653A" w:rsidP="00B636B2">
            <w:pPr>
              <w:pStyle w:val="TableBodyText"/>
              <w:rPr>
                <w:i/>
                <w:iCs/>
                <w:sz w:val="18"/>
                <w:szCs w:val="18"/>
              </w:rPr>
            </w:pPr>
            <w:r w:rsidRPr="0024092A">
              <w:rPr>
                <w:i/>
                <w:iCs/>
                <w:sz w:val="18"/>
                <w:szCs w:val="18"/>
              </w:rPr>
              <w:t>..</w:t>
            </w:r>
          </w:p>
        </w:tc>
      </w:tr>
      <w:tr w:rsidR="001967C0" w:rsidRPr="00FE6886" w:rsidTr="001967C0">
        <w:tc>
          <w:tcPr>
            <w:tcW w:w="8790" w:type="dxa"/>
            <w:gridSpan w:val="11"/>
          </w:tcPr>
          <w:p w:rsidR="001967C0" w:rsidRPr="00FE6886" w:rsidRDefault="00F43AAD" w:rsidP="001967C0">
            <w:pPr>
              <w:pStyle w:val="TableBodyText"/>
              <w:ind w:right="28"/>
              <w:jc w:val="left"/>
            </w:pPr>
            <w:r w:rsidRPr="00FE6886">
              <w:rPr>
                <w:b/>
              </w:rPr>
              <w:t>District/county</w:t>
            </w:r>
            <w:r w:rsidR="001967C0" w:rsidRPr="00FE6886">
              <w:rPr>
                <w:b/>
              </w:rPr>
              <w:t xml:space="preserve"> — non</w:t>
            </w:r>
            <w:r w:rsidR="001967C0" w:rsidRPr="00FE6886">
              <w:rPr>
                <w:b/>
              </w:rPr>
              <w:noBreakHyphen/>
              <w:t>appeal</w:t>
            </w:r>
          </w:p>
        </w:tc>
      </w:tr>
      <w:tr w:rsidR="0024092A" w:rsidRPr="00FE6886" w:rsidTr="00C92B2F">
        <w:tc>
          <w:tcPr>
            <w:tcW w:w="1699" w:type="dxa"/>
          </w:tcPr>
          <w:p w:rsidR="0024092A" w:rsidRPr="00FE6886" w:rsidRDefault="0024092A" w:rsidP="00276A4F">
            <w:pPr>
              <w:pStyle w:val="TableBodyText"/>
              <w:ind w:right="0"/>
              <w:jc w:val="left"/>
            </w:pPr>
            <w:r w:rsidRPr="00FE6886">
              <w:t>Pending caseload</w:t>
            </w:r>
          </w:p>
        </w:tc>
        <w:tc>
          <w:tcPr>
            <w:tcW w:w="566" w:type="dxa"/>
          </w:tcPr>
          <w:p w:rsidR="0024092A" w:rsidRPr="00FE6886" w:rsidRDefault="0024092A" w:rsidP="00D254C5">
            <w:pPr>
              <w:pStyle w:val="TableBodyText"/>
              <w:rPr>
                <w:szCs w:val="18"/>
              </w:rPr>
            </w:pPr>
            <w:r w:rsidRPr="00FE6886">
              <w:rPr>
                <w:szCs w:val="18"/>
              </w:rPr>
              <w:t>no.</w:t>
            </w:r>
          </w:p>
        </w:tc>
        <w:tc>
          <w:tcPr>
            <w:tcW w:w="723" w:type="dxa"/>
            <w:vAlign w:val="bottom"/>
          </w:tcPr>
          <w:p w:rsidR="0024092A" w:rsidRPr="0024092A" w:rsidRDefault="0024092A" w:rsidP="0024092A">
            <w:pPr>
              <w:pStyle w:val="TableBodyText"/>
              <w:rPr>
                <w:sz w:val="18"/>
                <w:szCs w:val="18"/>
              </w:rPr>
            </w:pPr>
            <w:r w:rsidRPr="0024092A">
              <w:rPr>
                <w:sz w:val="18"/>
                <w:szCs w:val="18"/>
              </w:rPr>
              <w:t>6</w:t>
            </w:r>
            <w:r w:rsidR="000219FD">
              <w:rPr>
                <w:sz w:val="18"/>
                <w:szCs w:val="18"/>
              </w:rPr>
              <w:t xml:space="preserve"> </w:t>
            </w:r>
            <w:r w:rsidRPr="0024092A">
              <w:rPr>
                <w:sz w:val="18"/>
                <w:szCs w:val="18"/>
              </w:rPr>
              <w:t>520</w:t>
            </w:r>
          </w:p>
        </w:tc>
        <w:tc>
          <w:tcPr>
            <w:tcW w:w="724" w:type="dxa"/>
            <w:vAlign w:val="bottom"/>
          </w:tcPr>
          <w:p w:rsidR="0024092A" w:rsidRPr="0024092A" w:rsidRDefault="0024092A" w:rsidP="0024092A">
            <w:pPr>
              <w:pStyle w:val="TableBodyText"/>
              <w:rPr>
                <w:sz w:val="18"/>
                <w:szCs w:val="18"/>
              </w:rPr>
            </w:pPr>
            <w:r w:rsidRPr="0024092A">
              <w:rPr>
                <w:sz w:val="18"/>
                <w:szCs w:val="18"/>
              </w:rPr>
              <w:t>7</w:t>
            </w:r>
            <w:r w:rsidR="000219FD">
              <w:rPr>
                <w:sz w:val="18"/>
                <w:szCs w:val="18"/>
              </w:rPr>
              <w:t xml:space="preserve"> </w:t>
            </w:r>
            <w:r w:rsidRPr="0024092A">
              <w:rPr>
                <w:sz w:val="18"/>
                <w:szCs w:val="18"/>
              </w:rPr>
              <w:t>350</w:t>
            </w:r>
          </w:p>
        </w:tc>
        <w:tc>
          <w:tcPr>
            <w:tcW w:w="725" w:type="dxa"/>
            <w:vAlign w:val="bottom"/>
          </w:tcPr>
          <w:p w:rsidR="0024092A" w:rsidRPr="0024092A" w:rsidRDefault="0024092A" w:rsidP="0024092A">
            <w:pPr>
              <w:pStyle w:val="TableBodyText"/>
              <w:rPr>
                <w:sz w:val="18"/>
                <w:szCs w:val="18"/>
              </w:rPr>
            </w:pPr>
            <w:r w:rsidRPr="0024092A">
              <w:rPr>
                <w:sz w:val="18"/>
                <w:szCs w:val="18"/>
              </w:rPr>
              <w:t>4</w:t>
            </w:r>
            <w:r w:rsidR="000219FD">
              <w:rPr>
                <w:sz w:val="18"/>
                <w:szCs w:val="18"/>
              </w:rPr>
              <w:t xml:space="preserve"> </w:t>
            </w:r>
            <w:r w:rsidRPr="0024092A">
              <w:rPr>
                <w:sz w:val="18"/>
                <w:szCs w:val="18"/>
              </w:rPr>
              <w:t>710</w:t>
            </w:r>
          </w:p>
        </w:tc>
        <w:tc>
          <w:tcPr>
            <w:tcW w:w="724" w:type="dxa"/>
            <w:vAlign w:val="bottom"/>
          </w:tcPr>
          <w:p w:rsidR="0024092A" w:rsidRPr="0024092A" w:rsidRDefault="0024092A" w:rsidP="0024092A">
            <w:pPr>
              <w:pStyle w:val="TableBodyText"/>
              <w:rPr>
                <w:sz w:val="18"/>
                <w:szCs w:val="18"/>
              </w:rPr>
            </w:pPr>
            <w:r w:rsidRPr="0024092A">
              <w:rPr>
                <w:sz w:val="18"/>
                <w:szCs w:val="18"/>
              </w:rPr>
              <w:t>3</w:t>
            </w:r>
            <w:r w:rsidR="000219FD">
              <w:rPr>
                <w:sz w:val="18"/>
                <w:szCs w:val="18"/>
              </w:rPr>
              <w:t xml:space="preserve"> </w:t>
            </w:r>
            <w:r w:rsidRPr="0024092A">
              <w:rPr>
                <w:sz w:val="18"/>
                <w:szCs w:val="18"/>
              </w:rPr>
              <w:t>758</w:t>
            </w:r>
          </w:p>
        </w:tc>
        <w:tc>
          <w:tcPr>
            <w:tcW w:w="725" w:type="dxa"/>
            <w:vAlign w:val="bottom"/>
          </w:tcPr>
          <w:p w:rsidR="0024092A" w:rsidRPr="0024092A" w:rsidRDefault="0024092A" w:rsidP="0024092A">
            <w:pPr>
              <w:pStyle w:val="TableBodyText"/>
              <w:rPr>
                <w:sz w:val="18"/>
                <w:szCs w:val="18"/>
              </w:rPr>
            </w:pPr>
            <w:r w:rsidRPr="0024092A">
              <w:rPr>
                <w:sz w:val="18"/>
                <w:szCs w:val="18"/>
              </w:rPr>
              <w:t>3</w:t>
            </w:r>
            <w:r w:rsidR="000219FD">
              <w:rPr>
                <w:sz w:val="18"/>
                <w:szCs w:val="18"/>
              </w:rPr>
              <w:t xml:space="preserve"> </w:t>
            </w:r>
            <w:r w:rsidRPr="0024092A">
              <w:rPr>
                <w:sz w:val="18"/>
                <w:szCs w:val="18"/>
              </w:rPr>
              <w:t>518</w:t>
            </w:r>
          </w:p>
        </w:tc>
        <w:tc>
          <w:tcPr>
            <w:tcW w:w="725" w:type="dxa"/>
            <w:vAlign w:val="bottom"/>
          </w:tcPr>
          <w:p w:rsidR="0024092A" w:rsidRPr="0024092A" w:rsidRDefault="0024092A" w:rsidP="0024092A">
            <w:pPr>
              <w:pStyle w:val="TableBodyText"/>
              <w:rPr>
                <w:sz w:val="18"/>
                <w:szCs w:val="18"/>
              </w:rPr>
            </w:pPr>
            <w:r w:rsidRPr="0024092A">
              <w:rPr>
                <w:sz w:val="18"/>
                <w:szCs w:val="18"/>
              </w:rPr>
              <w:t>..</w:t>
            </w:r>
          </w:p>
        </w:tc>
        <w:tc>
          <w:tcPr>
            <w:tcW w:w="724" w:type="dxa"/>
            <w:vAlign w:val="bottom"/>
          </w:tcPr>
          <w:p w:rsidR="0024092A" w:rsidRPr="0024092A" w:rsidRDefault="0024092A" w:rsidP="0024092A">
            <w:pPr>
              <w:pStyle w:val="TableBodyText"/>
              <w:rPr>
                <w:sz w:val="18"/>
                <w:szCs w:val="18"/>
              </w:rPr>
            </w:pPr>
            <w:r w:rsidRPr="0024092A">
              <w:rPr>
                <w:sz w:val="18"/>
                <w:szCs w:val="18"/>
              </w:rPr>
              <w:t>..</w:t>
            </w:r>
          </w:p>
        </w:tc>
        <w:tc>
          <w:tcPr>
            <w:tcW w:w="725" w:type="dxa"/>
            <w:vAlign w:val="bottom"/>
          </w:tcPr>
          <w:p w:rsidR="0024092A" w:rsidRPr="0024092A" w:rsidRDefault="0024092A" w:rsidP="0024092A">
            <w:pPr>
              <w:pStyle w:val="TableBodyText"/>
              <w:rPr>
                <w:sz w:val="18"/>
                <w:szCs w:val="18"/>
              </w:rPr>
            </w:pPr>
            <w:r w:rsidRPr="0024092A">
              <w:rPr>
                <w:sz w:val="18"/>
                <w:szCs w:val="18"/>
              </w:rPr>
              <w:t>..</w:t>
            </w:r>
          </w:p>
        </w:tc>
        <w:tc>
          <w:tcPr>
            <w:tcW w:w="730" w:type="dxa"/>
            <w:vAlign w:val="bottom"/>
          </w:tcPr>
          <w:p w:rsidR="0024092A" w:rsidRPr="0024092A" w:rsidRDefault="0024092A" w:rsidP="0024092A">
            <w:pPr>
              <w:pStyle w:val="TableBodyText"/>
              <w:rPr>
                <w:sz w:val="18"/>
                <w:szCs w:val="18"/>
              </w:rPr>
            </w:pPr>
            <w:r w:rsidRPr="0024092A">
              <w:rPr>
                <w:sz w:val="18"/>
                <w:szCs w:val="18"/>
              </w:rPr>
              <w:t>..</w:t>
            </w:r>
          </w:p>
        </w:tc>
      </w:tr>
      <w:tr w:rsidR="0024092A" w:rsidRPr="00FE6886" w:rsidTr="00C92B2F">
        <w:tc>
          <w:tcPr>
            <w:tcW w:w="1699" w:type="dxa"/>
          </w:tcPr>
          <w:p w:rsidR="0024092A" w:rsidRPr="00FE6886" w:rsidRDefault="0024092A" w:rsidP="00D254C5">
            <w:pPr>
              <w:pStyle w:val="TableBodyText"/>
              <w:jc w:val="left"/>
              <w:rPr>
                <w:i/>
              </w:rPr>
            </w:pPr>
            <w:r w:rsidRPr="00FE6886">
              <w:rPr>
                <w:i/>
              </w:rPr>
              <w:t xml:space="preserve">cases &gt;12 </w:t>
            </w:r>
            <w:proofErr w:type="spellStart"/>
            <w:r w:rsidRPr="00FE6886">
              <w:rPr>
                <w:i/>
              </w:rPr>
              <w:t>mths</w:t>
            </w:r>
            <w:proofErr w:type="spellEnd"/>
          </w:p>
        </w:tc>
        <w:tc>
          <w:tcPr>
            <w:tcW w:w="566" w:type="dxa"/>
          </w:tcPr>
          <w:p w:rsidR="0024092A" w:rsidRPr="00FE6886" w:rsidRDefault="0024092A" w:rsidP="00D254C5">
            <w:pPr>
              <w:pStyle w:val="TableBodyText"/>
              <w:rPr>
                <w:i/>
                <w:szCs w:val="18"/>
              </w:rPr>
            </w:pPr>
            <w:r w:rsidRPr="00FE6886">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23.1</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31.2</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19.9</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36.7</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38.5</w:t>
            </w:r>
          </w:p>
        </w:tc>
        <w:tc>
          <w:tcPr>
            <w:tcW w:w="725"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4"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5"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30" w:type="dxa"/>
            <w:vAlign w:val="bottom"/>
          </w:tcPr>
          <w:p w:rsidR="0024092A" w:rsidRPr="0024092A" w:rsidRDefault="0024092A" w:rsidP="0024092A">
            <w:pPr>
              <w:pStyle w:val="TableBodyText"/>
              <w:rPr>
                <w:i/>
                <w:iCs/>
                <w:sz w:val="18"/>
                <w:szCs w:val="18"/>
              </w:rPr>
            </w:pPr>
            <w:r w:rsidRPr="0024092A">
              <w:rPr>
                <w:i/>
                <w:iCs/>
                <w:sz w:val="18"/>
                <w:szCs w:val="18"/>
              </w:rPr>
              <w:t>..</w:t>
            </w:r>
          </w:p>
        </w:tc>
      </w:tr>
      <w:tr w:rsidR="0024092A" w:rsidRPr="00FE6886" w:rsidTr="00C92B2F">
        <w:tc>
          <w:tcPr>
            <w:tcW w:w="1699" w:type="dxa"/>
          </w:tcPr>
          <w:p w:rsidR="0024092A" w:rsidRPr="00FE6886" w:rsidRDefault="0024092A" w:rsidP="00D254C5">
            <w:pPr>
              <w:pStyle w:val="TableBodyText"/>
              <w:jc w:val="left"/>
              <w:rPr>
                <w:i/>
              </w:rPr>
            </w:pPr>
            <w:r w:rsidRPr="00FE6886">
              <w:rPr>
                <w:i/>
              </w:rPr>
              <w:t xml:space="preserve">cases &gt; 24 </w:t>
            </w:r>
            <w:proofErr w:type="spellStart"/>
            <w:r w:rsidRPr="00FE6886">
              <w:rPr>
                <w:i/>
              </w:rPr>
              <w:t>mths</w:t>
            </w:r>
            <w:proofErr w:type="spellEnd"/>
          </w:p>
        </w:tc>
        <w:tc>
          <w:tcPr>
            <w:tcW w:w="566" w:type="dxa"/>
          </w:tcPr>
          <w:p w:rsidR="0024092A" w:rsidRPr="00FE6886" w:rsidRDefault="0024092A" w:rsidP="00D254C5">
            <w:pPr>
              <w:pStyle w:val="TableBodyText"/>
              <w:rPr>
                <w:i/>
                <w:szCs w:val="18"/>
              </w:rPr>
            </w:pPr>
            <w:r w:rsidRPr="00FE6886">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5.0</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13.2</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3.9</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11.3</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19.2</w:t>
            </w:r>
          </w:p>
        </w:tc>
        <w:tc>
          <w:tcPr>
            <w:tcW w:w="725"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4"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5"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30" w:type="dxa"/>
            <w:vAlign w:val="bottom"/>
          </w:tcPr>
          <w:p w:rsidR="0024092A" w:rsidRPr="0024092A" w:rsidRDefault="0024092A" w:rsidP="0024092A">
            <w:pPr>
              <w:pStyle w:val="TableBodyText"/>
              <w:rPr>
                <w:i/>
                <w:iCs/>
                <w:sz w:val="18"/>
                <w:szCs w:val="18"/>
              </w:rPr>
            </w:pPr>
            <w:r w:rsidRPr="0024092A">
              <w:rPr>
                <w:i/>
                <w:iCs/>
                <w:sz w:val="18"/>
                <w:szCs w:val="18"/>
              </w:rPr>
              <w:t>..</w:t>
            </w:r>
          </w:p>
        </w:tc>
      </w:tr>
      <w:tr w:rsidR="001967C0" w:rsidRPr="00FE6886" w:rsidTr="001967C0">
        <w:tc>
          <w:tcPr>
            <w:tcW w:w="8790" w:type="dxa"/>
            <w:gridSpan w:val="11"/>
          </w:tcPr>
          <w:p w:rsidR="001967C0" w:rsidRPr="00FE6886" w:rsidRDefault="001967C0" w:rsidP="001967C0">
            <w:pPr>
              <w:pStyle w:val="TableBodyText"/>
              <w:ind w:right="28"/>
              <w:jc w:val="left"/>
            </w:pPr>
            <w:r w:rsidRPr="00FE6886">
              <w:rPr>
                <w:b/>
              </w:rPr>
              <w:t>Magistrates’</w:t>
            </w:r>
            <w:r w:rsidR="00CD7E65">
              <w:rPr>
                <w:rStyle w:val="NoteLabel"/>
                <w:sz w:val="20"/>
              </w:rPr>
              <w:t>c</w:t>
            </w:r>
          </w:p>
        </w:tc>
      </w:tr>
      <w:tr w:rsidR="0024092A" w:rsidRPr="00FE6886" w:rsidTr="00C92B2F">
        <w:tc>
          <w:tcPr>
            <w:tcW w:w="1699" w:type="dxa"/>
          </w:tcPr>
          <w:p w:rsidR="0024092A" w:rsidRPr="00FE6886" w:rsidRDefault="0024092A" w:rsidP="00276A4F">
            <w:pPr>
              <w:pStyle w:val="TableBodyText"/>
              <w:ind w:right="0"/>
              <w:jc w:val="left"/>
            </w:pPr>
            <w:r w:rsidRPr="00FE6886">
              <w:t>Pending caseload</w:t>
            </w:r>
          </w:p>
        </w:tc>
        <w:tc>
          <w:tcPr>
            <w:tcW w:w="566" w:type="dxa"/>
          </w:tcPr>
          <w:p w:rsidR="0024092A" w:rsidRPr="00FE6886" w:rsidRDefault="0024092A" w:rsidP="00D254C5">
            <w:pPr>
              <w:pStyle w:val="TableBodyText"/>
              <w:rPr>
                <w:szCs w:val="18"/>
              </w:rPr>
            </w:pPr>
            <w:r w:rsidRPr="00FE6886">
              <w:rPr>
                <w:szCs w:val="18"/>
              </w:rPr>
              <w:t>no.</w:t>
            </w:r>
          </w:p>
        </w:tc>
        <w:tc>
          <w:tcPr>
            <w:tcW w:w="723" w:type="dxa"/>
            <w:vAlign w:val="bottom"/>
          </w:tcPr>
          <w:p w:rsidR="0024092A" w:rsidRPr="0024092A" w:rsidRDefault="0024092A" w:rsidP="0024092A">
            <w:pPr>
              <w:pStyle w:val="TableBodyText"/>
              <w:rPr>
                <w:sz w:val="18"/>
                <w:szCs w:val="18"/>
              </w:rPr>
            </w:pPr>
            <w:r w:rsidRPr="0024092A">
              <w:rPr>
                <w:sz w:val="18"/>
                <w:szCs w:val="18"/>
              </w:rPr>
              <w:t>58</w:t>
            </w:r>
            <w:r w:rsidR="000219FD">
              <w:rPr>
                <w:sz w:val="18"/>
                <w:szCs w:val="18"/>
              </w:rPr>
              <w:t xml:space="preserve"> </w:t>
            </w:r>
            <w:r w:rsidRPr="0024092A">
              <w:rPr>
                <w:sz w:val="18"/>
                <w:szCs w:val="18"/>
              </w:rPr>
              <w:t>514</w:t>
            </w:r>
          </w:p>
        </w:tc>
        <w:tc>
          <w:tcPr>
            <w:tcW w:w="724" w:type="dxa"/>
            <w:vAlign w:val="bottom"/>
          </w:tcPr>
          <w:p w:rsidR="0024092A" w:rsidRPr="0024092A" w:rsidRDefault="0024092A" w:rsidP="0024092A">
            <w:pPr>
              <w:pStyle w:val="TableBodyText"/>
              <w:rPr>
                <w:sz w:val="18"/>
                <w:szCs w:val="18"/>
              </w:rPr>
            </w:pPr>
            <w:r w:rsidRPr="0024092A">
              <w:rPr>
                <w:sz w:val="18"/>
                <w:szCs w:val="18"/>
              </w:rPr>
              <w:t>11</w:t>
            </w:r>
            <w:r w:rsidR="000219FD">
              <w:rPr>
                <w:sz w:val="18"/>
                <w:szCs w:val="18"/>
              </w:rPr>
              <w:t xml:space="preserve"> </w:t>
            </w:r>
            <w:r w:rsidRPr="0024092A">
              <w:rPr>
                <w:sz w:val="18"/>
                <w:szCs w:val="18"/>
              </w:rPr>
              <w:t>857</w:t>
            </w:r>
          </w:p>
        </w:tc>
        <w:tc>
          <w:tcPr>
            <w:tcW w:w="725" w:type="dxa"/>
            <w:vAlign w:val="bottom"/>
          </w:tcPr>
          <w:p w:rsidR="0024092A" w:rsidRPr="0024092A" w:rsidRDefault="0024092A" w:rsidP="0024092A">
            <w:pPr>
              <w:pStyle w:val="TableBodyText"/>
              <w:rPr>
                <w:sz w:val="18"/>
                <w:szCs w:val="18"/>
              </w:rPr>
            </w:pPr>
            <w:r w:rsidRPr="0024092A">
              <w:rPr>
                <w:sz w:val="18"/>
                <w:szCs w:val="18"/>
              </w:rPr>
              <w:t>25</w:t>
            </w:r>
            <w:r w:rsidR="000219FD">
              <w:rPr>
                <w:sz w:val="18"/>
                <w:szCs w:val="18"/>
              </w:rPr>
              <w:t xml:space="preserve"> </w:t>
            </w:r>
            <w:r w:rsidRPr="0024092A">
              <w:rPr>
                <w:sz w:val="18"/>
                <w:szCs w:val="18"/>
              </w:rPr>
              <w:t>212</w:t>
            </w:r>
          </w:p>
        </w:tc>
        <w:tc>
          <w:tcPr>
            <w:tcW w:w="724" w:type="dxa"/>
            <w:vAlign w:val="bottom"/>
          </w:tcPr>
          <w:p w:rsidR="0024092A" w:rsidRPr="0024092A" w:rsidRDefault="0024092A" w:rsidP="0024092A">
            <w:pPr>
              <w:pStyle w:val="TableBodyText"/>
              <w:rPr>
                <w:sz w:val="18"/>
                <w:szCs w:val="18"/>
              </w:rPr>
            </w:pPr>
            <w:r w:rsidRPr="0024092A">
              <w:rPr>
                <w:sz w:val="18"/>
                <w:szCs w:val="18"/>
              </w:rPr>
              <w:t>22</w:t>
            </w:r>
            <w:r w:rsidR="000219FD">
              <w:rPr>
                <w:sz w:val="18"/>
                <w:szCs w:val="18"/>
              </w:rPr>
              <w:t xml:space="preserve"> </w:t>
            </w:r>
            <w:r w:rsidRPr="0024092A">
              <w:rPr>
                <w:sz w:val="18"/>
                <w:szCs w:val="18"/>
              </w:rPr>
              <w:t>100</w:t>
            </w:r>
          </w:p>
        </w:tc>
        <w:tc>
          <w:tcPr>
            <w:tcW w:w="725" w:type="dxa"/>
            <w:vAlign w:val="bottom"/>
          </w:tcPr>
          <w:p w:rsidR="0024092A" w:rsidRPr="0024092A" w:rsidRDefault="0024092A" w:rsidP="0024092A">
            <w:pPr>
              <w:pStyle w:val="TableBodyText"/>
              <w:rPr>
                <w:sz w:val="18"/>
                <w:szCs w:val="18"/>
              </w:rPr>
            </w:pPr>
            <w:r w:rsidRPr="0024092A">
              <w:rPr>
                <w:sz w:val="18"/>
                <w:szCs w:val="18"/>
              </w:rPr>
              <w:t>14</w:t>
            </w:r>
            <w:r w:rsidR="000219FD">
              <w:rPr>
                <w:sz w:val="18"/>
                <w:szCs w:val="18"/>
              </w:rPr>
              <w:t xml:space="preserve"> </w:t>
            </w:r>
            <w:r w:rsidRPr="0024092A">
              <w:rPr>
                <w:sz w:val="18"/>
                <w:szCs w:val="18"/>
              </w:rPr>
              <w:t>773</w:t>
            </w:r>
          </w:p>
        </w:tc>
        <w:tc>
          <w:tcPr>
            <w:tcW w:w="725" w:type="dxa"/>
            <w:vAlign w:val="bottom"/>
          </w:tcPr>
          <w:p w:rsidR="0024092A" w:rsidRPr="0024092A" w:rsidRDefault="0024092A" w:rsidP="0024092A">
            <w:pPr>
              <w:pStyle w:val="TableBodyText"/>
              <w:rPr>
                <w:sz w:val="18"/>
                <w:szCs w:val="18"/>
              </w:rPr>
            </w:pPr>
            <w:r w:rsidRPr="0024092A">
              <w:rPr>
                <w:sz w:val="18"/>
                <w:szCs w:val="18"/>
              </w:rPr>
              <w:t>4</w:t>
            </w:r>
            <w:r w:rsidR="000219FD">
              <w:rPr>
                <w:sz w:val="18"/>
                <w:szCs w:val="18"/>
              </w:rPr>
              <w:t xml:space="preserve"> </w:t>
            </w:r>
            <w:r w:rsidRPr="0024092A">
              <w:rPr>
                <w:sz w:val="18"/>
                <w:szCs w:val="18"/>
              </w:rPr>
              <w:t>744</w:t>
            </w:r>
          </w:p>
        </w:tc>
        <w:tc>
          <w:tcPr>
            <w:tcW w:w="724" w:type="dxa"/>
            <w:vAlign w:val="bottom"/>
          </w:tcPr>
          <w:p w:rsidR="0024092A" w:rsidRPr="0024092A" w:rsidRDefault="0024092A" w:rsidP="0024092A">
            <w:pPr>
              <w:pStyle w:val="TableBodyText"/>
              <w:rPr>
                <w:sz w:val="18"/>
                <w:szCs w:val="18"/>
              </w:rPr>
            </w:pPr>
            <w:r w:rsidRPr="0024092A">
              <w:rPr>
                <w:sz w:val="18"/>
                <w:szCs w:val="18"/>
              </w:rPr>
              <w:t>1</w:t>
            </w:r>
            <w:r w:rsidR="000219FD">
              <w:rPr>
                <w:sz w:val="18"/>
                <w:szCs w:val="18"/>
              </w:rPr>
              <w:t xml:space="preserve"> </w:t>
            </w:r>
            <w:r w:rsidRPr="0024092A">
              <w:rPr>
                <w:sz w:val="18"/>
                <w:szCs w:val="18"/>
              </w:rPr>
              <w:t>112</w:t>
            </w:r>
          </w:p>
        </w:tc>
        <w:tc>
          <w:tcPr>
            <w:tcW w:w="725" w:type="dxa"/>
            <w:vAlign w:val="bottom"/>
          </w:tcPr>
          <w:p w:rsidR="0024092A" w:rsidRPr="0024092A" w:rsidRDefault="0024092A" w:rsidP="0024092A">
            <w:pPr>
              <w:pStyle w:val="TableBodyText"/>
              <w:rPr>
                <w:sz w:val="18"/>
                <w:szCs w:val="18"/>
              </w:rPr>
            </w:pPr>
            <w:r w:rsidRPr="0024092A">
              <w:rPr>
                <w:sz w:val="18"/>
                <w:szCs w:val="18"/>
              </w:rPr>
              <w:t>2</w:t>
            </w:r>
            <w:r w:rsidR="000219FD">
              <w:rPr>
                <w:sz w:val="18"/>
                <w:szCs w:val="18"/>
              </w:rPr>
              <w:t xml:space="preserve"> </w:t>
            </w:r>
            <w:r w:rsidRPr="0024092A">
              <w:rPr>
                <w:sz w:val="18"/>
                <w:szCs w:val="18"/>
              </w:rPr>
              <w:t>091</w:t>
            </w:r>
          </w:p>
        </w:tc>
        <w:tc>
          <w:tcPr>
            <w:tcW w:w="730" w:type="dxa"/>
            <w:vAlign w:val="bottom"/>
          </w:tcPr>
          <w:p w:rsidR="0024092A" w:rsidRPr="0024092A" w:rsidRDefault="0024092A" w:rsidP="0024092A">
            <w:pPr>
              <w:pStyle w:val="TableBodyText"/>
              <w:rPr>
                <w:sz w:val="18"/>
                <w:szCs w:val="18"/>
              </w:rPr>
            </w:pPr>
            <w:r w:rsidRPr="0024092A">
              <w:rPr>
                <w:sz w:val="18"/>
                <w:szCs w:val="18"/>
              </w:rPr>
              <w:t>..</w:t>
            </w:r>
          </w:p>
        </w:tc>
      </w:tr>
      <w:tr w:rsidR="0024092A" w:rsidRPr="00FE6886" w:rsidTr="00C92B2F">
        <w:tc>
          <w:tcPr>
            <w:tcW w:w="1699" w:type="dxa"/>
          </w:tcPr>
          <w:p w:rsidR="0024092A" w:rsidRPr="00FE6886" w:rsidRDefault="0024092A" w:rsidP="00792021">
            <w:pPr>
              <w:pStyle w:val="TableBodyText"/>
              <w:jc w:val="left"/>
              <w:rPr>
                <w:i/>
              </w:rPr>
            </w:pPr>
            <w:r w:rsidRPr="00FE6886">
              <w:rPr>
                <w:i/>
              </w:rPr>
              <w:t xml:space="preserve">cases &gt; 6 </w:t>
            </w:r>
            <w:proofErr w:type="spellStart"/>
            <w:r w:rsidRPr="00FE6886">
              <w:rPr>
                <w:i/>
              </w:rPr>
              <w:t>mths</w:t>
            </w:r>
            <w:proofErr w:type="spellEnd"/>
          </w:p>
        </w:tc>
        <w:tc>
          <w:tcPr>
            <w:tcW w:w="566" w:type="dxa"/>
          </w:tcPr>
          <w:p w:rsidR="0024092A" w:rsidRPr="00FE6886" w:rsidRDefault="0024092A" w:rsidP="00D254C5">
            <w:pPr>
              <w:pStyle w:val="TableBodyText"/>
              <w:rPr>
                <w:i/>
                <w:szCs w:val="18"/>
              </w:rPr>
            </w:pPr>
            <w:r w:rsidRPr="00FE6886">
              <w:rPr>
                <w:i/>
                <w:szCs w:val="18"/>
              </w:rPr>
              <w:t>%</w:t>
            </w:r>
          </w:p>
        </w:tc>
        <w:tc>
          <w:tcPr>
            <w:tcW w:w="723" w:type="dxa"/>
            <w:vAlign w:val="bottom"/>
          </w:tcPr>
          <w:p w:rsidR="0024092A" w:rsidRPr="0024092A" w:rsidRDefault="0024092A" w:rsidP="0024092A">
            <w:pPr>
              <w:pStyle w:val="TableBodyText"/>
              <w:rPr>
                <w:iCs/>
                <w:sz w:val="18"/>
                <w:szCs w:val="18"/>
              </w:rPr>
            </w:pPr>
            <w:r w:rsidRPr="0024092A">
              <w:rPr>
                <w:iCs/>
                <w:sz w:val="18"/>
                <w:szCs w:val="18"/>
              </w:rPr>
              <w:t xml:space="preserve"> 25.5</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38.3</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41.3</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45.7</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35.0</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39.0</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38.2</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41.1</w:t>
            </w:r>
          </w:p>
        </w:tc>
        <w:tc>
          <w:tcPr>
            <w:tcW w:w="730" w:type="dxa"/>
            <w:vAlign w:val="bottom"/>
          </w:tcPr>
          <w:p w:rsidR="0024092A" w:rsidRPr="0024092A" w:rsidRDefault="0024092A" w:rsidP="0024092A">
            <w:pPr>
              <w:pStyle w:val="TableBodyText"/>
              <w:rPr>
                <w:i/>
                <w:iCs/>
                <w:sz w:val="18"/>
                <w:szCs w:val="18"/>
              </w:rPr>
            </w:pPr>
            <w:r w:rsidRPr="0024092A">
              <w:rPr>
                <w:i/>
                <w:iCs/>
                <w:sz w:val="18"/>
                <w:szCs w:val="18"/>
              </w:rPr>
              <w:t>..</w:t>
            </w:r>
          </w:p>
        </w:tc>
      </w:tr>
      <w:tr w:rsidR="0024092A" w:rsidRPr="00FE6886" w:rsidTr="00C92B2F">
        <w:tc>
          <w:tcPr>
            <w:tcW w:w="1699" w:type="dxa"/>
          </w:tcPr>
          <w:p w:rsidR="0024092A" w:rsidRPr="00FE6886" w:rsidRDefault="0024092A" w:rsidP="00792021">
            <w:pPr>
              <w:pStyle w:val="TableBodyText"/>
              <w:jc w:val="left"/>
              <w:rPr>
                <w:i/>
              </w:rPr>
            </w:pPr>
            <w:r w:rsidRPr="00FE6886">
              <w:rPr>
                <w:i/>
              </w:rPr>
              <w:t xml:space="preserve">cases &gt; 12 </w:t>
            </w:r>
            <w:proofErr w:type="spellStart"/>
            <w:r w:rsidRPr="00FE6886">
              <w:rPr>
                <w:i/>
              </w:rPr>
              <w:t>mths</w:t>
            </w:r>
            <w:proofErr w:type="spellEnd"/>
          </w:p>
        </w:tc>
        <w:tc>
          <w:tcPr>
            <w:tcW w:w="566" w:type="dxa"/>
          </w:tcPr>
          <w:p w:rsidR="0024092A" w:rsidRPr="00FE6886" w:rsidRDefault="0024092A" w:rsidP="00D254C5">
            <w:pPr>
              <w:pStyle w:val="TableBodyText"/>
              <w:rPr>
                <w:i/>
                <w:szCs w:val="18"/>
              </w:rPr>
            </w:pPr>
            <w:r w:rsidRPr="00FE6886">
              <w:rPr>
                <w:i/>
                <w:szCs w:val="18"/>
              </w:rPr>
              <w:t>%</w:t>
            </w:r>
          </w:p>
        </w:tc>
        <w:tc>
          <w:tcPr>
            <w:tcW w:w="723" w:type="dxa"/>
            <w:vAlign w:val="bottom"/>
          </w:tcPr>
          <w:p w:rsidR="0024092A" w:rsidRPr="0024092A" w:rsidRDefault="00C2780D" w:rsidP="00C2780D">
            <w:pPr>
              <w:pStyle w:val="TableBodyText"/>
              <w:rPr>
                <w:iCs/>
                <w:sz w:val="18"/>
                <w:szCs w:val="18"/>
              </w:rPr>
            </w:pPr>
            <w:r>
              <w:rPr>
                <w:iCs/>
                <w:sz w:val="18"/>
                <w:szCs w:val="18"/>
              </w:rPr>
              <w:t>0</w:t>
            </w:r>
            <w:r w:rsidR="0024092A" w:rsidRPr="0024092A">
              <w:rPr>
                <w:iCs/>
                <w:sz w:val="18"/>
                <w:szCs w:val="18"/>
              </w:rPr>
              <w:t>.4</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21.7</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9.9</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8.9</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7.3</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9.8</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14.8</w:t>
            </w:r>
          </w:p>
        </w:tc>
        <w:tc>
          <w:tcPr>
            <w:tcW w:w="725" w:type="dxa"/>
            <w:vAlign w:val="bottom"/>
          </w:tcPr>
          <w:p w:rsidR="0024092A" w:rsidRPr="0024092A" w:rsidRDefault="0024092A" w:rsidP="0024092A">
            <w:pPr>
              <w:pStyle w:val="TableBodyText"/>
              <w:rPr>
                <w:iCs/>
                <w:sz w:val="18"/>
                <w:szCs w:val="18"/>
              </w:rPr>
            </w:pPr>
            <w:r w:rsidRPr="0024092A">
              <w:rPr>
                <w:iCs/>
                <w:sz w:val="18"/>
                <w:szCs w:val="18"/>
              </w:rPr>
              <w:t xml:space="preserve"> 6.6</w:t>
            </w:r>
          </w:p>
        </w:tc>
        <w:tc>
          <w:tcPr>
            <w:tcW w:w="730" w:type="dxa"/>
            <w:vAlign w:val="bottom"/>
          </w:tcPr>
          <w:p w:rsidR="0024092A" w:rsidRPr="0024092A" w:rsidRDefault="0024092A" w:rsidP="0024092A">
            <w:pPr>
              <w:pStyle w:val="TableBodyText"/>
              <w:rPr>
                <w:i/>
                <w:iCs/>
                <w:sz w:val="18"/>
                <w:szCs w:val="18"/>
              </w:rPr>
            </w:pPr>
            <w:r w:rsidRPr="0024092A">
              <w:rPr>
                <w:i/>
                <w:iCs/>
                <w:sz w:val="18"/>
                <w:szCs w:val="18"/>
              </w:rPr>
              <w:t>..</w:t>
            </w:r>
          </w:p>
        </w:tc>
      </w:tr>
      <w:tr w:rsidR="001967C0" w:rsidRPr="00BB7A93" w:rsidTr="001967C0">
        <w:tc>
          <w:tcPr>
            <w:tcW w:w="8790" w:type="dxa"/>
            <w:gridSpan w:val="11"/>
          </w:tcPr>
          <w:p w:rsidR="001967C0" w:rsidRPr="00BB7A93" w:rsidRDefault="001967C0" w:rsidP="001967C0">
            <w:pPr>
              <w:pStyle w:val="TableBodyText"/>
              <w:ind w:right="28"/>
              <w:jc w:val="left"/>
            </w:pPr>
            <w:r w:rsidRPr="00BB7A93">
              <w:rPr>
                <w:b/>
              </w:rPr>
              <w:t>Family</w:t>
            </w:r>
            <w:r w:rsidR="00F43AAD" w:rsidRPr="00BB7A93">
              <w:rPr>
                <w:b/>
              </w:rPr>
              <w:t xml:space="preserve"> </w:t>
            </w:r>
            <w:r w:rsidRPr="00BB7A93">
              <w:rPr>
                <w:b/>
              </w:rPr>
              <w:t>— appeal</w:t>
            </w:r>
            <w:r w:rsidR="00CD7E65">
              <w:rPr>
                <w:rStyle w:val="NoteLabel"/>
                <w:sz w:val="20"/>
              </w:rPr>
              <w:t>d</w:t>
            </w:r>
          </w:p>
        </w:tc>
      </w:tr>
      <w:tr w:rsidR="0024092A" w:rsidRPr="00BB7A93" w:rsidTr="00C92B2F">
        <w:tc>
          <w:tcPr>
            <w:tcW w:w="1699" w:type="dxa"/>
          </w:tcPr>
          <w:p w:rsidR="0024092A" w:rsidRPr="00BB7A93" w:rsidRDefault="0024092A" w:rsidP="00276A4F">
            <w:pPr>
              <w:pStyle w:val="TableBodyText"/>
              <w:ind w:right="0"/>
              <w:jc w:val="left"/>
            </w:pPr>
            <w:r w:rsidRPr="00BB7A93">
              <w:t>Pending caseload</w:t>
            </w:r>
          </w:p>
        </w:tc>
        <w:tc>
          <w:tcPr>
            <w:tcW w:w="566" w:type="dxa"/>
          </w:tcPr>
          <w:p w:rsidR="0024092A" w:rsidRPr="00BB7A93" w:rsidRDefault="0024092A" w:rsidP="00D254C5">
            <w:pPr>
              <w:pStyle w:val="TableBodyText"/>
              <w:rPr>
                <w:szCs w:val="18"/>
              </w:rPr>
            </w:pPr>
            <w:r w:rsidRPr="00BB7A93">
              <w:rPr>
                <w:szCs w:val="18"/>
              </w:rPr>
              <w:t>no.</w:t>
            </w:r>
          </w:p>
        </w:tc>
        <w:tc>
          <w:tcPr>
            <w:tcW w:w="723" w:type="dxa"/>
            <w:vAlign w:val="bottom"/>
          </w:tcPr>
          <w:p w:rsidR="0024092A" w:rsidRPr="0024092A" w:rsidRDefault="0024092A" w:rsidP="0024092A">
            <w:pPr>
              <w:pStyle w:val="TableBodyText"/>
              <w:rPr>
                <w:sz w:val="18"/>
                <w:szCs w:val="18"/>
              </w:rPr>
            </w:pPr>
            <w:r w:rsidRPr="0024092A">
              <w:rPr>
                <w:sz w:val="18"/>
                <w:szCs w:val="18"/>
              </w:rPr>
              <w:t>..</w:t>
            </w:r>
          </w:p>
        </w:tc>
        <w:tc>
          <w:tcPr>
            <w:tcW w:w="724" w:type="dxa"/>
            <w:vAlign w:val="bottom"/>
          </w:tcPr>
          <w:p w:rsidR="0024092A" w:rsidRPr="0024092A" w:rsidRDefault="0024092A" w:rsidP="0024092A">
            <w:pPr>
              <w:pStyle w:val="TableBodyText"/>
              <w:rPr>
                <w:sz w:val="18"/>
                <w:szCs w:val="18"/>
              </w:rPr>
            </w:pPr>
            <w:r w:rsidRPr="0024092A">
              <w:rPr>
                <w:sz w:val="18"/>
                <w:szCs w:val="18"/>
              </w:rPr>
              <w:t>..</w:t>
            </w:r>
          </w:p>
        </w:tc>
        <w:tc>
          <w:tcPr>
            <w:tcW w:w="725" w:type="dxa"/>
            <w:vAlign w:val="bottom"/>
          </w:tcPr>
          <w:p w:rsidR="0024092A" w:rsidRPr="0024092A" w:rsidRDefault="0024092A" w:rsidP="0024092A">
            <w:pPr>
              <w:pStyle w:val="TableBodyText"/>
              <w:rPr>
                <w:sz w:val="18"/>
                <w:szCs w:val="18"/>
              </w:rPr>
            </w:pPr>
            <w:r w:rsidRPr="0024092A">
              <w:rPr>
                <w:sz w:val="18"/>
                <w:szCs w:val="18"/>
              </w:rPr>
              <w:t>..</w:t>
            </w:r>
          </w:p>
        </w:tc>
        <w:tc>
          <w:tcPr>
            <w:tcW w:w="724" w:type="dxa"/>
            <w:vAlign w:val="bottom"/>
          </w:tcPr>
          <w:p w:rsidR="0024092A" w:rsidRPr="0024092A" w:rsidRDefault="0024092A" w:rsidP="0024092A">
            <w:pPr>
              <w:pStyle w:val="TableBodyText"/>
              <w:rPr>
                <w:sz w:val="18"/>
                <w:szCs w:val="18"/>
              </w:rPr>
            </w:pPr>
            <w:r w:rsidRPr="0024092A">
              <w:rPr>
                <w:sz w:val="18"/>
                <w:szCs w:val="18"/>
              </w:rPr>
              <w:t>26</w:t>
            </w:r>
          </w:p>
        </w:tc>
        <w:tc>
          <w:tcPr>
            <w:tcW w:w="725" w:type="dxa"/>
            <w:vAlign w:val="bottom"/>
          </w:tcPr>
          <w:p w:rsidR="0024092A" w:rsidRPr="0024092A" w:rsidRDefault="0024092A" w:rsidP="0024092A">
            <w:pPr>
              <w:pStyle w:val="TableBodyText"/>
              <w:rPr>
                <w:sz w:val="18"/>
                <w:szCs w:val="18"/>
              </w:rPr>
            </w:pPr>
            <w:r w:rsidRPr="0024092A">
              <w:rPr>
                <w:sz w:val="18"/>
                <w:szCs w:val="18"/>
              </w:rPr>
              <w:t>..</w:t>
            </w:r>
          </w:p>
        </w:tc>
        <w:tc>
          <w:tcPr>
            <w:tcW w:w="725" w:type="dxa"/>
            <w:vAlign w:val="bottom"/>
          </w:tcPr>
          <w:p w:rsidR="0024092A" w:rsidRPr="0024092A" w:rsidRDefault="0024092A" w:rsidP="0024092A">
            <w:pPr>
              <w:pStyle w:val="TableBodyText"/>
              <w:rPr>
                <w:sz w:val="18"/>
                <w:szCs w:val="18"/>
              </w:rPr>
            </w:pPr>
            <w:r w:rsidRPr="0024092A">
              <w:rPr>
                <w:sz w:val="18"/>
                <w:szCs w:val="18"/>
              </w:rPr>
              <w:t>..</w:t>
            </w:r>
          </w:p>
        </w:tc>
        <w:tc>
          <w:tcPr>
            <w:tcW w:w="724" w:type="dxa"/>
            <w:vAlign w:val="bottom"/>
          </w:tcPr>
          <w:p w:rsidR="0024092A" w:rsidRPr="0024092A" w:rsidRDefault="0024092A" w:rsidP="0024092A">
            <w:pPr>
              <w:pStyle w:val="TableBodyText"/>
              <w:rPr>
                <w:sz w:val="18"/>
                <w:szCs w:val="18"/>
              </w:rPr>
            </w:pPr>
            <w:r w:rsidRPr="0024092A">
              <w:rPr>
                <w:sz w:val="18"/>
                <w:szCs w:val="18"/>
              </w:rPr>
              <w:t>..</w:t>
            </w:r>
          </w:p>
        </w:tc>
        <w:tc>
          <w:tcPr>
            <w:tcW w:w="725" w:type="dxa"/>
            <w:vAlign w:val="bottom"/>
          </w:tcPr>
          <w:p w:rsidR="0024092A" w:rsidRPr="0024092A" w:rsidRDefault="0024092A" w:rsidP="0024092A">
            <w:pPr>
              <w:pStyle w:val="TableBodyText"/>
              <w:rPr>
                <w:sz w:val="18"/>
                <w:szCs w:val="18"/>
              </w:rPr>
            </w:pPr>
            <w:r w:rsidRPr="0024092A">
              <w:rPr>
                <w:sz w:val="18"/>
                <w:szCs w:val="18"/>
              </w:rPr>
              <w:t>..</w:t>
            </w:r>
          </w:p>
        </w:tc>
        <w:tc>
          <w:tcPr>
            <w:tcW w:w="730" w:type="dxa"/>
            <w:vAlign w:val="bottom"/>
          </w:tcPr>
          <w:p w:rsidR="0024092A" w:rsidRPr="0024092A" w:rsidRDefault="0024092A" w:rsidP="0024092A">
            <w:pPr>
              <w:pStyle w:val="TableBodyText"/>
              <w:rPr>
                <w:sz w:val="18"/>
                <w:szCs w:val="18"/>
              </w:rPr>
            </w:pPr>
            <w:r w:rsidRPr="0024092A">
              <w:rPr>
                <w:sz w:val="18"/>
                <w:szCs w:val="18"/>
              </w:rPr>
              <w:t>273</w:t>
            </w:r>
          </w:p>
        </w:tc>
      </w:tr>
      <w:tr w:rsidR="0024092A" w:rsidRPr="00BB7A93" w:rsidTr="00C92B2F">
        <w:tc>
          <w:tcPr>
            <w:tcW w:w="1699" w:type="dxa"/>
          </w:tcPr>
          <w:p w:rsidR="0024092A" w:rsidRPr="00BB7A93" w:rsidRDefault="0024092A" w:rsidP="00D254C5">
            <w:pPr>
              <w:pStyle w:val="TableBodyText"/>
              <w:jc w:val="left"/>
              <w:rPr>
                <w:i/>
              </w:rPr>
            </w:pPr>
            <w:r w:rsidRPr="00BB7A93">
              <w:rPr>
                <w:i/>
              </w:rPr>
              <w:t xml:space="preserve">cases &gt;12 </w:t>
            </w:r>
            <w:proofErr w:type="spellStart"/>
            <w:r w:rsidRPr="00BB7A93">
              <w:rPr>
                <w:i/>
              </w:rPr>
              <w:t>mths</w:t>
            </w:r>
            <w:proofErr w:type="spellEnd"/>
          </w:p>
        </w:tc>
        <w:tc>
          <w:tcPr>
            <w:tcW w:w="566" w:type="dxa"/>
          </w:tcPr>
          <w:p w:rsidR="0024092A" w:rsidRPr="00BB7A93" w:rsidRDefault="0024092A" w:rsidP="00D254C5">
            <w:pPr>
              <w:pStyle w:val="TableBodyText"/>
              <w:rPr>
                <w:i/>
                <w:szCs w:val="18"/>
              </w:rPr>
            </w:pPr>
            <w:r w:rsidRPr="00BB7A93">
              <w:rPr>
                <w:i/>
                <w:szCs w:val="18"/>
              </w:rPr>
              <w:t>%</w:t>
            </w:r>
          </w:p>
        </w:tc>
        <w:tc>
          <w:tcPr>
            <w:tcW w:w="723"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4"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5"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4" w:type="dxa"/>
            <w:vAlign w:val="bottom"/>
          </w:tcPr>
          <w:p w:rsidR="0024092A" w:rsidRPr="0024092A" w:rsidRDefault="0024092A" w:rsidP="0024092A">
            <w:pPr>
              <w:pStyle w:val="TableBodyText"/>
              <w:rPr>
                <w:iCs/>
                <w:sz w:val="18"/>
                <w:szCs w:val="18"/>
              </w:rPr>
            </w:pPr>
            <w:r w:rsidRPr="0024092A">
              <w:rPr>
                <w:iCs/>
                <w:sz w:val="18"/>
                <w:szCs w:val="18"/>
              </w:rPr>
              <w:t xml:space="preserve"> 7.7</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24" w:type="dxa"/>
            <w:vAlign w:val="bottom"/>
          </w:tcPr>
          <w:p w:rsidR="0024092A" w:rsidRPr="0024092A" w:rsidRDefault="0024092A" w:rsidP="0024092A">
            <w:pPr>
              <w:pStyle w:val="TableBodyText"/>
              <w:rPr>
                <w:iCs/>
                <w:sz w:val="18"/>
                <w:szCs w:val="18"/>
              </w:rPr>
            </w:pPr>
            <w:r w:rsidRPr="0024092A">
              <w:rPr>
                <w:iCs/>
                <w:sz w:val="18"/>
                <w:szCs w:val="18"/>
              </w:rPr>
              <w:t>..</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30" w:type="dxa"/>
            <w:vAlign w:val="bottom"/>
          </w:tcPr>
          <w:p w:rsidR="0024092A" w:rsidRPr="0024092A" w:rsidRDefault="0024092A" w:rsidP="0024092A">
            <w:pPr>
              <w:pStyle w:val="TableBodyText"/>
              <w:rPr>
                <w:iCs/>
                <w:sz w:val="18"/>
                <w:szCs w:val="18"/>
              </w:rPr>
            </w:pPr>
            <w:r w:rsidRPr="0024092A">
              <w:rPr>
                <w:iCs/>
                <w:sz w:val="18"/>
                <w:szCs w:val="18"/>
              </w:rPr>
              <w:t xml:space="preserve"> 30.8</w:t>
            </w:r>
          </w:p>
        </w:tc>
      </w:tr>
      <w:tr w:rsidR="0024092A" w:rsidRPr="00BB7A93" w:rsidTr="00C92B2F">
        <w:tc>
          <w:tcPr>
            <w:tcW w:w="1699" w:type="dxa"/>
          </w:tcPr>
          <w:p w:rsidR="0024092A" w:rsidRPr="00BB7A93" w:rsidRDefault="0024092A" w:rsidP="00D254C5">
            <w:pPr>
              <w:pStyle w:val="TableBodyText"/>
              <w:jc w:val="left"/>
              <w:rPr>
                <w:i/>
              </w:rPr>
            </w:pPr>
            <w:r w:rsidRPr="00BB7A93">
              <w:rPr>
                <w:i/>
              </w:rPr>
              <w:t xml:space="preserve">cases &gt; 24 </w:t>
            </w:r>
            <w:proofErr w:type="spellStart"/>
            <w:r w:rsidRPr="00BB7A93">
              <w:rPr>
                <w:i/>
              </w:rPr>
              <w:t>mths</w:t>
            </w:r>
            <w:proofErr w:type="spellEnd"/>
          </w:p>
        </w:tc>
        <w:tc>
          <w:tcPr>
            <w:tcW w:w="566" w:type="dxa"/>
          </w:tcPr>
          <w:p w:rsidR="0024092A" w:rsidRPr="00BB7A93" w:rsidRDefault="0024092A" w:rsidP="00D254C5">
            <w:pPr>
              <w:pStyle w:val="TableBodyText"/>
              <w:rPr>
                <w:i/>
                <w:szCs w:val="18"/>
              </w:rPr>
            </w:pPr>
            <w:r w:rsidRPr="00BB7A93">
              <w:rPr>
                <w:i/>
                <w:szCs w:val="18"/>
              </w:rPr>
              <w:t>%</w:t>
            </w:r>
          </w:p>
        </w:tc>
        <w:tc>
          <w:tcPr>
            <w:tcW w:w="723"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4"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5" w:type="dxa"/>
            <w:vAlign w:val="bottom"/>
          </w:tcPr>
          <w:p w:rsidR="0024092A" w:rsidRPr="0024092A" w:rsidRDefault="0024092A" w:rsidP="0024092A">
            <w:pPr>
              <w:pStyle w:val="TableBodyText"/>
              <w:rPr>
                <w:i/>
                <w:iCs/>
                <w:sz w:val="18"/>
                <w:szCs w:val="18"/>
              </w:rPr>
            </w:pPr>
            <w:r w:rsidRPr="0024092A">
              <w:rPr>
                <w:i/>
                <w:iCs/>
                <w:sz w:val="18"/>
                <w:szCs w:val="18"/>
              </w:rPr>
              <w:t>..</w:t>
            </w:r>
          </w:p>
        </w:tc>
        <w:tc>
          <w:tcPr>
            <w:tcW w:w="724" w:type="dxa"/>
            <w:vAlign w:val="bottom"/>
          </w:tcPr>
          <w:p w:rsidR="0024092A" w:rsidRPr="0024092A" w:rsidRDefault="0024092A" w:rsidP="0024092A">
            <w:pPr>
              <w:pStyle w:val="TableBodyText"/>
              <w:rPr>
                <w:iCs/>
                <w:sz w:val="18"/>
                <w:szCs w:val="18"/>
              </w:rPr>
            </w:pPr>
            <w:r w:rsidRPr="0024092A">
              <w:rPr>
                <w:iCs/>
                <w:sz w:val="18"/>
                <w:szCs w:val="18"/>
              </w:rPr>
              <w:t>–</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24" w:type="dxa"/>
            <w:vAlign w:val="bottom"/>
          </w:tcPr>
          <w:p w:rsidR="0024092A" w:rsidRPr="0024092A" w:rsidRDefault="0024092A" w:rsidP="0024092A">
            <w:pPr>
              <w:pStyle w:val="TableBodyText"/>
              <w:rPr>
                <w:iCs/>
                <w:sz w:val="18"/>
                <w:szCs w:val="18"/>
              </w:rPr>
            </w:pPr>
            <w:r w:rsidRPr="0024092A">
              <w:rPr>
                <w:iCs/>
                <w:sz w:val="18"/>
                <w:szCs w:val="18"/>
              </w:rPr>
              <w:t>..</w:t>
            </w:r>
          </w:p>
        </w:tc>
        <w:tc>
          <w:tcPr>
            <w:tcW w:w="725" w:type="dxa"/>
            <w:vAlign w:val="bottom"/>
          </w:tcPr>
          <w:p w:rsidR="0024092A" w:rsidRPr="0024092A" w:rsidRDefault="0024092A" w:rsidP="0024092A">
            <w:pPr>
              <w:pStyle w:val="TableBodyText"/>
              <w:rPr>
                <w:iCs/>
                <w:sz w:val="18"/>
                <w:szCs w:val="18"/>
              </w:rPr>
            </w:pPr>
            <w:r w:rsidRPr="0024092A">
              <w:rPr>
                <w:iCs/>
                <w:sz w:val="18"/>
                <w:szCs w:val="18"/>
              </w:rPr>
              <w:t>..</w:t>
            </w:r>
          </w:p>
        </w:tc>
        <w:tc>
          <w:tcPr>
            <w:tcW w:w="730" w:type="dxa"/>
            <w:vAlign w:val="bottom"/>
          </w:tcPr>
          <w:p w:rsidR="0024092A" w:rsidRPr="0024092A" w:rsidRDefault="0024092A" w:rsidP="0024092A">
            <w:pPr>
              <w:pStyle w:val="TableBodyText"/>
              <w:rPr>
                <w:iCs/>
                <w:sz w:val="18"/>
                <w:szCs w:val="18"/>
              </w:rPr>
            </w:pPr>
            <w:r w:rsidRPr="0024092A">
              <w:rPr>
                <w:iCs/>
                <w:sz w:val="18"/>
                <w:szCs w:val="18"/>
              </w:rPr>
              <w:t xml:space="preserve"> 9.9</w:t>
            </w:r>
          </w:p>
        </w:tc>
      </w:tr>
      <w:tr w:rsidR="001967C0" w:rsidRPr="00BB7A93" w:rsidTr="001967C0">
        <w:tc>
          <w:tcPr>
            <w:tcW w:w="8790" w:type="dxa"/>
            <w:gridSpan w:val="11"/>
          </w:tcPr>
          <w:p w:rsidR="001967C0" w:rsidRPr="00BB7A93" w:rsidRDefault="001967C0" w:rsidP="001967C0">
            <w:pPr>
              <w:pStyle w:val="TableBodyText"/>
              <w:ind w:right="28"/>
              <w:jc w:val="left"/>
            </w:pPr>
            <w:r w:rsidRPr="00BB7A93">
              <w:rPr>
                <w:b/>
              </w:rPr>
              <w:t>Family</w:t>
            </w:r>
            <w:r w:rsidR="00F43AAD" w:rsidRPr="00BB7A93">
              <w:rPr>
                <w:b/>
              </w:rPr>
              <w:t xml:space="preserve"> </w:t>
            </w:r>
            <w:r w:rsidRPr="00BB7A93">
              <w:rPr>
                <w:b/>
              </w:rPr>
              <w:t>— non</w:t>
            </w:r>
            <w:r w:rsidRPr="00BB7A93">
              <w:rPr>
                <w:b/>
              </w:rPr>
              <w:noBreakHyphen/>
              <w:t>appeal</w:t>
            </w:r>
            <w:r w:rsidR="00CD7E65">
              <w:rPr>
                <w:rStyle w:val="NoteLabel"/>
                <w:sz w:val="20"/>
              </w:rPr>
              <w:t>d</w:t>
            </w:r>
          </w:p>
        </w:tc>
      </w:tr>
      <w:tr w:rsidR="00CD0B8B" w:rsidRPr="00BB7A93" w:rsidTr="00C92B2F">
        <w:tc>
          <w:tcPr>
            <w:tcW w:w="1699" w:type="dxa"/>
          </w:tcPr>
          <w:p w:rsidR="00CD0B8B" w:rsidRPr="00BB7A93" w:rsidRDefault="00CD0B8B" w:rsidP="00276A4F">
            <w:pPr>
              <w:pStyle w:val="TableBodyText"/>
              <w:ind w:right="0"/>
              <w:jc w:val="left"/>
            </w:pPr>
            <w:r w:rsidRPr="00BB7A93">
              <w:t>Pending caseload</w:t>
            </w:r>
          </w:p>
        </w:tc>
        <w:tc>
          <w:tcPr>
            <w:tcW w:w="566" w:type="dxa"/>
          </w:tcPr>
          <w:p w:rsidR="00CD0B8B" w:rsidRPr="00BB7A93" w:rsidRDefault="00CD0B8B" w:rsidP="00D254C5">
            <w:pPr>
              <w:pStyle w:val="TableBodyText"/>
              <w:rPr>
                <w:szCs w:val="18"/>
              </w:rPr>
            </w:pPr>
            <w:r w:rsidRPr="00BB7A93">
              <w:rPr>
                <w:szCs w:val="18"/>
              </w:rPr>
              <w:t>no.</w:t>
            </w:r>
          </w:p>
        </w:tc>
        <w:tc>
          <w:tcPr>
            <w:tcW w:w="723" w:type="dxa"/>
            <w:vAlign w:val="bottom"/>
          </w:tcPr>
          <w:p w:rsidR="00CD0B8B" w:rsidRPr="00CD0B8B" w:rsidRDefault="00CD0B8B" w:rsidP="00CD0B8B">
            <w:pPr>
              <w:pStyle w:val="TableBodyText"/>
              <w:rPr>
                <w:sz w:val="18"/>
                <w:szCs w:val="18"/>
              </w:rPr>
            </w:pPr>
            <w:r w:rsidRPr="00CD0B8B">
              <w:rPr>
                <w:sz w:val="18"/>
                <w:szCs w:val="18"/>
              </w:rPr>
              <w:t>..</w:t>
            </w:r>
          </w:p>
        </w:tc>
        <w:tc>
          <w:tcPr>
            <w:tcW w:w="724"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24" w:type="dxa"/>
            <w:vAlign w:val="bottom"/>
          </w:tcPr>
          <w:p w:rsidR="00CD0B8B" w:rsidRPr="00CD0B8B" w:rsidRDefault="00CD0B8B" w:rsidP="00CD0B8B">
            <w:pPr>
              <w:pStyle w:val="TableBodyText"/>
              <w:rPr>
                <w:sz w:val="18"/>
                <w:szCs w:val="18"/>
              </w:rPr>
            </w:pPr>
            <w:r w:rsidRPr="00CD0B8B">
              <w:rPr>
                <w:sz w:val="18"/>
                <w:szCs w:val="18"/>
              </w:rPr>
              <w:t>10</w:t>
            </w:r>
            <w:r w:rsidR="000219FD">
              <w:rPr>
                <w:sz w:val="18"/>
                <w:szCs w:val="18"/>
              </w:rPr>
              <w:t xml:space="preserve"> </w:t>
            </w:r>
            <w:r w:rsidRPr="00CD0B8B">
              <w:rPr>
                <w:sz w:val="18"/>
                <w:szCs w:val="18"/>
              </w:rPr>
              <w:t>034</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24"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30" w:type="dxa"/>
            <w:vAlign w:val="bottom"/>
          </w:tcPr>
          <w:p w:rsidR="00CD0B8B" w:rsidRPr="00CD0B8B" w:rsidRDefault="00CD0B8B" w:rsidP="00CD0B8B">
            <w:pPr>
              <w:pStyle w:val="TableBodyText"/>
              <w:rPr>
                <w:sz w:val="18"/>
                <w:szCs w:val="18"/>
              </w:rPr>
            </w:pPr>
            <w:r w:rsidRPr="00CD0B8B">
              <w:rPr>
                <w:sz w:val="18"/>
                <w:szCs w:val="18"/>
              </w:rPr>
              <w:t>4</w:t>
            </w:r>
            <w:r w:rsidR="000219FD">
              <w:rPr>
                <w:sz w:val="18"/>
                <w:szCs w:val="18"/>
              </w:rPr>
              <w:t xml:space="preserve"> </w:t>
            </w:r>
            <w:r w:rsidRPr="00CD0B8B">
              <w:rPr>
                <w:sz w:val="18"/>
                <w:szCs w:val="18"/>
              </w:rPr>
              <w:t>997</w:t>
            </w:r>
          </w:p>
        </w:tc>
      </w:tr>
      <w:tr w:rsidR="00CD0B8B" w:rsidRPr="00BB7A93" w:rsidTr="00C92B2F">
        <w:tc>
          <w:tcPr>
            <w:tcW w:w="1699" w:type="dxa"/>
          </w:tcPr>
          <w:p w:rsidR="00CD0B8B" w:rsidRPr="00BB7A93" w:rsidRDefault="00CD0B8B" w:rsidP="00D254C5">
            <w:pPr>
              <w:pStyle w:val="TableBodyText"/>
              <w:jc w:val="left"/>
              <w:rPr>
                <w:i/>
              </w:rPr>
            </w:pPr>
            <w:r w:rsidRPr="00BB7A93">
              <w:rPr>
                <w:i/>
              </w:rPr>
              <w:t xml:space="preserve">cases &gt; 12 </w:t>
            </w:r>
            <w:proofErr w:type="spellStart"/>
            <w:r w:rsidRPr="00BB7A93">
              <w:rPr>
                <w:i/>
              </w:rPr>
              <w:t>mths</w:t>
            </w:r>
            <w:proofErr w:type="spellEnd"/>
          </w:p>
        </w:tc>
        <w:tc>
          <w:tcPr>
            <w:tcW w:w="566" w:type="dxa"/>
          </w:tcPr>
          <w:p w:rsidR="00CD0B8B" w:rsidRPr="00BB7A93" w:rsidRDefault="00CD0B8B" w:rsidP="00D254C5">
            <w:pPr>
              <w:pStyle w:val="TableBodyText"/>
              <w:rPr>
                <w:i/>
                <w:szCs w:val="18"/>
              </w:rPr>
            </w:pPr>
            <w:r w:rsidRPr="00BB7A93">
              <w:rPr>
                <w:i/>
                <w:szCs w:val="18"/>
              </w:rPr>
              <w:t>%</w:t>
            </w:r>
          </w:p>
        </w:tc>
        <w:tc>
          <w:tcPr>
            <w:tcW w:w="723"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Cs/>
                <w:sz w:val="18"/>
                <w:szCs w:val="18"/>
              </w:rPr>
            </w:pPr>
            <w:r w:rsidRPr="00CD0B8B">
              <w:rPr>
                <w:iCs/>
                <w:sz w:val="18"/>
                <w:szCs w:val="18"/>
              </w:rPr>
              <w:t xml:space="preserve"> 34.9</w:t>
            </w:r>
          </w:p>
        </w:tc>
        <w:tc>
          <w:tcPr>
            <w:tcW w:w="725" w:type="dxa"/>
            <w:vAlign w:val="bottom"/>
          </w:tcPr>
          <w:p w:rsidR="00CD0B8B" w:rsidRPr="00CD0B8B" w:rsidRDefault="00CD0B8B" w:rsidP="00CD0B8B">
            <w:pPr>
              <w:pStyle w:val="TableBodyText"/>
              <w:rPr>
                <w:iCs/>
                <w:sz w:val="18"/>
                <w:szCs w:val="18"/>
              </w:rPr>
            </w:pPr>
            <w:r w:rsidRPr="00CD0B8B">
              <w:rPr>
                <w:iCs/>
                <w:sz w:val="18"/>
                <w:szCs w:val="18"/>
              </w:rPr>
              <w:t>..</w:t>
            </w:r>
          </w:p>
        </w:tc>
        <w:tc>
          <w:tcPr>
            <w:tcW w:w="725" w:type="dxa"/>
            <w:vAlign w:val="bottom"/>
          </w:tcPr>
          <w:p w:rsidR="00CD0B8B" w:rsidRPr="00CD0B8B" w:rsidRDefault="00CD0B8B" w:rsidP="00CD0B8B">
            <w:pPr>
              <w:pStyle w:val="TableBodyText"/>
              <w:rPr>
                <w:iCs/>
                <w:sz w:val="18"/>
                <w:szCs w:val="18"/>
              </w:rPr>
            </w:pPr>
            <w:r w:rsidRPr="00CD0B8B">
              <w:rPr>
                <w:iCs/>
                <w:sz w:val="18"/>
                <w:szCs w:val="18"/>
              </w:rPr>
              <w:t>..</w:t>
            </w:r>
          </w:p>
        </w:tc>
        <w:tc>
          <w:tcPr>
            <w:tcW w:w="724" w:type="dxa"/>
            <w:vAlign w:val="bottom"/>
          </w:tcPr>
          <w:p w:rsidR="00CD0B8B" w:rsidRPr="00CD0B8B" w:rsidRDefault="00CD0B8B" w:rsidP="00CD0B8B">
            <w:pPr>
              <w:pStyle w:val="TableBodyText"/>
              <w:rPr>
                <w:iCs/>
                <w:sz w:val="18"/>
                <w:szCs w:val="18"/>
              </w:rPr>
            </w:pPr>
            <w:r w:rsidRPr="00CD0B8B">
              <w:rPr>
                <w:iCs/>
                <w:sz w:val="18"/>
                <w:szCs w:val="18"/>
              </w:rPr>
              <w:t>..</w:t>
            </w:r>
          </w:p>
        </w:tc>
        <w:tc>
          <w:tcPr>
            <w:tcW w:w="725" w:type="dxa"/>
            <w:vAlign w:val="bottom"/>
          </w:tcPr>
          <w:p w:rsidR="00CD0B8B" w:rsidRPr="00CD0B8B" w:rsidRDefault="00CD0B8B" w:rsidP="00CD0B8B">
            <w:pPr>
              <w:pStyle w:val="TableBodyText"/>
              <w:rPr>
                <w:iCs/>
                <w:sz w:val="18"/>
                <w:szCs w:val="18"/>
              </w:rPr>
            </w:pPr>
            <w:r w:rsidRPr="00CD0B8B">
              <w:rPr>
                <w:iCs/>
                <w:sz w:val="18"/>
                <w:szCs w:val="18"/>
              </w:rPr>
              <w:t>..</w:t>
            </w:r>
          </w:p>
        </w:tc>
        <w:tc>
          <w:tcPr>
            <w:tcW w:w="730" w:type="dxa"/>
            <w:vAlign w:val="bottom"/>
          </w:tcPr>
          <w:p w:rsidR="00CD0B8B" w:rsidRPr="00CD0B8B" w:rsidRDefault="00CD0B8B" w:rsidP="00CD0B8B">
            <w:pPr>
              <w:pStyle w:val="TableBodyText"/>
              <w:rPr>
                <w:iCs/>
                <w:sz w:val="18"/>
                <w:szCs w:val="18"/>
              </w:rPr>
            </w:pPr>
            <w:r w:rsidRPr="00CD0B8B">
              <w:rPr>
                <w:iCs/>
                <w:sz w:val="18"/>
                <w:szCs w:val="18"/>
              </w:rPr>
              <w:t xml:space="preserve"> 29.5</w:t>
            </w:r>
          </w:p>
        </w:tc>
      </w:tr>
      <w:tr w:rsidR="00CD0B8B" w:rsidRPr="00BB7A93" w:rsidTr="00C92B2F">
        <w:tc>
          <w:tcPr>
            <w:tcW w:w="1699" w:type="dxa"/>
          </w:tcPr>
          <w:p w:rsidR="00CD0B8B" w:rsidRPr="00BB7A93" w:rsidRDefault="00CD0B8B" w:rsidP="00D254C5">
            <w:pPr>
              <w:pStyle w:val="TableBodyText"/>
              <w:jc w:val="left"/>
              <w:rPr>
                <w:i/>
              </w:rPr>
            </w:pPr>
            <w:r w:rsidRPr="00BB7A93">
              <w:rPr>
                <w:i/>
              </w:rPr>
              <w:t xml:space="preserve">cases &gt; 24 </w:t>
            </w:r>
            <w:proofErr w:type="spellStart"/>
            <w:r w:rsidRPr="00BB7A93">
              <w:rPr>
                <w:i/>
              </w:rPr>
              <w:t>mths</w:t>
            </w:r>
            <w:proofErr w:type="spellEnd"/>
          </w:p>
        </w:tc>
        <w:tc>
          <w:tcPr>
            <w:tcW w:w="566" w:type="dxa"/>
          </w:tcPr>
          <w:p w:rsidR="00CD0B8B" w:rsidRPr="00BB7A93" w:rsidRDefault="00CD0B8B" w:rsidP="00D254C5">
            <w:pPr>
              <w:pStyle w:val="TableBodyText"/>
              <w:rPr>
                <w:i/>
                <w:szCs w:val="18"/>
              </w:rPr>
            </w:pPr>
            <w:r w:rsidRPr="00BB7A93">
              <w:rPr>
                <w:i/>
                <w:szCs w:val="18"/>
              </w:rPr>
              <w:t>%</w:t>
            </w:r>
          </w:p>
        </w:tc>
        <w:tc>
          <w:tcPr>
            <w:tcW w:w="723"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Cs/>
                <w:sz w:val="18"/>
                <w:szCs w:val="18"/>
              </w:rPr>
            </w:pPr>
            <w:r w:rsidRPr="00CD0B8B">
              <w:rPr>
                <w:iCs/>
                <w:sz w:val="18"/>
                <w:szCs w:val="18"/>
              </w:rPr>
              <w:t xml:space="preserve"> 15.3</w:t>
            </w:r>
          </w:p>
        </w:tc>
        <w:tc>
          <w:tcPr>
            <w:tcW w:w="725" w:type="dxa"/>
            <w:vAlign w:val="bottom"/>
          </w:tcPr>
          <w:p w:rsidR="00CD0B8B" w:rsidRPr="00CD0B8B" w:rsidRDefault="00CD0B8B" w:rsidP="00CD0B8B">
            <w:pPr>
              <w:pStyle w:val="TableBodyText"/>
              <w:rPr>
                <w:iCs/>
                <w:sz w:val="18"/>
                <w:szCs w:val="18"/>
              </w:rPr>
            </w:pPr>
            <w:r w:rsidRPr="00CD0B8B">
              <w:rPr>
                <w:iCs/>
                <w:sz w:val="18"/>
                <w:szCs w:val="18"/>
              </w:rPr>
              <w:t>..</w:t>
            </w:r>
          </w:p>
        </w:tc>
        <w:tc>
          <w:tcPr>
            <w:tcW w:w="725" w:type="dxa"/>
            <w:vAlign w:val="bottom"/>
          </w:tcPr>
          <w:p w:rsidR="00CD0B8B" w:rsidRPr="00CD0B8B" w:rsidRDefault="00CD0B8B" w:rsidP="00CD0B8B">
            <w:pPr>
              <w:pStyle w:val="TableBodyText"/>
              <w:rPr>
                <w:iCs/>
                <w:sz w:val="18"/>
                <w:szCs w:val="18"/>
              </w:rPr>
            </w:pPr>
            <w:r w:rsidRPr="00CD0B8B">
              <w:rPr>
                <w:iCs/>
                <w:sz w:val="18"/>
                <w:szCs w:val="18"/>
              </w:rPr>
              <w:t>..</w:t>
            </w:r>
          </w:p>
        </w:tc>
        <w:tc>
          <w:tcPr>
            <w:tcW w:w="724" w:type="dxa"/>
            <w:vAlign w:val="bottom"/>
          </w:tcPr>
          <w:p w:rsidR="00CD0B8B" w:rsidRPr="00CD0B8B" w:rsidRDefault="00CD0B8B" w:rsidP="00CD0B8B">
            <w:pPr>
              <w:pStyle w:val="TableBodyText"/>
              <w:rPr>
                <w:iCs/>
                <w:sz w:val="18"/>
                <w:szCs w:val="18"/>
              </w:rPr>
            </w:pPr>
            <w:r w:rsidRPr="00CD0B8B">
              <w:rPr>
                <w:iCs/>
                <w:sz w:val="18"/>
                <w:szCs w:val="18"/>
              </w:rPr>
              <w:t>..</w:t>
            </w:r>
          </w:p>
        </w:tc>
        <w:tc>
          <w:tcPr>
            <w:tcW w:w="725" w:type="dxa"/>
            <w:vAlign w:val="bottom"/>
          </w:tcPr>
          <w:p w:rsidR="00CD0B8B" w:rsidRPr="00CD0B8B" w:rsidRDefault="00CD0B8B" w:rsidP="00CD0B8B">
            <w:pPr>
              <w:pStyle w:val="TableBodyText"/>
              <w:rPr>
                <w:iCs/>
                <w:sz w:val="18"/>
                <w:szCs w:val="18"/>
              </w:rPr>
            </w:pPr>
            <w:r w:rsidRPr="00CD0B8B">
              <w:rPr>
                <w:iCs/>
                <w:sz w:val="18"/>
                <w:szCs w:val="18"/>
              </w:rPr>
              <w:t>..</w:t>
            </w:r>
          </w:p>
        </w:tc>
        <w:tc>
          <w:tcPr>
            <w:tcW w:w="730" w:type="dxa"/>
            <w:vAlign w:val="bottom"/>
          </w:tcPr>
          <w:p w:rsidR="00CD0B8B" w:rsidRPr="00CD0B8B" w:rsidRDefault="00CD0B8B" w:rsidP="00CD0B8B">
            <w:pPr>
              <w:pStyle w:val="TableBodyText"/>
              <w:rPr>
                <w:iCs/>
                <w:sz w:val="18"/>
                <w:szCs w:val="18"/>
              </w:rPr>
            </w:pPr>
            <w:r w:rsidRPr="00CD0B8B">
              <w:rPr>
                <w:iCs/>
                <w:sz w:val="18"/>
                <w:szCs w:val="18"/>
              </w:rPr>
              <w:t xml:space="preserve"> 11.2</w:t>
            </w:r>
          </w:p>
        </w:tc>
      </w:tr>
      <w:tr w:rsidR="001967C0" w:rsidRPr="00BB7A93" w:rsidTr="001967C0">
        <w:tc>
          <w:tcPr>
            <w:tcW w:w="8790" w:type="dxa"/>
            <w:gridSpan w:val="11"/>
          </w:tcPr>
          <w:p w:rsidR="001967C0" w:rsidRPr="00BB7A93" w:rsidRDefault="001967C0" w:rsidP="001967C0">
            <w:pPr>
              <w:pStyle w:val="TableBodyText"/>
              <w:ind w:right="28"/>
              <w:jc w:val="left"/>
            </w:pPr>
            <w:r w:rsidRPr="00BB7A93">
              <w:rPr>
                <w:b/>
              </w:rPr>
              <w:t xml:space="preserve">Federal </w:t>
            </w:r>
            <w:r w:rsidR="00F133CB">
              <w:rPr>
                <w:b/>
              </w:rPr>
              <w:t>Circuit</w:t>
            </w:r>
            <w:r w:rsidR="00CD7E65">
              <w:rPr>
                <w:rStyle w:val="NoteLabel"/>
                <w:sz w:val="20"/>
              </w:rPr>
              <w:t>d</w:t>
            </w:r>
          </w:p>
        </w:tc>
      </w:tr>
      <w:tr w:rsidR="00CD0B8B" w:rsidRPr="00BB7A93" w:rsidTr="00C92B2F">
        <w:tc>
          <w:tcPr>
            <w:tcW w:w="1699" w:type="dxa"/>
          </w:tcPr>
          <w:p w:rsidR="00CD0B8B" w:rsidRPr="00BB7A93" w:rsidRDefault="00CD0B8B" w:rsidP="00276A4F">
            <w:pPr>
              <w:pStyle w:val="TableBodyText"/>
              <w:ind w:right="0"/>
              <w:jc w:val="left"/>
            </w:pPr>
            <w:r w:rsidRPr="00BB7A93">
              <w:t>Pending caseload</w:t>
            </w:r>
          </w:p>
        </w:tc>
        <w:tc>
          <w:tcPr>
            <w:tcW w:w="566" w:type="dxa"/>
          </w:tcPr>
          <w:p w:rsidR="00CD0B8B" w:rsidRPr="00BB7A93" w:rsidRDefault="00CD0B8B" w:rsidP="008B6EC9">
            <w:pPr>
              <w:pStyle w:val="TableBodyText"/>
              <w:rPr>
                <w:szCs w:val="18"/>
              </w:rPr>
            </w:pPr>
            <w:r w:rsidRPr="00BB7A93">
              <w:rPr>
                <w:szCs w:val="18"/>
              </w:rPr>
              <w:t>no.</w:t>
            </w:r>
          </w:p>
        </w:tc>
        <w:tc>
          <w:tcPr>
            <w:tcW w:w="723" w:type="dxa"/>
            <w:vAlign w:val="bottom"/>
          </w:tcPr>
          <w:p w:rsidR="00CD0B8B" w:rsidRPr="00CD0B8B" w:rsidRDefault="00CD0B8B" w:rsidP="00CD0B8B">
            <w:pPr>
              <w:pStyle w:val="TableBodyText"/>
              <w:rPr>
                <w:sz w:val="18"/>
                <w:szCs w:val="18"/>
              </w:rPr>
            </w:pPr>
            <w:r w:rsidRPr="00CD0B8B">
              <w:rPr>
                <w:sz w:val="18"/>
                <w:szCs w:val="18"/>
              </w:rPr>
              <w:t>..</w:t>
            </w:r>
          </w:p>
        </w:tc>
        <w:tc>
          <w:tcPr>
            <w:tcW w:w="724"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24"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24" w:type="dxa"/>
            <w:vAlign w:val="bottom"/>
          </w:tcPr>
          <w:p w:rsidR="00CD0B8B" w:rsidRPr="00CD0B8B" w:rsidRDefault="00CD0B8B" w:rsidP="00CD0B8B">
            <w:pPr>
              <w:pStyle w:val="TableBodyText"/>
              <w:rPr>
                <w:sz w:val="18"/>
                <w:szCs w:val="18"/>
              </w:rPr>
            </w:pPr>
            <w:r w:rsidRPr="00CD0B8B">
              <w:rPr>
                <w:sz w:val="18"/>
                <w:szCs w:val="18"/>
              </w:rPr>
              <w:t>..</w:t>
            </w:r>
          </w:p>
        </w:tc>
        <w:tc>
          <w:tcPr>
            <w:tcW w:w="725" w:type="dxa"/>
            <w:vAlign w:val="bottom"/>
          </w:tcPr>
          <w:p w:rsidR="00CD0B8B" w:rsidRPr="00CD0B8B" w:rsidRDefault="00CD0B8B" w:rsidP="00CD0B8B">
            <w:pPr>
              <w:pStyle w:val="TableBodyText"/>
              <w:rPr>
                <w:sz w:val="18"/>
                <w:szCs w:val="18"/>
              </w:rPr>
            </w:pPr>
            <w:r w:rsidRPr="00CD0B8B">
              <w:rPr>
                <w:sz w:val="18"/>
                <w:szCs w:val="18"/>
              </w:rPr>
              <w:t>..</w:t>
            </w:r>
          </w:p>
        </w:tc>
        <w:tc>
          <w:tcPr>
            <w:tcW w:w="730" w:type="dxa"/>
            <w:vAlign w:val="bottom"/>
          </w:tcPr>
          <w:p w:rsidR="00CD0B8B" w:rsidRPr="00CD0B8B" w:rsidRDefault="00CD0B8B" w:rsidP="00CD0B8B">
            <w:pPr>
              <w:pStyle w:val="TableBodyText"/>
              <w:rPr>
                <w:sz w:val="18"/>
                <w:szCs w:val="18"/>
              </w:rPr>
            </w:pPr>
            <w:r w:rsidRPr="00CD0B8B">
              <w:rPr>
                <w:sz w:val="18"/>
                <w:szCs w:val="18"/>
              </w:rPr>
              <w:t>31</w:t>
            </w:r>
            <w:r w:rsidR="000219FD">
              <w:rPr>
                <w:sz w:val="18"/>
                <w:szCs w:val="18"/>
              </w:rPr>
              <w:t xml:space="preserve"> </w:t>
            </w:r>
            <w:r w:rsidRPr="00CD0B8B">
              <w:rPr>
                <w:sz w:val="18"/>
                <w:szCs w:val="18"/>
              </w:rPr>
              <w:t>067</w:t>
            </w:r>
          </w:p>
        </w:tc>
      </w:tr>
      <w:tr w:rsidR="00CD0B8B" w:rsidRPr="00BB7A93" w:rsidTr="00C92B2F">
        <w:tc>
          <w:tcPr>
            <w:tcW w:w="1699" w:type="dxa"/>
          </w:tcPr>
          <w:p w:rsidR="00CD0B8B" w:rsidRPr="00BB7A93" w:rsidRDefault="00CD0B8B" w:rsidP="008B6EC9">
            <w:pPr>
              <w:pStyle w:val="TableBodyText"/>
              <w:jc w:val="left"/>
              <w:rPr>
                <w:i/>
              </w:rPr>
            </w:pPr>
            <w:r w:rsidRPr="00BB7A93">
              <w:rPr>
                <w:i/>
              </w:rPr>
              <w:t xml:space="preserve">cases &gt; 6 </w:t>
            </w:r>
            <w:proofErr w:type="spellStart"/>
            <w:r w:rsidRPr="00BB7A93">
              <w:rPr>
                <w:i/>
              </w:rPr>
              <w:t>mths</w:t>
            </w:r>
            <w:proofErr w:type="spellEnd"/>
          </w:p>
        </w:tc>
        <w:tc>
          <w:tcPr>
            <w:tcW w:w="566" w:type="dxa"/>
          </w:tcPr>
          <w:p w:rsidR="00CD0B8B" w:rsidRPr="00BB7A93" w:rsidRDefault="00CD0B8B" w:rsidP="008B6EC9">
            <w:pPr>
              <w:pStyle w:val="TableBodyText"/>
              <w:rPr>
                <w:i/>
                <w:szCs w:val="18"/>
              </w:rPr>
            </w:pPr>
            <w:r w:rsidRPr="00BB7A93">
              <w:rPr>
                <w:i/>
                <w:szCs w:val="18"/>
              </w:rPr>
              <w:t>%</w:t>
            </w:r>
          </w:p>
        </w:tc>
        <w:tc>
          <w:tcPr>
            <w:tcW w:w="723"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30" w:type="dxa"/>
            <w:vAlign w:val="bottom"/>
          </w:tcPr>
          <w:p w:rsidR="00CD0B8B" w:rsidRPr="00CD0B8B" w:rsidRDefault="00CD0B8B" w:rsidP="00CD0B8B">
            <w:pPr>
              <w:pStyle w:val="TableBodyText"/>
              <w:rPr>
                <w:iCs/>
                <w:sz w:val="18"/>
                <w:szCs w:val="18"/>
              </w:rPr>
            </w:pPr>
            <w:r w:rsidRPr="00CD0B8B">
              <w:rPr>
                <w:iCs/>
                <w:sz w:val="18"/>
                <w:szCs w:val="18"/>
              </w:rPr>
              <w:t xml:space="preserve"> 34.4</w:t>
            </w:r>
          </w:p>
        </w:tc>
      </w:tr>
      <w:tr w:rsidR="00CD0B8B" w:rsidRPr="00BB7A93" w:rsidTr="00C92B2F">
        <w:tc>
          <w:tcPr>
            <w:tcW w:w="1699" w:type="dxa"/>
          </w:tcPr>
          <w:p w:rsidR="00CD0B8B" w:rsidRPr="00BB7A93" w:rsidRDefault="00CD0B8B" w:rsidP="008B6EC9">
            <w:pPr>
              <w:pStyle w:val="TableBodyText"/>
              <w:jc w:val="left"/>
              <w:rPr>
                <w:i/>
              </w:rPr>
            </w:pPr>
            <w:r w:rsidRPr="00BB7A93">
              <w:rPr>
                <w:i/>
              </w:rPr>
              <w:t xml:space="preserve">cases &gt; 12 </w:t>
            </w:r>
            <w:proofErr w:type="spellStart"/>
            <w:r w:rsidRPr="00BB7A93">
              <w:rPr>
                <w:i/>
              </w:rPr>
              <w:t>mths</w:t>
            </w:r>
            <w:proofErr w:type="spellEnd"/>
          </w:p>
        </w:tc>
        <w:tc>
          <w:tcPr>
            <w:tcW w:w="566" w:type="dxa"/>
          </w:tcPr>
          <w:p w:rsidR="00CD0B8B" w:rsidRPr="00BB7A93" w:rsidRDefault="00CD0B8B" w:rsidP="008B6EC9">
            <w:pPr>
              <w:pStyle w:val="TableBodyText"/>
              <w:rPr>
                <w:i/>
                <w:szCs w:val="18"/>
              </w:rPr>
            </w:pPr>
            <w:r w:rsidRPr="00BB7A93">
              <w:rPr>
                <w:i/>
                <w:szCs w:val="18"/>
              </w:rPr>
              <w:t>%</w:t>
            </w:r>
          </w:p>
        </w:tc>
        <w:tc>
          <w:tcPr>
            <w:tcW w:w="723"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4"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25" w:type="dxa"/>
            <w:vAlign w:val="bottom"/>
          </w:tcPr>
          <w:p w:rsidR="00CD0B8B" w:rsidRPr="00CD0B8B" w:rsidRDefault="00CD0B8B" w:rsidP="00CD0B8B">
            <w:pPr>
              <w:pStyle w:val="TableBodyText"/>
              <w:rPr>
                <w:i/>
                <w:iCs/>
                <w:sz w:val="18"/>
                <w:szCs w:val="18"/>
              </w:rPr>
            </w:pPr>
            <w:r w:rsidRPr="00CD0B8B">
              <w:rPr>
                <w:i/>
                <w:iCs/>
                <w:sz w:val="18"/>
                <w:szCs w:val="18"/>
              </w:rPr>
              <w:t>..</w:t>
            </w:r>
          </w:p>
        </w:tc>
        <w:tc>
          <w:tcPr>
            <w:tcW w:w="730" w:type="dxa"/>
            <w:vAlign w:val="bottom"/>
          </w:tcPr>
          <w:p w:rsidR="00CD0B8B" w:rsidRPr="00CD0B8B" w:rsidRDefault="00CD0B8B" w:rsidP="00CD0B8B">
            <w:pPr>
              <w:pStyle w:val="TableBodyText"/>
              <w:rPr>
                <w:iCs/>
                <w:sz w:val="18"/>
                <w:szCs w:val="18"/>
              </w:rPr>
            </w:pPr>
            <w:r w:rsidRPr="00CD0B8B">
              <w:rPr>
                <w:iCs/>
                <w:sz w:val="18"/>
                <w:szCs w:val="18"/>
              </w:rPr>
              <w:t xml:space="preserve"> 13.3</w:t>
            </w:r>
          </w:p>
        </w:tc>
      </w:tr>
    </w:tbl>
    <w:p w:rsidR="00D74DB1" w:rsidRDefault="00D74DB1" w:rsidP="00D74DB1">
      <w:pPr>
        <w:pStyle w:val="Continued"/>
        <w:spacing w:before="20" w:line="240" w:lineRule="auto"/>
      </w:pPr>
      <w:r>
        <w:t>(</w:t>
      </w:r>
      <w:r w:rsidRPr="00D254C5">
        <w:t>Continued on next page)</w:t>
      </w:r>
    </w:p>
    <w:p w:rsidR="00D74DB1" w:rsidRDefault="00D74DB1" w:rsidP="00D74DB1">
      <w:pPr>
        <w:pStyle w:val="Continued"/>
        <w:spacing w:before="20" w:line="240" w:lineRule="auto"/>
      </w:pPr>
    </w:p>
    <w:tbl>
      <w:tblPr>
        <w:tblW w:w="8784" w:type="dxa"/>
        <w:tblLayout w:type="fixed"/>
        <w:tblCellMar>
          <w:left w:w="0" w:type="dxa"/>
          <w:right w:w="0" w:type="dxa"/>
        </w:tblCellMar>
        <w:tblLook w:val="0000" w:firstRow="0" w:lastRow="0" w:firstColumn="0" w:lastColumn="0" w:noHBand="0" w:noVBand="0"/>
      </w:tblPr>
      <w:tblGrid>
        <w:gridCol w:w="1699"/>
        <w:gridCol w:w="566"/>
        <w:gridCol w:w="723"/>
        <w:gridCol w:w="724"/>
        <w:gridCol w:w="725"/>
        <w:gridCol w:w="724"/>
        <w:gridCol w:w="725"/>
        <w:gridCol w:w="725"/>
        <w:gridCol w:w="724"/>
        <w:gridCol w:w="725"/>
        <w:gridCol w:w="724"/>
      </w:tblGrid>
      <w:tr w:rsidR="00A8636E" w:rsidRPr="00BB7A93" w:rsidTr="00D74DB1">
        <w:tc>
          <w:tcPr>
            <w:tcW w:w="8784" w:type="dxa"/>
            <w:gridSpan w:val="11"/>
          </w:tcPr>
          <w:p w:rsidR="00D74DB1" w:rsidRPr="00234871" w:rsidRDefault="00D74DB1" w:rsidP="00234871">
            <w:pPr>
              <w:pStyle w:val="TableTitle"/>
              <w:rPr>
                <w:b w:val="0"/>
              </w:rPr>
            </w:pPr>
            <w:r w:rsidRPr="00234871">
              <w:rPr>
                <w:b w:val="0"/>
              </w:rPr>
              <w:lastRenderedPageBreak/>
              <w:t>Table 7.</w:t>
            </w:r>
            <w:r w:rsidRPr="00234871">
              <w:rPr>
                <w:b w:val="0"/>
                <w:noProof/>
              </w:rPr>
              <w:t>13</w:t>
            </w:r>
            <w:r w:rsidRPr="00234871">
              <w:rPr>
                <w:b w:val="0"/>
              </w:rPr>
              <w:tab/>
            </w:r>
            <w:r w:rsidR="00234871" w:rsidRPr="00234871">
              <w:rPr>
                <w:b w:val="0"/>
                <w:sz w:val="18"/>
                <w:szCs w:val="18"/>
              </w:rPr>
              <w:t>(Continued)</w:t>
            </w:r>
          </w:p>
          <w:tbl>
            <w:tblPr>
              <w:tblW w:w="8790" w:type="dxa"/>
              <w:tblLayout w:type="fixed"/>
              <w:tblCellMar>
                <w:left w:w="0" w:type="dxa"/>
                <w:right w:w="0" w:type="dxa"/>
              </w:tblCellMar>
              <w:tblLook w:val="0000" w:firstRow="0" w:lastRow="0" w:firstColumn="0" w:lastColumn="0" w:noHBand="0" w:noVBand="0"/>
            </w:tblPr>
            <w:tblGrid>
              <w:gridCol w:w="1699"/>
              <w:gridCol w:w="566"/>
              <w:gridCol w:w="723"/>
              <w:gridCol w:w="724"/>
              <w:gridCol w:w="725"/>
              <w:gridCol w:w="724"/>
              <w:gridCol w:w="725"/>
              <w:gridCol w:w="725"/>
              <w:gridCol w:w="724"/>
              <w:gridCol w:w="725"/>
              <w:gridCol w:w="730"/>
            </w:tblGrid>
            <w:tr w:rsidR="00D74DB1" w:rsidRPr="00D82B90" w:rsidTr="00584FFF">
              <w:tc>
                <w:tcPr>
                  <w:tcW w:w="1699" w:type="dxa"/>
                  <w:tcBorders>
                    <w:top w:val="single" w:sz="6" w:space="0" w:color="auto"/>
                    <w:bottom w:val="single" w:sz="6" w:space="0" w:color="auto"/>
                  </w:tcBorders>
                </w:tcPr>
                <w:p w:rsidR="00D74DB1" w:rsidRPr="00D82B90" w:rsidRDefault="00D74DB1" w:rsidP="00D74DB1">
                  <w:pPr>
                    <w:pStyle w:val="TableColumnHeading"/>
                    <w:jc w:val="left"/>
                  </w:pPr>
                </w:p>
              </w:tc>
              <w:tc>
                <w:tcPr>
                  <w:tcW w:w="566" w:type="dxa"/>
                  <w:tcBorders>
                    <w:top w:val="single" w:sz="6" w:space="0" w:color="auto"/>
                    <w:bottom w:val="single" w:sz="6" w:space="0" w:color="auto"/>
                  </w:tcBorders>
                </w:tcPr>
                <w:p w:rsidR="00D74DB1" w:rsidRPr="00D82B90" w:rsidRDefault="00D74DB1" w:rsidP="00D74DB1">
                  <w:pPr>
                    <w:pStyle w:val="TableColumnHeading"/>
                  </w:pPr>
                  <w:r w:rsidRPr="00D82B90">
                    <w:t>Unit</w:t>
                  </w:r>
                </w:p>
              </w:tc>
              <w:tc>
                <w:tcPr>
                  <w:tcW w:w="723" w:type="dxa"/>
                  <w:tcBorders>
                    <w:top w:val="single" w:sz="6" w:space="0" w:color="auto"/>
                    <w:bottom w:val="single" w:sz="6" w:space="0" w:color="auto"/>
                  </w:tcBorders>
                </w:tcPr>
                <w:p w:rsidR="00D74DB1" w:rsidRPr="00D82B90" w:rsidRDefault="00D74DB1">
                  <w:pPr>
                    <w:pStyle w:val="TableColumnHeading"/>
                  </w:pPr>
                  <w:r w:rsidRPr="00D82B90">
                    <w:t>NSW</w:t>
                  </w:r>
                </w:p>
              </w:tc>
              <w:tc>
                <w:tcPr>
                  <w:tcW w:w="724" w:type="dxa"/>
                  <w:tcBorders>
                    <w:top w:val="single" w:sz="6" w:space="0" w:color="auto"/>
                    <w:bottom w:val="single" w:sz="6" w:space="0" w:color="auto"/>
                  </w:tcBorders>
                </w:tcPr>
                <w:p w:rsidR="00D74DB1" w:rsidRPr="00D82B90" w:rsidRDefault="00D74DB1" w:rsidP="00D74DB1">
                  <w:pPr>
                    <w:pStyle w:val="TableColumnHeading"/>
                  </w:pPr>
                  <w:r w:rsidRPr="00D82B90">
                    <w:t>Vic</w:t>
                  </w:r>
                </w:p>
              </w:tc>
              <w:tc>
                <w:tcPr>
                  <w:tcW w:w="725" w:type="dxa"/>
                  <w:tcBorders>
                    <w:top w:val="single" w:sz="6" w:space="0" w:color="auto"/>
                    <w:bottom w:val="single" w:sz="6" w:space="0" w:color="auto"/>
                  </w:tcBorders>
                </w:tcPr>
                <w:p w:rsidR="00D74DB1" w:rsidRPr="00D82B90" w:rsidRDefault="00D74DB1" w:rsidP="00D74DB1">
                  <w:pPr>
                    <w:pStyle w:val="TableColumnHeading"/>
                  </w:pPr>
                  <w:r w:rsidRPr="00D82B90">
                    <w:t>Qld</w:t>
                  </w:r>
                </w:p>
              </w:tc>
              <w:tc>
                <w:tcPr>
                  <w:tcW w:w="724" w:type="dxa"/>
                  <w:tcBorders>
                    <w:top w:val="single" w:sz="6" w:space="0" w:color="auto"/>
                    <w:bottom w:val="single" w:sz="6" w:space="0" w:color="auto"/>
                  </w:tcBorders>
                </w:tcPr>
                <w:p w:rsidR="00D74DB1" w:rsidRPr="00D82B90" w:rsidRDefault="00D74DB1" w:rsidP="00D74DB1">
                  <w:pPr>
                    <w:pStyle w:val="TableColumnHeading"/>
                  </w:pPr>
                  <w:r w:rsidRPr="00D82B90">
                    <w:t>WA</w:t>
                  </w:r>
                </w:p>
              </w:tc>
              <w:tc>
                <w:tcPr>
                  <w:tcW w:w="725" w:type="dxa"/>
                  <w:tcBorders>
                    <w:top w:val="single" w:sz="6" w:space="0" w:color="auto"/>
                    <w:bottom w:val="single" w:sz="6" w:space="0" w:color="auto"/>
                  </w:tcBorders>
                </w:tcPr>
                <w:p w:rsidR="00D74DB1" w:rsidRPr="00D82B90" w:rsidRDefault="00D74DB1" w:rsidP="00D74DB1">
                  <w:pPr>
                    <w:pStyle w:val="TableColumnHeading"/>
                  </w:pPr>
                  <w:r w:rsidRPr="00D82B90">
                    <w:t>SA</w:t>
                  </w:r>
                </w:p>
              </w:tc>
              <w:tc>
                <w:tcPr>
                  <w:tcW w:w="725" w:type="dxa"/>
                  <w:tcBorders>
                    <w:top w:val="single" w:sz="6" w:space="0" w:color="auto"/>
                    <w:bottom w:val="single" w:sz="6" w:space="0" w:color="auto"/>
                  </w:tcBorders>
                </w:tcPr>
                <w:p w:rsidR="00D74DB1" w:rsidRPr="00D82B90" w:rsidRDefault="00D74DB1" w:rsidP="00D74DB1">
                  <w:pPr>
                    <w:pStyle w:val="TableColumnHeading"/>
                  </w:pPr>
                  <w:proofErr w:type="spellStart"/>
                  <w:r w:rsidRPr="00D82B90">
                    <w:t>Tas</w:t>
                  </w:r>
                  <w:proofErr w:type="spellEnd"/>
                </w:p>
              </w:tc>
              <w:tc>
                <w:tcPr>
                  <w:tcW w:w="724" w:type="dxa"/>
                  <w:tcBorders>
                    <w:top w:val="single" w:sz="6" w:space="0" w:color="auto"/>
                    <w:bottom w:val="single" w:sz="6" w:space="0" w:color="auto"/>
                  </w:tcBorders>
                </w:tcPr>
                <w:p w:rsidR="00D74DB1" w:rsidRPr="00D82B90" w:rsidRDefault="00D74DB1" w:rsidP="00D74DB1">
                  <w:pPr>
                    <w:pStyle w:val="TableColumnHeading"/>
                  </w:pPr>
                  <w:r w:rsidRPr="00D82B90">
                    <w:t>ACT</w:t>
                  </w:r>
                </w:p>
              </w:tc>
              <w:tc>
                <w:tcPr>
                  <w:tcW w:w="725" w:type="dxa"/>
                  <w:tcBorders>
                    <w:top w:val="single" w:sz="6" w:space="0" w:color="auto"/>
                    <w:bottom w:val="single" w:sz="6" w:space="0" w:color="auto"/>
                  </w:tcBorders>
                </w:tcPr>
                <w:p w:rsidR="00D74DB1" w:rsidRPr="00D82B90" w:rsidRDefault="00D74DB1" w:rsidP="00D74DB1">
                  <w:pPr>
                    <w:pStyle w:val="TableColumnHeading"/>
                  </w:pPr>
                  <w:r w:rsidRPr="00D82B90">
                    <w:t>NT</w:t>
                  </w:r>
                </w:p>
              </w:tc>
              <w:tc>
                <w:tcPr>
                  <w:tcW w:w="730" w:type="dxa"/>
                  <w:tcBorders>
                    <w:top w:val="single" w:sz="6" w:space="0" w:color="auto"/>
                    <w:bottom w:val="single" w:sz="6" w:space="0" w:color="auto"/>
                  </w:tcBorders>
                </w:tcPr>
                <w:p w:rsidR="00D74DB1" w:rsidRPr="00D82B90" w:rsidRDefault="00D74DB1" w:rsidP="00D74DB1">
                  <w:pPr>
                    <w:pStyle w:val="TableColumnHeading"/>
                    <w:ind w:right="28"/>
                    <w:rPr>
                      <w:szCs w:val="18"/>
                    </w:rPr>
                  </w:pPr>
                  <w:proofErr w:type="spellStart"/>
                  <w:r w:rsidRPr="00D82B90">
                    <w:rPr>
                      <w:szCs w:val="18"/>
                    </w:rPr>
                    <w:t>Aust</w:t>
                  </w:r>
                  <w:proofErr w:type="spellEnd"/>
                  <w:r w:rsidRPr="00D82B90">
                    <w:rPr>
                      <w:szCs w:val="18"/>
                    </w:rPr>
                    <w:t xml:space="preserve"> courts</w:t>
                  </w:r>
                </w:p>
              </w:tc>
            </w:tr>
          </w:tbl>
          <w:p w:rsidR="00A8636E" w:rsidRPr="009F4923" w:rsidRDefault="00A8636E" w:rsidP="00A8636E">
            <w:pPr>
              <w:pStyle w:val="TableBodyText"/>
              <w:ind w:right="28"/>
              <w:jc w:val="left"/>
              <w:rPr>
                <w:rStyle w:val="NoteLabel"/>
              </w:rPr>
            </w:pPr>
            <w:r w:rsidRPr="00BB7A93">
              <w:rPr>
                <w:b/>
              </w:rPr>
              <w:t>Coroners’</w:t>
            </w:r>
            <w:r w:rsidR="00F43AAD" w:rsidRPr="00BB7A93">
              <w:rPr>
                <w:b/>
              </w:rPr>
              <w:t xml:space="preserve"> courts</w:t>
            </w:r>
          </w:p>
        </w:tc>
      </w:tr>
      <w:tr w:rsidR="0067781B" w:rsidRPr="00D7239B" w:rsidTr="00D74DB1">
        <w:tc>
          <w:tcPr>
            <w:tcW w:w="1699" w:type="dxa"/>
          </w:tcPr>
          <w:p w:rsidR="0067781B" w:rsidRPr="00D7239B" w:rsidRDefault="0067781B" w:rsidP="00276A4F">
            <w:pPr>
              <w:pStyle w:val="TableBodyText"/>
              <w:ind w:right="0"/>
              <w:jc w:val="left"/>
            </w:pPr>
            <w:r w:rsidRPr="00D7239B">
              <w:t>Pending caseload</w:t>
            </w:r>
          </w:p>
        </w:tc>
        <w:tc>
          <w:tcPr>
            <w:tcW w:w="566" w:type="dxa"/>
            <w:vAlign w:val="bottom"/>
          </w:tcPr>
          <w:p w:rsidR="0067781B" w:rsidRPr="00D7239B" w:rsidRDefault="0067781B" w:rsidP="00A8636E">
            <w:pPr>
              <w:pStyle w:val="TableBodyText"/>
              <w:rPr>
                <w:szCs w:val="18"/>
              </w:rPr>
            </w:pPr>
            <w:r w:rsidRPr="00D7239B">
              <w:rPr>
                <w:szCs w:val="18"/>
              </w:rPr>
              <w:t>no.</w:t>
            </w:r>
          </w:p>
        </w:tc>
        <w:tc>
          <w:tcPr>
            <w:tcW w:w="723" w:type="dxa"/>
            <w:vAlign w:val="bottom"/>
          </w:tcPr>
          <w:p w:rsidR="0067781B" w:rsidRPr="0067781B" w:rsidRDefault="0067781B" w:rsidP="0067781B">
            <w:pPr>
              <w:pStyle w:val="TableBodyText"/>
              <w:rPr>
                <w:sz w:val="18"/>
                <w:szCs w:val="18"/>
              </w:rPr>
            </w:pPr>
            <w:r w:rsidRPr="0067781B">
              <w:rPr>
                <w:sz w:val="18"/>
                <w:szCs w:val="18"/>
              </w:rPr>
              <w:t>3</w:t>
            </w:r>
            <w:r w:rsidR="000219FD">
              <w:rPr>
                <w:sz w:val="18"/>
                <w:szCs w:val="18"/>
              </w:rPr>
              <w:t xml:space="preserve"> </w:t>
            </w:r>
            <w:r w:rsidRPr="0067781B">
              <w:rPr>
                <w:sz w:val="18"/>
                <w:szCs w:val="18"/>
              </w:rPr>
              <w:t>331</w:t>
            </w:r>
          </w:p>
        </w:tc>
        <w:tc>
          <w:tcPr>
            <w:tcW w:w="724" w:type="dxa"/>
            <w:vAlign w:val="bottom"/>
          </w:tcPr>
          <w:p w:rsidR="0067781B" w:rsidRPr="0067781B" w:rsidRDefault="0067781B" w:rsidP="0067781B">
            <w:pPr>
              <w:pStyle w:val="TableBodyText"/>
              <w:rPr>
                <w:sz w:val="18"/>
                <w:szCs w:val="18"/>
              </w:rPr>
            </w:pPr>
            <w:r w:rsidRPr="0067781B">
              <w:rPr>
                <w:sz w:val="18"/>
                <w:szCs w:val="18"/>
              </w:rPr>
              <w:t>5</w:t>
            </w:r>
            <w:r w:rsidR="000219FD">
              <w:rPr>
                <w:sz w:val="18"/>
                <w:szCs w:val="18"/>
              </w:rPr>
              <w:t xml:space="preserve"> </w:t>
            </w:r>
            <w:r w:rsidRPr="0067781B">
              <w:rPr>
                <w:sz w:val="18"/>
                <w:szCs w:val="18"/>
              </w:rPr>
              <w:t>306</w:t>
            </w:r>
          </w:p>
        </w:tc>
        <w:tc>
          <w:tcPr>
            <w:tcW w:w="725" w:type="dxa"/>
            <w:vAlign w:val="bottom"/>
          </w:tcPr>
          <w:p w:rsidR="0067781B" w:rsidRPr="0067781B" w:rsidRDefault="0067781B" w:rsidP="0067781B">
            <w:pPr>
              <w:pStyle w:val="TableBodyText"/>
              <w:rPr>
                <w:sz w:val="18"/>
                <w:szCs w:val="18"/>
              </w:rPr>
            </w:pPr>
            <w:r w:rsidRPr="0067781B">
              <w:rPr>
                <w:sz w:val="18"/>
                <w:szCs w:val="18"/>
              </w:rPr>
              <w:t>2</w:t>
            </w:r>
            <w:r w:rsidR="000219FD">
              <w:rPr>
                <w:sz w:val="18"/>
                <w:szCs w:val="18"/>
              </w:rPr>
              <w:t xml:space="preserve"> </w:t>
            </w:r>
            <w:r w:rsidRPr="0067781B">
              <w:rPr>
                <w:sz w:val="18"/>
                <w:szCs w:val="18"/>
              </w:rPr>
              <w:t>069</w:t>
            </w:r>
          </w:p>
        </w:tc>
        <w:tc>
          <w:tcPr>
            <w:tcW w:w="724" w:type="dxa"/>
            <w:vAlign w:val="bottom"/>
          </w:tcPr>
          <w:p w:rsidR="0067781B" w:rsidRPr="0067781B" w:rsidRDefault="0067781B" w:rsidP="0067781B">
            <w:pPr>
              <w:pStyle w:val="TableBodyText"/>
              <w:rPr>
                <w:sz w:val="18"/>
                <w:szCs w:val="18"/>
              </w:rPr>
            </w:pPr>
            <w:r w:rsidRPr="0067781B">
              <w:rPr>
                <w:sz w:val="18"/>
                <w:szCs w:val="18"/>
              </w:rPr>
              <w:t>1</w:t>
            </w:r>
            <w:r w:rsidR="000219FD">
              <w:rPr>
                <w:sz w:val="18"/>
                <w:szCs w:val="18"/>
              </w:rPr>
              <w:t xml:space="preserve"> </w:t>
            </w:r>
            <w:r w:rsidRPr="0067781B">
              <w:rPr>
                <w:sz w:val="18"/>
                <w:szCs w:val="18"/>
              </w:rPr>
              <w:t>926</w:t>
            </w:r>
          </w:p>
        </w:tc>
        <w:tc>
          <w:tcPr>
            <w:tcW w:w="725" w:type="dxa"/>
            <w:vAlign w:val="bottom"/>
          </w:tcPr>
          <w:p w:rsidR="0067781B" w:rsidRPr="0067781B" w:rsidRDefault="0067781B" w:rsidP="0067781B">
            <w:pPr>
              <w:pStyle w:val="TableBodyText"/>
              <w:rPr>
                <w:sz w:val="18"/>
                <w:szCs w:val="18"/>
              </w:rPr>
            </w:pPr>
            <w:r w:rsidRPr="0067781B">
              <w:rPr>
                <w:sz w:val="18"/>
                <w:szCs w:val="18"/>
              </w:rPr>
              <w:t>1</w:t>
            </w:r>
            <w:r w:rsidR="000219FD">
              <w:rPr>
                <w:sz w:val="18"/>
                <w:szCs w:val="18"/>
              </w:rPr>
              <w:t xml:space="preserve"> </w:t>
            </w:r>
            <w:r w:rsidRPr="0067781B">
              <w:rPr>
                <w:sz w:val="18"/>
                <w:szCs w:val="18"/>
              </w:rPr>
              <w:t>661</w:t>
            </w:r>
          </w:p>
        </w:tc>
        <w:tc>
          <w:tcPr>
            <w:tcW w:w="725" w:type="dxa"/>
            <w:vAlign w:val="bottom"/>
          </w:tcPr>
          <w:p w:rsidR="0067781B" w:rsidRPr="0067781B" w:rsidRDefault="0067781B" w:rsidP="0067781B">
            <w:pPr>
              <w:pStyle w:val="TableBodyText"/>
              <w:rPr>
                <w:sz w:val="18"/>
                <w:szCs w:val="18"/>
              </w:rPr>
            </w:pPr>
            <w:r w:rsidRPr="0067781B">
              <w:rPr>
                <w:sz w:val="18"/>
                <w:szCs w:val="18"/>
              </w:rPr>
              <w:t>440</w:t>
            </w:r>
          </w:p>
        </w:tc>
        <w:tc>
          <w:tcPr>
            <w:tcW w:w="724" w:type="dxa"/>
            <w:vAlign w:val="bottom"/>
          </w:tcPr>
          <w:p w:rsidR="0067781B" w:rsidRPr="0067781B" w:rsidRDefault="0067781B" w:rsidP="0067781B">
            <w:pPr>
              <w:pStyle w:val="TableBodyText"/>
              <w:rPr>
                <w:sz w:val="18"/>
                <w:szCs w:val="18"/>
              </w:rPr>
            </w:pPr>
            <w:r w:rsidRPr="0067781B">
              <w:rPr>
                <w:sz w:val="18"/>
                <w:szCs w:val="18"/>
              </w:rPr>
              <w:t>234</w:t>
            </w:r>
          </w:p>
        </w:tc>
        <w:tc>
          <w:tcPr>
            <w:tcW w:w="725" w:type="dxa"/>
            <w:vAlign w:val="bottom"/>
          </w:tcPr>
          <w:p w:rsidR="0067781B" w:rsidRPr="0067781B" w:rsidRDefault="0067781B" w:rsidP="0067781B">
            <w:pPr>
              <w:pStyle w:val="TableBodyText"/>
              <w:rPr>
                <w:sz w:val="18"/>
                <w:szCs w:val="18"/>
              </w:rPr>
            </w:pPr>
            <w:r w:rsidRPr="0067781B">
              <w:rPr>
                <w:sz w:val="18"/>
                <w:szCs w:val="18"/>
              </w:rPr>
              <w:t>454</w:t>
            </w:r>
          </w:p>
        </w:tc>
        <w:tc>
          <w:tcPr>
            <w:tcW w:w="724" w:type="dxa"/>
            <w:vAlign w:val="bottom"/>
          </w:tcPr>
          <w:p w:rsidR="0067781B" w:rsidRPr="0067781B" w:rsidRDefault="0067781B" w:rsidP="0067781B">
            <w:pPr>
              <w:pStyle w:val="TableBodyText"/>
              <w:rPr>
                <w:sz w:val="18"/>
                <w:szCs w:val="18"/>
              </w:rPr>
            </w:pPr>
            <w:r w:rsidRPr="0067781B">
              <w:rPr>
                <w:sz w:val="18"/>
                <w:szCs w:val="18"/>
              </w:rPr>
              <w:t>..</w:t>
            </w:r>
          </w:p>
        </w:tc>
      </w:tr>
      <w:tr w:rsidR="0067781B" w:rsidRPr="00D7239B" w:rsidTr="00D74DB1">
        <w:tc>
          <w:tcPr>
            <w:tcW w:w="1699" w:type="dxa"/>
          </w:tcPr>
          <w:p w:rsidR="0067781B" w:rsidRPr="00D7239B" w:rsidRDefault="0067781B" w:rsidP="00A8636E">
            <w:pPr>
              <w:pStyle w:val="TableBodyText"/>
              <w:jc w:val="left"/>
              <w:rPr>
                <w:i/>
              </w:rPr>
            </w:pPr>
            <w:r w:rsidRPr="00D7239B">
              <w:rPr>
                <w:i/>
              </w:rPr>
              <w:t xml:space="preserve">cases &gt; 12 </w:t>
            </w:r>
            <w:proofErr w:type="spellStart"/>
            <w:r w:rsidRPr="00D7239B">
              <w:rPr>
                <w:i/>
              </w:rPr>
              <w:t>mths</w:t>
            </w:r>
            <w:proofErr w:type="spellEnd"/>
          </w:p>
        </w:tc>
        <w:tc>
          <w:tcPr>
            <w:tcW w:w="566" w:type="dxa"/>
            <w:vAlign w:val="bottom"/>
          </w:tcPr>
          <w:p w:rsidR="0067781B" w:rsidRPr="00D7239B" w:rsidRDefault="0067781B" w:rsidP="00A8636E">
            <w:pPr>
              <w:pStyle w:val="TableBodyText"/>
              <w:rPr>
                <w:i/>
                <w:szCs w:val="18"/>
              </w:rPr>
            </w:pPr>
            <w:r w:rsidRPr="00D7239B">
              <w:rPr>
                <w:i/>
                <w:szCs w:val="18"/>
              </w:rPr>
              <w:t>%</w:t>
            </w:r>
          </w:p>
        </w:tc>
        <w:tc>
          <w:tcPr>
            <w:tcW w:w="723" w:type="dxa"/>
            <w:vAlign w:val="bottom"/>
          </w:tcPr>
          <w:p w:rsidR="0067781B" w:rsidRPr="0067781B" w:rsidRDefault="0067781B" w:rsidP="0067781B">
            <w:pPr>
              <w:pStyle w:val="TableBodyText"/>
              <w:rPr>
                <w:iCs/>
                <w:sz w:val="18"/>
                <w:szCs w:val="18"/>
              </w:rPr>
            </w:pPr>
            <w:r w:rsidRPr="0067781B">
              <w:rPr>
                <w:iCs/>
                <w:sz w:val="18"/>
                <w:szCs w:val="18"/>
              </w:rPr>
              <w:t xml:space="preserve"> 36.7</w:t>
            </w:r>
          </w:p>
        </w:tc>
        <w:tc>
          <w:tcPr>
            <w:tcW w:w="724" w:type="dxa"/>
            <w:vAlign w:val="bottom"/>
          </w:tcPr>
          <w:p w:rsidR="0067781B" w:rsidRPr="0067781B" w:rsidRDefault="0067781B" w:rsidP="0067781B">
            <w:pPr>
              <w:pStyle w:val="TableBodyText"/>
              <w:rPr>
                <w:iCs/>
                <w:sz w:val="18"/>
                <w:szCs w:val="18"/>
              </w:rPr>
            </w:pPr>
            <w:r w:rsidRPr="0067781B">
              <w:rPr>
                <w:iCs/>
                <w:sz w:val="18"/>
                <w:szCs w:val="18"/>
              </w:rPr>
              <w:t xml:space="preserve"> 39.7</w:t>
            </w:r>
          </w:p>
        </w:tc>
        <w:tc>
          <w:tcPr>
            <w:tcW w:w="725" w:type="dxa"/>
            <w:vAlign w:val="bottom"/>
          </w:tcPr>
          <w:p w:rsidR="0067781B" w:rsidRPr="0067781B" w:rsidRDefault="0067781B" w:rsidP="0067781B">
            <w:pPr>
              <w:pStyle w:val="TableBodyText"/>
              <w:rPr>
                <w:iCs/>
                <w:sz w:val="18"/>
                <w:szCs w:val="18"/>
              </w:rPr>
            </w:pPr>
            <w:r w:rsidRPr="0067781B">
              <w:rPr>
                <w:iCs/>
                <w:sz w:val="18"/>
                <w:szCs w:val="18"/>
              </w:rPr>
              <w:t xml:space="preserve"> 26.5</w:t>
            </w:r>
          </w:p>
        </w:tc>
        <w:tc>
          <w:tcPr>
            <w:tcW w:w="724" w:type="dxa"/>
            <w:vAlign w:val="bottom"/>
          </w:tcPr>
          <w:p w:rsidR="0067781B" w:rsidRPr="0067781B" w:rsidRDefault="0067781B" w:rsidP="0067781B">
            <w:pPr>
              <w:pStyle w:val="TableBodyText"/>
              <w:rPr>
                <w:iCs/>
                <w:sz w:val="18"/>
                <w:szCs w:val="18"/>
              </w:rPr>
            </w:pPr>
            <w:r w:rsidRPr="0067781B">
              <w:rPr>
                <w:iCs/>
                <w:sz w:val="18"/>
                <w:szCs w:val="18"/>
              </w:rPr>
              <w:t xml:space="preserve"> 22.1</w:t>
            </w:r>
          </w:p>
        </w:tc>
        <w:tc>
          <w:tcPr>
            <w:tcW w:w="725" w:type="dxa"/>
            <w:vAlign w:val="bottom"/>
          </w:tcPr>
          <w:p w:rsidR="0067781B" w:rsidRPr="0067781B" w:rsidRDefault="0067781B" w:rsidP="0067781B">
            <w:pPr>
              <w:pStyle w:val="TableBodyText"/>
              <w:rPr>
                <w:iCs/>
                <w:sz w:val="18"/>
                <w:szCs w:val="18"/>
              </w:rPr>
            </w:pPr>
            <w:r w:rsidRPr="0067781B">
              <w:rPr>
                <w:iCs/>
                <w:sz w:val="18"/>
                <w:szCs w:val="18"/>
              </w:rPr>
              <w:t xml:space="preserve"> 28.0</w:t>
            </w:r>
          </w:p>
        </w:tc>
        <w:tc>
          <w:tcPr>
            <w:tcW w:w="725" w:type="dxa"/>
            <w:vAlign w:val="bottom"/>
          </w:tcPr>
          <w:p w:rsidR="0067781B" w:rsidRPr="0067781B" w:rsidRDefault="0067781B" w:rsidP="0067781B">
            <w:pPr>
              <w:pStyle w:val="TableBodyText"/>
              <w:rPr>
                <w:iCs/>
                <w:sz w:val="18"/>
                <w:szCs w:val="18"/>
              </w:rPr>
            </w:pPr>
            <w:r w:rsidRPr="0067781B">
              <w:rPr>
                <w:iCs/>
                <w:sz w:val="18"/>
                <w:szCs w:val="18"/>
              </w:rPr>
              <w:t xml:space="preserve"> 25.0</w:t>
            </w:r>
          </w:p>
        </w:tc>
        <w:tc>
          <w:tcPr>
            <w:tcW w:w="724" w:type="dxa"/>
            <w:vAlign w:val="bottom"/>
          </w:tcPr>
          <w:p w:rsidR="0067781B" w:rsidRPr="0067781B" w:rsidRDefault="0067781B" w:rsidP="0067781B">
            <w:pPr>
              <w:pStyle w:val="TableBodyText"/>
              <w:rPr>
                <w:iCs/>
                <w:sz w:val="18"/>
                <w:szCs w:val="18"/>
              </w:rPr>
            </w:pPr>
            <w:r w:rsidRPr="0067781B">
              <w:rPr>
                <w:iCs/>
                <w:sz w:val="18"/>
                <w:szCs w:val="18"/>
              </w:rPr>
              <w:t xml:space="preserve"> 36.3</w:t>
            </w:r>
          </w:p>
        </w:tc>
        <w:tc>
          <w:tcPr>
            <w:tcW w:w="725" w:type="dxa"/>
            <w:vAlign w:val="bottom"/>
          </w:tcPr>
          <w:p w:rsidR="0067781B" w:rsidRPr="0067781B" w:rsidRDefault="0067781B" w:rsidP="0067781B">
            <w:pPr>
              <w:pStyle w:val="TableBodyText"/>
              <w:rPr>
                <w:iCs/>
                <w:sz w:val="18"/>
                <w:szCs w:val="18"/>
              </w:rPr>
            </w:pPr>
            <w:r w:rsidRPr="0067781B">
              <w:rPr>
                <w:iCs/>
                <w:sz w:val="18"/>
                <w:szCs w:val="18"/>
              </w:rPr>
              <w:t xml:space="preserve"> 29.5</w:t>
            </w:r>
          </w:p>
        </w:tc>
        <w:tc>
          <w:tcPr>
            <w:tcW w:w="724" w:type="dxa"/>
            <w:vAlign w:val="bottom"/>
          </w:tcPr>
          <w:p w:rsidR="0067781B" w:rsidRPr="0067781B" w:rsidRDefault="0067781B" w:rsidP="0067781B">
            <w:pPr>
              <w:pStyle w:val="TableBodyText"/>
              <w:rPr>
                <w:iCs/>
                <w:sz w:val="18"/>
                <w:szCs w:val="18"/>
              </w:rPr>
            </w:pPr>
            <w:r w:rsidRPr="0067781B">
              <w:rPr>
                <w:iCs/>
                <w:sz w:val="18"/>
                <w:szCs w:val="18"/>
              </w:rPr>
              <w:t>..</w:t>
            </w:r>
          </w:p>
        </w:tc>
      </w:tr>
      <w:tr w:rsidR="0067781B" w:rsidRPr="00D7239B" w:rsidTr="00D74DB1">
        <w:tc>
          <w:tcPr>
            <w:tcW w:w="1699" w:type="dxa"/>
            <w:tcBorders>
              <w:bottom w:val="single" w:sz="6" w:space="0" w:color="auto"/>
            </w:tcBorders>
          </w:tcPr>
          <w:p w:rsidR="0067781B" w:rsidRPr="00D7239B" w:rsidRDefault="0067781B" w:rsidP="00A8636E">
            <w:pPr>
              <w:pStyle w:val="TableBodyText"/>
              <w:jc w:val="left"/>
              <w:rPr>
                <w:i/>
              </w:rPr>
            </w:pPr>
            <w:r w:rsidRPr="00D7239B">
              <w:rPr>
                <w:i/>
              </w:rPr>
              <w:t xml:space="preserve">cases &gt; 24 </w:t>
            </w:r>
            <w:proofErr w:type="spellStart"/>
            <w:r w:rsidRPr="00D7239B">
              <w:rPr>
                <w:i/>
              </w:rPr>
              <w:t>mths</w:t>
            </w:r>
            <w:proofErr w:type="spellEnd"/>
          </w:p>
        </w:tc>
        <w:tc>
          <w:tcPr>
            <w:tcW w:w="566" w:type="dxa"/>
            <w:tcBorders>
              <w:bottom w:val="single" w:sz="6" w:space="0" w:color="auto"/>
            </w:tcBorders>
            <w:vAlign w:val="bottom"/>
          </w:tcPr>
          <w:p w:rsidR="0067781B" w:rsidRPr="00D7239B" w:rsidRDefault="0067781B" w:rsidP="00A8636E">
            <w:pPr>
              <w:pStyle w:val="TableBodyText"/>
              <w:rPr>
                <w:i/>
                <w:szCs w:val="18"/>
              </w:rPr>
            </w:pPr>
            <w:r w:rsidRPr="00D7239B">
              <w:rPr>
                <w:i/>
                <w:szCs w:val="18"/>
              </w:rPr>
              <w:t>%</w:t>
            </w:r>
          </w:p>
        </w:tc>
        <w:tc>
          <w:tcPr>
            <w:tcW w:w="723"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22.3</w:t>
            </w:r>
          </w:p>
        </w:tc>
        <w:tc>
          <w:tcPr>
            <w:tcW w:w="724"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20.2</w:t>
            </w:r>
          </w:p>
        </w:tc>
        <w:tc>
          <w:tcPr>
            <w:tcW w:w="725"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10.2</w:t>
            </w:r>
          </w:p>
        </w:tc>
        <w:tc>
          <w:tcPr>
            <w:tcW w:w="724"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9.8</w:t>
            </w:r>
          </w:p>
        </w:tc>
        <w:tc>
          <w:tcPr>
            <w:tcW w:w="725"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10.5</w:t>
            </w:r>
          </w:p>
        </w:tc>
        <w:tc>
          <w:tcPr>
            <w:tcW w:w="725"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10.2</w:t>
            </w:r>
          </w:p>
        </w:tc>
        <w:tc>
          <w:tcPr>
            <w:tcW w:w="724"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17.1</w:t>
            </w:r>
          </w:p>
        </w:tc>
        <w:tc>
          <w:tcPr>
            <w:tcW w:w="725"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 xml:space="preserve"> 19.4</w:t>
            </w:r>
          </w:p>
        </w:tc>
        <w:tc>
          <w:tcPr>
            <w:tcW w:w="724" w:type="dxa"/>
            <w:tcBorders>
              <w:bottom w:val="single" w:sz="6" w:space="0" w:color="auto"/>
            </w:tcBorders>
            <w:vAlign w:val="bottom"/>
          </w:tcPr>
          <w:p w:rsidR="0067781B" w:rsidRPr="0067781B" w:rsidRDefault="0067781B" w:rsidP="0067781B">
            <w:pPr>
              <w:pStyle w:val="TableBodyText"/>
              <w:rPr>
                <w:iCs/>
                <w:sz w:val="18"/>
                <w:szCs w:val="18"/>
              </w:rPr>
            </w:pPr>
            <w:r w:rsidRPr="0067781B">
              <w:rPr>
                <w:iCs/>
                <w:sz w:val="18"/>
                <w:szCs w:val="18"/>
              </w:rPr>
              <w:t>..</w:t>
            </w:r>
          </w:p>
        </w:tc>
      </w:tr>
    </w:tbl>
    <w:p w:rsidR="00A8636E" w:rsidRDefault="00A8636E" w:rsidP="00997E3F">
      <w:pPr>
        <w:pStyle w:val="Note"/>
      </w:pPr>
      <w:r w:rsidRPr="00F66BA3">
        <w:rPr>
          <w:rStyle w:val="NoteLabel"/>
        </w:rPr>
        <w:t>a</w:t>
      </w:r>
      <w:r w:rsidRPr="00F66BA3">
        <w:t xml:space="preserve"> Higher refers to State and Territory </w:t>
      </w:r>
      <w:r w:rsidR="00B733DD" w:rsidRPr="00F66BA3">
        <w:t xml:space="preserve">supreme </w:t>
      </w:r>
      <w:r w:rsidRPr="00F66BA3">
        <w:t xml:space="preserve">and </w:t>
      </w:r>
      <w:r w:rsidR="00B733DD" w:rsidRPr="00F66BA3">
        <w:t>district/county c</w:t>
      </w:r>
      <w:r w:rsidR="00BC62E9" w:rsidRPr="00F66BA3">
        <w:t>ourt</w:t>
      </w:r>
      <w:r w:rsidRPr="00F66BA3">
        <w:t>s combined, and includes the Federal Court.</w:t>
      </w:r>
      <w:r w:rsidR="001C4B82" w:rsidRPr="00F66BA3">
        <w:t xml:space="preserve"> </w:t>
      </w:r>
      <w:r w:rsidR="00CD7E65" w:rsidRPr="00F66BA3">
        <w:rPr>
          <w:rStyle w:val="NoteLabel"/>
        </w:rPr>
        <w:t>b</w:t>
      </w:r>
      <w:r w:rsidRPr="00F66BA3">
        <w:rPr>
          <w:rStyle w:val="NoteLabel"/>
        </w:rPr>
        <w:t> </w:t>
      </w:r>
      <w:r w:rsidRPr="00F66BA3">
        <w:t>Non</w:t>
      </w:r>
      <w:r w:rsidRPr="00F66BA3">
        <w:noBreakHyphen/>
        <w:t>appeal matters for the Federal Court include a significant number of Native Title matters which by nature are both long and complex</w:t>
      </w:r>
      <w:r w:rsidRPr="00552C2D">
        <w:t>.</w:t>
      </w:r>
      <w:r w:rsidR="00FC1324" w:rsidRPr="00552C2D">
        <w:t xml:space="preserve"> </w:t>
      </w:r>
      <w:r w:rsidR="00CD7E65" w:rsidRPr="00552C2D">
        <w:rPr>
          <w:rStyle w:val="NoteLabel"/>
        </w:rPr>
        <w:t>c</w:t>
      </w:r>
      <w:r w:rsidR="00FC1324" w:rsidRPr="00552C2D">
        <w:t> </w:t>
      </w:r>
      <w:r w:rsidRPr="00552C2D">
        <w:t xml:space="preserve">Excludes </w:t>
      </w:r>
      <w:r w:rsidR="00B733DD" w:rsidRPr="00552C2D">
        <w:t>children’s c</w:t>
      </w:r>
      <w:r w:rsidR="00BC62E9" w:rsidRPr="00552C2D">
        <w:t>ourt</w:t>
      </w:r>
      <w:r w:rsidRPr="00552C2D">
        <w:t>s.</w:t>
      </w:r>
      <w:r w:rsidR="00080E46" w:rsidRPr="00F66BA3">
        <w:t xml:space="preserve"> </w:t>
      </w:r>
      <w:r w:rsidR="00CD7E65" w:rsidRPr="00D37BEF">
        <w:rPr>
          <w:rStyle w:val="NoteLabel"/>
        </w:rPr>
        <w:t>d</w:t>
      </w:r>
      <w:r w:rsidR="005C2319" w:rsidRPr="000A6B42">
        <w:rPr>
          <w:rStyle w:val="NoteLabel"/>
        </w:rPr>
        <w:t> </w:t>
      </w:r>
      <w:r w:rsidR="00FA1EBD" w:rsidRPr="000A6B42">
        <w:t>The Family</w:t>
      </w:r>
      <w:r w:rsidR="00FA1EBD">
        <w:t xml:space="preserve"> </w:t>
      </w:r>
      <w:r w:rsidR="00FA1EBD" w:rsidRPr="00FA1EBD">
        <w:t>C</w:t>
      </w:r>
      <w:r w:rsidR="00FA1EBD">
        <w:t>ourt of Australia</w:t>
      </w:r>
      <w:r w:rsidR="00C4199C">
        <w:t xml:space="preserve"> and the Federal </w:t>
      </w:r>
      <w:r w:rsidR="00F133CB">
        <w:t>Circuit</w:t>
      </w:r>
      <w:r w:rsidR="00C4199C">
        <w:t xml:space="preserve"> Court</w:t>
      </w:r>
      <w:r w:rsidR="00FA1EBD">
        <w:t xml:space="preserve"> </w:t>
      </w:r>
      <w:r w:rsidR="0009069B">
        <w:t xml:space="preserve">do not </w:t>
      </w:r>
      <w:r w:rsidR="00FA1EBD" w:rsidRPr="00FA1EBD">
        <w:t>deem a matter</w:t>
      </w:r>
      <w:r w:rsidR="00C4199C">
        <w:t xml:space="preserve"> as</w:t>
      </w:r>
      <w:r w:rsidR="00FA1EBD" w:rsidRPr="00FA1EBD">
        <w:t xml:space="preserve"> finalised even </w:t>
      </w:r>
      <w:r w:rsidR="00C4199C">
        <w:t>where there</w:t>
      </w:r>
      <w:r w:rsidR="00FA1EBD" w:rsidRPr="00FA1EBD">
        <w:t xml:space="preserve"> has</w:t>
      </w:r>
      <w:r w:rsidR="00C4199C">
        <w:t xml:space="preserve"> been</w:t>
      </w:r>
      <w:r w:rsidR="00FA1EBD" w:rsidRPr="00FA1EBD">
        <w:t xml:space="preserve"> no court event for at least 12</w:t>
      </w:r>
      <w:r w:rsidR="00FA1EBD">
        <w:t> </w:t>
      </w:r>
      <w:r w:rsidR="0009069B">
        <w:t xml:space="preserve"> months</w:t>
      </w:r>
      <w:r w:rsidR="00FA1EBD" w:rsidRPr="00FA1EBD">
        <w:t xml:space="preserve">. </w:t>
      </w:r>
      <w:r w:rsidR="00C4199C">
        <w:t>S</w:t>
      </w:r>
      <w:r w:rsidR="00FA1EBD" w:rsidRPr="00FA1EBD">
        <w:t>ome matters may be affected by proceedings in other courts</w:t>
      </w:r>
      <w:r w:rsidR="00C4199C">
        <w:t>, for example,</w:t>
      </w:r>
      <w:r w:rsidR="00FA1EBD" w:rsidRPr="00FA1EBD">
        <w:t xml:space="preserve"> and</w:t>
      </w:r>
      <w:r w:rsidR="00C4199C">
        <w:t xml:space="preserve"> although</w:t>
      </w:r>
      <w:r w:rsidR="00FA1EBD" w:rsidRPr="00FA1EBD">
        <w:t xml:space="preserve"> currently inactive</w:t>
      </w:r>
      <w:r w:rsidR="00C4199C">
        <w:t xml:space="preserve"> they are included in the data for this indicator</w:t>
      </w:r>
      <w:r w:rsidR="00FA1EBD" w:rsidRPr="00FA1EBD">
        <w:t>.</w:t>
      </w:r>
      <w:r w:rsidR="00644F13">
        <w:t xml:space="preserve"> The </w:t>
      </w:r>
      <w:r w:rsidR="00644F13" w:rsidRPr="00644F13">
        <w:t>more complex and entrenched Family Law disputes commence with the Family Court so a higher proportion of its cases require more lengthy and intensive case management</w:t>
      </w:r>
      <w:r w:rsidR="00A861D1">
        <w:t>.</w:t>
      </w:r>
      <w:r>
        <w:t xml:space="preserve"> </w:t>
      </w:r>
      <w:r>
        <w:rPr>
          <w:b/>
        </w:rPr>
        <w:t>.. </w:t>
      </w:r>
      <w:r w:rsidRPr="00E92ADD">
        <w:t>Not</w:t>
      </w:r>
      <w:r>
        <w:t xml:space="preserve"> applicable. </w:t>
      </w:r>
      <w:r w:rsidRPr="00BB4996">
        <w:rPr>
          <w:b/>
        </w:rPr>
        <w:t>–</w:t>
      </w:r>
      <w:r>
        <w:t> Nil or rounded to zero.</w:t>
      </w:r>
    </w:p>
    <w:p w:rsidR="00A8636E" w:rsidRPr="00D254C5" w:rsidRDefault="00A8636E" w:rsidP="00ED323A">
      <w:pPr>
        <w:pStyle w:val="Source"/>
        <w:spacing w:after="0"/>
      </w:pPr>
      <w:r>
        <w:rPr>
          <w:i/>
        </w:rPr>
        <w:t>Source</w:t>
      </w:r>
      <w:r>
        <w:t>: Australian, State and Territory court authorities and departments (unpublished); table </w:t>
      </w:r>
      <w:proofErr w:type="spellStart"/>
      <w:r>
        <w:t>7A.</w:t>
      </w:r>
      <w:r w:rsidR="002B23A5">
        <w:t>2</w:t>
      </w:r>
      <w:r w:rsidR="00C9677C">
        <w:t>1</w:t>
      </w:r>
      <w:proofErr w:type="spellEnd"/>
      <w:r>
        <w:t>.</w:t>
      </w:r>
    </w:p>
    <w:p w:rsidR="001524CA" w:rsidRDefault="001524CA" w:rsidP="001524CA">
      <w:pPr>
        <w:pStyle w:val="Heading4"/>
      </w:pPr>
      <w:r>
        <w:t>Eff</w:t>
      </w:r>
      <w:r w:rsidR="007901CE">
        <w:t>ectiveness</w:t>
      </w:r>
      <w:r w:rsidR="00505751">
        <w:t xml:space="preserve"> — </w:t>
      </w:r>
      <w:r>
        <w:t>attendance</w:t>
      </w:r>
    </w:p>
    <w:p w:rsidR="00CD00F0" w:rsidRDefault="00EE541F" w:rsidP="002E79B7">
      <w:pPr>
        <w:pStyle w:val="BodyText"/>
      </w:pPr>
      <w:r>
        <w:t>‘</w:t>
      </w:r>
      <w:r w:rsidR="00F4263F">
        <w:t>A</w:t>
      </w:r>
      <w:r>
        <w:t xml:space="preserve">ttendance’ is an indicator of governments’ </w:t>
      </w:r>
      <w:r w:rsidR="00BD54F8">
        <w:t xml:space="preserve">achievement against the objective of providing </w:t>
      </w:r>
      <w:r>
        <w:t>court services in an efficient manner</w:t>
      </w:r>
      <w:r w:rsidR="007177DA">
        <w:t xml:space="preserve"> (box</w:t>
      </w:r>
      <w:r w:rsidR="000C6105">
        <w:t> 7.1</w:t>
      </w:r>
      <w:r w:rsidR="007961CF">
        <w:t>2</w:t>
      </w:r>
      <w:r w:rsidR="007177DA">
        <w:t>)</w:t>
      </w:r>
      <w:r>
        <w:t>.</w:t>
      </w:r>
      <w:r w:rsidR="00254268">
        <w:t xml:space="preserve"> Court</w:t>
      </w:r>
      <w:r w:rsidR="00E432A0">
        <w:t xml:space="preserve"> attendances act as a proxy for input costs.</w:t>
      </w:r>
      <w:r>
        <w:t xml:space="preserve"> </w:t>
      </w:r>
      <w:r w:rsidR="00A749BE" w:rsidRPr="00D35720">
        <w:t>Attendance data can be difficult to collect. Due to system limitations, some jurisdictions supply data on listed hearings rather than actual attendances in court.</w:t>
      </w:r>
      <w:r w:rsidR="00E432A0">
        <w:t xml:space="preserve"> </w:t>
      </w:r>
    </w:p>
    <w:p w:rsidR="008A7495" w:rsidRDefault="008A749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A7495" w:rsidTr="003C700E">
        <w:tc>
          <w:tcPr>
            <w:tcW w:w="8771" w:type="dxa"/>
            <w:tcBorders>
              <w:top w:val="single" w:sz="6" w:space="0" w:color="auto"/>
              <w:bottom w:val="nil"/>
              <w:right w:val="single" w:sz="4" w:space="0" w:color="auto"/>
            </w:tcBorders>
          </w:tcPr>
          <w:p w:rsidR="008A7495" w:rsidRDefault="008A7495">
            <w:pPr>
              <w:pStyle w:val="BoxTitle"/>
            </w:pPr>
            <w:r>
              <w:rPr>
                <w:b w:val="0"/>
              </w:rPr>
              <w:t>Box 7.</w:t>
            </w:r>
            <w:r w:rsidR="00E75B12">
              <w:rPr>
                <w:b w:val="0"/>
                <w:noProof/>
              </w:rPr>
              <w:t>12</w:t>
            </w:r>
            <w:r>
              <w:tab/>
            </w:r>
            <w:r w:rsidRPr="00D35720">
              <w:t>Attendance</w:t>
            </w:r>
          </w:p>
        </w:tc>
      </w:tr>
      <w:tr w:rsidR="008A7495" w:rsidTr="003C700E">
        <w:trPr>
          <w:cantSplit/>
        </w:trPr>
        <w:tc>
          <w:tcPr>
            <w:tcW w:w="8771" w:type="dxa"/>
            <w:tcBorders>
              <w:top w:val="nil"/>
              <w:left w:val="single" w:sz="6" w:space="0" w:color="auto"/>
              <w:bottom w:val="nil"/>
              <w:right w:val="single" w:sz="4" w:space="0" w:color="auto"/>
            </w:tcBorders>
          </w:tcPr>
          <w:p w:rsidR="008A7495" w:rsidRDefault="00A81E8B" w:rsidP="002E79B7">
            <w:pPr>
              <w:pStyle w:val="Box"/>
            </w:pPr>
            <w:r>
              <w:t>‘</w:t>
            </w:r>
            <w:r w:rsidR="00F4263F">
              <w:t>A</w:t>
            </w:r>
            <w:r w:rsidR="008A7495">
              <w:t>ttendance</w:t>
            </w:r>
            <w:r>
              <w:t>’</w:t>
            </w:r>
            <w:r w:rsidR="008A7495">
              <w:t xml:space="preserve"> is </w:t>
            </w:r>
            <w:r w:rsidR="00E432A0">
              <w:t>defined</w:t>
            </w:r>
            <w:r w:rsidR="008A7495">
              <w:t xml:space="preserve"> as the average number of attendances </w:t>
            </w:r>
            <w:r w:rsidR="00E27EE9">
              <w:t>recorded (no matter when the attendance occurred) for those cases that were finalised during the year.</w:t>
            </w:r>
            <w:r w:rsidR="00E432A0">
              <w:t xml:space="preserve">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rsidR="00A749BE" w:rsidRDefault="00A749BE" w:rsidP="002E79B7">
            <w:pPr>
              <w:pStyle w:val="Box"/>
            </w:pPr>
            <w:r>
              <w:t xml:space="preserve">Fewer attendances may suggest a more efficient process. However, this should be balanced against the </w:t>
            </w:r>
            <w:r w:rsidR="0075660F">
              <w:t xml:space="preserve">likelihood </w:t>
            </w:r>
            <w:r>
              <w:t xml:space="preserve">that the number of attendances will increase if rehabilitation or diversionary programs are used, or if intensive case management is used. Both </w:t>
            </w:r>
            <w:r w:rsidR="0075660F">
              <w:t>of these paths</w:t>
            </w:r>
            <w:r>
              <w:t xml:space="preserve"> are believed to </w:t>
            </w:r>
            <w:r w:rsidR="00A81E8B">
              <w:t>improve the quality of outcomes:</w:t>
            </w:r>
            <w:r>
              <w:t xml:space="preserve"> </w:t>
            </w:r>
          </w:p>
          <w:p w:rsidR="00A749BE" w:rsidRDefault="00A749BE" w:rsidP="00A749BE">
            <w:pPr>
              <w:pStyle w:val="BoxListBullet"/>
            </w:pPr>
            <w:r>
              <w:t>rehabilitation and diversionary programs aim to provide therapeutic benefits for the offenders, and benefits of reduced recidivism for the community</w:t>
            </w:r>
          </w:p>
          <w:p w:rsidR="00A749BE" w:rsidRDefault="00A749BE" w:rsidP="00466CA4">
            <w:pPr>
              <w:pStyle w:val="BoxListBullet"/>
            </w:pPr>
            <w:r>
              <w:t>intensive case management is believed to maximise the prospects of settlement (and thereby reduce the litigant’s costs, the number of cases queuing for hearing, and the flow of work on to appellate courts)</w:t>
            </w:r>
            <w:r w:rsidR="0030027C">
              <w:t>;</w:t>
            </w:r>
            <w:r>
              <w:t xml:space="preserve"> alternatively, </w:t>
            </w:r>
            <w:r w:rsidR="0030027C">
              <w:t>it can</w:t>
            </w:r>
            <w:r>
              <w:t xml:space="preserve"> narrow the issues for trial (thus shortening trial time and also reducing costs and the queuing time for other cases waiting for hearing).</w:t>
            </w:r>
          </w:p>
          <w:p w:rsidR="00A81E8B" w:rsidRDefault="00A81E8B" w:rsidP="00A81E8B">
            <w:pPr>
              <w:pStyle w:val="BoxListBullet"/>
              <w:numPr>
                <w:ilvl w:val="0"/>
                <w:numId w:val="0"/>
              </w:numPr>
              <w:rPr>
                <w:szCs w:val="22"/>
              </w:rPr>
            </w:pPr>
            <w:r>
              <w:t>Data reported for this indicator are</w:t>
            </w:r>
            <w:r w:rsidR="00EF7555">
              <w:t>:</w:t>
            </w:r>
          </w:p>
          <w:p w:rsidR="00EF7555" w:rsidRPr="00EF7555" w:rsidRDefault="00EF7555" w:rsidP="008372EB">
            <w:pPr>
              <w:pStyle w:val="ListBullet"/>
            </w:pPr>
            <w:r>
              <w:rPr>
                <w:rFonts w:ascii="Arial" w:hAnsi="Arial" w:cs="Arial"/>
                <w:sz w:val="22"/>
                <w:szCs w:val="22"/>
              </w:rPr>
              <w:t>comparable (subject to caveats) within jurisdictions over time but are not comparable across jurisdictions</w:t>
            </w:r>
          </w:p>
          <w:p w:rsidR="00EF7555" w:rsidRPr="008372EB" w:rsidRDefault="00EC05A9" w:rsidP="008372EB">
            <w:pPr>
              <w:pStyle w:val="ListBullet"/>
              <w:rPr>
                <w:rFonts w:ascii="Arial" w:hAnsi="Arial" w:cs="Arial"/>
                <w:sz w:val="22"/>
                <w:szCs w:val="22"/>
              </w:rPr>
            </w:pPr>
            <w:r w:rsidRPr="008372EB">
              <w:rPr>
                <w:rFonts w:ascii="Arial" w:hAnsi="Arial" w:cs="Arial"/>
                <w:sz w:val="22"/>
                <w:szCs w:val="22"/>
              </w:rPr>
              <w:t>incomplete</w:t>
            </w:r>
            <w:r>
              <w:rPr>
                <w:rFonts w:ascii="Arial" w:hAnsi="Arial" w:cs="Arial"/>
                <w:sz w:val="22"/>
                <w:szCs w:val="22"/>
              </w:rPr>
              <w:t xml:space="preserve"> for the current reporting period. Required data were not available for NSW</w:t>
            </w:r>
            <w:r w:rsidR="009E7EF3">
              <w:rPr>
                <w:rFonts w:ascii="Arial" w:hAnsi="Arial" w:cs="Arial"/>
                <w:sz w:val="22"/>
                <w:szCs w:val="22"/>
              </w:rPr>
              <w:t xml:space="preserve"> for any court level or the Tasmanian Supreme Court.</w:t>
            </w:r>
          </w:p>
          <w:p w:rsidR="009D5777" w:rsidRDefault="009C2A51" w:rsidP="009C2A51">
            <w:pPr>
              <w:pStyle w:val="BoxListBullet"/>
              <w:numPr>
                <w:ilvl w:val="0"/>
                <w:numId w:val="0"/>
              </w:numPr>
            </w:pPr>
            <w:r>
              <w:rPr>
                <w:szCs w:val="22"/>
              </w:rPr>
              <w:t>Information about d</w:t>
            </w:r>
            <w:r w:rsidR="009D5777" w:rsidRPr="009D5777">
              <w:rPr>
                <w:szCs w:val="22"/>
              </w:rPr>
              <w:t xml:space="preserve">ata quality </w:t>
            </w:r>
            <w:r w:rsidR="00B06046">
              <w:rPr>
                <w:szCs w:val="22"/>
              </w:rPr>
              <w:t>for this indicator is</w:t>
            </w:r>
            <w:r w:rsidR="00B06046" w:rsidRPr="009D5777">
              <w:rPr>
                <w:szCs w:val="22"/>
              </w:rPr>
              <w:t xml:space="preserve"> at </w:t>
            </w:r>
            <w:proofErr w:type="spellStart"/>
            <w:r w:rsidR="00B06046" w:rsidRPr="004907FA">
              <w:rPr>
                <w:szCs w:val="22"/>
              </w:rPr>
              <w:t>www.pc.gov.au</w:t>
            </w:r>
            <w:proofErr w:type="spellEnd"/>
            <w:r w:rsidR="00B06046" w:rsidRPr="004907FA">
              <w:rPr>
                <w:szCs w:val="22"/>
              </w:rPr>
              <w:t>/</w:t>
            </w:r>
            <w:proofErr w:type="spellStart"/>
            <w:r w:rsidR="00B06046" w:rsidRPr="004907FA">
              <w:rPr>
                <w:szCs w:val="22"/>
              </w:rPr>
              <w:t>gsp</w:t>
            </w:r>
            <w:proofErr w:type="spellEnd"/>
            <w:r w:rsidR="00B06046" w:rsidRPr="004907FA">
              <w:rPr>
                <w:szCs w:val="22"/>
              </w:rPr>
              <w:t>/reports/</w:t>
            </w:r>
            <w:proofErr w:type="spellStart"/>
            <w:r w:rsidR="00B06046" w:rsidRPr="004907FA">
              <w:rPr>
                <w:szCs w:val="22"/>
              </w:rPr>
              <w:t>rogs</w:t>
            </w:r>
            <w:proofErr w:type="spellEnd"/>
            <w:r w:rsidR="00B06046" w:rsidRPr="004907FA">
              <w:rPr>
                <w:szCs w:val="22"/>
              </w:rPr>
              <w:t>/201</w:t>
            </w:r>
            <w:r w:rsidR="00103A25">
              <w:rPr>
                <w:szCs w:val="22"/>
              </w:rPr>
              <w:t>4</w:t>
            </w:r>
            <w:r w:rsidR="009D5777" w:rsidRPr="009D5777">
              <w:rPr>
                <w:szCs w:val="22"/>
              </w:rPr>
              <w:t>.</w:t>
            </w:r>
          </w:p>
        </w:tc>
      </w:tr>
      <w:tr w:rsidR="008A7495">
        <w:trPr>
          <w:cantSplit/>
        </w:trPr>
        <w:tc>
          <w:tcPr>
            <w:tcW w:w="8771" w:type="dxa"/>
            <w:tcBorders>
              <w:top w:val="nil"/>
              <w:left w:val="single" w:sz="6" w:space="0" w:color="auto"/>
              <w:bottom w:val="single" w:sz="6" w:space="0" w:color="auto"/>
              <w:right w:val="single" w:sz="6" w:space="0" w:color="auto"/>
            </w:tcBorders>
          </w:tcPr>
          <w:p w:rsidR="008A7495" w:rsidRDefault="008A7495">
            <w:pPr>
              <w:pStyle w:val="Box"/>
              <w:spacing w:before="0" w:line="120" w:lineRule="exact"/>
            </w:pPr>
          </w:p>
        </w:tc>
      </w:tr>
    </w:tbl>
    <w:p w:rsidR="004156F5" w:rsidRDefault="00D35720" w:rsidP="00B7140A">
      <w:pPr>
        <w:pStyle w:val="BodyText"/>
      </w:pPr>
      <w:r w:rsidRPr="00D35720">
        <w:t xml:space="preserve">Attendance indicator results </w:t>
      </w:r>
      <w:r w:rsidR="00A749BE">
        <w:t xml:space="preserve">for </w:t>
      </w:r>
      <w:r w:rsidR="00A749BE" w:rsidRPr="00D35720">
        <w:t>c</w:t>
      </w:r>
      <w:r w:rsidR="00A749BE">
        <w:t>riminal proceedings</w:t>
      </w:r>
      <w:r w:rsidR="00A749BE" w:rsidRPr="00D35720">
        <w:t xml:space="preserve"> </w:t>
      </w:r>
      <w:r w:rsidRPr="00D35720">
        <w:t xml:space="preserve">are reported in </w:t>
      </w:r>
      <w:r w:rsidR="00A76A9C">
        <w:t>table 7</w:t>
      </w:r>
      <w:r w:rsidR="00477EF3">
        <w:t>.14</w:t>
      </w:r>
      <w:r w:rsidR="00A749BE">
        <w:t>.</w:t>
      </w:r>
    </w:p>
    <w:p w:rsidR="004156F5" w:rsidRPr="00D50A5D" w:rsidRDefault="004156F5" w:rsidP="009016FD">
      <w:pPr>
        <w:pStyle w:val="TableTitle"/>
        <w:spacing w:before="240"/>
      </w:pPr>
      <w:r w:rsidRPr="00D50A5D">
        <w:rPr>
          <w:b w:val="0"/>
        </w:rPr>
        <w:t>Table 7.</w:t>
      </w:r>
      <w:r w:rsidR="00477EF3">
        <w:rPr>
          <w:b w:val="0"/>
          <w:noProof/>
        </w:rPr>
        <w:t>14</w:t>
      </w:r>
      <w:r w:rsidR="00B55BD4">
        <w:tab/>
        <w:t>Attendance</w:t>
      </w:r>
      <w:r w:rsidR="00505751" w:rsidRPr="00D50A5D">
        <w:t xml:space="preserve"> — </w:t>
      </w:r>
      <w:r w:rsidRPr="00D50A5D">
        <w:t xml:space="preserve">criminal, </w:t>
      </w:r>
      <w:r w:rsidR="00103A25">
        <w:t>2012</w:t>
      </w:r>
      <w:r w:rsidR="00493AF0">
        <w:t>-</w:t>
      </w:r>
      <w:r w:rsidR="00D12AC6">
        <w:t>1</w:t>
      </w:r>
      <w:r w:rsidR="00103A25">
        <w:t>3</w:t>
      </w:r>
    </w:p>
    <w:tbl>
      <w:tblPr>
        <w:tblW w:w="0" w:type="auto"/>
        <w:tblLayout w:type="fixed"/>
        <w:tblCellMar>
          <w:left w:w="0" w:type="dxa"/>
          <w:right w:w="0" w:type="dxa"/>
        </w:tblCellMar>
        <w:tblLook w:val="0000" w:firstRow="0" w:lastRow="0" w:firstColumn="0" w:lastColumn="0" w:noHBand="0" w:noVBand="0"/>
      </w:tblPr>
      <w:tblGrid>
        <w:gridCol w:w="2127"/>
        <w:gridCol w:w="850"/>
        <w:gridCol w:w="851"/>
        <w:gridCol w:w="850"/>
        <w:gridCol w:w="851"/>
        <w:gridCol w:w="850"/>
        <w:gridCol w:w="851"/>
        <w:gridCol w:w="850"/>
        <w:gridCol w:w="709"/>
      </w:tblGrid>
      <w:tr w:rsidR="00CC2B62" w:rsidTr="00CC2B62">
        <w:tc>
          <w:tcPr>
            <w:tcW w:w="2127" w:type="dxa"/>
            <w:tcBorders>
              <w:top w:val="single" w:sz="6" w:space="0" w:color="auto"/>
              <w:bottom w:val="single" w:sz="6" w:space="0" w:color="auto"/>
            </w:tcBorders>
          </w:tcPr>
          <w:p w:rsidR="00CC2B62" w:rsidRDefault="00CC2B62" w:rsidP="00CC2B62">
            <w:pPr>
              <w:pStyle w:val="TableColumnHeading"/>
              <w:jc w:val="left"/>
            </w:pPr>
          </w:p>
        </w:tc>
        <w:tc>
          <w:tcPr>
            <w:tcW w:w="850" w:type="dxa"/>
            <w:tcBorders>
              <w:top w:val="single" w:sz="6" w:space="0" w:color="auto"/>
              <w:bottom w:val="single" w:sz="6" w:space="0" w:color="auto"/>
            </w:tcBorders>
          </w:tcPr>
          <w:p w:rsidR="00CC2B62" w:rsidRPr="006702FC" w:rsidRDefault="00CC2B62" w:rsidP="00CC2B62">
            <w:pPr>
              <w:pStyle w:val="TableColumnHeading"/>
              <w:rPr>
                <w:rStyle w:val="NoteLabel"/>
              </w:rPr>
            </w:pPr>
            <w:r>
              <w:t>NSW</w:t>
            </w:r>
            <w:r w:rsidR="00D347E7">
              <w:rPr>
                <w:rStyle w:val="NoteLabel"/>
                <w:i w:val="0"/>
              </w:rPr>
              <w:t>a</w:t>
            </w:r>
          </w:p>
        </w:tc>
        <w:tc>
          <w:tcPr>
            <w:tcW w:w="851" w:type="dxa"/>
            <w:tcBorders>
              <w:top w:val="single" w:sz="6" w:space="0" w:color="auto"/>
              <w:bottom w:val="single" w:sz="6" w:space="0" w:color="auto"/>
            </w:tcBorders>
          </w:tcPr>
          <w:p w:rsidR="00CC2B62" w:rsidRDefault="00CC2B62" w:rsidP="00CC2B62">
            <w:pPr>
              <w:pStyle w:val="TableColumnHeading"/>
            </w:pPr>
            <w:r>
              <w:t>Vic</w:t>
            </w:r>
          </w:p>
        </w:tc>
        <w:tc>
          <w:tcPr>
            <w:tcW w:w="850" w:type="dxa"/>
            <w:tcBorders>
              <w:top w:val="single" w:sz="6" w:space="0" w:color="auto"/>
              <w:bottom w:val="single" w:sz="6" w:space="0" w:color="auto"/>
            </w:tcBorders>
          </w:tcPr>
          <w:p w:rsidR="00CC2B62" w:rsidRPr="006702FC" w:rsidRDefault="00CC2B62" w:rsidP="00CC2B62">
            <w:pPr>
              <w:pStyle w:val="TableColumnHeading"/>
              <w:rPr>
                <w:rStyle w:val="NoteLabel"/>
              </w:rPr>
            </w:pPr>
            <w:r>
              <w:t>Qld</w:t>
            </w:r>
            <w:r w:rsidR="00AE50B4">
              <w:rPr>
                <w:rStyle w:val="NoteLabel"/>
                <w:i w:val="0"/>
              </w:rPr>
              <w:t>b</w:t>
            </w:r>
          </w:p>
        </w:tc>
        <w:tc>
          <w:tcPr>
            <w:tcW w:w="851" w:type="dxa"/>
            <w:tcBorders>
              <w:top w:val="single" w:sz="6" w:space="0" w:color="auto"/>
              <w:bottom w:val="single" w:sz="6" w:space="0" w:color="auto"/>
            </w:tcBorders>
          </w:tcPr>
          <w:p w:rsidR="00CC2B62" w:rsidRPr="006702FC" w:rsidRDefault="00CC2B62" w:rsidP="00CC2B62">
            <w:pPr>
              <w:pStyle w:val="TableColumnHeading"/>
              <w:rPr>
                <w:rStyle w:val="NoteLabel"/>
              </w:rPr>
            </w:pPr>
            <w:r>
              <w:t>WA</w:t>
            </w:r>
            <w:r w:rsidR="00AE50B4">
              <w:rPr>
                <w:rStyle w:val="NoteLabel"/>
                <w:i w:val="0"/>
              </w:rPr>
              <w:t>c</w:t>
            </w:r>
          </w:p>
        </w:tc>
        <w:tc>
          <w:tcPr>
            <w:tcW w:w="850" w:type="dxa"/>
            <w:tcBorders>
              <w:top w:val="single" w:sz="6" w:space="0" w:color="auto"/>
              <w:bottom w:val="single" w:sz="6" w:space="0" w:color="auto"/>
            </w:tcBorders>
          </w:tcPr>
          <w:p w:rsidR="00CC2B62" w:rsidRDefault="00CC2B62" w:rsidP="00CC2B62">
            <w:pPr>
              <w:pStyle w:val="TableColumnHeading"/>
            </w:pPr>
            <w:r>
              <w:t>SA</w:t>
            </w:r>
          </w:p>
        </w:tc>
        <w:tc>
          <w:tcPr>
            <w:tcW w:w="851" w:type="dxa"/>
            <w:tcBorders>
              <w:top w:val="single" w:sz="6" w:space="0" w:color="auto"/>
              <w:bottom w:val="single" w:sz="6" w:space="0" w:color="auto"/>
            </w:tcBorders>
          </w:tcPr>
          <w:p w:rsidR="00CC2B62" w:rsidRDefault="00CC2B62" w:rsidP="00CC2B62">
            <w:pPr>
              <w:pStyle w:val="TableColumnHeading"/>
            </w:pPr>
            <w:proofErr w:type="spellStart"/>
            <w:r>
              <w:t>Tas</w:t>
            </w:r>
            <w:proofErr w:type="spellEnd"/>
          </w:p>
        </w:tc>
        <w:tc>
          <w:tcPr>
            <w:tcW w:w="850" w:type="dxa"/>
            <w:tcBorders>
              <w:top w:val="single" w:sz="6" w:space="0" w:color="auto"/>
              <w:bottom w:val="single" w:sz="6" w:space="0" w:color="auto"/>
            </w:tcBorders>
          </w:tcPr>
          <w:p w:rsidR="00CC2B62" w:rsidRPr="006702FC" w:rsidRDefault="00CC2B62" w:rsidP="00CC2B62">
            <w:pPr>
              <w:pStyle w:val="TableColumnHeading"/>
              <w:rPr>
                <w:rStyle w:val="NoteLabel"/>
              </w:rPr>
            </w:pPr>
            <w:r>
              <w:t>ACT</w:t>
            </w:r>
          </w:p>
        </w:tc>
        <w:tc>
          <w:tcPr>
            <w:tcW w:w="709" w:type="dxa"/>
            <w:tcBorders>
              <w:top w:val="single" w:sz="6" w:space="0" w:color="auto"/>
              <w:bottom w:val="single" w:sz="6" w:space="0" w:color="auto"/>
            </w:tcBorders>
          </w:tcPr>
          <w:p w:rsidR="00CC2B62" w:rsidRDefault="00CC2B62" w:rsidP="00CC2B62">
            <w:pPr>
              <w:pStyle w:val="TableColumnHeading"/>
              <w:ind w:right="28"/>
            </w:pPr>
            <w:r>
              <w:t>NT</w:t>
            </w:r>
          </w:p>
        </w:tc>
      </w:tr>
      <w:tr w:rsidR="00CC2B62" w:rsidRPr="00EB64F9" w:rsidTr="00CC2B62">
        <w:tc>
          <w:tcPr>
            <w:tcW w:w="8789" w:type="dxa"/>
            <w:gridSpan w:val="9"/>
          </w:tcPr>
          <w:p w:rsidR="00CC2B62" w:rsidRPr="00EB64F9" w:rsidRDefault="00CC2B62" w:rsidP="00CC2B62">
            <w:pPr>
              <w:pStyle w:val="TableBodyText"/>
              <w:ind w:right="28"/>
              <w:jc w:val="left"/>
            </w:pPr>
            <w:r w:rsidRPr="00EB64F9">
              <w:rPr>
                <w:i/>
              </w:rPr>
              <w:t>Average attendances per finalisation</w:t>
            </w:r>
          </w:p>
        </w:tc>
      </w:tr>
      <w:tr w:rsidR="003D4D27" w:rsidRPr="00D50A5D" w:rsidTr="00CC2B62">
        <w:tc>
          <w:tcPr>
            <w:tcW w:w="2127" w:type="dxa"/>
          </w:tcPr>
          <w:p w:rsidR="003D4D27" w:rsidRPr="00D50A5D" w:rsidRDefault="003D4D27" w:rsidP="00584FFF">
            <w:pPr>
              <w:pStyle w:val="TableBodyText"/>
              <w:jc w:val="left"/>
            </w:pPr>
            <w:r w:rsidRPr="00D50A5D">
              <w:t>Supreme</w:t>
            </w:r>
          </w:p>
        </w:tc>
        <w:tc>
          <w:tcPr>
            <w:tcW w:w="850" w:type="dxa"/>
            <w:vAlign w:val="bottom"/>
          </w:tcPr>
          <w:p w:rsidR="003D4D27" w:rsidRPr="00602D05" w:rsidRDefault="003D4D27" w:rsidP="00602D05">
            <w:pPr>
              <w:pStyle w:val="TableBodyText"/>
              <w:rPr>
                <w:sz w:val="18"/>
              </w:rPr>
            </w:pPr>
            <w:proofErr w:type="spellStart"/>
            <w:r w:rsidRPr="00602D05">
              <w:rPr>
                <w:sz w:val="18"/>
              </w:rPr>
              <w:t>na</w:t>
            </w:r>
            <w:proofErr w:type="spellEnd"/>
          </w:p>
        </w:tc>
        <w:tc>
          <w:tcPr>
            <w:tcW w:w="851" w:type="dxa"/>
            <w:vAlign w:val="bottom"/>
          </w:tcPr>
          <w:p w:rsidR="003D4D27" w:rsidRPr="003D4D27" w:rsidRDefault="003D4D27" w:rsidP="003D4D27">
            <w:pPr>
              <w:pStyle w:val="TableBodyText"/>
              <w:rPr>
                <w:sz w:val="18"/>
                <w:szCs w:val="18"/>
              </w:rPr>
            </w:pPr>
            <w:r w:rsidRPr="003D4D27">
              <w:rPr>
                <w:sz w:val="18"/>
                <w:szCs w:val="18"/>
              </w:rPr>
              <w:t xml:space="preserve"> 3.9</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3.0</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2.6</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3.7</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5.6</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10.1</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6.7</w:t>
            </w:r>
          </w:p>
        </w:tc>
      </w:tr>
      <w:tr w:rsidR="003D4D27" w:rsidRPr="00D50A5D" w:rsidTr="00CC2B62">
        <w:tc>
          <w:tcPr>
            <w:tcW w:w="2127" w:type="dxa"/>
          </w:tcPr>
          <w:p w:rsidR="003D4D27" w:rsidRPr="00D50A5D" w:rsidRDefault="003D4D27" w:rsidP="00584FFF">
            <w:pPr>
              <w:pStyle w:val="TableBodyText"/>
              <w:jc w:val="left"/>
            </w:pPr>
            <w:r w:rsidRPr="00D50A5D">
              <w:t>District/County</w:t>
            </w:r>
          </w:p>
        </w:tc>
        <w:tc>
          <w:tcPr>
            <w:tcW w:w="850" w:type="dxa"/>
            <w:vAlign w:val="bottom"/>
          </w:tcPr>
          <w:p w:rsidR="003D4D27" w:rsidRPr="00602D05" w:rsidRDefault="003D4D27" w:rsidP="00602D05">
            <w:pPr>
              <w:pStyle w:val="TableBodyText"/>
              <w:rPr>
                <w:sz w:val="18"/>
              </w:rPr>
            </w:pPr>
            <w:proofErr w:type="spellStart"/>
            <w:r w:rsidRPr="00602D05">
              <w:rPr>
                <w:sz w:val="18"/>
              </w:rPr>
              <w:t>na</w:t>
            </w:r>
            <w:proofErr w:type="spellEnd"/>
          </w:p>
        </w:tc>
        <w:tc>
          <w:tcPr>
            <w:tcW w:w="851" w:type="dxa"/>
            <w:vAlign w:val="bottom"/>
          </w:tcPr>
          <w:p w:rsidR="003D4D27" w:rsidRPr="003D4D27" w:rsidRDefault="003D4D27" w:rsidP="003D4D27">
            <w:pPr>
              <w:pStyle w:val="TableBodyText"/>
              <w:rPr>
                <w:sz w:val="18"/>
                <w:szCs w:val="18"/>
              </w:rPr>
            </w:pPr>
            <w:r w:rsidRPr="003D4D27">
              <w:rPr>
                <w:sz w:val="18"/>
                <w:szCs w:val="18"/>
              </w:rPr>
              <w:t xml:space="preserve"> 4.9</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3.9</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3.8</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6.3</w:t>
            </w:r>
          </w:p>
        </w:tc>
        <w:tc>
          <w:tcPr>
            <w:tcW w:w="851" w:type="dxa"/>
            <w:vAlign w:val="bottom"/>
          </w:tcPr>
          <w:p w:rsidR="003D4D27" w:rsidRPr="003D4D27" w:rsidRDefault="003D4D27" w:rsidP="003D4D27">
            <w:pPr>
              <w:pStyle w:val="TableBodyText"/>
              <w:rPr>
                <w:sz w:val="18"/>
                <w:szCs w:val="18"/>
              </w:rPr>
            </w:pPr>
            <w:r w:rsidRPr="003D4D27">
              <w:rPr>
                <w:sz w:val="18"/>
                <w:szCs w:val="18"/>
              </w:rPr>
              <w:t>..</w:t>
            </w:r>
          </w:p>
        </w:tc>
        <w:tc>
          <w:tcPr>
            <w:tcW w:w="850"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r>
      <w:tr w:rsidR="003D4D27" w:rsidRPr="00D50A5D" w:rsidTr="00CC2B62">
        <w:tc>
          <w:tcPr>
            <w:tcW w:w="2127" w:type="dxa"/>
          </w:tcPr>
          <w:p w:rsidR="003D4D27" w:rsidRPr="00D50A5D" w:rsidRDefault="003D4D27" w:rsidP="00CC2B62">
            <w:pPr>
              <w:pStyle w:val="TableBodyText"/>
              <w:jc w:val="left"/>
            </w:pPr>
            <w:r w:rsidRPr="00D50A5D">
              <w:t>Magistrates’</w:t>
            </w:r>
          </w:p>
        </w:tc>
        <w:tc>
          <w:tcPr>
            <w:tcW w:w="850" w:type="dxa"/>
            <w:vAlign w:val="bottom"/>
          </w:tcPr>
          <w:p w:rsidR="003D4D27" w:rsidRPr="00602D05" w:rsidRDefault="003D4D27" w:rsidP="00602D05">
            <w:pPr>
              <w:pStyle w:val="TableBodyText"/>
              <w:rPr>
                <w:sz w:val="18"/>
              </w:rPr>
            </w:pPr>
            <w:proofErr w:type="spellStart"/>
            <w:r w:rsidRPr="00602D05">
              <w:rPr>
                <w:sz w:val="18"/>
              </w:rPr>
              <w:t>na</w:t>
            </w:r>
            <w:proofErr w:type="spellEnd"/>
          </w:p>
        </w:tc>
        <w:tc>
          <w:tcPr>
            <w:tcW w:w="851" w:type="dxa"/>
            <w:vAlign w:val="bottom"/>
          </w:tcPr>
          <w:p w:rsidR="003D4D27" w:rsidRPr="003D4D27" w:rsidRDefault="003D4D27" w:rsidP="003D4D27">
            <w:pPr>
              <w:pStyle w:val="TableBodyText"/>
              <w:rPr>
                <w:sz w:val="18"/>
                <w:szCs w:val="18"/>
              </w:rPr>
            </w:pPr>
            <w:r w:rsidRPr="003D4D27">
              <w:rPr>
                <w:sz w:val="18"/>
                <w:szCs w:val="18"/>
              </w:rPr>
              <w:t xml:space="preserve"> 3.0</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2.4</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2.3</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3.7</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4.3</w:t>
            </w:r>
          </w:p>
        </w:tc>
        <w:tc>
          <w:tcPr>
            <w:tcW w:w="850" w:type="dxa"/>
            <w:vAlign w:val="bottom"/>
          </w:tcPr>
          <w:p w:rsidR="003D4D27" w:rsidRPr="003D4D27" w:rsidRDefault="003D4D27" w:rsidP="003D4D27">
            <w:pPr>
              <w:pStyle w:val="TableBodyText"/>
              <w:rPr>
                <w:sz w:val="18"/>
                <w:szCs w:val="18"/>
              </w:rPr>
            </w:pPr>
            <w:r w:rsidRPr="003D4D27">
              <w:rPr>
                <w:sz w:val="18"/>
                <w:szCs w:val="18"/>
              </w:rPr>
              <w:t xml:space="preserve"> 3.8</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3.0</w:t>
            </w:r>
          </w:p>
        </w:tc>
      </w:tr>
      <w:tr w:rsidR="003D4D27" w:rsidRPr="00D50A5D" w:rsidTr="00CC2B62">
        <w:tc>
          <w:tcPr>
            <w:tcW w:w="2127" w:type="dxa"/>
            <w:tcBorders>
              <w:bottom w:val="single" w:sz="4" w:space="0" w:color="auto"/>
            </w:tcBorders>
          </w:tcPr>
          <w:p w:rsidR="003D4D27" w:rsidRPr="00D50A5D" w:rsidRDefault="003D4D27" w:rsidP="00CC2B62">
            <w:pPr>
              <w:pStyle w:val="TableBodyText"/>
              <w:jc w:val="left"/>
            </w:pPr>
            <w:r w:rsidRPr="00D50A5D">
              <w:t>Children’s</w:t>
            </w:r>
          </w:p>
        </w:tc>
        <w:tc>
          <w:tcPr>
            <w:tcW w:w="850" w:type="dxa"/>
            <w:tcBorders>
              <w:bottom w:val="single" w:sz="4" w:space="0" w:color="auto"/>
            </w:tcBorders>
            <w:vAlign w:val="bottom"/>
          </w:tcPr>
          <w:p w:rsidR="003D4D27" w:rsidRPr="00602D05" w:rsidRDefault="003D4D27" w:rsidP="00602D05">
            <w:pPr>
              <w:pStyle w:val="TableBodyText"/>
              <w:rPr>
                <w:sz w:val="18"/>
              </w:rPr>
            </w:pPr>
            <w:proofErr w:type="spellStart"/>
            <w:r w:rsidRPr="00602D05">
              <w:rPr>
                <w:sz w:val="18"/>
              </w:rPr>
              <w:t>na</w:t>
            </w:r>
            <w:proofErr w:type="spellEnd"/>
          </w:p>
        </w:tc>
        <w:tc>
          <w:tcPr>
            <w:tcW w:w="851"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2.7</w:t>
            </w:r>
          </w:p>
        </w:tc>
        <w:tc>
          <w:tcPr>
            <w:tcW w:w="850"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3.0</w:t>
            </w:r>
          </w:p>
        </w:tc>
        <w:tc>
          <w:tcPr>
            <w:tcW w:w="851"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4.0</w:t>
            </w:r>
          </w:p>
        </w:tc>
        <w:tc>
          <w:tcPr>
            <w:tcW w:w="850"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4.1</w:t>
            </w:r>
          </w:p>
        </w:tc>
        <w:tc>
          <w:tcPr>
            <w:tcW w:w="851"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5.7</w:t>
            </w:r>
          </w:p>
        </w:tc>
        <w:tc>
          <w:tcPr>
            <w:tcW w:w="850"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6.8</w:t>
            </w:r>
          </w:p>
        </w:tc>
        <w:tc>
          <w:tcPr>
            <w:tcW w:w="709" w:type="dxa"/>
            <w:tcBorders>
              <w:bottom w:val="single" w:sz="4" w:space="0" w:color="auto"/>
            </w:tcBorders>
            <w:vAlign w:val="bottom"/>
          </w:tcPr>
          <w:p w:rsidR="003D4D27" w:rsidRPr="003D4D27" w:rsidRDefault="003D4D27" w:rsidP="003D4D27">
            <w:pPr>
              <w:pStyle w:val="TableBodyText"/>
              <w:rPr>
                <w:sz w:val="18"/>
                <w:szCs w:val="18"/>
              </w:rPr>
            </w:pPr>
            <w:r w:rsidRPr="003D4D27">
              <w:rPr>
                <w:sz w:val="18"/>
                <w:szCs w:val="18"/>
              </w:rPr>
              <w:t xml:space="preserve"> 4.2</w:t>
            </w:r>
          </w:p>
        </w:tc>
      </w:tr>
    </w:tbl>
    <w:p w:rsidR="004156F5" w:rsidRPr="00F40060" w:rsidRDefault="00477EF3" w:rsidP="00997E3F">
      <w:pPr>
        <w:pStyle w:val="Note"/>
        <w:spacing w:before="60"/>
      </w:pPr>
      <w:r>
        <w:rPr>
          <w:rStyle w:val="NoteLabel"/>
        </w:rPr>
        <w:t>a</w:t>
      </w:r>
      <w:r w:rsidR="00CC2B62">
        <w:rPr>
          <w:rStyle w:val="NoteLabel"/>
        </w:rPr>
        <w:t> </w:t>
      </w:r>
      <w:r w:rsidR="00CC2B62" w:rsidRPr="009E3AD1">
        <w:t xml:space="preserve">NSW data are </w:t>
      </w:r>
      <w:r w:rsidR="004F6D02" w:rsidRPr="009E3AD1">
        <w:t>n</w:t>
      </w:r>
      <w:r w:rsidR="00E92ADD" w:rsidRPr="009E3AD1">
        <w:t>ot</w:t>
      </w:r>
      <w:r w:rsidR="00985A65">
        <w:t xml:space="preserve"> </w:t>
      </w:r>
      <w:r w:rsidR="00E92ADD" w:rsidRPr="009E3AD1">
        <w:t>available</w:t>
      </w:r>
      <w:r w:rsidR="0041430E" w:rsidRPr="00AD5009">
        <w:t>.</w:t>
      </w:r>
      <w:r w:rsidR="00CC2B62" w:rsidRPr="00AD5009">
        <w:t xml:space="preserve"> </w:t>
      </w:r>
      <w:r w:rsidR="00AE50B4" w:rsidRPr="00F66BA3">
        <w:rPr>
          <w:rStyle w:val="NoteLabel"/>
        </w:rPr>
        <w:t>b</w:t>
      </w:r>
      <w:r w:rsidR="00985A65" w:rsidRPr="00F66BA3">
        <w:rPr>
          <w:rStyle w:val="NoteLabel"/>
        </w:rPr>
        <w:t> </w:t>
      </w:r>
      <w:r w:rsidR="00985A65" w:rsidRPr="00F66BA3">
        <w:t>Queensland</w:t>
      </w:r>
      <w:r w:rsidR="00985A65">
        <w:t xml:space="preserve"> attendance data do not include attendances for appeal cases. </w:t>
      </w:r>
      <w:r w:rsidR="00AE50B4">
        <w:rPr>
          <w:rStyle w:val="NoteLabel"/>
        </w:rPr>
        <w:t>c</w:t>
      </w:r>
      <w:r w:rsidR="009A7172">
        <w:rPr>
          <w:rStyle w:val="NoteLabel"/>
        </w:rPr>
        <w:t> </w:t>
      </w:r>
      <w:r w:rsidR="009A7172">
        <w:t xml:space="preserve">Attendance data for WA </w:t>
      </w:r>
      <w:r w:rsidR="0081462B">
        <w:t>are</w:t>
      </w:r>
      <w:r w:rsidR="009A7172">
        <w:t xml:space="preserve"> based on number of hearings listed, not the number which actually occurred.</w:t>
      </w:r>
      <w:r w:rsidR="00D9167E">
        <w:t xml:space="preserve"> </w:t>
      </w:r>
      <w:proofErr w:type="spellStart"/>
      <w:r w:rsidR="00E92ADD" w:rsidRPr="00F40060">
        <w:rPr>
          <w:b/>
        </w:rPr>
        <w:t>na</w:t>
      </w:r>
      <w:proofErr w:type="spellEnd"/>
      <w:r w:rsidR="00E92ADD" w:rsidRPr="00F40060">
        <w:t> Not available</w:t>
      </w:r>
      <w:r w:rsidR="00CC2B62" w:rsidRPr="00F40060">
        <w:t xml:space="preserve">. </w:t>
      </w:r>
      <w:r w:rsidR="00E92ADD" w:rsidRPr="00F40060">
        <w:rPr>
          <w:b/>
        </w:rPr>
        <w:t>..</w:t>
      </w:r>
      <w:r w:rsidR="00E92ADD" w:rsidRPr="00F40060">
        <w:t> Not applicable</w:t>
      </w:r>
      <w:r w:rsidR="00CC2B62" w:rsidRPr="00F40060">
        <w:t>.</w:t>
      </w:r>
    </w:p>
    <w:p w:rsidR="004156F5" w:rsidRPr="00A13CA9" w:rsidRDefault="004156F5" w:rsidP="00A13CA9">
      <w:pPr>
        <w:pStyle w:val="Source"/>
      </w:pPr>
      <w:r w:rsidRPr="00A13CA9">
        <w:rPr>
          <w:i/>
        </w:rPr>
        <w:t>Source</w:t>
      </w:r>
      <w:r w:rsidRPr="00A13CA9">
        <w:t xml:space="preserve">: </w:t>
      </w:r>
      <w:r w:rsidR="00CC2B62" w:rsidRPr="00A13CA9">
        <w:t xml:space="preserve">State and Territory court authorities and departments (unpublished); </w:t>
      </w:r>
      <w:r w:rsidR="00A76A9C" w:rsidRPr="00A13CA9">
        <w:t>table </w:t>
      </w:r>
      <w:proofErr w:type="spellStart"/>
      <w:r w:rsidR="00A76A9C" w:rsidRPr="00A13CA9">
        <w:t>7</w:t>
      </w:r>
      <w:r w:rsidR="00CC2B62" w:rsidRPr="00A13CA9">
        <w:t>A.</w:t>
      </w:r>
      <w:r w:rsidR="00851FF8">
        <w:t>22</w:t>
      </w:r>
      <w:proofErr w:type="spellEnd"/>
      <w:r w:rsidR="00CC2B62" w:rsidRPr="00A13CA9">
        <w:t>.</w:t>
      </w:r>
    </w:p>
    <w:p w:rsidR="00A749BE" w:rsidRDefault="00A749BE" w:rsidP="00B7140A">
      <w:pPr>
        <w:pStyle w:val="BodyText"/>
      </w:pPr>
      <w:r w:rsidRPr="00D35720">
        <w:t xml:space="preserve">Attendance indicator results </w:t>
      </w:r>
      <w:r>
        <w:t xml:space="preserve">for </w:t>
      </w:r>
      <w:r w:rsidRPr="00D35720">
        <w:t>c</w:t>
      </w:r>
      <w:r>
        <w:t>ivil proceedings</w:t>
      </w:r>
      <w:r w:rsidRPr="00D35720">
        <w:t xml:space="preserve"> are reported in </w:t>
      </w:r>
      <w:r w:rsidR="00D347E7">
        <w:t>table 7.15</w:t>
      </w:r>
      <w:r>
        <w:t>.</w:t>
      </w:r>
    </w:p>
    <w:p w:rsidR="009A766B" w:rsidRPr="007907DB" w:rsidRDefault="009A766B">
      <w:pPr>
        <w:pStyle w:val="TableTitle"/>
      </w:pPr>
      <w:r w:rsidRPr="007907DB">
        <w:rPr>
          <w:b w:val="0"/>
        </w:rPr>
        <w:lastRenderedPageBreak/>
        <w:t>Table 7.</w:t>
      </w:r>
      <w:r w:rsidR="00D347E7">
        <w:rPr>
          <w:b w:val="0"/>
          <w:noProof/>
        </w:rPr>
        <w:t>15</w:t>
      </w:r>
      <w:r w:rsidR="00B55BD4">
        <w:tab/>
        <w:t>Attendance</w:t>
      </w:r>
      <w:r w:rsidR="00505751" w:rsidRPr="007907DB">
        <w:t xml:space="preserve"> — </w:t>
      </w:r>
      <w:r w:rsidRPr="007907DB">
        <w:t xml:space="preserve">civil, </w:t>
      </w:r>
      <w:r w:rsidR="00646598">
        <w:t>2012</w:t>
      </w:r>
      <w:r w:rsidR="00D060F3">
        <w:t>-</w:t>
      </w:r>
      <w:r w:rsidR="00646598">
        <w:t>13</w:t>
      </w:r>
    </w:p>
    <w:tbl>
      <w:tblPr>
        <w:tblW w:w="8790" w:type="dxa"/>
        <w:tblLayout w:type="fixed"/>
        <w:tblCellMar>
          <w:left w:w="0" w:type="dxa"/>
          <w:right w:w="0" w:type="dxa"/>
        </w:tblCellMar>
        <w:tblLook w:val="0000" w:firstRow="0" w:lastRow="0" w:firstColumn="0" w:lastColumn="0" w:noHBand="0" w:noVBand="0"/>
      </w:tblPr>
      <w:tblGrid>
        <w:gridCol w:w="2127"/>
        <w:gridCol w:w="850"/>
        <w:gridCol w:w="709"/>
        <w:gridCol w:w="709"/>
        <w:gridCol w:w="708"/>
        <w:gridCol w:w="851"/>
        <w:gridCol w:w="709"/>
        <w:gridCol w:w="708"/>
        <w:gridCol w:w="709"/>
        <w:gridCol w:w="704"/>
        <w:gridCol w:w="6"/>
      </w:tblGrid>
      <w:tr w:rsidR="009A766B" w:rsidTr="003A1444">
        <w:tc>
          <w:tcPr>
            <w:tcW w:w="2127" w:type="dxa"/>
            <w:tcBorders>
              <w:top w:val="single" w:sz="6" w:space="0" w:color="auto"/>
              <w:bottom w:val="single" w:sz="6" w:space="0" w:color="auto"/>
            </w:tcBorders>
          </w:tcPr>
          <w:p w:rsidR="009A766B" w:rsidRDefault="009A766B" w:rsidP="009A766B">
            <w:pPr>
              <w:pStyle w:val="TableColumnHeading"/>
              <w:jc w:val="left"/>
            </w:pPr>
          </w:p>
        </w:tc>
        <w:tc>
          <w:tcPr>
            <w:tcW w:w="850" w:type="dxa"/>
            <w:tcBorders>
              <w:top w:val="single" w:sz="6" w:space="0" w:color="auto"/>
              <w:bottom w:val="single" w:sz="6" w:space="0" w:color="auto"/>
            </w:tcBorders>
          </w:tcPr>
          <w:p w:rsidR="009A766B" w:rsidRPr="00AC6D5F" w:rsidRDefault="009A766B" w:rsidP="009A766B">
            <w:pPr>
              <w:pStyle w:val="TableColumnHeading"/>
              <w:rPr>
                <w:rStyle w:val="NoteLabel"/>
              </w:rPr>
            </w:pPr>
            <w:r>
              <w:t>NSW</w:t>
            </w:r>
            <w:r w:rsidR="00013B08" w:rsidRPr="008340CB">
              <w:rPr>
                <w:rStyle w:val="NoteLabel"/>
                <w:i w:val="0"/>
              </w:rPr>
              <w:t>a</w:t>
            </w:r>
          </w:p>
        </w:tc>
        <w:tc>
          <w:tcPr>
            <w:tcW w:w="709" w:type="dxa"/>
            <w:tcBorders>
              <w:top w:val="single" w:sz="6" w:space="0" w:color="auto"/>
              <w:bottom w:val="single" w:sz="6" w:space="0" w:color="auto"/>
            </w:tcBorders>
          </w:tcPr>
          <w:p w:rsidR="009A766B" w:rsidRPr="00AC6D5F" w:rsidRDefault="009A766B" w:rsidP="009A766B">
            <w:pPr>
              <w:pStyle w:val="TableColumnHeading"/>
              <w:rPr>
                <w:rStyle w:val="NoteLabel"/>
              </w:rPr>
            </w:pPr>
            <w:r>
              <w:t>Vic</w:t>
            </w:r>
          </w:p>
        </w:tc>
        <w:tc>
          <w:tcPr>
            <w:tcW w:w="709" w:type="dxa"/>
            <w:tcBorders>
              <w:top w:val="single" w:sz="6" w:space="0" w:color="auto"/>
              <w:bottom w:val="single" w:sz="6" w:space="0" w:color="auto"/>
            </w:tcBorders>
          </w:tcPr>
          <w:p w:rsidR="009A766B" w:rsidRPr="00AC6D5F" w:rsidRDefault="009A766B" w:rsidP="009A766B">
            <w:pPr>
              <w:pStyle w:val="TableColumnHeading"/>
              <w:rPr>
                <w:rStyle w:val="NoteLabel"/>
              </w:rPr>
            </w:pPr>
            <w:r>
              <w:t>Qld</w:t>
            </w:r>
          </w:p>
        </w:tc>
        <w:tc>
          <w:tcPr>
            <w:tcW w:w="708" w:type="dxa"/>
            <w:tcBorders>
              <w:top w:val="single" w:sz="6" w:space="0" w:color="auto"/>
              <w:bottom w:val="single" w:sz="6" w:space="0" w:color="auto"/>
            </w:tcBorders>
          </w:tcPr>
          <w:p w:rsidR="009A766B" w:rsidRPr="00AC6D5F" w:rsidRDefault="009A766B" w:rsidP="009A766B">
            <w:pPr>
              <w:pStyle w:val="TableColumnHeading"/>
              <w:rPr>
                <w:rStyle w:val="NoteLabel"/>
              </w:rPr>
            </w:pPr>
            <w:r>
              <w:t>WA</w:t>
            </w:r>
          </w:p>
        </w:tc>
        <w:tc>
          <w:tcPr>
            <w:tcW w:w="851" w:type="dxa"/>
            <w:tcBorders>
              <w:top w:val="single" w:sz="6" w:space="0" w:color="auto"/>
              <w:bottom w:val="single" w:sz="6" w:space="0" w:color="auto"/>
            </w:tcBorders>
          </w:tcPr>
          <w:p w:rsidR="009A766B" w:rsidRDefault="009A766B" w:rsidP="009A766B">
            <w:pPr>
              <w:pStyle w:val="TableColumnHeading"/>
            </w:pPr>
            <w:r>
              <w:t>SA</w:t>
            </w:r>
          </w:p>
        </w:tc>
        <w:tc>
          <w:tcPr>
            <w:tcW w:w="709" w:type="dxa"/>
            <w:tcBorders>
              <w:top w:val="single" w:sz="6" w:space="0" w:color="auto"/>
              <w:bottom w:val="single" w:sz="6" w:space="0" w:color="auto"/>
            </w:tcBorders>
          </w:tcPr>
          <w:p w:rsidR="009A766B" w:rsidRDefault="009A766B" w:rsidP="009A766B">
            <w:pPr>
              <w:pStyle w:val="TableColumnHeading"/>
            </w:pPr>
            <w:proofErr w:type="spellStart"/>
            <w:r>
              <w:t>Tas</w:t>
            </w:r>
            <w:proofErr w:type="spellEnd"/>
          </w:p>
        </w:tc>
        <w:tc>
          <w:tcPr>
            <w:tcW w:w="708" w:type="dxa"/>
            <w:tcBorders>
              <w:top w:val="single" w:sz="6" w:space="0" w:color="auto"/>
              <w:bottom w:val="single" w:sz="6" w:space="0" w:color="auto"/>
            </w:tcBorders>
          </w:tcPr>
          <w:p w:rsidR="009A766B" w:rsidRPr="00AC6D5F" w:rsidRDefault="009A766B" w:rsidP="009A766B">
            <w:pPr>
              <w:pStyle w:val="TableColumnHeading"/>
              <w:rPr>
                <w:rStyle w:val="NoteLabel"/>
              </w:rPr>
            </w:pPr>
            <w:r>
              <w:t>ACT</w:t>
            </w:r>
            <w:r w:rsidR="00FA7819" w:rsidRPr="00584FFF">
              <w:rPr>
                <w:rStyle w:val="NoteLabel"/>
                <w:i w:val="0"/>
              </w:rPr>
              <w:t>b</w:t>
            </w:r>
          </w:p>
        </w:tc>
        <w:tc>
          <w:tcPr>
            <w:tcW w:w="709" w:type="dxa"/>
            <w:tcBorders>
              <w:top w:val="single" w:sz="6" w:space="0" w:color="auto"/>
              <w:bottom w:val="single" w:sz="6" w:space="0" w:color="auto"/>
            </w:tcBorders>
          </w:tcPr>
          <w:p w:rsidR="009A766B" w:rsidRDefault="009A766B" w:rsidP="009A766B">
            <w:pPr>
              <w:pStyle w:val="TableColumnHeading"/>
            </w:pPr>
            <w:r>
              <w:t>NT</w:t>
            </w:r>
          </w:p>
        </w:tc>
        <w:tc>
          <w:tcPr>
            <w:tcW w:w="710" w:type="dxa"/>
            <w:gridSpan w:val="2"/>
            <w:tcBorders>
              <w:top w:val="single" w:sz="6" w:space="0" w:color="auto"/>
              <w:bottom w:val="single" w:sz="6" w:space="0" w:color="auto"/>
            </w:tcBorders>
          </w:tcPr>
          <w:p w:rsidR="009A766B" w:rsidRDefault="009A766B" w:rsidP="009A766B">
            <w:pPr>
              <w:pStyle w:val="TableColumnHeading"/>
              <w:ind w:right="28"/>
            </w:pPr>
            <w:proofErr w:type="spellStart"/>
            <w:r>
              <w:t>Aust</w:t>
            </w:r>
            <w:proofErr w:type="spellEnd"/>
            <w:r>
              <w:t xml:space="preserve"> courts</w:t>
            </w:r>
          </w:p>
        </w:tc>
      </w:tr>
      <w:tr w:rsidR="009A766B" w:rsidTr="009A766B">
        <w:tc>
          <w:tcPr>
            <w:tcW w:w="8790" w:type="dxa"/>
            <w:gridSpan w:val="11"/>
          </w:tcPr>
          <w:p w:rsidR="009A766B" w:rsidRPr="00EE7102" w:rsidRDefault="009A766B" w:rsidP="009A766B">
            <w:pPr>
              <w:pStyle w:val="TableBodyText"/>
              <w:ind w:right="28"/>
              <w:jc w:val="left"/>
              <w:rPr>
                <w:i/>
              </w:rPr>
            </w:pPr>
            <w:r w:rsidRPr="00EE7102">
              <w:rPr>
                <w:i/>
              </w:rPr>
              <w:t>Average attendances per finalisation</w:t>
            </w:r>
          </w:p>
        </w:tc>
      </w:tr>
      <w:tr w:rsidR="003D4D27" w:rsidRPr="000B0EDE" w:rsidTr="003A1444">
        <w:tc>
          <w:tcPr>
            <w:tcW w:w="2127" w:type="dxa"/>
          </w:tcPr>
          <w:p w:rsidR="003D4D27" w:rsidRPr="000B0EDE" w:rsidRDefault="003D4D27" w:rsidP="009A766B">
            <w:pPr>
              <w:pStyle w:val="TableBodyText"/>
              <w:jc w:val="left"/>
              <w:rPr>
                <w:rStyle w:val="NoteLabel"/>
                <w:b w:val="0"/>
              </w:rPr>
            </w:pPr>
            <w:r w:rsidRPr="000B0EDE">
              <w:t>Supreme (excl</w:t>
            </w:r>
            <w:r>
              <w:t>.</w:t>
            </w:r>
            <w:r w:rsidRPr="000B0EDE">
              <w:t xml:space="preserve"> probate)</w:t>
            </w:r>
            <w:r>
              <w:rPr>
                <w:rStyle w:val="NoteLabel"/>
              </w:rPr>
              <w:t>c</w:t>
            </w:r>
            <w:r w:rsidRPr="000B0EDE">
              <w:rPr>
                <w:rStyle w:val="NoteLabel"/>
              </w:rPr>
              <w:t>/</w:t>
            </w:r>
            <w:r w:rsidRPr="000B0EDE">
              <w:t>Federal</w:t>
            </w:r>
          </w:p>
        </w:tc>
        <w:tc>
          <w:tcPr>
            <w:tcW w:w="850" w:type="dxa"/>
            <w:vAlign w:val="bottom"/>
          </w:tcPr>
          <w:p w:rsidR="003D4D27" w:rsidRPr="00F80016" w:rsidRDefault="003D4D27" w:rsidP="00F80016">
            <w:pPr>
              <w:pStyle w:val="TableBodyText"/>
              <w:rPr>
                <w:sz w:val="18"/>
              </w:rPr>
            </w:pPr>
            <w:proofErr w:type="spellStart"/>
            <w:r w:rsidRPr="00F80016">
              <w:rPr>
                <w:sz w:val="18"/>
              </w:rPr>
              <w:t>na</w:t>
            </w:r>
            <w:proofErr w:type="spellEnd"/>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1.7</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1.3</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2.1</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3.4</w:t>
            </w:r>
          </w:p>
        </w:tc>
        <w:tc>
          <w:tcPr>
            <w:tcW w:w="709" w:type="dxa"/>
            <w:vAlign w:val="bottom"/>
          </w:tcPr>
          <w:p w:rsidR="003D4D27" w:rsidRPr="003D4D27" w:rsidRDefault="003D4D27" w:rsidP="003D4D27">
            <w:pPr>
              <w:pStyle w:val="TableBodyText"/>
              <w:rPr>
                <w:sz w:val="18"/>
                <w:szCs w:val="18"/>
              </w:rPr>
            </w:pPr>
            <w:proofErr w:type="spellStart"/>
            <w:r w:rsidRPr="003D4D27">
              <w:rPr>
                <w:sz w:val="18"/>
                <w:szCs w:val="18"/>
              </w:rPr>
              <w:t>na</w:t>
            </w:r>
            <w:proofErr w:type="spellEnd"/>
          </w:p>
        </w:tc>
        <w:tc>
          <w:tcPr>
            <w:tcW w:w="708" w:type="dxa"/>
            <w:vAlign w:val="bottom"/>
          </w:tcPr>
          <w:p w:rsidR="003D4D27" w:rsidRPr="003D4D27" w:rsidRDefault="003D4D27" w:rsidP="003D4D27">
            <w:pPr>
              <w:pStyle w:val="TableBodyText"/>
              <w:rPr>
                <w:sz w:val="18"/>
                <w:szCs w:val="18"/>
              </w:rPr>
            </w:pPr>
            <w:r w:rsidRPr="003D4D27">
              <w:rPr>
                <w:sz w:val="18"/>
                <w:szCs w:val="18"/>
              </w:rPr>
              <w:t xml:space="preserve"> 4.9</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4.5</w:t>
            </w:r>
          </w:p>
        </w:tc>
        <w:tc>
          <w:tcPr>
            <w:tcW w:w="710" w:type="dxa"/>
            <w:gridSpan w:val="2"/>
            <w:vAlign w:val="bottom"/>
          </w:tcPr>
          <w:p w:rsidR="003D4D27" w:rsidRPr="003D4D27" w:rsidRDefault="003D4D27" w:rsidP="003D4D27">
            <w:pPr>
              <w:pStyle w:val="TableBodyText"/>
              <w:rPr>
                <w:sz w:val="18"/>
                <w:szCs w:val="18"/>
              </w:rPr>
            </w:pPr>
            <w:r w:rsidRPr="003D4D27">
              <w:rPr>
                <w:sz w:val="18"/>
                <w:szCs w:val="18"/>
              </w:rPr>
              <w:t xml:space="preserve"> 2.5</w:t>
            </w:r>
          </w:p>
        </w:tc>
      </w:tr>
      <w:tr w:rsidR="003D4D27" w:rsidRPr="000B0EDE" w:rsidTr="003A1444">
        <w:tc>
          <w:tcPr>
            <w:tcW w:w="2127" w:type="dxa"/>
          </w:tcPr>
          <w:p w:rsidR="003D4D27" w:rsidRPr="000B0EDE" w:rsidRDefault="003D4D27" w:rsidP="009A766B">
            <w:pPr>
              <w:pStyle w:val="TableBodyText"/>
              <w:jc w:val="left"/>
            </w:pPr>
            <w:r w:rsidRPr="000B0EDE">
              <w:t>District/county</w:t>
            </w:r>
            <w:r>
              <w:rPr>
                <w:rStyle w:val="NoteLabel"/>
              </w:rPr>
              <w:t>c</w:t>
            </w:r>
          </w:p>
        </w:tc>
        <w:tc>
          <w:tcPr>
            <w:tcW w:w="850" w:type="dxa"/>
            <w:vAlign w:val="bottom"/>
          </w:tcPr>
          <w:p w:rsidR="003D4D27" w:rsidRPr="00F80016" w:rsidRDefault="003D4D27" w:rsidP="00F80016">
            <w:pPr>
              <w:pStyle w:val="TableBodyText"/>
              <w:rPr>
                <w:sz w:val="18"/>
              </w:rPr>
            </w:pPr>
            <w:proofErr w:type="spellStart"/>
            <w:r w:rsidRPr="00F80016">
              <w:rPr>
                <w:sz w:val="18"/>
              </w:rPr>
              <w:t>na</w:t>
            </w:r>
            <w:proofErr w:type="spellEnd"/>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1.0</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0.6</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1.2</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4.1</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8"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10" w:type="dxa"/>
            <w:gridSpan w:val="2"/>
            <w:vAlign w:val="bottom"/>
          </w:tcPr>
          <w:p w:rsidR="003D4D27" w:rsidRPr="003D4D27" w:rsidRDefault="003D4D27" w:rsidP="003D4D27">
            <w:pPr>
              <w:pStyle w:val="TableBodyText"/>
              <w:rPr>
                <w:sz w:val="18"/>
                <w:szCs w:val="18"/>
              </w:rPr>
            </w:pPr>
            <w:r w:rsidRPr="003D4D27">
              <w:rPr>
                <w:sz w:val="18"/>
                <w:szCs w:val="18"/>
              </w:rPr>
              <w:t>..</w:t>
            </w:r>
          </w:p>
        </w:tc>
      </w:tr>
      <w:tr w:rsidR="003D4D27" w:rsidRPr="000B0EDE" w:rsidTr="003A1444">
        <w:tc>
          <w:tcPr>
            <w:tcW w:w="2127" w:type="dxa"/>
          </w:tcPr>
          <w:p w:rsidR="003D4D27" w:rsidRPr="000B0EDE" w:rsidRDefault="003D4D27" w:rsidP="009A766B">
            <w:pPr>
              <w:pStyle w:val="TableBodyText"/>
              <w:jc w:val="left"/>
            </w:pPr>
            <w:r>
              <w:t>Magistrates</w:t>
            </w:r>
          </w:p>
        </w:tc>
        <w:tc>
          <w:tcPr>
            <w:tcW w:w="850" w:type="dxa"/>
            <w:vAlign w:val="bottom"/>
          </w:tcPr>
          <w:p w:rsidR="003D4D27" w:rsidRPr="00F80016" w:rsidRDefault="003D4D27" w:rsidP="00F80016">
            <w:pPr>
              <w:pStyle w:val="TableBodyText"/>
              <w:rPr>
                <w:sz w:val="18"/>
              </w:rPr>
            </w:pPr>
            <w:proofErr w:type="spellStart"/>
            <w:r w:rsidRPr="00F80016">
              <w:rPr>
                <w:sz w:val="18"/>
              </w:rPr>
              <w:t>na</w:t>
            </w:r>
            <w:proofErr w:type="spellEnd"/>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1.0</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0.8</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0.8</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0.8</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0.8</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1.8</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1.0</w:t>
            </w:r>
          </w:p>
        </w:tc>
        <w:tc>
          <w:tcPr>
            <w:tcW w:w="710" w:type="dxa"/>
            <w:gridSpan w:val="2"/>
            <w:vAlign w:val="bottom"/>
          </w:tcPr>
          <w:p w:rsidR="003D4D27" w:rsidRPr="003D4D27" w:rsidRDefault="003D4D27" w:rsidP="003D4D27">
            <w:pPr>
              <w:pStyle w:val="TableBodyText"/>
              <w:rPr>
                <w:sz w:val="18"/>
                <w:szCs w:val="18"/>
              </w:rPr>
            </w:pPr>
            <w:r w:rsidRPr="003D4D27">
              <w:rPr>
                <w:sz w:val="18"/>
                <w:szCs w:val="18"/>
              </w:rPr>
              <w:t>..</w:t>
            </w:r>
          </w:p>
        </w:tc>
      </w:tr>
      <w:tr w:rsidR="003D4D27" w:rsidRPr="000B0EDE" w:rsidTr="003A1444">
        <w:tc>
          <w:tcPr>
            <w:tcW w:w="2127" w:type="dxa"/>
          </w:tcPr>
          <w:p w:rsidR="003D4D27" w:rsidRPr="000B0EDE" w:rsidRDefault="003D4D27" w:rsidP="009A766B">
            <w:pPr>
              <w:pStyle w:val="TableBodyText"/>
              <w:jc w:val="left"/>
            </w:pPr>
            <w:r w:rsidRPr="000B0EDE">
              <w:t>Children’s</w:t>
            </w:r>
            <w:r>
              <w:rPr>
                <w:rStyle w:val="NoteLabel"/>
              </w:rPr>
              <w:t>d</w:t>
            </w:r>
          </w:p>
        </w:tc>
        <w:tc>
          <w:tcPr>
            <w:tcW w:w="850" w:type="dxa"/>
            <w:vAlign w:val="bottom"/>
          </w:tcPr>
          <w:p w:rsidR="003D4D27" w:rsidRPr="00F80016" w:rsidRDefault="003D4D27" w:rsidP="00F80016">
            <w:pPr>
              <w:pStyle w:val="TableBodyText"/>
              <w:rPr>
                <w:sz w:val="18"/>
              </w:rPr>
            </w:pPr>
            <w:proofErr w:type="spellStart"/>
            <w:r w:rsidRPr="00F80016">
              <w:rPr>
                <w:sz w:val="18"/>
              </w:rPr>
              <w:t>na</w:t>
            </w:r>
            <w:proofErr w:type="spellEnd"/>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1.6</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3.5</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3.1</w:t>
            </w:r>
          </w:p>
        </w:tc>
        <w:tc>
          <w:tcPr>
            <w:tcW w:w="851" w:type="dxa"/>
            <w:vAlign w:val="bottom"/>
          </w:tcPr>
          <w:p w:rsidR="003D4D27" w:rsidRPr="003D4D27" w:rsidRDefault="003D4D27" w:rsidP="003D4D27">
            <w:pPr>
              <w:pStyle w:val="TableBodyText"/>
              <w:rPr>
                <w:sz w:val="18"/>
                <w:szCs w:val="18"/>
              </w:rPr>
            </w:pPr>
            <w:r w:rsidRPr="003D4D27">
              <w:rPr>
                <w:sz w:val="18"/>
                <w:szCs w:val="18"/>
              </w:rPr>
              <w:t xml:space="preserve"> 2.8</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11.9</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8.0</w:t>
            </w:r>
          </w:p>
        </w:tc>
        <w:tc>
          <w:tcPr>
            <w:tcW w:w="709" w:type="dxa"/>
            <w:vAlign w:val="bottom"/>
          </w:tcPr>
          <w:p w:rsidR="003D4D27" w:rsidRPr="003D4D27" w:rsidRDefault="003D4D27" w:rsidP="003D4D27">
            <w:pPr>
              <w:pStyle w:val="TableBodyText"/>
              <w:rPr>
                <w:sz w:val="18"/>
                <w:szCs w:val="18"/>
              </w:rPr>
            </w:pPr>
            <w:r w:rsidRPr="003D4D27">
              <w:rPr>
                <w:sz w:val="18"/>
                <w:szCs w:val="18"/>
              </w:rPr>
              <w:t xml:space="preserve"> 3.2</w:t>
            </w:r>
          </w:p>
        </w:tc>
        <w:tc>
          <w:tcPr>
            <w:tcW w:w="710" w:type="dxa"/>
            <w:gridSpan w:val="2"/>
            <w:vAlign w:val="bottom"/>
          </w:tcPr>
          <w:p w:rsidR="003D4D27" w:rsidRPr="003D4D27" w:rsidRDefault="003D4D27" w:rsidP="003D4D27">
            <w:pPr>
              <w:pStyle w:val="TableBodyText"/>
              <w:rPr>
                <w:sz w:val="18"/>
                <w:szCs w:val="18"/>
              </w:rPr>
            </w:pPr>
            <w:r w:rsidRPr="003D4D27">
              <w:rPr>
                <w:sz w:val="18"/>
                <w:szCs w:val="18"/>
              </w:rPr>
              <w:t>..</w:t>
            </w:r>
          </w:p>
        </w:tc>
      </w:tr>
      <w:tr w:rsidR="003D4D27" w:rsidRPr="000B0EDE" w:rsidTr="003A1444">
        <w:tc>
          <w:tcPr>
            <w:tcW w:w="2127" w:type="dxa"/>
          </w:tcPr>
          <w:p w:rsidR="003D4D27" w:rsidRPr="000B0EDE" w:rsidRDefault="003D4D27" w:rsidP="009A766B">
            <w:pPr>
              <w:pStyle w:val="TableBodyText"/>
              <w:jc w:val="left"/>
            </w:pPr>
            <w:r w:rsidRPr="000B0EDE">
              <w:t>Family</w:t>
            </w:r>
            <w:r>
              <w:rPr>
                <w:rStyle w:val="NoteLabel"/>
              </w:rPr>
              <w:t>e</w:t>
            </w:r>
          </w:p>
        </w:tc>
        <w:tc>
          <w:tcPr>
            <w:tcW w:w="850" w:type="dxa"/>
            <w:vAlign w:val="bottom"/>
          </w:tcPr>
          <w:p w:rsidR="003D4D27" w:rsidRPr="00F80016" w:rsidRDefault="003D4D27" w:rsidP="00F80016">
            <w:pPr>
              <w:pStyle w:val="TableBodyText"/>
              <w:rPr>
                <w:sz w:val="18"/>
              </w:rPr>
            </w:pPr>
            <w:r w:rsidRPr="00F80016">
              <w:rPr>
                <w:sz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8" w:type="dxa"/>
            <w:vAlign w:val="bottom"/>
          </w:tcPr>
          <w:p w:rsidR="003D4D27" w:rsidRPr="003D4D27" w:rsidRDefault="003D4D27" w:rsidP="003D4D27">
            <w:pPr>
              <w:pStyle w:val="TableBodyText"/>
              <w:rPr>
                <w:sz w:val="18"/>
                <w:szCs w:val="18"/>
              </w:rPr>
            </w:pPr>
            <w:r w:rsidRPr="003D4D27">
              <w:rPr>
                <w:sz w:val="18"/>
                <w:szCs w:val="18"/>
              </w:rPr>
              <w:t xml:space="preserve"> 1.8</w:t>
            </w:r>
          </w:p>
        </w:tc>
        <w:tc>
          <w:tcPr>
            <w:tcW w:w="851"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8"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10" w:type="dxa"/>
            <w:gridSpan w:val="2"/>
            <w:vAlign w:val="bottom"/>
          </w:tcPr>
          <w:p w:rsidR="003D4D27" w:rsidRPr="003D4D27" w:rsidRDefault="003D4D27" w:rsidP="003D4D27">
            <w:pPr>
              <w:pStyle w:val="TableBodyText"/>
              <w:rPr>
                <w:sz w:val="18"/>
                <w:szCs w:val="18"/>
              </w:rPr>
            </w:pPr>
            <w:r w:rsidRPr="003D4D27">
              <w:rPr>
                <w:sz w:val="18"/>
                <w:szCs w:val="18"/>
              </w:rPr>
              <w:t xml:space="preserve"> 2.4</w:t>
            </w:r>
          </w:p>
        </w:tc>
      </w:tr>
      <w:tr w:rsidR="003D4D27" w:rsidRPr="000B0EDE" w:rsidTr="003A1444">
        <w:tc>
          <w:tcPr>
            <w:tcW w:w="2127" w:type="dxa"/>
          </w:tcPr>
          <w:p w:rsidR="003D4D27" w:rsidRPr="000B0EDE" w:rsidRDefault="003D4D27" w:rsidP="00477DAA">
            <w:pPr>
              <w:pStyle w:val="TableBodyText"/>
              <w:jc w:val="left"/>
              <w:rPr>
                <w:rStyle w:val="NoteLabel"/>
              </w:rPr>
            </w:pPr>
            <w:r w:rsidRPr="000B0EDE">
              <w:t xml:space="preserve">Federal </w:t>
            </w:r>
            <w:r>
              <w:t>Circuit</w:t>
            </w:r>
          </w:p>
        </w:tc>
        <w:tc>
          <w:tcPr>
            <w:tcW w:w="850" w:type="dxa"/>
            <w:vAlign w:val="bottom"/>
          </w:tcPr>
          <w:p w:rsidR="003D4D27" w:rsidRPr="00F80016" w:rsidRDefault="003D4D27" w:rsidP="00F80016">
            <w:pPr>
              <w:pStyle w:val="TableBodyText"/>
              <w:rPr>
                <w:sz w:val="18"/>
              </w:rPr>
            </w:pPr>
            <w:r w:rsidRPr="00F80016">
              <w:rPr>
                <w:sz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8" w:type="dxa"/>
            <w:vAlign w:val="bottom"/>
          </w:tcPr>
          <w:p w:rsidR="003D4D27" w:rsidRPr="003D4D27" w:rsidRDefault="003D4D27" w:rsidP="003D4D27">
            <w:pPr>
              <w:pStyle w:val="TableBodyText"/>
              <w:rPr>
                <w:sz w:val="18"/>
                <w:szCs w:val="18"/>
              </w:rPr>
            </w:pPr>
            <w:r w:rsidRPr="003D4D27">
              <w:rPr>
                <w:sz w:val="18"/>
                <w:szCs w:val="18"/>
              </w:rPr>
              <w:t>..</w:t>
            </w:r>
          </w:p>
        </w:tc>
        <w:tc>
          <w:tcPr>
            <w:tcW w:w="851"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08" w:type="dxa"/>
            <w:vAlign w:val="bottom"/>
          </w:tcPr>
          <w:p w:rsidR="003D4D27" w:rsidRPr="003D4D27" w:rsidRDefault="003D4D27" w:rsidP="003D4D27">
            <w:pPr>
              <w:pStyle w:val="TableBodyText"/>
              <w:rPr>
                <w:sz w:val="18"/>
                <w:szCs w:val="18"/>
              </w:rPr>
            </w:pPr>
            <w:r w:rsidRPr="003D4D27">
              <w:rPr>
                <w:sz w:val="18"/>
                <w:szCs w:val="18"/>
              </w:rPr>
              <w:t>..</w:t>
            </w:r>
          </w:p>
        </w:tc>
        <w:tc>
          <w:tcPr>
            <w:tcW w:w="709" w:type="dxa"/>
            <w:vAlign w:val="bottom"/>
          </w:tcPr>
          <w:p w:rsidR="003D4D27" w:rsidRPr="003D4D27" w:rsidRDefault="003D4D27" w:rsidP="003D4D27">
            <w:pPr>
              <w:pStyle w:val="TableBodyText"/>
              <w:rPr>
                <w:sz w:val="18"/>
                <w:szCs w:val="18"/>
              </w:rPr>
            </w:pPr>
            <w:r w:rsidRPr="003D4D27">
              <w:rPr>
                <w:sz w:val="18"/>
                <w:szCs w:val="18"/>
              </w:rPr>
              <w:t>..</w:t>
            </w:r>
          </w:p>
        </w:tc>
        <w:tc>
          <w:tcPr>
            <w:tcW w:w="710" w:type="dxa"/>
            <w:gridSpan w:val="2"/>
            <w:vAlign w:val="bottom"/>
          </w:tcPr>
          <w:p w:rsidR="003D4D27" w:rsidRPr="003D4D27" w:rsidRDefault="003D4D27" w:rsidP="003D4D27">
            <w:pPr>
              <w:pStyle w:val="TableBodyText"/>
              <w:rPr>
                <w:sz w:val="18"/>
                <w:szCs w:val="18"/>
              </w:rPr>
            </w:pPr>
            <w:r w:rsidRPr="003D4D27">
              <w:rPr>
                <w:sz w:val="18"/>
                <w:szCs w:val="18"/>
              </w:rPr>
              <w:t xml:space="preserve"> 2.0</w:t>
            </w:r>
          </w:p>
        </w:tc>
      </w:tr>
      <w:tr w:rsidR="003D4D27" w:rsidRPr="003D4D27" w:rsidTr="003A1444">
        <w:trPr>
          <w:gridAfter w:val="1"/>
          <w:wAfter w:w="6" w:type="dxa"/>
        </w:trPr>
        <w:tc>
          <w:tcPr>
            <w:tcW w:w="2127" w:type="dxa"/>
            <w:tcBorders>
              <w:bottom w:val="single" w:sz="6" w:space="0" w:color="auto"/>
            </w:tcBorders>
          </w:tcPr>
          <w:p w:rsidR="003D4D27" w:rsidRPr="000B0EDE" w:rsidRDefault="003D4D27" w:rsidP="009A766B">
            <w:pPr>
              <w:pStyle w:val="TableBodyText"/>
              <w:jc w:val="left"/>
            </w:pPr>
            <w:r w:rsidRPr="000B0EDE">
              <w:t>Coroners’ courts</w:t>
            </w:r>
          </w:p>
        </w:tc>
        <w:tc>
          <w:tcPr>
            <w:tcW w:w="850" w:type="dxa"/>
            <w:tcBorders>
              <w:bottom w:val="single" w:sz="6" w:space="0" w:color="auto"/>
            </w:tcBorders>
            <w:vAlign w:val="bottom"/>
          </w:tcPr>
          <w:p w:rsidR="003D4D27" w:rsidRPr="00F80016" w:rsidRDefault="003D4D27" w:rsidP="00F80016">
            <w:pPr>
              <w:pStyle w:val="TableBodyText"/>
              <w:rPr>
                <w:sz w:val="18"/>
              </w:rPr>
            </w:pPr>
            <w:proofErr w:type="spellStart"/>
            <w:r w:rsidRPr="00F80016">
              <w:rPr>
                <w:sz w:val="18"/>
              </w:rPr>
              <w:t>na</w:t>
            </w:r>
            <w:proofErr w:type="spellEnd"/>
          </w:p>
        </w:tc>
        <w:tc>
          <w:tcPr>
            <w:tcW w:w="709"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1.0</w:t>
            </w:r>
          </w:p>
        </w:tc>
        <w:tc>
          <w:tcPr>
            <w:tcW w:w="709"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3.6</w:t>
            </w:r>
          </w:p>
        </w:tc>
        <w:tc>
          <w:tcPr>
            <w:tcW w:w="708"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4.6</w:t>
            </w:r>
          </w:p>
        </w:tc>
        <w:tc>
          <w:tcPr>
            <w:tcW w:w="851"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1.5</w:t>
            </w:r>
          </w:p>
        </w:tc>
        <w:tc>
          <w:tcPr>
            <w:tcW w:w="709"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1.0</w:t>
            </w:r>
          </w:p>
        </w:tc>
        <w:tc>
          <w:tcPr>
            <w:tcW w:w="708"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5.8</w:t>
            </w:r>
          </w:p>
        </w:tc>
        <w:tc>
          <w:tcPr>
            <w:tcW w:w="709"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 xml:space="preserve"> 1.0</w:t>
            </w:r>
          </w:p>
        </w:tc>
        <w:tc>
          <w:tcPr>
            <w:tcW w:w="704" w:type="dxa"/>
            <w:tcBorders>
              <w:bottom w:val="single" w:sz="6" w:space="0" w:color="auto"/>
            </w:tcBorders>
            <w:vAlign w:val="bottom"/>
          </w:tcPr>
          <w:p w:rsidR="003D4D27" w:rsidRPr="003D4D27" w:rsidRDefault="003D4D27" w:rsidP="003D4D27">
            <w:pPr>
              <w:pStyle w:val="TableBodyText"/>
              <w:rPr>
                <w:sz w:val="18"/>
                <w:szCs w:val="18"/>
              </w:rPr>
            </w:pPr>
            <w:r w:rsidRPr="003D4D27">
              <w:rPr>
                <w:sz w:val="18"/>
                <w:szCs w:val="18"/>
              </w:rPr>
              <w:t>..</w:t>
            </w:r>
          </w:p>
        </w:tc>
      </w:tr>
    </w:tbl>
    <w:p w:rsidR="009A766B" w:rsidRDefault="007C5E6A" w:rsidP="00997E3F">
      <w:pPr>
        <w:pStyle w:val="Note"/>
      </w:pPr>
      <w:r>
        <w:rPr>
          <w:rStyle w:val="NoteLabel"/>
        </w:rPr>
        <w:t>a</w:t>
      </w:r>
      <w:r w:rsidR="00D40F22">
        <w:t> </w:t>
      </w:r>
      <w:r w:rsidR="00013B08">
        <w:t xml:space="preserve">NSW data are not available. </w:t>
      </w:r>
      <w:r w:rsidR="00013B08">
        <w:rPr>
          <w:rStyle w:val="NoteLabel"/>
        </w:rPr>
        <w:t>b</w:t>
      </w:r>
      <w:r w:rsidR="00013B08">
        <w:t> </w:t>
      </w:r>
      <w:r w:rsidR="00FA7819">
        <w:rPr>
          <w:rFonts w:cs="Arial"/>
        </w:rPr>
        <w:t>A</w:t>
      </w:r>
      <w:r w:rsidR="00FA7819" w:rsidRPr="00703C17">
        <w:rPr>
          <w:rFonts w:cs="Arial"/>
        </w:rPr>
        <w:t>CT data are based on all listings for a case, including return of subpoenas, settlement and case management conferences. Multiple attendances are counted for a single event</w:t>
      </w:r>
      <w:r w:rsidR="00FA7819">
        <w:rPr>
          <w:rFonts w:cs="Arial"/>
        </w:rPr>
        <w:t xml:space="preserve">. </w:t>
      </w:r>
      <w:r w:rsidR="00FA7819" w:rsidRPr="00F66BA3">
        <w:rPr>
          <w:rStyle w:val="NoteLabel"/>
        </w:rPr>
        <w:t>c</w:t>
      </w:r>
      <w:r w:rsidR="00FA7819" w:rsidRPr="00F66BA3">
        <w:t> </w:t>
      </w:r>
      <w:r w:rsidR="006A775A" w:rsidRPr="00F66BA3">
        <w:t>Queensland</w:t>
      </w:r>
      <w:r w:rsidR="00B26F26" w:rsidRPr="00F66BA3">
        <w:t>’s supreme and district c</w:t>
      </w:r>
      <w:r w:rsidR="006A775A" w:rsidRPr="00F66BA3">
        <w:t>ourt</w:t>
      </w:r>
      <w:r w:rsidR="00B26F26" w:rsidRPr="00F66BA3">
        <w:t>s</w:t>
      </w:r>
      <w:r w:rsidR="006A775A" w:rsidRPr="00F66BA3">
        <w:t xml:space="preserve"> data </w:t>
      </w:r>
      <w:r w:rsidR="00CA1EA1" w:rsidRPr="00F66BA3">
        <w:t>diverge from the national counting rules as follows: (</w:t>
      </w:r>
      <w:proofErr w:type="spellStart"/>
      <w:r w:rsidR="00CA1EA1" w:rsidRPr="00F66BA3">
        <w:t>i</w:t>
      </w:r>
      <w:proofErr w:type="spellEnd"/>
      <w:r w:rsidR="00CA1EA1" w:rsidRPr="00F66BA3">
        <w:t>)</w:t>
      </w:r>
      <w:r w:rsidR="002F1064" w:rsidRPr="00F66BA3">
        <w:t> </w:t>
      </w:r>
      <w:r w:rsidR="00CA1EA1" w:rsidRPr="00F66BA3">
        <w:t>multiple attendances are counted for multi-day court events (such as multi-day trials); (ii) case-managed court events are not included in the data</w:t>
      </w:r>
      <w:r w:rsidR="002762A3" w:rsidRPr="00F66BA3">
        <w:t>; and (i</w:t>
      </w:r>
      <w:r w:rsidR="00C8177A" w:rsidRPr="00F66BA3">
        <w:t>ii</w:t>
      </w:r>
      <w:r w:rsidR="002762A3" w:rsidRPr="00F66BA3">
        <w:t>) attendances for appeal cases</w:t>
      </w:r>
      <w:r w:rsidR="00305111" w:rsidRPr="00F66BA3">
        <w:t xml:space="preserve"> are not included</w:t>
      </w:r>
      <w:r w:rsidR="006A775A" w:rsidRPr="00F66BA3">
        <w:t>.</w:t>
      </w:r>
      <w:r w:rsidR="00CA1EA1" w:rsidRPr="00F66BA3">
        <w:t xml:space="preserve"> </w:t>
      </w:r>
      <w:r w:rsidR="000221A3" w:rsidRPr="00F66BA3">
        <w:rPr>
          <w:rStyle w:val="NoteLabel"/>
        </w:rPr>
        <w:t>d</w:t>
      </w:r>
      <w:r w:rsidR="009A766B" w:rsidRPr="00F66BA3">
        <w:rPr>
          <w:rStyle w:val="NoteLabel"/>
        </w:rPr>
        <w:t> </w:t>
      </w:r>
      <w:r w:rsidR="0041430E" w:rsidRPr="00F66BA3">
        <w:t>Queensland</w:t>
      </w:r>
      <w:r w:rsidR="0041430E" w:rsidRPr="00EE799C">
        <w:t xml:space="preserve"> </w:t>
      </w:r>
      <w:r w:rsidR="0041430E" w:rsidRPr="0041430E">
        <w:t>Children</w:t>
      </w:r>
      <w:r w:rsidR="0041430E">
        <w:t>’</w:t>
      </w:r>
      <w:r w:rsidR="00241DEA">
        <w:t>s Court data are</w:t>
      </w:r>
      <w:r w:rsidR="0041430E" w:rsidRPr="0041430E">
        <w:t xml:space="preserve"> based on a count of cases, not the number of children involved </w:t>
      </w:r>
      <w:r w:rsidR="0041430E">
        <w:t>in the care and protection case</w:t>
      </w:r>
      <w:r w:rsidR="009A766B">
        <w:t xml:space="preserve">. </w:t>
      </w:r>
      <w:r w:rsidR="000221A3">
        <w:rPr>
          <w:rStyle w:val="NoteLabel"/>
        </w:rPr>
        <w:t>e</w:t>
      </w:r>
      <w:r w:rsidR="009A766B">
        <w:rPr>
          <w:rStyle w:val="NoteLabel"/>
        </w:rPr>
        <w:t> </w:t>
      </w:r>
      <w:r w:rsidR="00B839AA" w:rsidRPr="00B839AA">
        <w:t>Family Court of Australia data include all c</w:t>
      </w:r>
      <w:r w:rsidR="00B5783F">
        <w:t>onference events that may have</w:t>
      </w:r>
      <w:r w:rsidR="00B839AA" w:rsidRPr="00B839AA">
        <w:t xml:space="preserve"> binding order</w:t>
      </w:r>
      <w:r w:rsidR="00B5783F">
        <w:t>s</w:t>
      </w:r>
      <w:r w:rsidR="00B839AA" w:rsidRPr="00B839AA">
        <w:t xml:space="preserve"> made</w:t>
      </w:r>
      <w:r w:rsidR="003D57F9">
        <w:t>.</w:t>
      </w:r>
      <w:r w:rsidR="002F1064">
        <w:t xml:space="preserve"> Data</w:t>
      </w:r>
      <w:r w:rsidR="00B839AA" w:rsidRPr="00B839AA">
        <w:t xml:space="preserve"> also contain</w:t>
      </w:r>
      <w:r w:rsidR="003D57F9">
        <w:t xml:space="preserve"> events that </w:t>
      </w:r>
      <w:r w:rsidR="00B839AA" w:rsidRPr="00B839AA">
        <w:t xml:space="preserve">may not require </w:t>
      </w:r>
      <w:r w:rsidR="00B5783F">
        <w:t xml:space="preserve">the </w:t>
      </w:r>
      <w:r w:rsidR="00B839AA" w:rsidRPr="00B839AA">
        <w:t>attendance of parties</w:t>
      </w:r>
      <w:r w:rsidR="003D57F9">
        <w:t xml:space="preserve"> (such as divorce hearings)</w:t>
      </w:r>
      <w:r w:rsidR="00B839AA" w:rsidRPr="00B839AA">
        <w:t xml:space="preserve">, </w:t>
      </w:r>
      <w:r w:rsidR="00B5783F">
        <w:t>however these</w:t>
      </w:r>
      <w:r w:rsidR="00B839AA" w:rsidRPr="00B839AA">
        <w:t xml:space="preserve"> are included as they form part of the </w:t>
      </w:r>
      <w:proofErr w:type="spellStart"/>
      <w:r w:rsidR="00B839AA" w:rsidRPr="00B839AA">
        <w:t>lodgment</w:t>
      </w:r>
      <w:proofErr w:type="spellEnd"/>
      <w:r w:rsidR="00B839AA" w:rsidRPr="00B839AA">
        <w:t xml:space="preserve"> and finalisation da</w:t>
      </w:r>
      <w:r w:rsidR="008340CB">
        <w:t>ta</w:t>
      </w:r>
      <w:r w:rsidR="00AC09DB" w:rsidRPr="00AC09DB">
        <w:t>.</w:t>
      </w:r>
      <w:r w:rsidR="009A766B">
        <w:t xml:space="preserve"> </w:t>
      </w:r>
      <w:proofErr w:type="spellStart"/>
      <w:r w:rsidR="00E92ADD">
        <w:rPr>
          <w:b/>
        </w:rPr>
        <w:t>na</w:t>
      </w:r>
      <w:proofErr w:type="spellEnd"/>
      <w:r w:rsidR="00E92ADD">
        <w:rPr>
          <w:b/>
        </w:rPr>
        <w:t> </w:t>
      </w:r>
      <w:r w:rsidR="00E92ADD" w:rsidRPr="00E92ADD">
        <w:t>Not available</w:t>
      </w:r>
      <w:r w:rsidR="009A766B">
        <w:t xml:space="preserve">. </w:t>
      </w:r>
      <w:r w:rsidR="00E92ADD">
        <w:rPr>
          <w:b/>
        </w:rPr>
        <w:t>.. </w:t>
      </w:r>
      <w:r w:rsidR="00E92ADD" w:rsidRPr="00E92ADD">
        <w:t>Not</w:t>
      </w:r>
      <w:r w:rsidR="00E92ADD">
        <w:t> applicable</w:t>
      </w:r>
      <w:r w:rsidR="009A766B">
        <w:t>.</w:t>
      </w:r>
    </w:p>
    <w:p w:rsidR="009A766B" w:rsidRDefault="009A766B" w:rsidP="009A766B">
      <w:pPr>
        <w:pStyle w:val="Source"/>
      </w:pPr>
      <w:r>
        <w:rPr>
          <w:i/>
        </w:rPr>
        <w:t>Source</w:t>
      </w:r>
      <w:r>
        <w:t xml:space="preserve">: Australian, State and Territory court authorities and departments (unpublished); </w:t>
      </w:r>
      <w:r w:rsidR="00A76A9C">
        <w:t>table </w:t>
      </w:r>
      <w:proofErr w:type="spellStart"/>
      <w:r w:rsidR="00A76A9C">
        <w:t>7</w:t>
      </w:r>
      <w:r>
        <w:t>A.</w:t>
      </w:r>
      <w:r w:rsidR="00851FF8">
        <w:t>22</w:t>
      </w:r>
      <w:proofErr w:type="spellEnd"/>
      <w:r>
        <w:t>.</w:t>
      </w:r>
    </w:p>
    <w:p w:rsidR="00A749BE" w:rsidRDefault="00A749BE" w:rsidP="00A749BE">
      <w:pPr>
        <w:pStyle w:val="BodyText"/>
      </w:pPr>
      <w:r w:rsidRPr="009A766B">
        <w:t>In the context of the attendance indicator, it is important to note that Alternative Dispute Reso</w:t>
      </w:r>
      <w:r w:rsidR="00603C81">
        <w:t>lution (</w:t>
      </w:r>
      <w:proofErr w:type="spellStart"/>
      <w:r w:rsidR="00603C81">
        <w:t>ADR</w:t>
      </w:r>
      <w:proofErr w:type="spellEnd"/>
      <w:r w:rsidR="00603C81">
        <w:t>) can resolve some types of</w:t>
      </w:r>
      <w:r w:rsidRPr="009A766B">
        <w:t xml:space="preserve"> matters out of court and thereby reduce the need for judicial hearings. Accordingly, differences between and within states and territories in the availability and use of </w:t>
      </w:r>
      <w:proofErr w:type="spellStart"/>
      <w:r w:rsidRPr="009A766B">
        <w:t>ADR</w:t>
      </w:r>
      <w:proofErr w:type="spellEnd"/>
      <w:r w:rsidRPr="009A766B">
        <w:t xml:space="preserve"> can affect the comparability of the attendance indicator.</w:t>
      </w:r>
    </w:p>
    <w:p w:rsidR="00923134" w:rsidRDefault="00923134" w:rsidP="00923134">
      <w:pPr>
        <w:pStyle w:val="Heading4"/>
      </w:pPr>
      <w:r>
        <w:t>Efficiency</w:t>
      </w:r>
      <w:r w:rsidR="00505751">
        <w:t xml:space="preserve"> — </w:t>
      </w:r>
      <w:r>
        <w:t xml:space="preserve">clearance </w:t>
      </w:r>
      <w:r w:rsidR="005F087E">
        <w:t>indicator</w:t>
      </w:r>
    </w:p>
    <w:p w:rsidR="009A766B" w:rsidRDefault="00B31DB2" w:rsidP="002E79B7">
      <w:pPr>
        <w:pStyle w:val="BodyText"/>
      </w:pPr>
      <w:r>
        <w:t>‘</w:t>
      </w:r>
      <w:r w:rsidR="009408B1">
        <w:t>C</w:t>
      </w:r>
      <w:r w:rsidR="00923134">
        <w:t>learance</w:t>
      </w:r>
      <w:r>
        <w:t xml:space="preserve">’ </w:t>
      </w:r>
      <w:r w:rsidRPr="00F66BA3">
        <w:t>is an indicator</w:t>
      </w:r>
      <w:r>
        <w:t xml:space="preserve"> of governments’ </w:t>
      </w:r>
      <w:r w:rsidR="005F087E">
        <w:t xml:space="preserve">achievement against the </w:t>
      </w:r>
      <w:r>
        <w:t xml:space="preserve">objective </w:t>
      </w:r>
      <w:r w:rsidR="005F087E">
        <w:t>of</w:t>
      </w:r>
      <w:r>
        <w:t xml:space="preserve"> provid</w:t>
      </w:r>
      <w:r w:rsidR="005F087E">
        <w:t>ing</w:t>
      </w:r>
      <w:r>
        <w:t xml:space="preserve"> court services in an efficient manner</w:t>
      </w:r>
      <w:r w:rsidR="00923134">
        <w:t xml:space="preserve"> (</w:t>
      </w:r>
      <w:r w:rsidR="00A76A9C">
        <w:t>box 7</w:t>
      </w:r>
      <w:r w:rsidR="00923134">
        <w:t xml:space="preserve">.13). </w:t>
      </w:r>
    </w:p>
    <w:p w:rsidR="00923134" w:rsidRPr="00205BCF" w:rsidRDefault="0092313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23134">
        <w:tc>
          <w:tcPr>
            <w:tcW w:w="8771" w:type="dxa"/>
            <w:tcBorders>
              <w:top w:val="single" w:sz="6" w:space="0" w:color="auto"/>
              <w:bottom w:val="nil"/>
            </w:tcBorders>
          </w:tcPr>
          <w:p w:rsidR="00923134" w:rsidRPr="00923134" w:rsidRDefault="00EA1007">
            <w:pPr>
              <w:pStyle w:val="BoxTitle"/>
            </w:pPr>
            <w:r>
              <w:rPr>
                <w:b w:val="0"/>
              </w:rPr>
              <w:t>Box 7.</w:t>
            </w:r>
            <w:r w:rsidR="00E75B12">
              <w:rPr>
                <w:b w:val="0"/>
                <w:noProof/>
              </w:rPr>
              <w:t>13</w:t>
            </w:r>
            <w:r>
              <w:tab/>
            </w:r>
            <w:r w:rsidRPr="00923134">
              <w:t>Clearance</w:t>
            </w:r>
          </w:p>
        </w:tc>
      </w:tr>
      <w:tr w:rsidR="00923134">
        <w:trPr>
          <w:cantSplit/>
        </w:trPr>
        <w:tc>
          <w:tcPr>
            <w:tcW w:w="8771" w:type="dxa"/>
            <w:tcBorders>
              <w:top w:val="nil"/>
              <w:left w:val="single" w:sz="6" w:space="0" w:color="auto"/>
              <w:bottom w:val="nil"/>
              <w:right w:val="single" w:sz="6" w:space="0" w:color="auto"/>
            </w:tcBorders>
          </w:tcPr>
          <w:p w:rsidR="005F087E" w:rsidRDefault="00551FBF" w:rsidP="002E79B7">
            <w:pPr>
              <w:pStyle w:val="Box"/>
            </w:pPr>
            <w:r>
              <w:t>‘</w:t>
            </w:r>
            <w:r w:rsidR="009408B1">
              <w:t>C</w:t>
            </w:r>
            <w:r w:rsidR="00EA1007">
              <w:t xml:space="preserve">learance’ </w:t>
            </w:r>
            <w:r>
              <w:t>is measured</w:t>
            </w:r>
            <w:r w:rsidR="00A749BE">
              <w:t xml:space="preserve"> by dividing the number of finali</w:t>
            </w:r>
            <w:r w:rsidR="00D4621E">
              <w:t>sations in the reporting period</w:t>
            </w:r>
            <w:r w:rsidR="00A749BE">
              <w:t xml:space="preserve"> by the number of </w:t>
            </w:r>
            <w:proofErr w:type="spellStart"/>
            <w:r w:rsidR="00A749BE">
              <w:t>lodgments</w:t>
            </w:r>
            <w:proofErr w:type="spellEnd"/>
            <w:r w:rsidR="00A749BE">
              <w:t xml:space="preserve"> in the same period. The result is multiplied by 100 to convert to a percentage.</w:t>
            </w:r>
            <w:r w:rsidR="00D4621E">
              <w:t xml:space="preserve"> </w:t>
            </w:r>
            <w:r w:rsidR="005F087E">
              <w:t xml:space="preserve">It shows whether the volume of case finalisations has matched the number of case </w:t>
            </w:r>
            <w:proofErr w:type="spellStart"/>
            <w:r w:rsidR="005F087E">
              <w:t>lodgments</w:t>
            </w:r>
            <w:proofErr w:type="spellEnd"/>
            <w:r w:rsidR="005F087E">
              <w:t xml:space="preserve"> during the reporting period. It indicates whether a court’s pending caseload would have increased or decreased over that period.</w:t>
            </w:r>
          </w:p>
          <w:p w:rsidR="00923134" w:rsidRDefault="00923134" w:rsidP="00923134">
            <w:pPr>
              <w:pStyle w:val="Box"/>
            </w:pPr>
            <w:r>
              <w:t>The following can assist in interpretation of this indicator:</w:t>
            </w:r>
          </w:p>
          <w:p w:rsidR="00923134" w:rsidRDefault="00923134" w:rsidP="00923134">
            <w:pPr>
              <w:pStyle w:val="BoxListBullet"/>
            </w:pPr>
            <w:r>
              <w:t xml:space="preserve">a figure of 100 </w:t>
            </w:r>
            <w:r w:rsidR="00A76A9C">
              <w:t>per cent</w:t>
            </w:r>
            <w:r>
              <w:t xml:space="preserve"> indicates that, during the reporting period, the court finalised as many cases as were lodged, and the pending caseload </w:t>
            </w:r>
            <w:r w:rsidR="002A3DE5">
              <w:t>should be similar to the pending caseload</w:t>
            </w:r>
            <w:r>
              <w:t xml:space="preserve"> 12</w:t>
            </w:r>
            <w:r w:rsidR="00A45E98">
              <w:t> </w:t>
            </w:r>
            <w:r>
              <w:t>months earlier</w:t>
            </w:r>
          </w:p>
          <w:p w:rsidR="00923134" w:rsidRDefault="00923134" w:rsidP="00923134">
            <w:pPr>
              <w:pStyle w:val="BoxListBullet"/>
            </w:pPr>
            <w:r>
              <w:t xml:space="preserve">a figure greater than 100 </w:t>
            </w:r>
            <w:r w:rsidR="00A76A9C">
              <w:t>per cent</w:t>
            </w:r>
            <w:r>
              <w:t xml:space="preserve"> indicates that, during the reporting period, the court finalised more cases than were lodged, and the pending caseload </w:t>
            </w:r>
            <w:r w:rsidR="002A3DE5">
              <w:t>should have</w:t>
            </w:r>
            <w:r>
              <w:t xml:space="preserve"> decreased</w:t>
            </w:r>
          </w:p>
          <w:p w:rsidR="00923134" w:rsidRDefault="00923134" w:rsidP="00923134">
            <w:pPr>
              <w:pStyle w:val="BoxListBullet"/>
            </w:pPr>
            <w:r>
              <w:t xml:space="preserve">a figure less than 100 </w:t>
            </w:r>
            <w:r w:rsidR="00A76A9C">
              <w:t>per cent</w:t>
            </w:r>
            <w:r>
              <w:t xml:space="preserve"> indicates that, during the reporting period, the court finalised fewer cases than were lodged, and the pending caseload </w:t>
            </w:r>
            <w:r w:rsidR="002A3DE5">
              <w:t xml:space="preserve">should have </w:t>
            </w:r>
            <w:r>
              <w:t>increased.</w:t>
            </w:r>
          </w:p>
          <w:p w:rsidR="00086771" w:rsidRDefault="00086771" w:rsidP="002E79B7">
            <w:pPr>
              <w:pStyle w:val="Box"/>
            </w:pPr>
            <w:r>
              <w:t xml:space="preserve">The clearance indicator should be interpreted alongside </w:t>
            </w:r>
            <w:proofErr w:type="spellStart"/>
            <w:r>
              <w:t>lodgment</w:t>
            </w:r>
            <w:proofErr w:type="spellEnd"/>
            <w:r>
              <w:t xml:space="preserve"> and finalisation data, and the backlog indicator reported earlier in this chapter. Trends over time should also be considered.</w:t>
            </w:r>
          </w:p>
          <w:p w:rsidR="00923134" w:rsidRDefault="00923134" w:rsidP="00923134">
            <w:pPr>
              <w:pStyle w:val="Box"/>
            </w:pPr>
            <w:r>
              <w:t xml:space="preserve">The clearance </w:t>
            </w:r>
            <w:r w:rsidR="00086771">
              <w:t>indicator</w:t>
            </w:r>
            <w:r>
              <w:t xml:space="preserve"> can be affected by external factors (such as those causing changes in </w:t>
            </w:r>
            <w:proofErr w:type="spellStart"/>
            <w:r>
              <w:t>lodgment</w:t>
            </w:r>
            <w:proofErr w:type="spellEnd"/>
            <w:r>
              <w:t xml:space="preserve"> rates), as well as by changes in a court’s case management practices.</w:t>
            </w:r>
          </w:p>
          <w:p w:rsidR="004413B6" w:rsidRDefault="004413B6" w:rsidP="004413B6">
            <w:pPr>
              <w:pStyle w:val="Box"/>
            </w:pPr>
            <w:r>
              <w:t>Data reported for this indicator are:</w:t>
            </w:r>
          </w:p>
          <w:p w:rsidR="004413B6" w:rsidRDefault="004413B6" w:rsidP="004413B6">
            <w:pPr>
              <w:pStyle w:val="ListBullet"/>
              <w:rPr>
                <w:rFonts w:ascii="Arial" w:hAnsi="Arial" w:cs="Arial"/>
                <w:sz w:val="22"/>
                <w:szCs w:val="22"/>
              </w:rPr>
            </w:pPr>
            <w:r w:rsidRPr="00CE0563">
              <w:rPr>
                <w:rFonts w:ascii="Arial" w:hAnsi="Arial" w:cs="Arial"/>
                <w:sz w:val="22"/>
                <w:szCs w:val="22"/>
              </w:rPr>
              <w:t>comparable (subject to caveats) across jurisdictions and over time</w:t>
            </w:r>
          </w:p>
          <w:p w:rsidR="004413B6" w:rsidRPr="004F32AA" w:rsidRDefault="004413B6" w:rsidP="004413B6">
            <w:pPr>
              <w:pStyle w:val="ListBullet"/>
              <w:rPr>
                <w:rFonts w:ascii="Arial" w:hAnsi="Arial" w:cs="Arial"/>
                <w:sz w:val="22"/>
                <w:szCs w:val="22"/>
              </w:rPr>
            </w:pPr>
            <w:r w:rsidRPr="004F32AA">
              <w:rPr>
                <w:rFonts w:ascii="Arial" w:hAnsi="Arial" w:cs="Arial"/>
                <w:sz w:val="22"/>
                <w:szCs w:val="22"/>
              </w:rPr>
              <w:t>complete for the current reporting period (subject to caveats). All required 2012</w:t>
            </w:r>
            <w:r w:rsidR="00205BCF">
              <w:rPr>
                <w:rFonts w:ascii="Arial" w:hAnsi="Arial" w:cs="Arial"/>
                <w:sz w:val="22"/>
                <w:szCs w:val="22"/>
              </w:rPr>
              <w:noBreakHyphen/>
            </w:r>
            <w:r w:rsidRPr="004F32AA">
              <w:rPr>
                <w:rFonts w:ascii="Arial" w:hAnsi="Arial" w:cs="Arial"/>
                <w:sz w:val="22"/>
                <w:szCs w:val="22"/>
              </w:rPr>
              <w:t>13 data are available for all jurisdictions</w:t>
            </w:r>
            <w:r>
              <w:rPr>
                <w:rFonts w:ascii="Arial" w:hAnsi="Arial" w:cs="Arial"/>
                <w:sz w:val="22"/>
                <w:szCs w:val="22"/>
              </w:rPr>
              <w:t>.</w:t>
            </w:r>
          </w:p>
          <w:p w:rsidR="009D5777" w:rsidRPr="009D5777" w:rsidRDefault="009C2A51" w:rsidP="009C2A51">
            <w:pPr>
              <w:pStyle w:val="Box"/>
              <w:rPr>
                <w:szCs w:val="22"/>
              </w:rPr>
            </w:pPr>
            <w:r>
              <w:rPr>
                <w:szCs w:val="22"/>
              </w:rPr>
              <w:t>Information about d</w:t>
            </w:r>
            <w:r w:rsidR="00A87DCF" w:rsidRPr="009D5777">
              <w:rPr>
                <w:szCs w:val="22"/>
              </w:rPr>
              <w:t xml:space="preserve">ata quality </w:t>
            </w:r>
            <w:r w:rsidR="00A87DCF">
              <w:rPr>
                <w:szCs w:val="22"/>
              </w:rPr>
              <w:t>for this indicator is</w:t>
            </w:r>
            <w:r w:rsidR="00A87DCF" w:rsidRPr="009D5777">
              <w:rPr>
                <w:szCs w:val="22"/>
              </w:rPr>
              <w:t xml:space="preserve"> at </w:t>
            </w:r>
            <w:proofErr w:type="spellStart"/>
            <w:r w:rsidR="003E07DA" w:rsidRPr="004C526F">
              <w:rPr>
                <w:szCs w:val="22"/>
              </w:rPr>
              <w:t>www.pc.gov.au</w:t>
            </w:r>
            <w:proofErr w:type="spellEnd"/>
            <w:r w:rsidR="003E07DA" w:rsidRPr="004C526F">
              <w:rPr>
                <w:szCs w:val="22"/>
              </w:rPr>
              <w:t>/</w:t>
            </w:r>
            <w:r w:rsidR="003E07DA">
              <w:rPr>
                <w:szCs w:val="22"/>
              </w:rPr>
              <w:t xml:space="preserve"> </w:t>
            </w:r>
            <w:proofErr w:type="spellStart"/>
            <w:r w:rsidR="00A87DCF" w:rsidRPr="00990B51">
              <w:rPr>
                <w:szCs w:val="22"/>
              </w:rPr>
              <w:t>gsp</w:t>
            </w:r>
            <w:proofErr w:type="spellEnd"/>
            <w:r w:rsidR="00A87DCF" w:rsidRPr="00990B51">
              <w:rPr>
                <w:szCs w:val="22"/>
              </w:rPr>
              <w:t>/reports/</w:t>
            </w:r>
            <w:proofErr w:type="spellStart"/>
            <w:r w:rsidR="00A87DCF" w:rsidRPr="00990B51">
              <w:rPr>
                <w:szCs w:val="22"/>
              </w:rPr>
              <w:t>rogs</w:t>
            </w:r>
            <w:proofErr w:type="spellEnd"/>
            <w:r w:rsidR="00A87DCF" w:rsidRPr="00990B51">
              <w:rPr>
                <w:szCs w:val="22"/>
              </w:rPr>
              <w:t>/201</w:t>
            </w:r>
            <w:r w:rsidR="00200AD2">
              <w:rPr>
                <w:szCs w:val="22"/>
              </w:rPr>
              <w:t>4</w:t>
            </w:r>
            <w:r>
              <w:rPr>
                <w:szCs w:val="22"/>
              </w:rPr>
              <w:t>.</w:t>
            </w:r>
          </w:p>
        </w:tc>
      </w:tr>
      <w:tr w:rsidR="00923134">
        <w:trPr>
          <w:cantSplit/>
        </w:trPr>
        <w:tc>
          <w:tcPr>
            <w:tcW w:w="8771" w:type="dxa"/>
            <w:tcBorders>
              <w:top w:val="nil"/>
              <w:left w:val="single" w:sz="6" w:space="0" w:color="auto"/>
              <w:bottom w:val="single" w:sz="6" w:space="0" w:color="auto"/>
              <w:right w:val="single" w:sz="6" w:space="0" w:color="auto"/>
            </w:tcBorders>
          </w:tcPr>
          <w:p w:rsidR="00923134" w:rsidRDefault="00923134">
            <w:pPr>
              <w:pStyle w:val="Box"/>
              <w:spacing w:before="0" w:line="120" w:lineRule="exact"/>
            </w:pPr>
          </w:p>
        </w:tc>
      </w:tr>
      <w:tr w:rsidR="00923134">
        <w:tc>
          <w:tcPr>
            <w:tcW w:w="8771" w:type="dxa"/>
            <w:tcBorders>
              <w:top w:val="nil"/>
              <w:left w:val="nil"/>
              <w:bottom w:val="nil"/>
              <w:right w:val="nil"/>
            </w:tcBorders>
          </w:tcPr>
          <w:p w:rsidR="00923134" w:rsidRDefault="00923134">
            <w:pPr>
              <w:pStyle w:val="Box"/>
              <w:keepNext w:val="0"/>
              <w:spacing w:before="60" w:after="60" w:line="80" w:lineRule="exact"/>
              <w:rPr>
                <w:b/>
                <w:color w:val="FF00FF"/>
                <w:sz w:val="14"/>
              </w:rPr>
            </w:pPr>
          </w:p>
        </w:tc>
      </w:tr>
    </w:tbl>
    <w:p w:rsidR="000D7795" w:rsidRDefault="008A7495" w:rsidP="008A7495">
      <w:pPr>
        <w:pStyle w:val="BodyText"/>
        <w:rPr>
          <w:rStyle w:val="DraftingNote"/>
          <w:b w:val="0"/>
          <w:color w:val="auto"/>
          <w:sz w:val="26"/>
          <w:u w:val="none"/>
        </w:rPr>
      </w:pPr>
      <w:proofErr w:type="spellStart"/>
      <w:r>
        <w:t>Lodgments</w:t>
      </w:r>
      <w:proofErr w:type="spellEnd"/>
      <w:r>
        <w:t xml:space="preserve"> are a reflection of demand for court services. </w:t>
      </w:r>
      <w:proofErr w:type="spellStart"/>
      <w:r w:rsidR="00FB04F3">
        <w:t>L</w:t>
      </w:r>
      <w:r>
        <w:t>odgments</w:t>
      </w:r>
      <w:proofErr w:type="spellEnd"/>
      <w:r>
        <w:t xml:space="preserve"> need not equal finalisations in any given year becau</w:t>
      </w:r>
      <w:r w:rsidR="00302574">
        <w:t>se not all matters lodged in a given</w:t>
      </w:r>
      <w:r>
        <w:t xml:space="preserve"> year will be finalised in the same year. Consequently, results for this indicator need to be interpreted </w:t>
      </w:r>
      <w:r w:rsidR="007F7268">
        <w:t xml:space="preserve">within the context of </w:t>
      </w:r>
      <w:r>
        <w:t>changes in</w:t>
      </w:r>
      <w:r w:rsidR="007F7268">
        <w:t xml:space="preserve"> the volumes of</w:t>
      </w:r>
      <w:r>
        <w:t xml:space="preserve"> </w:t>
      </w:r>
      <w:proofErr w:type="spellStart"/>
      <w:r>
        <w:t>lodgment</w:t>
      </w:r>
      <w:r w:rsidR="007F7268">
        <w:t>s</w:t>
      </w:r>
      <w:proofErr w:type="spellEnd"/>
      <w:r>
        <w:t>, finalisation</w:t>
      </w:r>
      <w:r w:rsidR="007F7268">
        <w:t>s</w:t>
      </w:r>
      <w:r>
        <w:t xml:space="preserve"> and pending </w:t>
      </w:r>
      <w:r w:rsidR="007F7268">
        <w:t>caseloads over time</w:t>
      </w:r>
      <w:r>
        <w:t>.</w:t>
      </w:r>
      <w:r w:rsidR="0081462B">
        <w:rPr>
          <w:rStyle w:val="DraftingNote"/>
          <w:b w:val="0"/>
          <w:color w:val="auto"/>
          <w:sz w:val="26"/>
          <w:u w:val="none"/>
        </w:rPr>
        <w:t xml:space="preserve"> </w:t>
      </w:r>
      <w:r w:rsidR="00FB04F3">
        <w:rPr>
          <w:rStyle w:val="DraftingNote"/>
          <w:b w:val="0"/>
          <w:color w:val="auto"/>
          <w:sz w:val="26"/>
          <w:u w:val="none"/>
        </w:rPr>
        <w:t>C</w:t>
      </w:r>
      <w:r w:rsidR="000D7795" w:rsidRPr="007907DB">
        <w:rPr>
          <w:rStyle w:val="DraftingNote"/>
          <w:b w:val="0"/>
          <w:color w:val="auto"/>
          <w:sz w:val="26"/>
          <w:u w:val="none"/>
        </w:rPr>
        <w:t xml:space="preserve">learance </w:t>
      </w:r>
      <w:r w:rsidR="009275E1">
        <w:rPr>
          <w:rStyle w:val="DraftingNote"/>
          <w:b w:val="0"/>
          <w:color w:val="auto"/>
          <w:sz w:val="26"/>
          <w:u w:val="none"/>
        </w:rPr>
        <w:t>indicator</w:t>
      </w:r>
      <w:r w:rsidR="000D7795" w:rsidRPr="007907DB">
        <w:rPr>
          <w:rStyle w:val="DraftingNote"/>
          <w:b w:val="0"/>
          <w:color w:val="auto"/>
          <w:sz w:val="26"/>
          <w:u w:val="none"/>
        </w:rPr>
        <w:t xml:space="preserve"> data in </w:t>
      </w:r>
      <w:r w:rsidR="003B65EF">
        <w:rPr>
          <w:rStyle w:val="DraftingNote"/>
          <w:b w:val="0"/>
          <w:color w:val="auto"/>
          <w:sz w:val="26"/>
          <w:u w:val="none"/>
        </w:rPr>
        <w:t>2012</w:t>
      </w:r>
      <w:r w:rsidR="00205BCF">
        <w:rPr>
          <w:rStyle w:val="DraftingNote"/>
          <w:b w:val="0"/>
          <w:color w:val="auto"/>
          <w:sz w:val="26"/>
          <w:u w:val="none"/>
        </w:rPr>
        <w:noBreakHyphen/>
      </w:r>
      <w:r w:rsidR="003B65EF">
        <w:rPr>
          <w:rStyle w:val="DraftingNote"/>
          <w:b w:val="0"/>
          <w:color w:val="auto"/>
          <w:sz w:val="26"/>
          <w:u w:val="none"/>
        </w:rPr>
        <w:t>13</w:t>
      </w:r>
      <w:r w:rsidR="000D7795" w:rsidRPr="007907DB">
        <w:rPr>
          <w:rStyle w:val="DraftingNote"/>
          <w:b w:val="0"/>
          <w:color w:val="auto"/>
          <w:sz w:val="26"/>
          <w:u w:val="none"/>
        </w:rPr>
        <w:t xml:space="preserve"> are presented separately for the criminal</w:t>
      </w:r>
      <w:r w:rsidR="000D7795" w:rsidRPr="000D7795">
        <w:rPr>
          <w:rStyle w:val="DraftingNote"/>
          <w:b w:val="0"/>
          <w:color w:val="auto"/>
          <w:sz w:val="26"/>
          <w:u w:val="none"/>
        </w:rPr>
        <w:t xml:space="preserve"> and civil jurisdict</w:t>
      </w:r>
      <w:r w:rsidR="000D7795">
        <w:rPr>
          <w:rStyle w:val="DraftingNote"/>
          <w:b w:val="0"/>
          <w:color w:val="auto"/>
          <w:sz w:val="26"/>
          <w:u w:val="none"/>
        </w:rPr>
        <w:t xml:space="preserve">ions in </w:t>
      </w:r>
      <w:r w:rsidR="006B7A38">
        <w:rPr>
          <w:rStyle w:val="DraftingNote"/>
          <w:b w:val="0"/>
          <w:color w:val="auto"/>
          <w:sz w:val="26"/>
          <w:u w:val="none"/>
        </w:rPr>
        <w:t>tables 7.</w:t>
      </w:r>
      <w:r w:rsidR="0029076D">
        <w:rPr>
          <w:rStyle w:val="DraftingNote"/>
          <w:b w:val="0"/>
          <w:color w:val="auto"/>
          <w:sz w:val="26"/>
          <w:u w:val="none"/>
        </w:rPr>
        <w:t>16</w:t>
      </w:r>
      <w:r w:rsidR="000D7795">
        <w:rPr>
          <w:rStyle w:val="DraftingNote"/>
          <w:b w:val="0"/>
          <w:color w:val="auto"/>
          <w:sz w:val="26"/>
          <w:u w:val="none"/>
        </w:rPr>
        <w:t xml:space="preserve"> and 7</w:t>
      </w:r>
      <w:r w:rsidR="0029076D">
        <w:rPr>
          <w:rStyle w:val="DraftingNote"/>
          <w:b w:val="0"/>
          <w:color w:val="auto"/>
          <w:sz w:val="26"/>
          <w:u w:val="none"/>
        </w:rPr>
        <w:t>.17</w:t>
      </w:r>
      <w:r w:rsidR="000D7795" w:rsidRPr="000D7795">
        <w:rPr>
          <w:rStyle w:val="DraftingNote"/>
          <w:b w:val="0"/>
          <w:color w:val="auto"/>
          <w:sz w:val="26"/>
          <w:u w:val="none"/>
        </w:rPr>
        <w:t xml:space="preserve">. Where relevant, the clearance </w:t>
      </w:r>
      <w:r w:rsidR="009275E1">
        <w:rPr>
          <w:rStyle w:val="DraftingNote"/>
          <w:b w:val="0"/>
          <w:color w:val="auto"/>
          <w:sz w:val="26"/>
          <w:u w:val="none"/>
        </w:rPr>
        <w:t>indicator</w:t>
      </w:r>
      <w:r w:rsidR="000D7795" w:rsidRPr="000D7795">
        <w:rPr>
          <w:rStyle w:val="DraftingNote"/>
          <w:b w:val="0"/>
          <w:color w:val="auto"/>
          <w:sz w:val="26"/>
          <w:u w:val="none"/>
        </w:rPr>
        <w:t xml:space="preserve"> data have been disaggregated between appeal and non-appeal matters. </w:t>
      </w:r>
    </w:p>
    <w:p w:rsidR="007C1F92" w:rsidRPr="000B3555" w:rsidRDefault="007C1F92" w:rsidP="00242B8C">
      <w:pPr>
        <w:pStyle w:val="TableTitle"/>
        <w:spacing w:before="160"/>
      </w:pPr>
      <w:r w:rsidRPr="000B3555">
        <w:rPr>
          <w:b w:val="0"/>
        </w:rPr>
        <w:lastRenderedPageBreak/>
        <w:t>Table 7.</w:t>
      </w:r>
      <w:r w:rsidR="0029076D">
        <w:rPr>
          <w:b w:val="0"/>
          <w:noProof/>
        </w:rPr>
        <w:t>16</w:t>
      </w:r>
      <w:r w:rsidRPr="000B3555">
        <w:tab/>
      </w:r>
      <w:r w:rsidR="002247B8" w:rsidRPr="000B3555">
        <w:t>Clearance</w:t>
      </w:r>
      <w:r w:rsidR="00195308" w:rsidRPr="000B3555">
        <w:t xml:space="preserve"> — </w:t>
      </w:r>
      <w:r w:rsidR="00A2307C" w:rsidRPr="000B3555">
        <w:t xml:space="preserve">all criminal matters, </w:t>
      </w:r>
      <w:r w:rsidR="00951BC3">
        <w:t>2012</w:t>
      </w:r>
      <w:r w:rsidR="00E53CDC">
        <w:t>-</w:t>
      </w:r>
      <w:r w:rsidR="00AB5C9A">
        <w:t>1</w:t>
      </w:r>
      <w:r w:rsidR="00951BC3">
        <w:t>3</w:t>
      </w:r>
      <w:r w:rsidR="005E3758" w:rsidRPr="000B3555">
        <w:rPr>
          <w:rStyle w:val="NoteLabel"/>
          <w:b/>
        </w:rPr>
        <w:t>a</w:t>
      </w:r>
    </w:p>
    <w:tbl>
      <w:tblPr>
        <w:tblW w:w="5001" w:type="pct"/>
        <w:tblCellMar>
          <w:left w:w="0" w:type="dxa"/>
          <w:right w:w="0" w:type="dxa"/>
        </w:tblCellMar>
        <w:tblLook w:val="0000" w:firstRow="0" w:lastRow="0" w:firstColumn="0" w:lastColumn="0" w:noHBand="0" w:noVBand="0"/>
      </w:tblPr>
      <w:tblGrid>
        <w:gridCol w:w="1794"/>
        <w:gridCol w:w="602"/>
        <w:gridCol w:w="797"/>
        <w:gridCol w:w="820"/>
        <w:gridCol w:w="796"/>
        <w:gridCol w:w="796"/>
        <w:gridCol w:w="796"/>
        <w:gridCol w:w="796"/>
        <w:gridCol w:w="796"/>
        <w:gridCol w:w="798"/>
      </w:tblGrid>
      <w:tr w:rsidR="002247B8" w:rsidRPr="009B0092" w:rsidTr="00F0048B">
        <w:tc>
          <w:tcPr>
            <w:tcW w:w="1020" w:type="pct"/>
            <w:tcBorders>
              <w:top w:val="single" w:sz="6" w:space="0" w:color="auto"/>
              <w:bottom w:val="single" w:sz="6" w:space="0" w:color="auto"/>
            </w:tcBorders>
            <w:shd w:val="clear" w:color="auto" w:fill="auto"/>
          </w:tcPr>
          <w:p w:rsidR="002247B8" w:rsidRPr="009B0092" w:rsidRDefault="002247B8" w:rsidP="002247B8">
            <w:pPr>
              <w:pStyle w:val="TableColumnHeading"/>
              <w:jc w:val="left"/>
            </w:pPr>
          </w:p>
        </w:tc>
        <w:tc>
          <w:tcPr>
            <w:tcW w:w="342" w:type="pct"/>
            <w:tcBorders>
              <w:top w:val="single" w:sz="6" w:space="0" w:color="auto"/>
              <w:bottom w:val="single" w:sz="6" w:space="0" w:color="auto"/>
            </w:tcBorders>
          </w:tcPr>
          <w:p w:rsidR="002247B8" w:rsidRPr="009B0092" w:rsidRDefault="00B4320E" w:rsidP="002247B8">
            <w:pPr>
              <w:pStyle w:val="TableColumnHeading"/>
            </w:pPr>
            <w:r>
              <w:t>unit</w:t>
            </w:r>
          </w:p>
        </w:tc>
        <w:tc>
          <w:tcPr>
            <w:tcW w:w="453"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NSW</w:t>
            </w:r>
          </w:p>
        </w:tc>
        <w:tc>
          <w:tcPr>
            <w:tcW w:w="466"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Vic</w:t>
            </w:r>
          </w:p>
        </w:tc>
        <w:tc>
          <w:tcPr>
            <w:tcW w:w="453"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Qld</w:t>
            </w:r>
          </w:p>
        </w:tc>
        <w:tc>
          <w:tcPr>
            <w:tcW w:w="453"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WA</w:t>
            </w:r>
          </w:p>
        </w:tc>
        <w:tc>
          <w:tcPr>
            <w:tcW w:w="453"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SA</w:t>
            </w:r>
          </w:p>
        </w:tc>
        <w:tc>
          <w:tcPr>
            <w:tcW w:w="453" w:type="pct"/>
            <w:tcBorders>
              <w:top w:val="single" w:sz="6" w:space="0" w:color="auto"/>
              <w:bottom w:val="single" w:sz="6" w:space="0" w:color="auto"/>
            </w:tcBorders>
            <w:shd w:val="clear" w:color="auto" w:fill="auto"/>
          </w:tcPr>
          <w:p w:rsidR="002247B8" w:rsidRPr="009B0092" w:rsidRDefault="002247B8" w:rsidP="002247B8">
            <w:pPr>
              <w:pStyle w:val="TableColumnHeading"/>
            </w:pPr>
            <w:proofErr w:type="spellStart"/>
            <w:r w:rsidRPr="009B0092">
              <w:t>Tas</w:t>
            </w:r>
            <w:proofErr w:type="spellEnd"/>
          </w:p>
        </w:tc>
        <w:tc>
          <w:tcPr>
            <w:tcW w:w="453"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ACT</w:t>
            </w:r>
          </w:p>
        </w:tc>
        <w:tc>
          <w:tcPr>
            <w:tcW w:w="454" w:type="pct"/>
            <w:tcBorders>
              <w:top w:val="single" w:sz="6" w:space="0" w:color="auto"/>
              <w:bottom w:val="single" w:sz="6" w:space="0" w:color="auto"/>
            </w:tcBorders>
            <w:shd w:val="clear" w:color="auto" w:fill="auto"/>
          </w:tcPr>
          <w:p w:rsidR="002247B8" w:rsidRPr="009B0092" w:rsidRDefault="002247B8" w:rsidP="002247B8">
            <w:pPr>
              <w:pStyle w:val="TableColumnHeading"/>
            </w:pPr>
            <w:r w:rsidRPr="009B0092">
              <w:t>NT</w:t>
            </w:r>
          </w:p>
        </w:tc>
      </w:tr>
      <w:tr w:rsidR="002247B8" w:rsidRPr="009B0092" w:rsidTr="002247B8">
        <w:tc>
          <w:tcPr>
            <w:tcW w:w="5000" w:type="pct"/>
            <w:gridSpan w:val="10"/>
          </w:tcPr>
          <w:p w:rsidR="002247B8" w:rsidRPr="009B0092" w:rsidRDefault="002247B8" w:rsidP="002247B8">
            <w:pPr>
              <w:pStyle w:val="TableBodyText"/>
              <w:jc w:val="left"/>
              <w:rPr>
                <w:b/>
              </w:rPr>
            </w:pPr>
            <w:r w:rsidRPr="009B0092">
              <w:rPr>
                <w:b/>
              </w:rPr>
              <w:t>Supreme</w:t>
            </w:r>
            <w:r w:rsidR="00505751" w:rsidRPr="009B0092">
              <w:rPr>
                <w:b/>
              </w:rPr>
              <w:t xml:space="preserve"> — </w:t>
            </w:r>
            <w:r w:rsidRPr="009B0092">
              <w:rPr>
                <w:b/>
              </w:rPr>
              <w:t>appeal</w:t>
            </w:r>
            <w:r w:rsidR="0087432C">
              <w:rPr>
                <w:rStyle w:val="NoteLabel"/>
              </w:rPr>
              <w:t>b</w:t>
            </w:r>
          </w:p>
        </w:tc>
      </w:tr>
      <w:tr w:rsidR="0060180C" w:rsidRPr="000B0EDE" w:rsidTr="00F0048B">
        <w:tc>
          <w:tcPr>
            <w:tcW w:w="1020" w:type="pct"/>
          </w:tcPr>
          <w:p w:rsidR="0060180C" w:rsidRPr="000B0EDE" w:rsidRDefault="0060180C" w:rsidP="00D4621E">
            <w:pPr>
              <w:pStyle w:val="TableBodyText"/>
              <w:jc w:val="left"/>
              <w:rPr>
                <w:szCs w:val="18"/>
              </w:rPr>
            </w:pPr>
            <w:r w:rsidRPr="000B0EDE">
              <w:rPr>
                <w:szCs w:val="18"/>
              </w:rPr>
              <w:t xml:space="preserve"> </w:t>
            </w:r>
            <w:proofErr w:type="spellStart"/>
            <w:r w:rsidRPr="000B0EDE">
              <w:rPr>
                <w:szCs w:val="18"/>
              </w:rPr>
              <w:t>Lodgments</w:t>
            </w:r>
            <w:proofErr w:type="spellEnd"/>
          </w:p>
        </w:tc>
        <w:tc>
          <w:tcPr>
            <w:tcW w:w="342" w:type="pct"/>
          </w:tcPr>
          <w:p w:rsidR="0060180C" w:rsidRPr="000B0EDE" w:rsidRDefault="0060180C" w:rsidP="002247B8">
            <w:pPr>
              <w:pStyle w:val="TableBodyText"/>
              <w:rPr>
                <w:szCs w:val="18"/>
              </w:rPr>
            </w:pPr>
            <w:r w:rsidRPr="000B0EDE">
              <w:rPr>
                <w:szCs w:val="18"/>
              </w:rPr>
              <w:t>‘000</w:t>
            </w:r>
          </w:p>
        </w:tc>
        <w:tc>
          <w:tcPr>
            <w:tcW w:w="453" w:type="pct"/>
            <w:vAlign w:val="bottom"/>
          </w:tcPr>
          <w:p w:rsidR="0060180C" w:rsidRPr="0060180C" w:rsidRDefault="0060180C" w:rsidP="0060180C">
            <w:pPr>
              <w:pStyle w:val="TableBodyText"/>
              <w:rPr>
                <w:sz w:val="18"/>
                <w:szCs w:val="18"/>
              </w:rPr>
            </w:pPr>
            <w:r w:rsidRPr="0060180C">
              <w:rPr>
                <w:sz w:val="18"/>
                <w:szCs w:val="18"/>
              </w:rPr>
              <w:t>0.33</w:t>
            </w:r>
          </w:p>
        </w:tc>
        <w:tc>
          <w:tcPr>
            <w:tcW w:w="466" w:type="pct"/>
            <w:vAlign w:val="bottom"/>
          </w:tcPr>
          <w:p w:rsidR="0060180C" w:rsidRPr="0060180C" w:rsidRDefault="0060180C" w:rsidP="0060180C">
            <w:pPr>
              <w:pStyle w:val="TableBodyText"/>
              <w:rPr>
                <w:sz w:val="18"/>
                <w:szCs w:val="18"/>
              </w:rPr>
            </w:pPr>
            <w:r w:rsidRPr="0060180C">
              <w:rPr>
                <w:sz w:val="18"/>
                <w:szCs w:val="18"/>
              </w:rPr>
              <w:t>0.30</w:t>
            </w:r>
          </w:p>
        </w:tc>
        <w:tc>
          <w:tcPr>
            <w:tcW w:w="453" w:type="pct"/>
            <w:vAlign w:val="bottom"/>
          </w:tcPr>
          <w:p w:rsidR="0060180C" w:rsidRPr="0060180C" w:rsidRDefault="0060180C" w:rsidP="0060180C">
            <w:pPr>
              <w:pStyle w:val="TableBodyText"/>
              <w:rPr>
                <w:sz w:val="18"/>
                <w:szCs w:val="18"/>
              </w:rPr>
            </w:pPr>
            <w:r w:rsidRPr="0060180C">
              <w:rPr>
                <w:sz w:val="18"/>
                <w:szCs w:val="18"/>
              </w:rPr>
              <w:t>0.38</w:t>
            </w:r>
          </w:p>
        </w:tc>
        <w:tc>
          <w:tcPr>
            <w:tcW w:w="453" w:type="pct"/>
            <w:vAlign w:val="bottom"/>
          </w:tcPr>
          <w:p w:rsidR="0060180C" w:rsidRPr="0060180C" w:rsidRDefault="0060180C" w:rsidP="0060180C">
            <w:pPr>
              <w:pStyle w:val="TableBodyText"/>
              <w:rPr>
                <w:sz w:val="18"/>
                <w:szCs w:val="18"/>
              </w:rPr>
            </w:pPr>
            <w:r w:rsidRPr="0060180C">
              <w:rPr>
                <w:sz w:val="18"/>
                <w:szCs w:val="18"/>
              </w:rPr>
              <w:t>0.45</w:t>
            </w:r>
          </w:p>
        </w:tc>
        <w:tc>
          <w:tcPr>
            <w:tcW w:w="453" w:type="pct"/>
            <w:vAlign w:val="bottom"/>
          </w:tcPr>
          <w:p w:rsidR="0060180C" w:rsidRPr="0060180C" w:rsidRDefault="0060180C" w:rsidP="0060180C">
            <w:pPr>
              <w:pStyle w:val="TableBodyText"/>
              <w:rPr>
                <w:sz w:val="18"/>
                <w:szCs w:val="18"/>
              </w:rPr>
            </w:pPr>
            <w:r w:rsidRPr="0060180C">
              <w:rPr>
                <w:sz w:val="18"/>
                <w:szCs w:val="18"/>
              </w:rPr>
              <w:t>0.24</w:t>
            </w:r>
          </w:p>
        </w:tc>
        <w:tc>
          <w:tcPr>
            <w:tcW w:w="453" w:type="pct"/>
            <w:vAlign w:val="bottom"/>
          </w:tcPr>
          <w:p w:rsidR="0060180C" w:rsidRPr="0060180C" w:rsidRDefault="0060180C" w:rsidP="0060180C">
            <w:pPr>
              <w:pStyle w:val="TableBodyText"/>
              <w:rPr>
                <w:sz w:val="18"/>
                <w:szCs w:val="18"/>
              </w:rPr>
            </w:pPr>
            <w:r w:rsidRPr="0060180C">
              <w:rPr>
                <w:sz w:val="18"/>
                <w:szCs w:val="18"/>
              </w:rPr>
              <w:t>0.02</w:t>
            </w:r>
          </w:p>
        </w:tc>
        <w:tc>
          <w:tcPr>
            <w:tcW w:w="453" w:type="pct"/>
            <w:vAlign w:val="bottom"/>
          </w:tcPr>
          <w:p w:rsidR="0060180C" w:rsidRPr="0060180C" w:rsidRDefault="0060180C" w:rsidP="0060180C">
            <w:pPr>
              <w:pStyle w:val="TableBodyText"/>
              <w:rPr>
                <w:sz w:val="18"/>
                <w:szCs w:val="18"/>
              </w:rPr>
            </w:pPr>
            <w:r w:rsidRPr="0060180C">
              <w:rPr>
                <w:sz w:val="18"/>
                <w:szCs w:val="18"/>
              </w:rPr>
              <w:t>0.11</w:t>
            </w:r>
          </w:p>
        </w:tc>
        <w:tc>
          <w:tcPr>
            <w:tcW w:w="454" w:type="pct"/>
            <w:vAlign w:val="bottom"/>
          </w:tcPr>
          <w:p w:rsidR="0060180C" w:rsidRPr="0060180C" w:rsidRDefault="0060180C" w:rsidP="0060180C">
            <w:pPr>
              <w:pStyle w:val="TableBodyText"/>
              <w:rPr>
                <w:sz w:val="18"/>
                <w:szCs w:val="18"/>
              </w:rPr>
            </w:pPr>
            <w:r w:rsidRPr="0060180C">
              <w:rPr>
                <w:sz w:val="18"/>
                <w:szCs w:val="18"/>
              </w:rPr>
              <w:t>0.03</w:t>
            </w:r>
          </w:p>
        </w:tc>
      </w:tr>
      <w:tr w:rsidR="0060180C" w:rsidRPr="00B0558A" w:rsidTr="00F0048B">
        <w:tc>
          <w:tcPr>
            <w:tcW w:w="1020" w:type="pct"/>
          </w:tcPr>
          <w:p w:rsidR="0060180C" w:rsidRPr="00B0558A" w:rsidRDefault="0060180C" w:rsidP="00D4621E">
            <w:pPr>
              <w:pStyle w:val="TableBodyText"/>
              <w:jc w:val="left"/>
              <w:rPr>
                <w:szCs w:val="18"/>
              </w:rPr>
            </w:pPr>
            <w:r w:rsidRPr="00B0558A">
              <w:rPr>
                <w:szCs w:val="18"/>
              </w:rPr>
              <w:t xml:space="preserve"> Finalisations</w:t>
            </w:r>
          </w:p>
        </w:tc>
        <w:tc>
          <w:tcPr>
            <w:tcW w:w="342" w:type="pct"/>
          </w:tcPr>
          <w:p w:rsidR="0060180C" w:rsidRPr="00B0558A" w:rsidRDefault="0060180C" w:rsidP="002247B8">
            <w:pPr>
              <w:pStyle w:val="TableBodyText"/>
              <w:rPr>
                <w:szCs w:val="18"/>
              </w:rPr>
            </w:pPr>
            <w:r w:rsidRPr="00B0558A">
              <w:rPr>
                <w:szCs w:val="18"/>
              </w:rPr>
              <w:t>‘000</w:t>
            </w:r>
          </w:p>
        </w:tc>
        <w:tc>
          <w:tcPr>
            <w:tcW w:w="453" w:type="pct"/>
            <w:vAlign w:val="bottom"/>
          </w:tcPr>
          <w:p w:rsidR="0060180C" w:rsidRPr="0060180C" w:rsidRDefault="0060180C" w:rsidP="0060180C">
            <w:pPr>
              <w:pStyle w:val="TableBodyText"/>
              <w:rPr>
                <w:sz w:val="18"/>
                <w:szCs w:val="18"/>
              </w:rPr>
            </w:pPr>
            <w:r w:rsidRPr="0060180C">
              <w:rPr>
                <w:sz w:val="18"/>
                <w:szCs w:val="18"/>
              </w:rPr>
              <w:t>0.36</w:t>
            </w:r>
          </w:p>
        </w:tc>
        <w:tc>
          <w:tcPr>
            <w:tcW w:w="466" w:type="pct"/>
            <w:vAlign w:val="bottom"/>
          </w:tcPr>
          <w:p w:rsidR="0060180C" w:rsidRPr="0060180C" w:rsidRDefault="0060180C" w:rsidP="0060180C">
            <w:pPr>
              <w:pStyle w:val="TableBodyText"/>
              <w:rPr>
                <w:sz w:val="18"/>
                <w:szCs w:val="18"/>
              </w:rPr>
            </w:pPr>
            <w:r w:rsidRPr="0060180C">
              <w:rPr>
                <w:sz w:val="18"/>
                <w:szCs w:val="18"/>
              </w:rPr>
              <w:t>0.33</w:t>
            </w:r>
          </w:p>
        </w:tc>
        <w:tc>
          <w:tcPr>
            <w:tcW w:w="453" w:type="pct"/>
            <w:vAlign w:val="bottom"/>
          </w:tcPr>
          <w:p w:rsidR="0060180C" w:rsidRPr="0060180C" w:rsidRDefault="0060180C" w:rsidP="0060180C">
            <w:pPr>
              <w:pStyle w:val="TableBodyText"/>
              <w:rPr>
                <w:sz w:val="18"/>
                <w:szCs w:val="18"/>
              </w:rPr>
            </w:pPr>
            <w:r w:rsidRPr="0060180C">
              <w:rPr>
                <w:sz w:val="18"/>
                <w:szCs w:val="18"/>
              </w:rPr>
              <w:t>0.35</w:t>
            </w:r>
          </w:p>
        </w:tc>
        <w:tc>
          <w:tcPr>
            <w:tcW w:w="453" w:type="pct"/>
            <w:vAlign w:val="bottom"/>
          </w:tcPr>
          <w:p w:rsidR="0060180C" w:rsidRPr="0060180C" w:rsidRDefault="0060180C" w:rsidP="0060180C">
            <w:pPr>
              <w:pStyle w:val="TableBodyText"/>
              <w:rPr>
                <w:sz w:val="18"/>
                <w:szCs w:val="18"/>
              </w:rPr>
            </w:pPr>
            <w:r w:rsidRPr="0060180C">
              <w:rPr>
                <w:sz w:val="18"/>
                <w:szCs w:val="18"/>
              </w:rPr>
              <w:t>0.44</w:t>
            </w:r>
          </w:p>
        </w:tc>
        <w:tc>
          <w:tcPr>
            <w:tcW w:w="453" w:type="pct"/>
            <w:vAlign w:val="bottom"/>
          </w:tcPr>
          <w:p w:rsidR="0060180C" w:rsidRPr="0060180C" w:rsidRDefault="0060180C" w:rsidP="0060180C">
            <w:pPr>
              <w:pStyle w:val="TableBodyText"/>
              <w:rPr>
                <w:sz w:val="18"/>
                <w:szCs w:val="18"/>
              </w:rPr>
            </w:pPr>
            <w:r w:rsidRPr="0060180C">
              <w:rPr>
                <w:sz w:val="18"/>
                <w:szCs w:val="18"/>
              </w:rPr>
              <w:t>0.24</w:t>
            </w:r>
          </w:p>
        </w:tc>
        <w:tc>
          <w:tcPr>
            <w:tcW w:w="453" w:type="pct"/>
            <w:vAlign w:val="bottom"/>
          </w:tcPr>
          <w:p w:rsidR="0060180C" w:rsidRPr="0060180C" w:rsidRDefault="0060180C" w:rsidP="0060180C">
            <w:pPr>
              <w:pStyle w:val="TableBodyText"/>
              <w:rPr>
                <w:sz w:val="18"/>
                <w:szCs w:val="18"/>
              </w:rPr>
            </w:pPr>
            <w:r w:rsidRPr="0060180C">
              <w:rPr>
                <w:sz w:val="18"/>
                <w:szCs w:val="18"/>
              </w:rPr>
              <w:t>0.03</w:t>
            </w:r>
          </w:p>
        </w:tc>
        <w:tc>
          <w:tcPr>
            <w:tcW w:w="453" w:type="pct"/>
            <w:vAlign w:val="bottom"/>
          </w:tcPr>
          <w:p w:rsidR="0060180C" w:rsidRPr="0060180C" w:rsidRDefault="0060180C" w:rsidP="0060180C">
            <w:pPr>
              <w:pStyle w:val="TableBodyText"/>
              <w:rPr>
                <w:sz w:val="18"/>
                <w:szCs w:val="18"/>
              </w:rPr>
            </w:pPr>
            <w:r w:rsidRPr="0060180C">
              <w:rPr>
                <w:sz w:val="18"/>
                <w:szCs w:val="18"/>
              </w:rPr>
              <w:t>0.13</w:t>
            </w:r>
          </w:p>
        </w:tc>
        <w:tc>
          <w:tcPr>
            <w:tcW w:w="454" w:type="pct"/>
            <w:vAlign w:val="bottom"/>
          </w:tcPr>
          <w:p w:rsidR="0060180C" w:rsidRPr="0060180C" w:rsidRDefault="0060180C" w:rsidP="0060180C">
            <w:pPr>
              <w:pStyle w:val="TableBodyText"/>
              <w:rPr>
                <w:sz w:val="18"/>
                <w:szCs w:val="18"/>
              </w:rPr>
            </w:pPr>
            <w:r w:rsidRPr="0060180C">
              <w:rPr>
                <w:sz w:val="18"/>
                <w:szCs w:val="18"/>
              </w:rPr>
              <w:t>0.02</w:t>
            </w:r>
          </w:p>
        </w:tc>
      </w:tr>
      <w:tr w:rsidR="0060180C" w:rsidRPr="00442736" w:rsidTr="00F0048B">
        <w:tc>
          <w:tcPr>
            <w:tcW w:w="1020" w:type="pct"/>
          </w:tcPr>
          <w:p w:rsidR="0060180C" w:rsidRPr="00442736" w:rsidRDefault="0060180C" w:rsidP="00D4621E">
            <w:pPr>
              <w:pStyle w:val="TableBodyText"/>
              <w:jc w:val="left"/>
              <w:rPr>
                <w:i/>
              </w:rPr>
            </w:pPr>
            <w:r w:rsidRPr="00442736">
              <w:rPr>
                <w:i/>
              </w:rPr>
              <w:t>Clearance rate</w:t>
            </w:r>
          </w:p>
        </w:tc>
        <w:tc>
          <w:tcPr>
            <w:tcW w:w="342" w:type="pct"/>
          </w:tcPr>
          <w:p w:rsidR="0060180C" w:rsidRPr="00442736" w:rsidRDefault="0060180C" w:rsidP="002247B8">
            <w:pPr>
              <w:pStyle w:val="TableBodyText"/>
              <w:rPr>
                <w:i/>
                <w:szCs w:val="16"/>
              </w:rPr>
            </w:pPr>
            <w:r w:rsidRPr="00442736">
              <w:rPr>
                <w:i/>
                <w:szCs w:val="16"/>
              </w:rPr>
              <w:t>%</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109.1</w:t>
            </w:r>
          </w:p>
        </w:tc>
        <w:tc>
          <w:tcPr>
            <w:tcW w:w="466" w:type="pct"/>
            <w:vAlign w:val="bottom"/>
          </w:tcPr>
          <w:p w:rsidR="0060180C" w:rsidRPr="0060180C" w:rsidRDefault="0060180C" w:rsidP="0060180C">
            <w:pPr>
              <w:pStyle w:val="TableBodyText"/>
              <w:rPr>
                <w:i/>
                <w:iCs/>
                <w:sz w:val="18"/>
                <w:szCs w:val="18"/>
              </w:rPr>
            </w:pPr>
            <w:r w:rsidRPr="0060180C">
              <w:rPr>
                <w:i/>
                <w:iCs/>
                <w:sz w:val="18"/>
                <w:szCs w:val="18"/>
              </w:rPr>
              <w:t>111.3</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92.8</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98.2</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99.6</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113.6</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122.2</w:t>
            </w:r>
          </w:p>
        </w:tc>
        <w:tc>
          <w:tcPr>
            <w:tcW w:w="454" w:type="pct"/>
            <w:vAlign w:val="bottom"/>
          </w:tcPr>
          <w:p w:rsidR="0060180C" w:rsidRPr="0060180C" w:rsidRDefault="0060180C" w:rsidP="0060180C">
            <w:pPr>
              <w:pStyle w:val="TableBodyText"/>
              <w:rPr>
                <w:i/>
                <w:iCs/>
                <w:sz w:val="18"/>
                <w:szCs w:val="18"/>
              </w:rPr>
            </w:pPr>
            <w:r w:rsidRPr="0060180C">
              <w:rPr>
                <w:i/>
                <w:iCs/>
                <w:sz w:val="18"/>
                <w:szCs w:val="18"/>
              </w:rPr>
              <w:t>51.7</w:t>
            </w:r>
          </w:p>
        </w:tc>
      </w:tr>
      <w:tr w:rsidR="0007683F" w:rsidRPr="00442736" w:rsidTr="002247B8">
        <w:tc>
          <w:tcPr>
            <w:tcW w:w="5000" w:type="pct"/>
            <w:gridSpan w:val="10"/>
          </w:tcPr>
          <w:p w:rsidR="0007683F" w:rsidRPr="00442736" w:rsidRDefault="00EE0428" w:rsidP="00584FFF">
            <w:pPr>
              <w:pStyle w:val="TableBodyText"/>
              <w:jc w:val="left"/>
              <w:rPr>
                <w:b/>
              </w:rPr>
            </w:pPr>
            <w:r w:rsidRPr="00442736">
              <w:rPr>
                <w:b/>
              </w:rPr>
              <w:t>Supreme</w:t>
            </w:r>
            <w:r w:rsidR="00505751" w:rsidRPr="00442736">
              <w:rPr>
                <w:b/>
              </w:rPr>
              <w:t xml:space="preserve"> — </w:t>
            </w:r>
            <w:r w:rsidR="0007683F" w:rsidRPr="00442736">
              <w:rPr>
                <w:b/>
              </w:rPr>
              <w:t>non-appe</w:t>
            </w:r>
            <w:r w:rsidR="00967F0F">
              <w:rPr>
                <w:b/>
              </w:rPr>
              <w:t>al</w:t>
            </w:r>
            <w:r w:rsidR="0087432C">
              <w:rPr>
                <w:rStyle w:val="NoteLabel"/>
              </w:rPr>
              <w:t>b</w:t>
            </w:r>
          </w:p>
        </w:tc>
      </w:tr>
      <w:tr w:rsidR="0060180C" w:rsidRPr="00442736" w:rsidTr="00F0048B">
        <w:tc>
          <w:tcPr>
            <w:tcW w:w="1020" w:type="pct"/>
          </w:tcPr>
          <w:p w:rsidR="0060180C" w:rsidRPr="00442736" w:rsidRDefault="0060180C" w:rsidP="00D4621E">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rsidR="0060180C" w:rsidRPr="00442736" w:rsidRDefault="0060180C" w:rsidP="002247B8">
            <w:pPr>
              <w:pStyle w:val="TableBodyText"/>
              <w:rPr>
                <w:szCs w:val="18"/>
              </w:rPr>
            </w:pPr>
            <w:r w:rsidRPr="00442736">
              <w:rPr>
                <w:szCs w:val="18"/>
              </w:rPr>
              <w:t>‘000</w:t>
            </w:r>
          </w:p>
        </w:tc>
        <w:tc>
          <w:tcPr>
            <w:tcW w:w="453" w:type="pct"/>
            <w:vAlign w:val="bottom"/>
          </w:tcPr>
          <w:p w:rsidR="0060180C" w:rsidRPr="0060180C" w:rsidRDefault="0060180C" w:rsidP="0060180C">
            <w:pPr>
              <w:pStyle w:val="TableBodyText"/>
              <w:rPr>
                <w:sz w:val="18"/>
                <w:szCs w:val="18"/>
              </w:rPr>
            </w:pPr>
            <w:r w:rsidRPr="0060180C">
              <w:rPr>
                <w:sz w:val="18"/>
                <w:szCs w:val="18"/>
              </w:rPr>
              <w:t>0.12</w:t>
            </w:r>
          </w:p>
        </w:tc>
        <w:tc>
          <w:tcPr>
            <w:tcW w:w="466" w:type="pct"/>
            <w:vAlign w:val="bottom"/>
          </w:tcPr>
          <w:p w:rsidR="0060180C" w:rsidRPr="0060180C" w:rsidRDefault="0060180C" w:rsidP="0060180C">
            <w:pPr>
              <w:pStyle w:val="TableBodyText"/>
              <w:rPr>
                <w:sz w:val="18"/>
                <w:szCs w:val="18"/>
              </w:rPr>
            </w:pPr>
            <w:r w:rsidRPr="0060180C">
              <w:rPr>
                <w:sz w:val="18"/>
                <w:szCs w:val="18"/>
              </w:rPr>
              <w:t>0.14</w:t>
            </w:r>
          </w:p>
        </w:tc>
        <w:tc>
          <w:tcPr>
            <w:tcW w:w="453" w:type="pct"/>
            <w:vAlign w:val="bottom"/>
          </w:tcPr>
          <w:p w:rsidR="0060180C" w:rsidRPr="0060180C" w:rsidRDefault="0060180C" w:rsidP="0060180C">
            <w:pPr>
              <w:pStyle w:val="TableBodyText"/>
              <w:rPr>
                <w:sz w:val="18"/>
                <w:szCs w:val="18"/>
              </w:rPr>
            </w:pPr>
            <w:r w:rsidRPr="0060180C">
              <w:rPr>
                <w:sz w:val="18"/>
                <w:szCs w:val="18"/>
              </w:rPr>
              <w:t>0.84</w:t>
            </w:r>
          </w:p>
        </w:tc>
        <w:tc>
          <w:tcPr>
            <w:tcW w:w="453" w:type="pct"/>
            <w:vAlign w:val="bottom"/>
          </w:tcPr>
          <w:p w:rsidR="0060180C" w:rsidRPr="0060180C" w:rsidRDefault="0060180C" w:rsidP="0060180C">
            <w:pPr>
              <w:pStyle w:val="TableBodyText"/>
              <w:rPr>
                <w:sz w:val="18"/>
                <w:szCs w:val="18"/>
              </w:rPr>
            </w:pPr>
            <w:r w:rsidRPr="0060180C">
              <w:rPr>
                <w:sz w:val="18"/>
                <w:szCs w:val="18"/>
              </w:rPr>
              <w:t>0.27</w:t>
            </w:r>
          </w:p>
        </w:tc>
        <w:tc>
          <w:tcPr>
            <w:tcW w:w="453" w:type="pct"/>
            <w:vAlign w:val="bottom"/>
          </w:tcPr>
          <w:p w:rsidR="0060180C" w:rsidRPr="0060180C" w:rsidRDefault="0060180C" w:rsidP="0060180C">
            <w:pPr>
              <w:pStyle w:val="TableBodyText"/>
              <w:rPr>
                <w:sz w:val="18"/>
                <w:szCs w:val="18"/>
              </w:rPr>
            </w:pPr>
            <w:r w:rsidRPr="0060180C">
              <w:rPr>
                <w:sz w:val="18"/>
                <w:szCs w:val="18"/>
              </w:rPr>
              <w:t>0.09</w:t>
            </w:r>
          </w:p>
        </w:tc>
        <w:tc>
          <w:tcPr>
            <w:tcW w:w="453" w:type="pct"/>
            <w:vAlign w:val="bottom"/>
          </w:tcPr>
          <w:p w:rsidR="0060180C" w:rsidRPr="0060180C" w:rsidRDefault="0060180C" w:rsidP="0060180C">
            <w:pPr>
              <w:pStyle w:val="TableBodyText"/>
              <w:rPr>
                <w:sz w:val="18"/>
                <w:szCs w:val="18"/>
              </w:rPr>
            </w:pPr>
            <w:r w:rsidRPr="0060180C">
              <w:rPr>
                <w:sz w:val="18"/>
                <w:szCs w:val="18"/>
              </w:rPr>
              <w:t>0.53</w:t>
            </w:r>
          </w:p>
        </w:tc>
        <w:tc>
          <w:tcPr>
            <w:tcW w:w="453" w:type="pct"/>
            <w:vAlign w:val="bottom"/>
          </w:tcPr>
          <w:p w:rsidR="0060180C" w:rsidRPr="0060180C" w:rsidRDefault="0060180C" w:rsidP="0060180C">
            <w:pPr>
              <w:pStyle w:val="TableBodyText"/>
              <w:rPr>
                <w:sz w:val="18"/>
                <w:szCs w:val="18"/>
              </w:rPr>
            </w:pPr>
            <w:r w:rsidRPr="0060180C">
              <w:rPr>
                <w:sz w:val="18"/>
                <w:szCs w:val="18"/>
              </w:rPr>
              <w:t>0.18</w:t>
            </w:r>
          </w:p>
        </w:tc>
        <w:tc>
          <w:tcPr>
            <w:tcW w:w="454" w:type="pct"/>
            <w:vAlign w:val="bottom"/>
          </w:tcPr>
          <w:p w:rsidR="0060180C" w:rsidRPr="0060180C" w:rsidRDefault="0060180C" w:rsidP="0060180C">
            <w:pPr>
              <w:pStyle w:val="TableBodyText"/>
              <w:rPr>
                <w:sz w:val="18"/>
                <w:szCs w:val="18"/>
              </w:rPr>
            </w:pPr>
            <w:r w:rsidRPr="0060180C">
              <w:rPr>
                <w:sz w:val="18"/>
                <w:szCs w:val="18"/>
              </w:rPr>
              <w:t>0.48</w:t>
            </w:r>
          </w:p>
        </w:tc>
      </w:tr>
      <w:tr w:rsidR="0060180C" w:rsidRPr="00442736" w:rsidTr="00096E79">
        <w:tc>
          <w:tcPr>
            <w:tcW w:w="1020" w:type="pct"/>
          </w:tcPr>
          <w:p w:rsidR="0060180C" w:rsidRPr="00442736" w:rsidRDefault="0060180C" w:rsidP="00D4621E">
            <w:pPr>
              <w:pStyle w:val="TableBodyText"/>
              <w:jc w:val="left"/>
              <w:rPr>
                <w:szCs w:val="18"/>
              </w:rPr>
            </w:pPr>
            <w:r w:rsidRPr="00442736">
              <w:rPr>
                <w:szCs w:val="18"/>
              </w:rPr>
              <w:t xml:space="preserve"> Finalisations</w:t>
            </w:r>
          </w:p>
        </w:tc>
        <w:tc>
          <w:tcPr>
            <w:tcW w:w="342" w:type="pct"/>
          </w:tcPr>
          <w:p w:rsidR="0060180C" w:rsidRPr="00442736" w:rsidRDefault="0060180C" w:rsidP="002247B8">
            <w:pPr>
              <w:pStyle w:val="TableBodyText"/>
              <w:rPr>
                <w:szCs w:val="18"/>
              </w:rPr>
            </w:pPr>
            <w:r w:rsidRPr="00442736">
              <w:rPr>
                <w:szCs w:val="18"/>
              </w:rPr>
              <w:t>‘000</w:t>
            </w:r>
          </w:p>
        </w:tc>
        <w:tc>
          <w:tcPr>
            <w:tcW w:w="453" w:type="pct"/>
            <w:vAlign w:val="bottom"/>
          </w:tcPr>
          <w:p w:rsidR="0060180C" w:rsidRPr="0060180C" w:rsidRDefault="0060180C" w:rsidP="0060180C">
            <w:pPr>
              <w:pStyle w:val="TableBodyText"/>
              <w:rPr>
                <w:sz w:val="18"/>
                <w:szCs w:val="18"/>
              </w:rPr>
            </w:pPr>
            <w:r w:rsidRPr="0060180C">
              <w:rPr>
                <w:sz w:val="18"/>
                <w:szCs w:val="18"/>
              </w:rPr>
              <w:t>0.16</w:t>
            </w:r>
          </w:p>
        </w:tc>
        <w:tc>
          <w:tcPr>
            <w:tcW w:w="466" w:type="pct"/>
            <w:vAlign w:val="bottom"/>
          </w:tcPr>
          <w:p w:rsidR="0060180C" w:rsidRPr="0060180C" w:rsidRDefault="0060180C" w:rsidP="0060180C">
            <w:pPr>
              <w:pStyle w:val="TableBodyText"/>
              <w:rPr>
                <w:sz w:val="18"/>
                <w:szCs w:val="18"/>
              </w:rPr>
            </w:pPr>
            <w:r w:rsidRPr="0060180C">
              <w:rPr>
                <w:sz w:val="18"/>
                <w:szCs w:val="18"/>
              </w:rPr>
              <w:t>0.13</w:t>
            </w:r>
          </w:p>
        </w:tc>
        <w:tc>
          <w:tcPr>
            <w:tcW w:w="453" w:type="pct"/>
            <w:vAlign w:val="bottom"/>
          </w:tcPr>
          <w:p w:rsidR="0060180C" w:rsidRPr="0060180C" w:rsidRDefault="0060180C" w:rsidP="0060180C">
            <w:pPr>
              <w:pStyle w:val="TableBodyText"/>
              <w:rPr>
                <w:sz w:val="18"/>
                <w:szCs w:val="18"/>
              </w:rPr>
            </w:pPr>
            <w:r w:rsidRPr="0060180C">
              <w:rPr>
                <w:sz w:val="18"/>
                <w:szCs w:val="18"/>
              </w:rPr>
              <w:t>0.99</w:t>
            </w:r>
          </w:p>
        </w:tc>
        <w:tc>
          <w:tcPr>
            <w:tcW w:w="453" w:type="pct"/>
            <w:vAlign w:val="bottom"/>
          </w:tcPr>
          <w:p w:rsidR="0060180C" w:rsidRPr="0060180C" w:rsidRDefault="0060180C" w:rsidP="0060180C">
            <w:pPr>
              <w:pStyle w:val="TableBodyText"/>
              <w:rPr>
                <w:sz w:val="18"/>
                <w:szCs w:val="18"/>
              </w:rPr>
            </w:pPr>
            <w:r w:rsidRPr="0060180C">
              <w:rPr>
                <w:sz w:val="18"/>
                <w:szCs w:val="18"/>
              </w:rPr>
              <w:t>0.26</w:t>
            </w:r>
          </w:p>
        </w:tc>
        <w:tc>
          <w:tcPr>
            <w:tcW w:w="453" w:type="pct"/>
            <w:vAlign w:val="bottom"/>
          </w:tcPr>
          <w:p w:rsidR="0060180C" w:rsidRPr="0060180C" w:rsidRDefault="0060180C" w:rsidP="0060180C">
            <w:pPr>
              <w:pStyle w:val="TableBodyText"/>
              <w:rPr>
                <w:sz w:val="18"/>
                <w:szCs w:val="18"/>
              </w:rPr>
            </w:pPr>
            <w:r w:rsidRPr="0060180C">
              <w:rPr>
                <w:sz w:val="18"/>
                <w:szCs w:val="18"/>
              </w:rPr>
              <w:t>0.10</w:t>
            </w:r>
          </w:p>
        </w:tc>
        <w:tc>
          <w:tcPr>
            <w:tcW w:w="453" w:type="pct"/>
            <w:vAlign w:val="bottom"/>
          </w:tcPr>
          <w:p w:rsidR="0060180C" w:rsidRPr="0060180C" w:rsidRDefault="0060180C" w:rsidP="0060180C">
            <w:pPr>
              <w:pStyle w:val="TableBodyText"/>
              <w:rPr>
                <w:sz w:val="18"/>
                <w:szCs w:val="18"/>
              </w:rPr>
            </w:pPr>
            <w:r w:rsidRPr="0060180C">
              <w:rPr>
                <w:sz w:val="18"/>
                <w:szCs w:val="18"/>
              </w:rPr>
              <w:t>0.54</w:t>
            </w:r>
          </w:p>
        </w:tc>
        <w:tc>
          <w:tcPr>
            <w:tcW w:w="453" w:type="pct"/>
            <w:vAlign w:val="bottom"/>
          </w:tcPr>
          <w:p w:rsidR="0060180C" w:rsidRPr="0060180C" w:rsidRDefault="0060180C" w:rsidP="0060180C">
            <w:pPr>
              <w:pStyle w:val="TableBodyText"/>
              <w:rPr>
                <w:sz w:val="18"/>
                <w:szCs w:val="18"/>
              </w:rPr>
            </w:pPr>
            <w:r w:rsidRPr="0060180C">
              <w:rPr>
                <w:sz w:val="18"/>
                <w:szCs w:val="18"/>
              </w:rPr>
              <w:t>0.31</w:t>
            </w:r>
          </w:p>
        </w:tc>
        <w:tc>
          <w:tcPr>
            <w:tcW w:w="454" w:type="pct"/>
            <w:shd w:val="clear" w:color="auto" w:fill="auto"/>
            <w:vAlign w:val="bottom"/>
          </w:tcPr>
          <w:p w:rsidR="0060180C" w:rsidRPr="0060180C" w:rsidRDefault="0060180C" w:rsidP="0060180C">
            <w:pPr>
              <w:pStyle w:val="TableBodyText"/>
              <w:rPr>
                <w:sz w:val="18"/>
                <w:szCs w:val="18"/>
              </w:rPr>
            </w:pPr>
            <w:r w:rsidRPr="0060180C">
              <w:rPr>
                <w:sz w:val="18"/>
                <w:szCs w:val="18"/>
              </w:rPr>
              <w:t>0.46</w:t>
            </w:r>
          </w:p>
        </w:tc>
      </w:tr>
      <w:tr w:rsidR="0060180C" w:rsidRPr="00442736" w:rsidTr="00096E79">
        <w:tc>
          <w:tcPr>
            <w:tcW w:w="1020" w:type="pct"/>
          </w:tcPr>
          <w:p w:rsidR="0060180C" w:rsidRPr="00442736" w:rsidRDefault="0060180C" w:rsidP="00D4621E">
            <w:pPr>
              <w:pStyle w:val="TableBodyText"/>
              <w:jc w:val="left"/>
              <w:rPr>
                <w:i/>
              </w:rPr>
            </w:pPr>
            <w:r w:rsidRPr="00442736">
              <w:rPr>
                <w:i/>
              </w:rPr>
              <w:t>Clearance rate</w:t>
            </w:r>
          </w:p>
        </w:tc>
        <w:tc>
          <w:tcPr>
            <w:tcW w:w="342" w:type="pct"/>
          </w:tcPr>
          <w:p w:rsidR="0060180C" w:rsidRPr="00442736" w:rsidRDefault="0060180C" w:rsidP="002247B8">
            <w:pPr>
              <w:pStyle w:val="TableBodyText"/>
              <w:rPr>
                <w:i/>
                <w:szCs w:val="16"/>
              </w:rPr>
            </w:pPr>
            <w:r w:rsidRPr="00442736">
              <w:rPr>
                <w:i/>
                <w:szCs w:val="16"/>
              </w:rPr>
              <w:t>%</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129.5</w:t>
            </w:r>
          </w:p>
        </w:tc>
        <w:tc>
          <w:tcPr>
            <w:tcW w:w="466" w:type="pct"/>
            <w:vAlign w:val="bottom"/>
          </w:tcPr>
          <w:p w:rsidR="0060180C" w:rsidRPr="0060180C" w:rsidRDefault="0060180C" w:rsidP="0060180C">
            <w:pPr>
              <w:pStyle w:val="TableBodyText"/>
              <w:rPr>
                <w:i/>
                <w:iCs/>
                <w:sz w:val="18"/>
                <w:szCs w:val="18"/>
              </w:rPr>
            </w:pPr>
            <w:r w:rsidRPr="0060180C">
              <w:rPr>
                <w:i/>
                <w:iCs/>
                <w:sz w:val="18"/>
                <w:szCs w:val="18"/>
              </w:rPr>
              <w:t>88.9</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118.4</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98.1</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115.3</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101.5</w:t>
            </w:r>
          </w:p>
        </w:tc>
        <w:tc>
          <w:tcPr>
            <w:tcW w:w="453" w:type="pct"/>
            <w:vAlign w:val="bottom"/>
          </w:tcPr>
          <w:p w:rsidR="0060180C" w:rsidRPr="0060180C" w:rsidRDefault="0060180C" w:rsidP="0060180C">
            <w:pPr>
              <w:pStyle w:val="TableBodyText"/>
              <w:rPr>
                <w:i/>
                <w:iCs/>
                <w:sz w:val="18"/>
                <w:szCs w:val="18"/>
              </w:rPr>
            </w:pPr>
            <w:r w:rsidRPr="0060180C">
              <w:rPr>
                <w:i/>
                <w:iCs/>
                <w:sz w:val="18"/>
                <w:szCs w:val="18"/>
              </w:rPr>
              <w:t>175.6</w:t>
            </w:r>
          </w:p>
        </w:tc>
        <w:tc>
          <w:tcPr>
            <w:tcW w:w="454" w:type="pct"/>
            <w:shd w:val="clear" w:color="auto" w:fill="auto"/>
            <w:vAlign w:val="bottom"/>
          </w:tcPr>
          <w:p w:rsidR="0060180C" w:rsidRPr="0060180C" w:rsidRDefault="0060180C" w:rsidP="0060180C">
            <w:pPr>
              <w:pStyle w:val="TableBodyText"/>
              <w:rPr>
                <w:i/>
                <w:iCs/>
                <w:sz w:val="18"/>
                <w:szCs w:val="18"/>
              </w:rPr>
            </w:pPr>
            <w:r w:rsidRPr="0060180C">
              <w:rPr>
                <w:i/>
                <w:iCs/>
                <w:sz w:val="18"/>
                <w:szCs w:val="18"/>
              </w:rPr>
              <w:t>94.2</w:t>
            </w:r>
          </w:p>
        </w:tc>
      </w:tr>
      <w:tr w:rsidR="0007683F" w:rsidRPr="00442736" w:rsidTr="002247B8">
        <w:tc>
          <w:tcPr>
            <w:tcW w:w="5000" w:type="pct"/>
            <w:gridSpan w:val="10"/>
          </w:tcPr>
          <w:p w:rsidR="0007683F" w:rsidRPr="00442736" w:rsidRDefault="00A42884" w:rsidP="00D4621E">
            <w:pPr>
              <w:pStyle w:val="TableBodyText"/>
              <w:jc w:val="left"/>
              <w:rPr>
                <w:b/>
              </w:rPr>
            </w:pPr>
            <w:r w:rsidRPr="00442736">
              <w:rPr>
                <w:b/>
              </w:rPr>
              <w:t>District/C</w:t>
            </w:r>
            <w:r w:rsidR="00F43AAD" w:rsidRPr="00442736">
              <w:rPr>
                <w:b/>
              </w:rPr>
              <w:t>ounty</w:t>
            </w:r>
            <w:r w:rsidR="00505751" w:rsidRPr="00442736">
              <w:rPr>
                <w:b/>
              </w:rPr>
              <w:t xml:space="preserve"> — </w:t>
            </w:r>
            <w:r w:rsidR="00967F0F">
              <w:rPr>
                <w:b/>
              </w:rPr>
              <w:t>appeal</w:t>
            </w:r>
            <w:r w:rsidR="0087432C">
              <w:rPr>
                <w:rStyle w:val="NoteLabel"/>
              </w:rPr>
              <w:t>b</w:t>
            </w:r>
            <w:r w:rsidR="00967F0F">
              <w:rPr>
                <w:rStyle w:val="NoteLabel"/>
              </w:rPr>
              <w:t xml:space="preserve">, </w:t>
            </w:r>
            <w:r w:rsidR="0087432C">
              <w:rPr>
                <w:rStyle w:val="NoteLabel"/>
              </w:rPr>
              <w:t>c</w:t>
            </w:r>
          </w:p>
        </w:tc>
      </w:tr>
      <w:tr w:rsidR="0060180C" w:rsidRPr="00442736" w:rsidTr="00F0048B">
        <w:tc>
          <w:tcPr>
            <w:tcW w:w="1020" w:type="pct"/>
          </w:tcPr>
          <w:p w:rsidR="0060180C" w:rsidRPr="00442736" w:rsidRDefault="0060180C" w:rsidP="00D4621E">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rsidR="0060180C" w:rsidRPr="00442736" w:rsidRDefault="0060180C" w:rsidP="002247B8">
            <w:pPr>
              <w:pStyle w:val="TableBodyText"/>
              <w:rPr>
                <w:szCs w:val="18"/>
              </w:rPr>
            </w:pPr>
            <w:r w:rsidRPr="00442736">
              <w:rPr>
                <w:szCs w:val="18"/>
              </w:rPr>
              <w:t>‘000</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6.54</w:t>
            </w:r>
          </w:p>
        </w:tc>
        <w:tc>
          <w:tcPr>
            <w:tcW w:w="466" w:type="pct"/>
            <w:vAlign w:val="bottom"/>
          </w:tcPr>
          <w:p w:rsidR="0060180C" w:rsidRDefault="0060180C">
            <w:pPr>
              <w:jc w:val="right"/>
              <w:rPr>
                <w:rFonts w:ascii="Arial" w:hAnsi="Arial" w:cs="Arial"/>
                <w:sz w:val="18"/>
                <w:szCs w:val="18"/>
              </w:rPr>
            </w:pPr>
            <w:r>
              <w:rPr>
                <w:rFonts w:ascii="Arial" w:hAnsi="Arial" w:cs="Arial"/>
                <w:sz w:val="18"/>
                <w:szCs w:val="18"/>
              </w:rPr>
              <w:t>2.89</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0.41</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4" w:type="pct"/>
            <w:vAlign w:val="bottom"/>
          </w:tcPr>
          <w:p w:rsidR="0060180C" w:rsidRDefault="0060180C">
            <w:pPr>
              <w:jc w:val="right"/>
              <w:rPr>
                <w:rFonts w:ascii="Arial" w:hAnsi="Arial" w:cs="Arial"/>
                <w:sz w:val="18"/>
                <w:szCs w:val="18"/>
              </w:rPr>
            </w:pPr>
            <w:r>
              <w:rPr>
                <w:rFonts w:ascii="Arial" w:hAnsi="Arial" w:cs="Arial"/>
                <w:sz w:val="18"/>
                <w:szCs w:val="18"/>
              </w:rPr>
              <w:t>..</w:t>
            </w:r>
          </w:p>
        </w:tc>
      </w:tr>
      <w:tr w:rsidR="0060180C" w:rsidRPr="00442736" w:rsidTr="00F0048B">
        <w:tc>
          <w:tcPr>
            <w:tcW w:w="1020" w:type="pct"/>
          </w:tcPr>
          <w:p w:rsidR="0060180C" w:rsidRPr="00442736" w:rsidRDefault="0060180C" w:rsidP="00D4621E">
            <w:pPr>
              <w:pStyle w:val="TableBodyText"/>
              <w:jc w:val="left"/>
              <w:rPr>
                <w:szCs w:val="18"/>
              </w:rPr>
            </w:pPr>
            <w:r w:rsidRPr="00442736">
              <w:rPr>
                <w:szCs w:val="18"/>
              </w:rPr>
              <w:t xml:space="preserve"> Finalisations</w:t>
            </w:r>
          </w:p>
        </w:tc>
        <w:tc>
          <w:tcPr>
            <w:tcW w:w="342" w:type="pct"/>
          </w:tcPr>
          <w:p w:rsidR="0060180C" w:rsidRPr="00442736" w:rsidRDefault="0060180C" w:rsidP="002247B8">
            <w:pPr>
              <w:pStyle w:val="TableBodyText"/>
              <w:rPr>
                <w:szCs w:val="18"/>
              </w:rPr>
            </w:pPr>
            <w:r w:rsidRPr="00442736">
              <w:rPr>
                <w:szCs w:val="18"/>
              </w:rPr>
              <w:t>‘000</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6.49</w:t>
            </w:r>
          </w:p>
        </w:tc>
        <w:tc>
          <w:tcPr>
            <w:tcW w:w="466" w:type="pct"/>
            <w:vAlign w:val="bottom"/>
          </w:tcPr>
          <w:p w:rsidR="0060180C" w:rsidRDefault="0060180C">
            <w:pPr>
              <w:jc w:val="right"/>
              <w:rPr>
                <w:rFonts w:ascii="Arial" w:hAnsi="Arial" w:cs="Arial"/>
                <w:sz w:val="18"/>
                <w:szCs w:val="18"/>
              </w:rPr>
            </w:pPr>
            <w:r>
              <w:rPr>
                <w:rFonts w:ascii="Arial" w:hAnsi="Arial" w:cs="Arial"/>
                <w:sz w:val="18"/>
                <w:szCs w:val="18"/>
              </w:rPr>
              <w:t>2.66</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1.10</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4" w:type="pct"/>
            <w:vAlign w:val="bottom"/>
          </w:tcPr>
          <w:p w:rsidR="0060180C" w:rsidRDefault="0060180C">
            <w:pPr>
              <w:jc w:val="right"/>
              <w:rPr>
                <w:rFonts w:ascii="Arial" w:hAnsi="Arial" w:cs="Arial"/>
                <w:sz w:val="18"/>
                <w:szCs w:val="18"/>
              </w:rPr>
            </w:pPr>
            <w:r>
              <w:rPr>
                <w:rFonts w:ascii="Arial" w:hAnsi="Arial" w:cs="Arial"/>
                <w:sz w:val="18"/>
                <w:szCs w:val="18"/>
              </w:rPr>
              <w:t>..</w:t>
            </w:r>
          </w:p>
        </w:tc>
      </w:tr>
      <w:tr w:rsidR="0060180C" w:rsidRPr="00442736" w:rsidTr="00F0048B">
        <w:tc>
          <w:tcPr>
            <w:tcW w:w="1020" w:type="pct"/>
          </w:tcPr>
          <w:p w:rsidR="0060180C" w:rsidRPr="00442736" w:rsidRDefault="0060180C" w:rsidP="00D4621E">
            <w:pPr>
              <w:pStyle w:val="TableBodyText"/>
              <w:jc w:val="left"/>
              <w:rPr>
                <w:i/>
              </w:rPr>
            </w:pPr>
            <w:r w:rsidRPr="00442736">
              <w:rPr>
                <w:i/>
              </w:rPr>
              <w:t>Clearance rate</w:t>
            </w:r>
          </w:p>
        </w:tc>
        <w:tc>
          <w:tcPr>
            <w:tcW w:w="342" w:type="pct"/>
          </w:tcPr>
          <w:p w:rsidR="0060180C" w:rsidRPr="00442736" w:rsidRDefault="0060180C" w:rsidP="002247B8">
            <w:pPr>
              <w:pStyle w:val="TableBodyText"/>
              <w:rPr>
                <w:i/>
                <w:szCs w:val="16"/>
              </w:rPr>
            </w:pPr>
            <w:r w:rsidRPr="00442736">
              <w:rPr>
                <w:i/>
                <w:szCs w:val="16"/>
              </w:rPr>
              <w:t>%</w:t>
            </w:r>
          </w:p>
        </w:tc>
        <w:tc>
          <w:tcPr>
            <w:tcW w:w="453" w:type="pct"/>
            <w:vAlign w:val="bottom"/>
          </w:tcPr>
          <w:p w:rsidR="0060180C" w:rsidRDefault="0060180C">
            <w:pPr>
              <w:jc w:val="right"/>
              <w:rPr>
                <w:rFonts w:ascii="Arial" w:hAnsi="Arial" w:cs="Arial"/>
                <w:i/>
                <w:iCs/>
                <w:sz w:val="18"/>
                <w:szCs w:val="18"/>
              </w:rPr>
            </w:pPr>
            <w:r>
              <w:rPr>
                <w:rFonts w:ascii="Arial" w:hAnsi="Arial" w:cs="Arial"/>
                <w:i/>
                <w:iCs/>
                <w:sz w:val="18"/>
                <w:szCs w:val="18"/>
              </w:rPr>
              <w:t>99.2</w:t>
            </w:r>
          </w:p>
        </w:tc>
        <w:tc>
          <w:tcPr>
            <w:tcW w:w="466" w:type="pct"/>
            <w:vAlign w:val="bottom"/>
          </w:tcPr>
          <w:p w:rsidR="0060180C" w:rsidRDefault="0060180C">
            <w:pPr>
              <w:jc w:val="right"/>
              <w:rPr>
                <w:rFonts w:ascii="Arial" w:hAnsi="Arial" w:cs="Arial"/>
                <w:i/>
                <w:iCs/>
                <w:sz w:val="18"/>
                <w:szCs w:val="18"/>
              </w:rPr>
            </w:pPr>
            <w:r>
              <w:rPr>
                <w:rFonts w:ascii="Arial" w:hAnsi="Arial" w:cs="Arial"/>
                <w:i/>
                <w:iCs/>
                <w:sz w:val="18"/>
                <w:szCs w:val="18"/>
              </w:rPr>
              <w:t>92.1</w:t>
            </w:r>
          </w:p>
        </w:tc>
        <w:tc>
          <w:tcPr>
            <w:tcW w:w="453" w:type="pct"/>
            <w:vAlign w:val="bottom"/>
          </w:tcPr>
          <w:p w:rsidR="0060180C" w:rsidRDefault="0060180C">
            <w:pPr>
              <w:jc w:val="right"/>
              <w:rPr>
                <w:rFonts w:ascii="Arial" w:hAnsi="Arial" w:cs="Arial"/>
                <w:i/>
                <w:iCs/>
                <w:sz w:val="18"/>
                <w:szCs w:val="18"/>
              </w:rPr>
            </w:pPr>
            <w:r>
              <w:rPr>
                <w:rFonts w:ascii="Arial" w:hAnsi="Arial" w:cs="Arial"/>
                <w:i/>
                <w:iCs/>
                <w:sz w:val="18"/>
                <w:szCs w:val="18"/>
              </w:rPr>
              <w:t>271.9</w:t>
            </w:r>
          </w:p>
        </w:tc>
        <w:tc>
          <w:tcPr>
            <w:tcW w:w="453" w:type="pct"/>
            <w:vAlign w:val="bottom"/>
          </w:tcPr>
          <w:p w:rsidR="0060180C" w:rsidRDefault="0060180C">
            <w:pPr>
              <w:jc w:val="right"/>
              <w:rPr>
                <w:rFonts w:ascii="Arial" w:hAnsi="Arial" w:cs="Arial"/>
                <w:i/>
                <w:iCs/>
                <w:sz w:val="18"/>
                <w:szCs w:val="18"/>
              </w:rPr>
            </w:pPr>
            <w:r>
              <w:rPr>
                <w:rFonts w:ascii="Arial" w:hAnsi="Arial" w:cs="Arial"/>
                <w:i/>
                <w:iCs/>
                <w:sz w:val="18"/>
                <w:szCs w:val="18"/>
              </w:rPr>
              <w:t>..</w:t>
            </w:r>
          </w:p>
        </w:tc>
        <w:tc>
          <w:tcPr>
            <w:tcW w:w="453" w:type="pct"/>
            <w:vAlign w:val="bottom"/>
          </w:tcPr>
          <w:p w:rsidR="0060180C" w:rsidRDefault="0060180C">
            <w:pPr>
              <w:jc w:val="right"/>
              <w:rPr>
                <w:rFonts w:ascii="Arial" w:hAnsi="Arial" w:cs="Arial"/>
                <w:i/>
                <w:iCs/>
                <w:sz w:val="18"/>
                <w:szCs w:val="18"/>
              </w:rPr>
            </w:pPr>
            <w:r>
              <w:rPr>
                <w:rFonts w:ascii="Arial" w:hAnsi="Arial" w:cs="Arial"/>
                <w:i/>
                <w:iCs/>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3" w:type="pct"/>
            <w:vAlign w:val="bottom"/>
          </w:tcPr>
          <w:p w:rsidR="0060180C" w:rsidRDefault="0060180C">
            <w:pPr>
              <w:jc w:val="right"/>
              <w:rPr>
                <w:rFonts w:ascii="Arial" w:hAnsi="Arial" w:cs="Arial"/>
                <w:sz w:val="18"/>
                <w:szCs w:val="18"/>
              </w:rPr>
            </w:pPr>
            <w:r>
              <w:rPr>
                <w:rFonts w:ascii="Arial" w:hAnsi="Arial" w:cs="Arial"/>
                <w:sz w:val="18"/>
                <w:szCs w:val="18"/>
              </w:rPr>
              <w:t>..</w:t>
            </w:r>
          </w:p>
        </w:tc>
        <w:tc>
          <w:tcPr>
            <w:tcW w:w="454" w:type="pct"/>
            <w:vAlign w:val="bottom"/>
          </w:tcPr>
          <w:p w:rsidR="0060180C" w:rsidRDefault="0060180C">
            <w:pPr>
              <w:jc w:val="right"/>
              <w:rPr>
                <w:rFonts w:ascii="Arial" w:hAnsi="Arial" w:cs="Arial"/>
                <w:sz w:val="18"/>
                <w:szCs w:val="18"/>
              </w:rPr>
            </w:pPr>
            <w:r>
              <w:rPr>
                <w:rFonts w:ascii="Arial" w:hAnsi="Arial" w:cs="Arial"/>
                <w:sz w:val="18"/>
                <w:szCs w:val="18"/>
              </w:rPr>
              <w:t>..</w:t>
            </w:r>
          </w:p>
        </w:tc>
      </w:tr>
      <w:tr w:rsidR="0007683F" w:rsidRPr="00442736" w:rsidTr="002247B8">
        <w:tc>
          <w:tcPr>
            <w:tcW w:w="5000" w:type="pct"/>
            <w:gridSpan w:val="10"/>
          </w:tcPr>
          <w:p w:rsidR="0007683F" w:rsidRPr="00442736" w:rsidRDefault="00A42884" w:rsidP="00D4621E">
            <w:pPr>
              <w:pStyle w:val="TableBodyText"/>
              <w:jc w:val="left"/>
              <w:rPr>
                <w:b/>
              </w:rPr>
            </w:pPr>
            <w:r w:rsidRPr="00442736">
              <w:rPr>
                <w:b/>
              </w:rPr>
              <w:t>District/C</w:t>
            </w:r>
            <w:r w:rsidR="00F43AAD" w:rsidRPr="00442736">
              <w:rPr>
                <w:b/>
              </w:rPr>
              <w:t>ounty</w:t>
            </w:r>
            <w:r w:rsidR="00505751" w:rsidRPr="00442736">
              <w:rPr>
                <w:b/>
              </w:rPr>
              <w:t xml:space="preserve"> — </w:t>
            </w:r>
            <w:r w:rsidR="0007683F" w:rsidRPr="00442736">
              <w:rPr>
                <w:b/>
              </w:rPr>
              <w:t>non-appeal</w:t>
            </w:r>
            <w:r w:rsidR="0087432C">
              <w:rPr>
                <w:rStyle w:val="NoteLabel"/>
              </w:rPr>
              <w:t>b</w:t>
            </w:r>
          </w:p>
        </w:tc>
      </w:tr>
      <w:tr w:rsidR="00BB5326" w:rsidRPr="0083637A" w:rsidTr="00F0048B">
        <w:tc>
          <w:tcPr>
            <w:tcW w:w="1020" w:type="pct"/>
          </w:tcPr>
          <w:p w:rsidR="00BB5326" w:rsidRPr="0083637A" w:rsidRDefault="00BB5326" w:rsidP="00D4621E">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rsidR="00BB5326" w:rsidRPr="0083637A" w:rsidRDefault="00BB5326" w:rsidP="002247B8">
            <w:pPr>
              <w:pStyle w:val="TableBodyText"/>
              <w:rPr>
                <w:szCs w:val="18"/>
              </w:rPr>
            </w:pPr>
            <w:r w:rsidRPr="0083637A">
              <w:rPr>
                <w:szCs w:val="18"/>
              </w:rPr>
              <w:t>‘000</w:t>
            </w:r>
          </w:p>
        </w:tc>
        <w:tc>
          <w:tcPr>
            <w:tcW w:w="453" w:type="pct"/>
            <w:vAlign w:val="bottom"/>
          </w:tcPr>
          <w:p w:rsidR="00BB5326" w:rsidRPr="00BB5326" w:rsidRDefault="00BB5326" w:rsidP="00BB5326">
            <w:pPr>
              <w:pStyle w:val="TableBodyText"/>
              <w:rPr>
                <w:sz w:val="18"/>
                <w:szCs w:val="18"/>
              </w:rPr>
            </w:pPr>
            <w:r w:rsidRPr="00BB5326">
              <w:rPr>
                <w:sz w:val="18"/>
                <w:szCs w:val="18"/>
              </w:rPr>
              <w:t>3.95</w:t>
            </w:r>
          </w:p>
        </w:tc>
        <w:tc>
          <w:tcPr>
            <w:tcW w:w="466" w:type="pct"/>
            <w:vAlign w:val="bottom"/>
          </w:tcPr>
          <w:p w:rsidR="00BB5326" w:rsidRPr="00BB5326" w:rsidRDefault="00BB5326" w:rsidP="00BB5326">
            <w:pPr>
              <w:pStyle w:val="TableBodyText"/>
              <w:rPr>
                <w:sz w:val="18"/>
                <w:szCs w:val="18"/>
              </w:rPr>
            </w:pPr>
            <w:r w:rsidRPr="00BB5326">
              <w:rPr>
                <w:sz w:val="18"/>
                <w:szCs w:val="18"/>
              </w:rPr>
              <w:t>2.46</w:t>
            </w:r>
          </w:p>
        </w:tc>
        <w:tc>
          <w:tcPr>
            <w:tcW w:w="453" w:type="pct"/>
            <w:vAlign w:val="bottom"/>
          </w:tcPr>
          <w:p w:rsidR="00BB5326" w:rsidRPr="00BB5326" w:rsidRDefault="00BB5326" w:rsidP="00BB5326">
            <w:pPr>
              <w:pStyle w:val="TableBodyText"/>
              <w:rPr>
                <w:sz w:val="18"/>
                <w:szCs w:val="18"/>
              </w:rPr>
            </w:pPr>
            <w:r w:rsidRPr="00BB5326">
              <w:rPr>
                <w:sz w:val="18"/>
                <w:szCs w:val="18"/>
              </w:rPr>
              <w:t>4.70</w:t>
            </w:r>
          </w:p>
        </w:tc>
        <w:tc>
          <w:tcPr>
            <w:tcW w:w="453" w:type="pct"/>
            <w:vAlign w:val="bottom"/>
          </w:tcPr>
          <w:p w:rsidR="00BB5326" w:rsidRPr="00BB5326" w:rsidRDefault="00BB5326" w:rsidP="00BB5326">
            <w:pPr>
              <w:pStyle w:val="TableBodyText"/>
              <w:rPr>
                <w:sz w:val="18"/>
                <w:szCs w:val="18"/>
              </w:rPr>
            </w:pPr>
            <w:r w:rsidRPr="00BB5326">
              <w:rPr>
                <w:sz w:val="18"/>
                <w:szCs w:val="18"/>
              </w:rPr>
              <w:t>1.99</w:t>
            </w:r>
          </w:p>
        </w:tc>
        <w:tc>
          <w:tcPr>
            <w:tcW w:w="453" w:type="pct"/>
            <w:vAlign w:val="bottom"/>
          </w:tcPr>
          <w:p w:rsidR="00BB5326" w:rsidRPr="00BB5326" w:rsidRDefault="00BB5326" w:rsidP="00BB5326">
            <w:pPr>
              <w:pStyle w:val="TableBodyText"/>
              <w:rPr>
                <w:sz w:val="18"/>
                <w:szCs w:val="18"/>
              </w:rPr>
            </w:pPr>
            <w:r w:rsidRPr="00BB5326">
              <w:rPr>
                <w:sz w:val="18"/>
                <w:szCs w:val="18"/>
              </w:rPr>
              <w:t>2.30</w:t>
            </w:r>
          </w:p>
        </w:tc>
        <w:tc>
          <w:tcPr>
            <w:tcW w:w="453" w:type="pct"/>
            <w:vAlign w:val="bottom"/>
          </w:tcPr>
          <w:p w:rsidR="00BB5326" w:rsidRPr="00CC3173" w:rsidRDefault="00BB5326" w:rsidP="00CC3173">
            <w:pPr>
              <w:pStyle w:val="TableBodyText"/>
              <w:rPr>
                <w:sz w:val="18"/>
              </w:rPr>
            </w:pPr>
            <w:r w:rsidRPr="00CC3173">
              <w:rPr>
                <w:sz w:val="18"/>
              </w:rPr>
              <w:t>..</w:t>
            </w:r>
          </w:p>
        </w:tc>
        <w:tc>
          <w:tcPr>
            <w:tcW w:w="453" w:type="pct"/>
            <w:vAlign w:val="bottom"/>
          </w:tcPr>
          <w:p w:rsidR="00BB5326" w:rsidRPr="00CC3173" w:rsidRDefault="00BB5326" w:rsidP="00CC3173">
            <w:pPr>
              <w:pStyle w:val="TableBodyText"/>
              <w:rPr>
                <w:sz w:val="18"/>
              </w:rPr>
            </w:pPr>
            <w:r w:rsidRPr="00CC3173">
              <w:rPr>
                <w:sz w:val="18"/>
              </w:rPr>
              <w:t>..</w:t>
            </w:r>
          </w:p>
        </w:tc>
        <w:tc>
          <w:tcPr>
            <w:tcW w:w="454" w:type="pct"/>
            <w:vAlign w:val="bottom"/>
          </w:tcPr>
          <w:p w:rsidR="00BB5326" w:rsidRPr="00CC3173" w:rsidRDefault="00BB5326" w:rsidP="00CC3173">
            <w:pPr>
              <w:pStyle w:val="TableBodyText"/>
              <w:rPr>
                <w:sz w:val="18"/>
              </w:rPr>
            </w:pPr>
            <w:r w:rsidRPr="00CC3173">
              <w:rPr>
                <w:sz w:val="18"/>
              </w:rPr>
              <w:t>..</w:t>
            </w:r>
          </w:p>
        </w:tc>
      </w:tr>
      <w:tr w:rsidR="00BB5326" w:rsidRPr="0083637A" w:rsidTr="00F0048B">
        <w:tc>
          <w:tcPr>
            <w:tcW w:w="1020" w:type="pct"/>
          </w:tcPr>
          <w:p w:rsidR="00BB5326" w:rsidRPr="0083637A" w:rsidRDefault="00BB5326" w:rsidP="00D4621E">
            <w:pPr>
              <w:pStyle w:val="TableBodyText"/>
              <w:jc w:val="left"/>
              <w:rPr>
                <w:szCs w:val="18"/>
              </w:rPr>
            </w:pPr>
            <w:r w:rsidRPr="0083637A">
              <w:rPr>
                <w:szCs w:val="18"/>
              </w:rPr>
              <w:t xml:space="preserve"> Finalisations</w:t>
            </w:r>
          </w:p>
        </w:tc>
        <w:tc>
          <w:tcPr>
            <w:tcW w:w="342" w:type="pct"/>
          </w:tcPr>
          <w:p w:rsidR="00BB5326" w:rsidRPr="0083637A" w:rsidRDefault="00BB5326" w:rsidP="002247B8">
            <w:pPr>
              <w:pStyle w:val="TableBodyText"/>
              <w:rPr>
                <w:szCs w:val="18"/>
              </w:rPr>
            </w:pPr>
            <w:r w:rsidRPr="0083637A">
              <w:rPr>
                <w:szCs w:val="18"/>
              </w:rPr>
              <w:t>‘000</w:t>
            </w:r>
          </w:p>
        </w:tc>
        <w:tc>
          <w:tcPr>
            <w:tcW w:w="453" w:type="pct"/>
            <w:vAlign w:val="bottom"/>
          </w:tcPr>
          <w:p w:rsidR="00BB5326" w:rsidRPr="00BB5326" w:rsidRDefault="00BB5326" w:rsidP="00BB5326">
            <w:pPr>
              <w:pStyle w:val="TableBodyText"/>
              <w:rPr>
                <w:sz w:val="18"/>
                <w:szCs w:val="18"/>
              </w:rPr>
            </w:pPr>
            <w:r w:rsidRPr="00BB5326">
              <w:rPr>
                <w:sz w:val="18"/>
                <w:szCs w:val="18"/>
              </w:rPr>
              <w:t>3.54</w:t>
            </w:r>
          </w:p>
        </w:tc>
        <w:tc>
          <w:tcPr>
            <w:tcW w:w="466" w:type="pct"/>
            <w:vAlign w:val="bottom"/>
          </w:tcPr>
          <w:p w:rsidR="00BB5326" w:rsidRPr="00BB5326" w:rsidRDefault="00BB5326" w:rsidP="00BB5326">
            <w:pPr>
              <w:pStyle w:val="TableBodyText"/>
              <w:rPr>
                <w:sz w:val="18"/>
                <w:szCs w:val="18"/>
              </w:rPr>
            </w:pPr>
            <w:r w:rsidRPr="00BB5326">
              <w:rPr>
                <w:sz w:val="18"/>
                <w:szCs w:val="18"/>
              </w:rPr>
              <w:t>2.37</w:t>
            </w:r>
          </w:p>
        </w:tc>
        <w:tc>
          <w:tcPr>
            <w:tcW w:w="453" w:type="pct"/>
            <w:vAlign w:val="bottom"/>
          </w:tcPr>
          <w:p w:rsidR="00BB5326" w:rsidRPr="00BB5326" w:rsidRDefault="00BB5326" w:rsidP="00BB5326">
            <w:pPr>
              <w:pStyle w:val="TableBodyText"/>
              <w:rPr>
                <w:sz w:val="18"/>
                <w:szCs w:val="18"/>
              </w:rPr>
            </w:pPr>
            <w:r w:rsidRPr="00BB5326">
              <w:rPr>
                <w:sz w:val="18"/>
                <w:szCs w:val="18"/>
              </w:rPr>
              <w:t>4.98</w:t>
            </w:r>
          </w:p>
        </w:tc>
        <w:tc>
          <w:tcPr>
            <w:tcW w:w="453" w:type="pct"/>
            <w:vAlign w:val="bottom"/>
          </w:tcPr>
          <w:p w:rsidR="00BB5326" w:rsidRPr="00BB5326" w:rsidRDefault="00BB5326" w:rsidP="00BB5326">
            <w:pPr>
              <w:pStyle w:val="TableBodyText"/>
              <w:rPr>
                <w:sz w:val="18"/>
                <w:szCs w:val="18"/>
              </w:rPr>
            </w:pPr>
            <w:r w:rsidRPr="00BB5326">
              <w:rPr>
                <w:sz w:val="18"/>
                <w:szCs w:val="18"/>
              </w:rPr>
              <w:t>2.02</w:t>
            </w:r>
          </w:p>
        </w:tc>
        <w:tc>
          <w:tcPr>
            <w:tcW w:w="453" w:type="pct"/>
            <w:vAlign w:val="bottom"/>
          </w:tcPr>
          <w:p w:rsidR="00BB5326" w:rsidRPr="00BB5326" w:rsidRDefault="00BB5326" w:rsidP="00BB5326">
            <w:pPr>
              <w:pStyle w:val="TableBodyText"/>
              <w:rPr>
                <w:sz w:val="18"/>
                <w:szCs w:val="18"/>
              </w:rPr>
            </w:pPr>
            <w:r w:rsidRPr="00BB5326">
              <w:rPr>
                <w:sz w:val="18"/>
                <w:szCs w:val="18"/>
              </w:rPr>
              <w:t>2.19</w:t>
            </w:r>
          </w:p>
        </w:tc>
        <w:tc>
          <w:tcPr>
            <w:tcW w:w="453" w:type="pct"/>
            <w:vAlign w:val="bottom"/>
          </w:tcPr>
          <w:p w:rsidR="00BB5326" w:rsidRPr="00CC3173" w:rsidRDefault="00BB5326" w:rsidP="00CC3173">
            <w:pPr>
              <w:pStyle w:val="TableBodyText"/>
              <w:rPr>
                <w:sz w:val="18"/>
              </w:rPr>
            </w:pPr>
            <w:r w:rsidRPr="00CC3173">
              <w:rPr>
                <w:sz w:val="18"/>
              </w:rPr>
              <w:t>..</w:t>
            </w:r>
          </w:p>
        </w:tc>
        <w:tc>
          <w:tcPr>
            <w:tcW w:w="453" w:type="pct"/>
            <w:vAlign w:val="bottom"/>
          </w:tcPr>
          <w:p w:rsidR="00BB5326" w:rsidRPr="00CC3173" w:rsidRDefault="00BB5326" w:rsidP="00CC3173">
            <w:pPr>
              <w:pStyle w:val="TableBodyText"/>
              <w:rPr>
                <w:sz w:val="18"/>
              </w:rPr>
            </w:pPr>
            <w:r w:rsidRPr="00CC3173">
              <w:rPr>
                <w:sz w:val="18"/>
              </w:rPr>
              <w:t>..</w:t>
            </w:r>
          </w:p>
        </w:tc>
        <w:tc>
          <w:tcPr>
            <w:tcW w:w="454" w:type="pct"/>
            <w:vAlign w:val="bottom"/>
          </w:tcPr>
          <w:p w:rsidR="00BB5326" w:rsidRPr="00CC3173" w:rsidRDefault="00BB5326" w:rsidP="00CC3173">
            <w:pPr>
              <w:pStyle w:val="TableBodyText"/>
              <w:rPr>
                <w:sz w:val="18"/>
              </w:rPr>
            </w:pPr>
            <w:r w:rsidRPr="00CC3173">
              <w:rPr>
                <w:sz w:val="18"/>
              </w:rPr>
              <w:t>..</w:t>
            </w:r>
          </w:p>
        </w:tc>
      </w:tr>
      <w:tr w:rsidR="00BB5326" w:rsidRPr="0083637A" w:rsidTr="00F0048B">
        <w:tc>
          <w:tcPr>
            <w:tcW w:w="1020" w:type="pct"/>
          </w:tcPr>
          <w:p w:rsidR="00BB5326" w:rsidRPr="0083637A" w:rsidRDefault="00BB5326" w:rsidP="00D4621E">
            <w:pPr>
              <w:pStyle w:val="TableBodyText"/>
              <w:jc w:val="left"/>
              <w:rPr>
                <w:i/>
              </w:rPr>
            </w:pPr>
            <w:r w:rsidRPr="0083637A">
              <w:rPr>
                <w:i/>
              </w:rPr>
              <w:t>Clearance rate</w:t>
            </w:r>
          </w:p>
        </w:tc>
        <w:tc>
          <w:tcPr>
            <w:tcW w:w="342" w:type="pct"/>
          </w:tcPr>
          <w:p w:rsidR="00BB5326" w:rsidRPr="0083637A" w:rsidRDefault="00BB5326" w:rsidP="002247B8">
            <w:pPr>
              <w:pStyle w:val="TableBodyText"/>
              <w:rPr>
                <w:i/>
                <w:szCs w:val="16"/>
              </w:rPr>
            </w:pPr>
            <w:r w:rsidRPr="0083637A">
              <w:rPr>
                <w:i/>
                <w:szCs w:val="16"/>
              </w:rPr>
              <w:t>%</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89.5</w:t>
            </w:r>
          </w:p>
        </w:tc>
        <w:tc>
          <w:tcPr>
            <w:tcW w:w="466" w:type="pct"/>
            <w:vAlign w:val="bottom"/>
          </w:tcPr>
          <w:p w:rsidR="00BB5326" w:rsidRPr="00BB5326" w:rsidRDefault="00BB5326" w:rsidP="00BB5326">
            <w:pPr>
              <w:pStyle w:val="TableBodyText"/>
              <w:rPr>
                <w:i/>
                <w:iCs/>
                <w:sz w:val="18"/>
                <w:szCs w:val="18"/>
              </w:rPr>
            </w:pPr>
            <w:r w:rsidRPr="00BB5326">
              <w:rPr>
                <w:i/>
                <w:iCs/>
                <w:sz w:val="18"/>
                <w:szCs w:val="18"/>
              </w:rPr>
              <w:t>96.1</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105.9</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101.4</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95.3</w:t>
            </w:r>
          </w:p>
        </w:tc>
        <w:tc>
          <w:tcPr>
            <w:tcW w:w="453" w:type="pct"/>
            <w:vAlign w:val="bottom"/>
          </w:tcPr>
          <w:p w:rsidR="00BB5326" w:rsidRPr="00CC3173" w:rsidRDefault="00BB5326" w:rsidP="00CC3173">
            <w:pPr>
              <w:pStyle w:val="TableBodyText"/>
              <w:rPr>
                <w:sz w:val="18"/>
              </w:rPr>
            </w:pPr>
            <w:r w:rsidRPr="00CC3173">
              <w:rPr>
                <w:sz w:val="18"/>
              </w:rPr>
              <w:t>..</w:t>
            </w:r>
          </w:p>
        </w:tc>
        <w:tc>
          <w:tcPr>
            <w:tcW w:w="453" w:type="pct"/>
            <w:vAlign w:val="bottom"/>
          </w:tcPr>
          <w:p w:rsidR="00BB5326" w:rsidRPr="00CC3173" w:rsidRDefault="00BB5326" w:rsidP="00CC3173">
            <w:pPr>
              <w:pStyle w:val="TableBodyText"/>
              <w:rPr>
                <w:sz w:val="18"/>
              </w:rPr>
            </w:pPr>
            <w:r w:rsidRPr="00CC3173">
              <w:rPr>
                <w:sz w:val="18"/>
              </w:rPr>
              <w:t>..</w:t>
            </w:r>
          </w:p>
        </w:tc>
        <w:tc>
          <w:tcPr>
            <w:tcW w:w="454" w:type="pct"/>
            <w:vAlign w:val="bottom"/>
          </w:tcPr>
          <w:p w:rsidR="00BB5326" w:rsidRPr="00CC3173" w:rsidRDefault="00BB5326" w:rsidP="00CC3173">
            <w:pPr>
              <w:pStyle w:val="TableBodyText"/>
              <w:rPr>
                <w:sz w:val="18"/>
              </w:rPr>
            </w:pPr>
            <w:r w:rsidRPr="00CC3173">
              <w:rPr>
                <w:sz w:val="18"/>
              </w:rPr>
              <w:t>..</w:t>
            </w:r>
          </w:p>
        </w:tc>
      </w:tr>
      <w:tr w:rsidR="0007683F" w:rsidRPr="0083637A" w:rsidTr="002247B8">
        <w:tc>
          <w:tcPr>
            <w:tcW w:w="5000" w:type="pct"/>
            <w:gridSpan w:val="10"/>
          </w:tcPr>
          <w:p w:rsidR="0007683F" w:rsidRPr="00F11266" w:rsidRDefault="0007683F" w:rsidP="00D4621E">
            <w:pPr>
              <w:pStyle w:val="TableBodyText"/>
              <w:jc w:val="left"/>
              <w:rPr>
                <w:rStyle w:val="NoteLabel"/>
              </w:rPr>
            </w:pPr>
            <w:r w:rsidRPr="0083637A">
              <w:rPr>
                <w:b/>
              </w:rPr>
              <w:t>Magistrates’</w:t>
            </w:r>
          </w:p>
        </w:tc>
      </w:tr>
      <w:tr w:rsidR="00BB5326" w:rsidRPr="0083637A" w:rsidTr="00F0048B">
        <w:tc>
          <w:tcPr>
            <w:tcW w:w="1020" w:type="pct"/>
          </w:tcPr>
          <w:p w:rsidR="00BB5326" w:rsidRPr="0083637A" w:rsidRDefault="00BB5326" w:rsidP="00D4621E">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rsidR="00BB5326" w:rsidRPr="0083637A" w:rsidRDefault="00BB5326" w:rsidP="002247B8">
            <w:pPr>
              <w:pStyle w:val="TableBodyText"/>
              <w:rPr>
                <w:szCs w:val="18"/>
              </w:rPr>
            </w:pPr>
            <w:r w:rsidRPr="0083637A">
              <w:rPr>
                <w:szCs w:val="18"/>
              </w:rPr>
              <w:t>‘000</w:t>
            </w:r>
          </w:p>
        </w:tc>
        <w:tc>
          <w:tcPr>
            <w:tcW w:w="453" w:type="pct"/>
            <w:vAlign w:val="bottom"/>
          </w:tcPr>
          <w:p w:rsidR="00BB5326" w:rsidRPr="00BB5326" w:rsidRDefault="00BB5326" w:rsidP="00BB5326">
            <w:pPr>
              <w:pStyle w:val="TableBodyText"/>
              <w:rPr>
                <w:sz w:val="18"/>
                <w:szCs w:val="18"/>
              </w:rPr>
            </w:pPr>
            <w:r w:rsidRPr="00BB5326">
              <w:rPr>
                <w:sz w:val="18"/>
                <w:szCs w:val="18"/>
              </w:rPr>
              <w:t>153.07</w:t>
            </w:r>
          </w:p>
        </w:tc>
        <w:tc>
          <w:tcPr>
            <w:tcW w:w="466" w:type="pct"/>
            <w:vAlign w:val="bottom"/>
          </w:tcPr>
          <w:p w:rsidR="00BB5326" w:rsidRPr="00BB5326" w:rsidRDefault="00BB5326" w:rsidP="00BB5326">
            <w:pPr>
              <w:pStyle w:val="TableBodyText"/>
              <w:rPr>
                <w:sz w:val="18"/>
                <w:szCs w:val="18"/>
              </w:rPr>
            </w:pPr>
            <w:r w:rsidRPr="00BB5326">
              <w:rPr>
                <w:sz w:val="18"/>
                <w:szCs w:val="18"/>
              </w:rPr>
              <w:t>175.35</w:t>
            </w:r>
          </w:p>
        </w:tc>
        <w:tc>
          <w:tcPr>
            <w:tcW w:w="453" w:type="pct"/>
            <w:vAlign w:val="bottom"/>
          </w:tcPr>
          <w:p w:rsidR="00BB5326" w:rsidRPr="00BB5326" w:rsidRDefault="00BB5326" w:rsidP="00BB5326">
            <w:pPr>
              <w:pStyle w:val="TableBodyText"/>
              <w:rPr>
                <w:sz w:val="18"/>
                <w:szCs w:val="18"/>
              </w:rPr>
            </w:pPr>
            <w:r w:rsidRPr="00BB5326">
              <w:rPr>
                <w:sz w:val="18"/>
                <w:szCs w:val="18"/>
              </w:rPr>
              <w:t>188.52</w:t>
            </w:r>
          </w:p>
        </w:tc>
        <w:tc>
          <w:tcPr>
            <w:tcW w:w="453" w:type="pct"/>
            <w:vAlign w:val="bottom"/>
          </w:tcPr>
          <w:p w:rsidR="00BB5326" w:rsidRPr="00BB5326" w:rsidRDefault="00BB5326" w:rsidP="00BB5326">
            <w:pPr>
              <w:pStyle w:val="TableBodyText"/>
              <w:rPr>
                <w:sz w:val="18"/>
                <w:szCs w:val="18"/>
              </w:rPr>
            </w:pPr>
            <w:r w:rsidRPr="00BB5326">
              <w:rPr>
                <w:sz w:val="18"/>
                <w:szCs w:val="18"/>
              </w:rPr>
              <w:t>83.91</w:t>
            </w:r>
          </w:p>
        </w:tc>
        <w:tc>
          <w:tcPr>
            <w:tcW w:w="453" w:type="pct"/>
            <w:vAlign w:val="bottom"/>
          </w:tcPr>
          <w:p w:rsidR="00BB5326" w:rsidRPr="00BB5326" w:rsidRDefault="00BB5326" w:rsidP="00BB5326">
            <w:pPr>
              <w:pStyle w:val="TableBodyText"/>
              <w:rPr>
                <w:sz w:val="18"/>
                <w:szCs w:val="18"/>
              </w:rPr>
            </w:pPr>
            <w:r w:rsidRPr="00BB5326">
              <w:rPr>
                <w:sz w:val="18"/>
                <w:szCs w:val="18"/>
              </w:rPr>
              <w:t>54.36</w:t>
            </w:r>
          </w:p>
        </w:tc>
        <w:tc>
          <w:tcPr>
            <w:tcW w:w="453" w:type="pct"/>
            <w:vAlign w:val="bottom"/>
          </w:tcPr>
          <w:p w:rsidR="00BB5326" w:rsidRPr="00BB5326" w:rsidRDefault="00BB5326" w:rsidP="00BB5326">
            <w:pPr>
              <w:pStyle w:val="TableBodyText"/>
              <w:rPr>
                <w:sz w:val="18"/>
                <w:szCs w:val="18"/>
              </w:rPr>
            </w:pPr>
            <w:r w:rsidRPr="00BB5326">
              <w:rPr>
                <w:sz w:val="18"/>
                <w:szCs w:val="18"/>
              </w:rPr>
              <w:t>15.88</w:t>
            </w:r>
          </w:p>
        </w:tc>
        <w:tc>
          <w:tcPr>
            <w:tcW w:w="453" w:type="pct"/>
            <w:vAlign w:val="bottom"/>
          </w:tcPr>
          <w:p w:rsidR="00BB5326" w:rsidRPr="00BB5326" w:rsidRDefault="00BB5326" w:rsidP="00BB5326">
            <w:pPr>
              <w:pStyle w:val="TableBodyText"/>
              <w:rPr>
                <w:sz w:val="18"/>
                <w:szCs w:val="18"/>
              </w:rPr>
            </w:pPr>
            <w:r w:rsidRPr="00BB5326">
              <w:rPr>
                <w:sz w:val="18"/>
                <w:szCs w:val="18"/>
              </w:rPr>
              <w:t>5.12</w:t>
            </w:r>
          </w:p>
        </w:tc>
        <w:tc>
          <w:tcPr>
            <w:tcW w:w="454" w:type="pct"/>
            <w:vAlign w:val="bottom"/>
          </w:tcPr>
          <w:p w:rsidR="00BB5326" w:rsidRPr="00BB5326" w:rsidRDefault="00BB5326" w:rsidP="00BB5326">
            <w:pPr>
              <w:pStyle w:val="TableBodyText"/>
              <w:rPr>
                <w:sz w:val="18"/>
                <w:szCs w:val="18"/>
              </w:rPr>
            </w:pPr>
            <w:r w:rsidRPr="00BB5326">
              <w:rPr>
                <w:sz w:val="18"/>
                <w:szCs w:val="18"/>
              </w:rPr>
              <w:t>15.49</w:t>
            </w:r>
          </w:p>
        </w:tc>
      </w:tr>
      <w:tr w:rsidR="00BB5326" w:rsidRPr="0083637A" w:rsidTr="00F0048B">
        <w:tc>
          <w:tcPr>
            <w:tcW w:w="1020" w:type="pct"/>
          </w:tcPr>
          <w:p w:rsidR="00BB5326" w:rsidRPr="0083637A" w:rsidRDefault="00BB5326" w:rsidP="00D4621E">
            <w:pPr>
              <w:pStyle w:val="TableBodyText"/>
              <w:jc w:val="left"/>
              <w:rPr>
                <w:szCs w:val="18"/>
              </w:rPr>
            </w:pPr>
            <w:r w:rsidRPr="0083637A">
              <w:rPr>
                <w:szCs w:val="18"/>
              </w:rPr>
              <w:t xml:space="preserve"> Finalisations</w:t>
            </w:r>
          </w:p>
        </w:tc>
        <w:tc>
          <w:tcPr>
            <w:tcW w:w="342" w:type="pct"/>
          </w:tcPr>
          <w:p w:rsidR="00BB5326" w:rsidRPr="0083637A" w:rsidRDefault="00BB5326" w:rsidP="002247B8">
            <w:pPr>
              <w:pStyle w:val="TableBodyText"/>
              <w:rPr>
                <w:szCs w:val="18"/>
              </w:rPr>
            </w:pPr>
            <w:r w:rsidRPr="0083637A">
              <w:rPr>
                <w:szCs w:val="18"/>
              </w:rPr>
              <w:t>‘000</w:t>
            </w:r>
          </w:p>
        </w:tc>
        <w:tc>
          <w:tcPr>
            <w:tcW w:w="453" w:type="pct"/>
            <w:vAlign w:val="bottom"/>
          </w:tcPr>
          <w:p w:rsidR="00BB5326" w:rsidRPr="00BB5326" w:rsidRDefault="00BB5326" w:rsidP="00BB5326">
            <w:pPr>
              <w:pStyle w:val="TableBodyText"/>
              <w:rPr>
                <w:sz w:val="18"/>
                <w:szCs w:val="18"/>
              </w:rPr>
            </w:pPr>
            <w:r w:rsidRPr="00BB5326">
              <w:rPr>
                <w:sz w:val="18"/>
                <w:szCs w:val="18"/>
              </w:rPr>
              <w:t>150.60</w:t>
            </w:r>
          </w:p>
        </w:tc>
        <w:tc>
          <w:tcPr>
            <w:tcW w:w="466" w:type="pct"/>
            <w:vAlign w:val="bottom"/>
          </w:tcPr>
          <w:p w:rsidR="00BB5326" w:rsidRPr="00BB5326" w:rsidRDefault="00BB5326" w:rsidP="00BB5326">
            <w:pPr>
              <w:pStyle w:val="TableBodyText"/>
              <w:rPr>
                <w:sz w:val="18"/>
                <w:szCs w:val="18"/>
              </w:rPr>
            </w:pPr>
            <w:r w:rsidRPr="00BB5326">
              <w:rPr>
                <w:sz w:val="18"/>
                <w:szCs w:val="18"/>
              </w:rPr>
              <w:t>188.54</w:t>
            </w:r>
          </w:p>
        </w:tc>
        <w:tc>
          <w:tcPr>
            <w:tcW w:w="453" w:type="pct"/>
            <w:vAlign w:val="bottom"/>
          </w:tcPr>
          <w:p w:rsidR="00BB5326" w:rsidRPr="00BB5326" w:rsidRDefault="00BB5326" w:rsidP="00BB5326">
            <w:pPr>
              <w:pStyle w:val="TableBodyText"/>
              <w:rPr>
                <w:sz w:val="18"/>
                <w:szCs w:val="18"/>
              </w:rPr>
            </w:pPr>
            <w:r w:rsidRPr="00BB5326">
              <w:rPr>
                <w:sz w:val="18"/>
                <w:szCs w:val="18"/>
              </w:rPr>
              <w:t>183.83</w:t>
            </w:r>
          </w:p>
        </w:tc>
        <w:tc>
          <w:tcPr>
            <w:tcW w:w="453" w:type="pct"/>
            <w:vAlign w:val="bottom"/>
          </w:tcPr>
          <w:p w:rsidR="00BB5326" w:rsidRPr="00BB5326" w:rsidRDefault="00BB5326" w:rsidP="00BB5326">
            <w:pPr>
              <w:pStyle w:val="TableBodyText"/>
              <w:rPr>
                <w:sz w:val="18"/>
                <w:szCs w:val="18"/>
              </w:rPr>
            </w:pPr>
            <w:r w:rsidRPr="00BB5326">
              <w:rPr>
                <w:sz w:val="18"/>
                <w:szCs w:val="18"/>
              </w:rPr>
              <w:t>80.24</w:t>
            </w:r>
          </w:p>
        </w:tc>
        <w:tc>
          <w:tcPr>
            <w:tcW w:w="453" w:type="pct"/>
            <w:vAlign w:val="bottom"/>
          </w:tcPr>
          <w:p w:rsidR="00BB5326" w:rsidRPr="00BB5326" w:rsidRDefault="00BB5326" w:rsidP="00BB5326">
            <w:pPr>
              <w:pStyle w:val="TableBodyText"/>
              <w:rPr>
                <w:sz w:val="18"/>
                <w:szCs w:val="18"/>
              </w:rPr>
            </w:pPr>
            <w:r w:rsidRPr="00BB5326">
              <w:rPr>
                <w:sz w:val="18"/>
                <w:szCs w:val="18"/>
              </w:rPr>
              <w:t>54.77</w:t>
            </w:r>
          </w:p>
        </w:tc>
        <w:tc>
          <w:tcPr>
            <w:tcW w:w="453" w:type="pct"/>
            <w:vAlign w:val="bottom"/>
          </w:tcPr>
          <w:p w:rsidR="00BB5326" w:rsidRPr="00BB5326" w:rsidRDefault="00BB5326" w:rsidP="00BB5326">
            <w:pPr>
              <w:pStyle w:val="TableBodyText"/>
              <w:rPr>
                <w:sz w:val="18"/>
                <w:szCs w:val="18"/>
              </w:rPr>
            </w:pPr>
            <w:r w:rsidRPr="00BB5326">
              <w:rPr>
                <w:sz w:val="18"/>
                <w:szCs w:val="18"/>
              </w:rPr>
              <w:t>16.21</w:t>
            </w:r>
          </w:p>
        </w:tc>
        <w:tc>
          <w:tcPr>
            <w:tcW w:w="453" w:type="pct"/>
            <w:vAlign w:val="bottom"/>
          </w:tcPr>
          <w:p w:rsidR="00BB5326" w:rsidRPr="00BB5326" w:rsidRDefault="00BB5326" w:rsidP="00BB5326">
            <w:pPr>
              <w:pStyle w:val="TableBodyText"/>
              <w:rPr>
                <w:sz w:val="18"/>
                <w:szCs w:val="18"/>
              </w:rPr>
            </w:pPr>
            <w:r w:rsidRPr="00BB5326">
              <w:rPr>
                <w:sz w:val="18"/>
                <w:szCs w:val="18"/>
              </w:rPr>
              <w:t>5.06</w:t>
            </w:r>
          </w:p>
        </w:tc>
        <w:tc>
          <w:tcPr>
            <w:tcW w:w="454" w:type="pct"/>
            <w:vAlign w:val="bottom"/>
          </w:tcPr>
          <w:p w:rsidR="00BB5326" w:rsidRPr="00BB5326" w:rsidRDefault="00BB5326" w:rsidP="00BB5326">
            <w:pPr>
              <w:pStyle w:val="TableBodyText"/>
              <w:rPr>
                <w:sz w:val="18"/>
                <w:szCs w:val="18"/>
              </w:rPr>
            </w:pPr>
            <w:r w:rsidRPr="00BB5326">
              <w:rPr>
                <w:sz w:val="18"/>
                <w:szCs w:val="18"/>
              </w:rPr>
              <w:t>16.60</w:t>
            </w:r>
          </w:p>
        </w:tc>
      </w:tr>
      <w:tr w:rsidR="00BB5326" w:rsidRPr="0083637A" w:rsidTr="00F0048B">
        <w:tc>
          <w:tcPr>
            <w:tcW w:w="1020" w:type="pct"/>
          </w:tcPr>
          <w:p w:rsidR="00BB5326" w:rsidRPr="0083637A" w:rsidRDefault="00BB5326" w:rsidP="00D4621E">
            <w:pPr>
              <w:pStyle w:val="TableBodyText"/>
              <w:jc w:val="left"/>
              <w:rPr>
                <w:i/>
              </w:rPr>
            </w:pPr>
            <w:r w:rsidRPr="0083637A">
              <w:rPr>
                <w:i/>
              </w:rPr>
              <w:t>Clearance rate</w:t>
            </w:r>
          </w:p>
        </w:tc>
        <w:tc>
          <w:tcPr>
            <w:tcW w:w="342" w:type="pct"/>
          </w:tcPr>
          <w:p w:rsidR="00BB5326" w:rsidRPr="0083637A" w:rsidRDefault="00BB5326" w:rsidP="002247B8">
            <w:pPr>
              <w:pStyle w:val="TableBodyText"/>
              <w:rPr>
                <w:i/>
                <w:szCs w:val="16"/>
              </w:rPr>
            </w:pPr>
            <w:r w:rsidRPr="0083637A">
              <w:rPr>
                <w:i/>
                <w:szCs w:val="16"/>
              </w:rPr>
              <w:t>%</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98.4</w:t>
            </w:r>
          </w:p>
        </w:tc>
        <w:tc>
          <w:tcPr>
            <w:tcW w:w="466" w:type="pct"/>
            <w:vAlign w:val="bottom"/>
          </w:tcPr>
          <w:p w:rsidR="00BB5326" w:rsidRPr="00BB5326" w:rsidRDefault="00BB5326" w:rsidP="00BB5326">
            <w:pPr>
              <w:pStyle w:val="TableBodyText"/>
              <w:rPr>
                <w:i/>
                <w:iCs/>
                <w:sz w:val="18"/>
                <w:szCs w:val="18"/>
              </w:rPr>
            </w:pPr>
            <w:r w:rsidRPr="00BB5326">
              <w:rPr>
                <w:i/>
                <w:iCs/>
                <w:sz w:val="18"/>
                <w:szCs w:val="18"/>
              </w:rPr>
              <w:t>107.5</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97.5</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95.6</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100.8</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102.1</w:t>
            </w:r>
          </w:p>
        </w:tc>
        <w:tc>
          <w:tcPr>
            <w:tcW w:w="453" w:type="pct"/>
            <w:vAlign w:val="bottom"/>
          </w:tcPr>
          <w:p w:rsidR="00BB5326" w:rsidRPr="00BB5326" w:rsidRDefault="00BB5326" w:rsidP="00BB5326">
            <w:pPr>
              <w:pStyle w:val="TableBodyText"/>
              <w:rPr>
                <w:i/>
                <w:iCs/>
                <w:sz w:val="18"/>
                <w:szCs w:val="18"/>
              </w:rPr>
            </w:pPr>
            <w:r w:rsidRPr="00BB5326">
              <w:rPr>
                <w:i/>
                <w:iCs/>
                <w:sz w:val="18"/>
                <w:szCs w:val="18"/>
              </w:rPr>
              <w:t>98.8</w:t>
            </w:r>
          </w:p>
        </w:tc>
        <w:tc>
          <w:tcPr>
            <w:tcW w:w="454" w:type="pct"/>
            <w:vAlign w:val="bottom"/>
          </w:tcPr>
          <w:p w:rsidR="00BB5326" w:rsidRPr="00BB5326" w:rsidRDefault="00BB5326" w:rsidP="00BB5326">
            <w:pPr>
              <w:pStyle w:val="TableBodyText"/>
              <w:rPr>
                <w:i/>
                <w:iCs/>
                <w:sz w:val="18"/>
                <w:szCs w:val="18"/>
              </w:rPr>
            </w:pPr>
            <w:r w:rsidRPr="00BB5326">
              <w:rPr>
                <w:i/>
                <w:iCs/>
                <w:sz w:val="18"/>
                <w:szCs w:val="18"/>
              </w:rPr>
              <w:t>107.1</w:t>
            </w:r>
          </w:p>
        </w:tc>
      </w:tr>
      <w:tr w:rsidR="0007683F" w:rsidRPr="000B3555" w:rsidTr="002247B8">
        <w:tc>
          <w:tcPr>
            <w:tcW w:w="5000" w:type="pct"/>
            <w:gridSpan w:val="10"/>
          </w:tcPr>
          <w:p w:rsidR="0007683F" w:rsidRPr="0090197C" w:rsidRDefault="0007683F" w:rsidP="00D4621E">
            <w:pPr>
              <w:pStyle w:val="TableBodyText"/>
              <w:jc w:val="left"/>
              <w:rPr>
                <w:rStyle w:val="NoteLabel"/>
              </w:rPr>
            </w:pPr>
            <w:r w:rsidRPr="000B3555">
              <w:rPr>
                <w:b/>
              </w:rPr>
              <w:t>Children’s</w:t>
            </w:r>
          </w:p>
        </w:tc>
      </w:tr>
      <w:tr w:rsidR="00D56C40" w:rsidRPr="000B3555" w:rsidTr="00F0048B">
        <w:tc>
          <w:tcPr>
            <w:tcW w:w="1020" w:type="pct"/>
          </w:tcPr>
          <w:p w:rsidR="00D56C40" w:rsidRPr="000B3555" w:rsidRDefault="00D56C40" w:rsidP="00D4621E">
            <w:pPr>
              <w:pStyle w:val="TableBodyText"/>
              <w:jc w:val="left"/>
              <w:rPr>
                <w:szCs w:val="18"/>
              </w:rPr>
            </w:pPr>
            <w:r w:rsidRPr="000B3555">
              <w:rPr>
                <w:szCs w:val="18"/>
              </w:rPr>
              <w:t xml:space="preserve"> </w:t>
            </w:r>
            <w:proofErr w:type="spellStart"/>
            <w:r w:rsidRPr="000B3555">
              <w:rPr>
                <w:szCs w:val="18"/>
              </w:rPr>
              <w:t>Lodgments</w:t>
            </w:r>
            <w:proofErr w:type="spellEnd"/>
          </w:p>
        </w:tc>
        <w:tc>
          <w:tcPr>
            <w:tcW w:w="342" w:type="pct"/>
          </w:tcPr>
          <w:p w:rsidR="00D56C40" w:rsidRPr="000B3555" w:rsidRDefault="00D56C40" w:rsidP="002247B8">
            <w:pPr>
              <w:pStyle w:val="TableBodyText"/>
              <w:rPr>
                <w:szCs w:val="18"/>
              </w:rPr>
            </w:pPr>
            <w:r w:rsidRPr="000B3555">
              <w:rPr>
                <w:szCs w:val="18"/>
              </w:rPr>
              <w:t>‘000</w:t>
            </w:r>
          </w:p>
        </w:tc>
        <w:tc>
          <w:tcPr>
            <w:tcW w:w="453" w:type="pct"/>
            <w:vAlign w:val="bottom"/>
          </w:tcPr>
          <w:p w:rsidR="00D56C40" w:rsidRPr="00D56C40" w:rsidRDefault="00D56C40" w:rsidP="00D56C40">
            <w:pPr>
              <w:pStyle w:val="TableBodyText"/>
              <w:rPr>
                <w:sz w:val="18"/>
                <w:szCs w:val="18"/>
              </w:rPr>
            </w:pPr>
            <w:r w:rsidRPr="00D56C40">
              <w:rPr>
                <w:sz w:val="18"/>
                <w:szCs w:val="18"/>
              </w:rPr>
              <w:t>10.04</w:t>
            </w:r>
          </w:p>
        </w:tc>
        <w:tc>
          <w:tcPr>
            <w:tcW w:w="466" w:type="pct"/>
            <w:vAlign w:val="bottom"/>
          </w:tcPr>
          <w:p w:rsidR="00D56C40" w:rsidRPr="00D56C40" w:rsidRDefault="00D56C40" w:rsidP="00D56C40">
            <w:pPr>
              <w:pStyle w:val="TableBodyText"/>
              <w:rPr>
                <w:sz w:val="18"/>
                <w:szCs w:val="18"/>
              </w:rPr>
            </w:pPr>
            <w:r w:rsidRPr="00D56C40">
              <w:rPr>
                <w:sz w:val="18"/>
                <w:szCs w:val="18"/>
              </w:rPr>
              <w:t>20.82</w:t>
            </w:r>
          </w:p>
        </w:tc>
        <w:tc>
          <w:tcPr>
            <w:tcW w:w="453" w:type="pct"/>
            <w:vAlign w:val="bottom"/>
          </w:tcPr>
          <w:p w:rsidR="00D56C40" w:rsidRPr="00D56C40" w:rsidRDefault="00D56C40" w:rsidP="00D56C40">
            <w:pPr>
              <w:pStyle w:val="TableBodyText"/>
              <w:rPr>
                <w:sz w:val="18"/>
                <w:szCs w:val="18"/>
              </w:rPr>
            </w:pPr>
            <w:r w:rsidRPr="00D56C40">
              <w:rPr>
                <w:sz w:val="18"/>
                <w:szCs w:val="18"/>
              </w:rPr>
              <w:t>11.72</w:t>
            </w:r>
          </w:p>
        </w:tc>
        <w:tc>
          <w:tcPr>
            <w:tcW w:w="453" w:type="pct"/>
            <w:vAlign w:val="bottom"/>
          </w:tcPr>
          <w:p w:rsidR="00D56C40" w:rsidRPr="00D56C40" w:rsidRDefault="00D56C40" w:rsidP="00D56C40">
            <w:pPr>
              <w:pStyle w:val="TableBodyText"/>
              <w:rPr>
                <w:sz w:val="18"/>
                <w:szCs w:val="18"/>
              </w:rPr>
            </w:pPr>
            <w:r w:rsidRPr="00D56C40">
              <w:rPr>
                <w:sz w:val="18"/>
                <w:szCs w:val="18"/>
              </w:rPr>
              <w:t>6.90</w:t>
            </w:r>
          </w:p>
        </w:tc>
        <w:tc>
          <w:tcPr>
            <w:tcW w:w="453" w:type="pct"/>
            <w:vAlign w:val="bottom"/>
          </w:tcPr>
          <w:p w:rsidR="00D56C40" w:rsidRPr="00D56C40" w:rsidRDefault="00D56C40" w:rsidP="00D56C40">
            <w:pPr>
              <w:pStyle w:val="TableBodyText"/>
              <w:rPr>
                <w:sz w:val="18"/>
                <w:szCs w:val="18"/>
              </w:rPr>
            </w:pPr>
            <w:r w:rsidRPr="00D56C40">
              <w:rPr>
                <w:sz w:val="18"/>
                <w:szCs w:val="18"/>
              </w:rPr>
              <w:t>5.36</w:t>
            </w:r>
          </w:p>
        </w:tc>
        <w:tc>
          <w:tcPr>
            <w:tcW w:w="453" w:type="pct"/>
            <w:vAlign w:val="bottom"/>
          </w:tcPr>
          <w:p w:rsidR="00D56C40" w:rsidRPr="00D56C40" w:rsidRDefault="00D56C40" w:rsidP="00D56C40">
            <w:pPr>
              <w:pStyle w:val="TableBodyText"/>
              <w:rPr>
                <w:sz w:val="18"/>
                <w:szCs w:val="18"/>
              </w:rPr>
            </w:pPr>
            <w:r w:rsidRPr="00D56C40">
              <w:rPr>
                <w:sz w:val="18"/>
                <w:szCs w:val="18"/>
              </w:rPr>
              <w:t>1.57</w:t>
            </w:r>
          </w:p>
        </w:tc>
        <w:tc>
          <w:tcPr>
            <w:tcW w:w="453" w:type="pct"/>
            <w:vAlign w:val="bottom"/>
          </w:tcPr>
          <w:p w:rsidR="00D56C40" w:rsidRPr="00D56C40" w:rsidRDefault="00D56C40" w:rsidP="00D56C40">
            <w:pPr>
              <w:pStyle w:val="TableBodyText"/>
              <w:rPr>
                <w:sz w:val="18"/>
                <w:szCs w:val="18"/>
              </w:rPr>
            </w:pPr>
            <w:r w:rsidRPr="00D56C40">
              <w:rPr>
                <w:sz w:val="18"/>
                <w:szCs w:val="18"/>
              </w:rPr>
              <w:t>0.41</w:t>
            </w:r>
          </w:p>
        </w:tc>
        <w:tc>
          <w:tcPr>
            <w:tcW w:w="454" w:type="pct"/>
            <w:vAlign w:val="bottom"/>
          </w:tcPr>
          <w:p w:rsidR="00D56C40" w:rsidRPr="00D56C40" w:rsidRDefault="00D56C40" w:rsidP="00D56C40">
            <w:pPr>
              <w:pStyle w:val="TableBodyText"/>
              <w:rPr>
                <w:sz w:val="18"/>
                <w:szCs w:val="18"/>
              </w:rPr>
            </w:pPr>
            <w:r w:rsidRPr="00D56C40">
              <w:rPr>
                <w:sz w:val="18"/>
                <w:szCs w:val="18"/>
              </w:rPr>
              <w:t>2.02</w:t>
            </w:r>
          </w:p>
        </w:tc>
      </w:tr>
      <w:tr w:rsidR="00D56C40" w:rsidRPr="000B3555" w:rsidTr="00990B51">
        <w:tc>
          <w:tcPr>
            <w:tcW w:w="1020" w:type="pct"/>
          </w:tcPr>
          <w:p w:rsidR="00D56C40" w:rsidRPr="000B3555" w:rsidRDefault="00D56C40" w:rsidP="00D4621E">
            <w:pPr>
              <w:pStyle w:val="TableBodyText"/>
              <w:jc w:val="left"/>
              <w:rPr>
                <w:szCs w:val="18"/>
              </w:rPr>
            </w:pPr>
            <w:r w:rsidRPr="000B3555">
              <w:rPr>
                <w:szCs w:val="18"/>
              </w:rPr>
              <w:t xml:space="preserve"> Finalisations</w:t>
            </w:r>
          </w:p>
        </w:tc>
        <w:tc>
          <w:tcPr>
            <w:tcW w:w="342" w:type="pct"/>
          </w:tcPr>
          <w:p w:rsidR="00D56C40" w:rsidRPr="000B3555" w:rsidRDefault="00D56C40" w:rsidP="002247B8">
            <w:pPr>
              <w:pStyle w:val="TableBodyText"/>
              <w:rPr>
                <w:szCs w:val="18"/>
              </w:rPr>
            </w:pPr>
            <w:r w:rsidRPr="000B3555">
              <w:rPr>
                <w:szCs w:val="18"/>
              </w:rPr>
              <w:t>‘000</w:t>
            </w:r>
          </w:p>
        </w:tc>
        <w:tc>
          <w:tcPr>
            <w:tcW w:w="453" w:type="pct"/>
            <w:vAlign w:val="bottom"/>
          </w:tcPr>
          <w:p w:rsidR="00D56C40" w:rsidRPr="00D56C40" w:rsidRDefault="00D56C40" w:rsidP="00D56C40">
            <w:pPr>
              <w:pStyle w:val="TableBodyText"/>
              <w:rPr>
                <w:sz w:val="18"/>
                <w:szCs w:val="18"/>
              </w:rPr>
            </w:pPr>
            <w:r w:rsidRPr="00D56C40">
              <w:rPr>
                <w:sz w:val="18"/>
                <w:szCs w:val="18"/>
              </w:rPr>
              <w:t>10.00</w:t>
            </w:r>
          </w:p>
        </w:tc>
        <w:tc>
          <w:tcPr>
            <w:tcW w:w="466" w:type="pct"/>
            <w:vAlign w:val="bottom"/>
          </w:tcPr>
          <w:p w:rsidR="00D56C40" w:rsidRPr="00D56C40" w:rsidRDefault="00D56C40" w:rsidP="00D56C40">
            <w:pPr>
              <w:pStyle w:val="TableBodyText"/>
              <w:rPr>
                <w:sz w:val="18"/>
                <w:szCs w:val="18"/>
              </w:rPr>
            </w:pPr>
            <w:r w:rsidRPr="00D56C40">
              <w:rPr>
                <w:sz w:val="18"/>
                <w:szCs w:val="18"/>
              </w:rPr>
              <w:t>21.97</w:t>
            </w:r>
          </w:p>
        </w:tc>
        <w:tc>
          <w:tcPr>
            <w:tcW w:w="453" w:type="pct"/>
            <w:vAlign w:val="bottom"/>
          </w:tcPr>
          <w:p w:rsidR="00D56C40" w:rsidRPr="00D56C40" w:rsidRDefault="00D56C40" w:rsidP="00D56C40">
            <w:pPr>
              <w:pStyle w:val="TableBodyText"/>
              <w:rPr>
                <w:sz w:val="18"/>
                <w:szCs w:val="18"/>
              </w:rPr>
            </w:pPr>
            <w:r w:rsidRPr="00D56C40">
              <w:rPr>
                <w:sz w:val="18"/>
                <w:szCs w:val="18"/>
              </w:rPr>
              <w:t>12.53</w:t>
            </w:r>
          </w:p>
        </w:tc>
        <w:tc>
          <w:tcPr>
            <w:tcW w:w="453" w:type="pct"/>
            <w:vAlign w:val="bottom"/>
          </w:tcPr>
          <w:p w:rsidR="00D56C40" w:rsidRPr="00D56C40" w:rsidRDefault="00D56C40" w:rsidP="00D56C40">
            <w:pPr>
              <w:pStyle w:val="TableBodyText"/>
              <w:rPr>
                <w:sz w:val="18"/>
                <w:szCs w:val="18"/>
              </w:rPr>
            </w:pPr>
            <w:r w:rsidRPr="00D56C40">
              <w:rPr>
                <w:sz w:val="18"/>
                <w:szCs w:val="18"/>
              </w:rPr>
              <w:t>6.80</w:t>
            </w:r>
          </w:p>
        </w:tc>
        <w:tc>
          <w:tcPr>
            <w:tcW w:w="453" w:type="pct"/>
            <w:vAlign w:val="bottom"/>
          </w:tcPr>
          <w:p w:rsidR="00D56C40" w:rsidRPr="00D56C40" w:rsidRDefault="00D56C40" w:rsidP="00D56C40">
            <w:pPr>
              <w:pStyle w:val="TableBodyText"/>
              <w:rPr>
                <w:sz w:val="18"/>
                <w:szCs w:val="18"/>
              </w:rPr>
            </w:pPr>
            <w:r w:rsidRPr="00D56C40">
              <w:rPr>
                <w:sz w:val="18"/>
                <w:szCs w:val="18"/>
              </w:rPr>
              <w:t>5.40</w:t>
            </w:r>
          </w:p>
        </w:tc>
        <w:tc>
          <w:tcPr>
            <w:tcW w:w="453" w:type="pct"/>
            <w:vAlign w:val="bottom"/>
          </w:tcPr>
          <w:p w:rsidR="00D56C40" w:rsidRPr="00D56C40" w:rsidRDefault="00D56C40" w:rsidP="00D56C40">
            <w:pPr>
              <w:pStyle w:val="TableBodyText"/>
              <w:rPr>
                <w:sz w:val="18"/>
                <w:szCs w:val="18"/>
              </w:rPr>
            </w:pPr>
            <w:r w:rsidRPr="00D56C40">
              <w:rPr>
                <w:sz w:val="18"/>
                <w:szCs w:val="18"/>
              </w:rPr>
              <w:t>1.66</w:t>
            </w:r>
          </w:p>
        </w:tc>
        <w:tc>
          <w:tcPr>
            <w:tcW w:w="453" w:type="pct"/>
            <w:vAlign w:val="bottom"/>
          </w:tcPr>
          <w:p w:rsidR="00D56C40" w:rsidRPr="00D56C40" w:rsidRDefault="00D56C40" w:rsidP="00D56C40">
            <w:pPr>
              <w:pStyle w:val="TableBodyText"/>
              <w:rPr>
                <w:sz w:val="18"/>
                <w:szCs w:val="18"/>
              </w:rPr>
            </w:pPr>
            <w:r w:rsidRPr="00D56C40">
              <w:rPr>
                <w:sz w:val="18"/>
                <w:szCs w:val="18"/>
              </w:rPr>
              <w:t>0.47</w:t>
            </w:r>
          </w:p>
        </w:tc>
        <w:tc>
          <w:tcPr>
            <w:tcW w:w="454" w:type="pct"/>
            <w:vAlign w:val="bottom"/>
          </w:tcPr>
          <w:p w:rsidR="00D56C40" w:rsidRPr="00D56C40" w:rsidRDefault="00D56C40" w:rsidP="00D56C40">
            <w:pPr>
              <w:pStyle w:val="TableBodyText"/>
              <w:rPr>
                <w:sz w:val="18"/>
                <w:szCs w:val="18"/>
              </w:rPr>
            </w:pPr>
            <w:r w:rsidRPr="00D56C40">
              <w:rPr>
                <w:sz w:val="18"/>
                <w:szCs w:val="18"/>
              </w:rPr>
              <w:t>2.10</w:t>
            </w:r>
          </w:p>
        </w:tc>
      </w:tr>
      <w:tr w:rsidR="00D56C40" w:rsidRPr="000B3555" w:rsidTr="00990B51">
        <w:tc>
          <w:tcPr>
            <w:tcW w:w="1020" w:type="pct"/>
            <w:tcBorders>
              <w:bottom w:val="single" w:sz="4" w:space="0" w:color="auto"/>
            </w:tcBorders>
          </w:tcPr>
          <w:p w:rsidR="00D56C40" w:rsidRPr="000B3555" w:rsidRDefault="00D56C40" w:rsidP="00D4621E">
            <w:pPr>
              <w:pStyle w:val="TableBodyText"/>
              <w:jc w:val="left"/>
              <w:rPr>
                <w:i/>
              </w:rPr>
            </w:pPr>
            <w:r w:rsidRPr="000B3555">
              <w:rPr>
                <w:i/>
              </w:rPr>
              <w:t>Clearance rate</w:t>
            </w:r>
          </w:p>
        </w:tc>
        <w:tc>
          <w:tcPr>
            <w:tcW w:w="342" w:type="pct"/>
            <w:tcBorders>
              <w:bottom w:val="single" w:sz="4" w:space="0" w:color="auto"/>
            </w:tcBorders>
          </w:tcPr>
          <w:p w:rsidR="00D56C40" w:rsidRPr="000B3555" w:rsidRDefault="00D56C40" w:rsidP="002247B8">
            <w:pPr>
              <w:pStyle w:val="TableBodyText"/>
              <w:rPr>
                <w:i/>
              </w:rPr>
            </w:pPr>
            <w:r w:rsidRPr="000B3555">
              <w:rPr>
                <w:i/>
              </w:rPr>
              <w:t>%</w:t>
            </w:r>
          </w:p>
        </w:tc>
        <w:tc>
          <w:tcPr>
            <w:tcW w:w="453"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99.6</w:t>
            </w:r>
          </w:p>
        </w:tc>
        <w:tc>
          <w:tcPr>
            <w:tcW w:w="466"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105.5</w:t>
            </w:r>
          </w:p>
        </w:tc>
        <w:tc>
          <w:tcPr>
            <w:tcW w:w="453"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106.9</w:t>
            </w:r>
          </w:p>
        </w:tc>
        <w:tc>
          <w:tcPr>
            <w:tcW w:w="453"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98.5</w:t>
            </w:r>
          </w:p>
        </w:tc>
        <w:tc>
          <w:tcPr>
            <w:tcW w:w="453"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100.8</w:t>
            </w:r>
          </w:p>
        </w:tc>
        <w:tc>
          <w:tcPr>
            <w:tcW w:w="453"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105.7</w:t>
            </w:r>
          </w:p>
        </w:tc>
        <w:tc>
          <w:tcPr>
            <w:tcW w:w="453"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114.5</w:t>
            </w:r>
          </w:p>
        </w:tc>
        <w:tc>
          <w:tcPr>
            <w:tcW w:w="454" w:type="pct"/>
            <w:tcBorders>
              <w:bottom w:val="single" w:sz="4" w:space="0" w:color="auto"/>
            </w:tcBorders>
            <w:vAlign w:val="bottom"/>
          </w:tcPr>
          <w:p w:rsidR="00D56C40" w:rsidRPr="00D56C40" w:rsidRDefault="00D56C40" w:rsidP="00D56C40">
            <w:pPr>
              <w:pStyle w:val="TableBodyText"/>
              <w:rPr>
                <w:i/>
                <w:iCs/>
                <w:sz w:val="18"/>
                <w:szCs w:val="18"/>
              </w:rPr>
            </w:pPr>
            <w:r w:rsidRPr="00D56C40">
              <w:rPr>
                <w:i/>
                <w:iCs/>
                <w:sz w:val="18"/>
                <w:szCs w:val="18"/>
              </w:rPr>
              <w:t>104.3</w:t>
            </w:r>
          </w:p>
        </w:tc>
      </w:tr>
    </w:tbl>
    <w:p w:rsidR="007C1F92" w:rsidRDefault="007C1F92" w:rsidP="00997E3F">
      <w:pPr>
        <w:pStyle w:val="Note"/>
      </w:pPr>
      <w:r w:rsidRPr="007C1F92">
        <w:rPr>
          <w:rStyle w:val="NoteLabel"/>
        </w:rPr>
        <w:t>a</w:t>
      </w:r>
      <w:r w:rsidR="005E3758">
        <w:rPr>
          <w:rStyle w:val="NoteLabel"/>
        </w:rPr>
        <w:t> </w:t>
      </w:r>
      <w:r w:rsidR="007552A5" w:rsidRPr="007552A5">
        <w:t>C</w:t>
      </w:r>
      <w:r w:rsidR="005E3758">
        <w:t xml:space="preserve">learance </w:t>
      </w:r>
      <w:r w:rsidR="006D5F3C">
        <w:t>indicator</w:t>
      </w:r>
      <w:r w:rsidR="005E3758">
        <w:t xml:space="preserve"> </w:t>
      </w:r>
      <w:r w:rsidR="007552A5">
        <w:t>results are</w:t>
      </w:r>
      <w:r w:rsidR="005E3758">
        <w:t xml:space="preserve"> derived from finalisation and </w:t>
      </w:r>
      <w:proofErr w:type="spellStart"/>
      <w:r w:rsidR="005E3758">
        <w:t>lodgment</w:t>
      </w:r>
      <w:proofErr w:type="spellEnd"/>
      <w:r w:rsidR="005E3758">
        <w:t xml:space="preserve"> data</w:t>
      </w:r>
      <w:r w:rsidR="001128A0">
        <w:t xml:space="preserve"> presented in tables </w:t>
      </w:r>
      <w:proofErr w:type="spellStart"/>
      <w:r w:rsidR="00EB2A24">
        <w:t>7A.1</w:t>
      </w:r>
      <w:proofErr w:type="spellEnd"/>
      <w:r w:rsidR="00EB2A24">
        <w:t xml:space="preserve"> and </w:t>
      </w:r>
      <w:proofErr w:type="spellStart"/>
      <w:r w:rsidR="00EB2A24">
        <w:t>7A.</w:t>
      </w:r>
      <w:r w:rsidR="00227BFA">
        <w:t>6</w:t>
      </w:r>
      <w:proofErr w:type="spellEnd"/>
      <w:r w:rsidR="00EB2A24" w:rsidRPr="00AD5009">
        <w:t>.</w:t>
      </w:r>
      <w:r w:rsidR="005E3758" w:rsidRPr="00AD5009">
        <w:t xml:space="preserve"> </w:t>
      </w:r>
      <w:r w:rsidR="00195A44" w:rsidRPr="00096E79">
        <w:rPr>
          <w:rStyle w:val="NoteLabel"/>
        </w:rPr>
        <w:t>b </w:t>
      </w:r>
      <w:r w:rsidR="007552A5" w:rsidRPr="00096E79">
        <w:t>Queensland s</w:t>
      </w:r>
      <w:r w:rsidR="00904DE8" w:rsidRPr="00096E79">
        <w:t>upreme</w:t>
      </w:r>
      <w:r w:rsidR="007552A5">
        <w:t xml:space="preserve"> and d</w:t>
      </w:r>
      <w:r w:rsidR="00904DE8">
        <w:t>istrict</w:t>
      </w:r>
      <w:r w:rsidR="007552A5">
        <w:t xml:space="preserve"> c</w:t>
      </w:r>
      <w:r w:rsidR="00904DE8" w:rsidRPr="003641CF">
        <w:t>ourt</w:t>
      </w:r>
      <w:r w:rsidR="007552A5">
        <w:t>s</w:t>
      </w:r>
      <w:r w:rsidR="00904DE8" w:rsidRPr="003641CF">
        <w:t xml:space="preserve"> data for the numb</w:t>
      </w:r>
      <w:r w:rsidR="00904DE8">
        <w:t xml:space="preserve">er of originating criminal </w:t>
      </w:r>
      <w:proofErr w:type="spellStart"/>
      <w:r w:rsidR="00904DE8">
        <w:t>lodg</w:t>
      </w:r>
      <w:r w:rsidR="00904DE8" w:rsidRPr="003641CF">
        <w:t>ments</w:t>
      </w:r>
      <w:proofErr w:type="spellEnd"/>
      <w:r w:rsidR="00904DE8" w:rsidRPr="003641CF">
        <w:t xml:space="preserve"> </w:t>
      </w:r>
      <w:r w:rsidR="007552A5">
        <w:t>are</w:t>
      </w:r>
      <w:r w:rsidR="00904DE8" w:rsidRPr="003641CF">
        <w:t xml:space="preserve"> based on a count of the n</w:t>
      </w:r>
      <w:r w:rsidR="007552A5">
        <w:t>umber of defendants who had an i</w:t>
      </w:r>
      <w:r w:rsidR="00904DE8" w:rsidRPr="003641CF">
        <w:t>ndictment p</w:t>
      </w:r>
      <w:r w:rsidR="001128A0">
        <w:t xml:space="preserve">resented in the financial year — </w:t>
      </w:r>
      <w:r w:rsidR="00904DE8" w:rsidRPr="003641CF">
        <w:t>it is not a count of the number of de</w:t>
      </w:r>
      <w:r w:rsidR="007552A5">
        <w:t>fendants committed to the s</w:t>
      </w:r>
      <w:r w:rsidR="00904DE8" w:rsidRPr="003641CF">
        <w:t>upreme</w:t>
      </w:r>
      <w:r w:rsidR="001128A0">
        <w:t>/</w:t>
      </w:r>
      <w:r w:rsidR="007552A5">
        <w:t>d</w:t>
      </w:r>
      <w:r w:rsidR="00904DE8">
        <w:t>istrict</w:t>
      </w:r>
      <w:r w:rsidR="007552A5">
        <w:t xml:space="preserve"> c</w:t>
      </w:r>
      <w:r w:rsidR="00904DE8" w:rsidRPr="003641CF">
        <w:t>ourt</w:t>
      </w:r>
      <w:r w:rsidR="007552A5">
        <w:t>s</w:t>
      </w:r>
      <w:r w:rsidR="00904DE8" w:rsidRPr="003641CF">
        <w:t xml:space="preserve"> for trial or sentencing.</w:t>
      </w:r>
      <w:r w:rsidR="00904DE8">
        <w:t xml:space="preserve"> </w:t>
      </w:r>
      <w:r w:rsidR="003349B5">
        <w:t>The number of finalisations in the Queensland district appeal court for 2012</w:t>
      </w:r>
      <w:r w:rsidR="00205BCF">
        <w:noBreakHyphen/>
      </w:r>
      <w:r w:rsidR="003349B5">
        <w:t xml:space="preserve">13 was unusually high due to a further appeal pending in a higher appeal court jurisdiction – the outcome of that higher court appeal set the precedent for those appeals pending in the district court (all related to the alcohol management program) which were all finalised together, resulting in a very high clearance rate. </w:t>
      </w:r>
      <w:r w:rsidR="0087432C">
        <w:rPr>
          <w:rStyle w:val="NoteLabel"/>
        </w:rPr>
        <w:t>c</w:t>
      </w:r>
      <w:r w:rsidR="00DE37B5">
        <w:t> </w:t>
      </w:r>
      <w:r w:rsidR="002247B8">
        <w:t>Appeals are not heard in the district courts in WA or SA, instead they are referred to the</w:t>
      </w:r>
      <w:r w:rsidR="00DE37B5">
        <w:t xml:space="preserve"> </w:t>
      </w:r>
      <w:r w:rsidR="007552A5">
        <w:t>supreme c</w:t>
      </w:r>
      <w:r w:rsidR="00BC62E9">
        <w:t>ourt</w:t>
      </w:r>
      <w:r w:rsidR="00DE37B5">
        <w:t>s in these states</w:t>
      </w:r>
      <w:r w:rsidR="00A867A2">
        <w:t>.</w:t>
      </w:r>
      <w:r w:rsidR="002F679C">
        <w:t xml:space="preserve"> </w:t>
      </w:r>
      <w:r w:rsidR="00B4320E">
        <w:t xml:space="preserve"> </w:t>
      </w:r>
      <w:r w:rsidR="00E92ADD">
        <w:rPr>
          <w:b/>
        </w:rPr>
        <w:t>.. </w:t>
      </w:r>
      <w:r w:rsidR="00E92ADD" w:rsidRPr="00E92ADD">
        <w:t>Not</w:t>
      </w:r>
      <w:r w:rsidR="00E92ADD">
        <w:t> applicable</w:t>
      </w:r>
      <w:r w:rsidR="002247B8">
        <w:t>.</w:t>
      </w:r>
    </w:p>
    <w:p w:rsidR="007C1F92" w:rsidRDefault="007C1F92" w:rsidP="007C1F92">
      <w:pPr>
        <w:pStyle w:val="Source"/>
      </w:pPr>
      <w:r>
        <w:rPr>
          <w:i/>
        </w:rPr>
        <w:t>Source</w:t>
      </w:r>
      <w:r>
        <w:t xml:space="preserve">: </w:t>
      </w:r>
      <w:r w:rsidR="005663EC">
        <w:t>Australian, State and Territory court authorities and dep</w:t>
      </w:r>
      <w:r w:rsidR="0085256B">
        <w:t>artme</w:t>
      </w:r>
      <w:r w:rsidR="00682064">
        <w:t>nts (unpublished); tables </w:t>
      </w:r>
      <w:proofErr w:type="spellStart"/>
      <w:r w:rsidR="00682064">
        <w:t>7A.1</w:t>
      </w:r>
      <w:proofErr w:type="spellEnd"/>
      <w:r w:rsidR="00682064">
        <w:t xml:space="preserve">, </w:t>
      </w:r>
      <w:proofErr w:type="spellStart"/>
      <w:r w:rsidR="00682064">
        <w:t>7A.</w:t>
      </w:r>
      <w:r w:rsidR="00395295">
        <w:t>6</w:t>
      </w:r>
      <w:proofErr w:type="spellEnd"/>
      <w:r w:rsidR="0085256B">
        <w:t xml:space="preserve">, and </w:t>
      </w:r>
      <w:proofErr w:type="spellStart"/>
      <w:r w:rsidR="0085256B">
        <w:t>7</w:t>
      </w:r>
      <w:r w:rsidR="005663EC">
        <w:t>A.2</w:t>
      </w:r>
      <w:r w:rsidR="00395295">
        <w:t>4</w:t>
      </w:r>
      <w:proofErr w:type="spellEnd"/>
      <w:r w:rsidR="005663EC">
        <w:t>.</w:t>
      </w:r>
    </w:p>
    <w:p w:rsidR="007C1F92" w:rsidRPr="001C734F" w:rsidRDefault="007C1F92" w:rsidP="003B341A">
      <w:pPr>
        <w:pStyle w:val="TableTitle"/>
      </w:pPr>
      <w:r w:rsidRPr="001C734F">
        <w:rPr>
          <w:b w:val="0"/>
        </w:rPr>
        <w:lastRenderedPageBreak/>
        <w:t>Table 7.</w:t>
      </w:r>
      <w:r w:rsidR="00A867A2">
        <w:rPr>
          <w:b w:val="0"/>
          <w:noProof/>
        </w:rPr>
        <w:t>17</w:t>
      </w:r>
      <w:r w:rsidRPr="001C734F">
        <w:tab/>
      </w:r>
      <w:r w:rsidR="002247B8" w:rsidRPr="001C734F">
        <w:t>Clearance</w:t>
      </w:r>
      <w:r w:rsidR="00195308" w:rsidRPr="001C734F">
        <w:t xml:space="preserve"> —</w:t>
      </w:r>
      <w:r w:rsidR="002247B8" w:rsidRPr="001C734F">
        <w:t xml:space="preserve"> all civil matters, </w:t>
      </w:r>
      <w:r w:rsidR="00D66B2B">
        <w:t>2012</w:t>
      </w:r>
      <w:r w:rsidR="00215BBE">
        <w:t>-</w:t>
      </w:r>
      <w:r w:rsidR="00335EB2">
        <w:t>1</w:t>
      </w:r>
      <w:r w:rsidR="00D66B2B">
        <w:t>3</w:t>
      </w:r>
      <w:r w:rsidR="00EB2A24" w:rsidRPr="001C734F">
        <w:rPr>
          <w:rStyle w:val="NoteLabel"/>
          <w:b/>
        </w:rPr>
        <w:t>a</w:t>
      </w:r>
    </w:p>
    <w:tbl>
      <w:tblPr>
        <w:tblW w:w="5000" w:type="pct"/>
        <w:tblCellMar>
          <w:left w:w="0" w:type="dxa"/>
          <w:right w:w="0" w:type="dxa"/>
        </w:tblCellMar>
        <w:tblLook w:val="0000" w:firstRow="0" w:lastRow="0" w:firstColumn="0" w:lastColumn="0" w:noHBand="0" w:noVBand="0"/>
      </w:tblPr>
      <w:tblGrid>
        <w:gridCol w:w="1558"/>
        <w:gridCol w:w="572"/>
        <w:gridCol w:w="732"/>
        <w:gridCol w:w="731"/>
        <w:gridCol w:w="666"/>
        <w:gridCol w:w="708"/>
        <w:gridCol w:w="708"/>
        <w:gridCol w:w="708"/>
        <w:gridCol w:w="708"/>
        <w:gridCol w:w="708"/>
        <w:gridCol w:w="990"/>
      </w:tblGrid>
      <w:tr w:rsidR="00B426F4" w:rsidRPr="00B426F4" w:rsidTr="00176BDC">
        <w:tc>
          <w:tcPr>
            <w:tcW w:w="886"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jc w:val="left"/>
            </w:pPr>
          </w:p>
        </w:tc>
        <w:tc>
          <w:tcPr>
            <w:tcW w:w="325" w:type="pct"/>
            <w:tcBorders>
              <w:top w:val="single" w:sz="6" w:space="0" w:color="auto"/>
              <w:bottom w:val="single" w:sz="6" w:space="0" w:color="auto"/>
            </w:tcBorders>
          </w:tcPr>
          <w:p w:rsidR="002247B8" w:rsidRPr="00B426F4" w:rsidRDefault="002247B8" w:rsidP="00360351">
            <w:pPr>
              <w:pStyle w:val="TableColumnHeading"/>
              <w:spacing w:before="40" w:after="20" w:line="240" w:lineRule="auto"/>
              <w:rPr>
                <w:szCs w:val="16"/>
              </w:rPr>
            </w:pPr>
            <w:r w:rsidRPr="00B426F4">
              <w:rPr>
                <w:szCs w:val="16"/>
              </w:rPr>
              <w:t>unit</w:t>
            </w:r>
          </w:p>
        </w:tc>
        <w:tc>
          <w:tcPr>
            <w:tcW w:w="416"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NSW</w:t>
            </w:r>
          </w:p>
        </w:tc>
        <w:tc>
          <w:tcPr>
            <w:tcW w:w="416"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Vic</w:t>
            </w:r>
          </w:p>
        </w:tc>
        <w:tc>
          <w:tcPr>
            <w:tcW w:w="379"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Qld</w:t>
            </w:r>
          </w:p>
        </w:tc>
        <w:tc>
          <w:tcPr>
            <w:tcW w:w="403"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WA</w:t>
            </w:r>
          </w:p>
        </w:tc>
        <w:tc>
          <w:tcPr>
            <w:tcW w:w="403"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SA</w:t>
            </w:r>
          </w:p>
        </w:tc>
        <w:tc>
          <w:tcPr>
            <w:tcW w:w="403"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proofErr w:type="spellStart"/>
            <w:r w:rsidRPr="00B426F4">
              <w:t>Tas</w:t>
            </w:r>
            <w:proofErr w:type="spellEnd"/>
          </w:p>
        </w:tc>
        <w:tc>
          <w:tcPr>
            <w:tcW w:w="403"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ACT</w:t>
            </w:r>
          </w:p>
        </w:tc>
        <w:tc>
          <w:tcPr>
            <w:tcW w:w="403" w:type="pct"/>
            <w:tcBorders>
              <w:top w:val="single" w:sz="6" w:space="0" w:color="auto"/>
              <w:bottom w:val="single" w:sz="6" w:space="0" w:color="auto"/>
            </w:tcBorders>
            <w:shd w:val="clear" w:color="auto" w:fill="auto"/>
          </w:tcPr>
          <w:p w:rsidR="002247B8" w:rsidRPr="00B426F4" w:rsidRDefault="002247B8" w:rsidP="00360351">
            <w:pPr>
              <w:pStyle w:val="TableColumnHeading"/>
              <w:spacing w:before="40" w:after="20" w:line="240" w:lineRule="auto"/>
            </w:pPr>
            <w:r w:rsidRPr="00B426F4">
              <w:t>NT</w:t>
            </w:r>
          </w:p>
        </w:tc>
        <w:tc>
          <w:tcPr>
            <w:tcW w:w="563" w:type="pct"/>
            <w:tcBorders>
              <w:top w:val="single" w:sz="6" w:space="0" w:color="auto"/>
              <w:bottom w:val="single" w:sz="6" w:space="0" w:color="auto"/>
            </w:tcBorders>
          </w:tcPr>
          <w:p w:rsidR="002247B8" w:rsidRPr="00B426F4" w:rsidRDefault="008D38A2" w:rsidP="00360351">
            <w:pPr>
              <w:pStyle w:val="TableColumnHeading"/>
              <w:spacing w:before="40" w:after="20" w:line="240" w:lineRule="auto"/>
              <w:ind w:right="28"/>
              <w:rPr>
                <w:sz w:val="18"/>
              </w:rPr>
            </w:pPr>
            <w:proofErr w:type="spellStart"/>
            <w:r w:rsidRPr="00B426F4">
              <w:rPr>
                <w:sz w:val="18"/>
              </w:rPr>
              <w:t>Aust</w:t>
            </w:r>
            <w:proofErr w:type="spellEnd"/>
            <w:r w:rsidRPr="00B426F4">
              <w:rPr>
                <w:sz w:val="18"/>
              </w:rPr>
              <w:t xml:space="preserve"> courts</w:t>
            </w:r>
          </w:p>
        </w:tc>
      </w:tr>
      <w:tr w:rsidR="002247B8" w:rsidRPr="00B426F4" w:rsidTr="00F56C72">
        <w:trPr>
          <w:trHeight w:val="113"/>
        </w:trPr>
        <w:tc>
          <w:tcPr>
            <w:tcW w:w="5000" w:type="pct"/>
            <w:gridSpan w:val="11"/>
          </w:tcPr>
          <w:p w:rsidR="002247B8" w:rsidRPr="00B426F4" w:rsidRDefault="002247B8" w:rsidP="00F56C72">
            <w:pPr>
              <w:pStyle w:val="TableBodyText"/>
              <w:spacing w:after="0"/>
              <w:jc w:val="left"/>
              <w:rPr>
                <w:b/>
              </w:rPr>
            </w:pPr>
            <w:r w:rsidRPr="00B426F4">
              <w:rPr>
                <w:b/>
              </w:rPr>
              <w:t>Supreme</w:t>
            </w:r>
            <w:r w:rsidR="00F43AAD" w:rsidRPr="00B426F4">
              <w:rPr>
                <w:b/>
              </w:rPr>
              <w:t>/</w:t>
            </w:r>
            <w:r w:rsidRPr="00B426F4">
              <w:rPr>
                <w:b/>
              </w:rPr>
              <w:t>Federal</w:t>
            </w:r>
            <w:r w:rsidR="00505751" w:rsidRPr="00B426F4">
              <w:rPr>
                <w:b/>
              </w:rPr>
              <w:t xml:space="preserve"> — </w:t>
            </w:r>
            <w:r w:rsidRPr="00B426F4">
              <w:rPr>
                <w:b/>
              </w:rPr>
              <w:t>appeal</w:t>
            </w:r>
          </w:p>
        </w:tc>
      </w:tr>
      <w:tr w:rsidR="00B636B2" w:rsidRPr="00620A12" w:rsidTr="00176BDC">
        <w:tc>
          <w:tcPr>
            <w:tcW w:w="886" w:type="pct"/>
          </w:tcPr>
          <w:p w:rsidR="00B636B2" w:rsidRPr="00620A12" w:rsidRDefault="00B636B2" w:rsidP="00C46EDD">
            <w:pPr>
              <w:pStyle w:val="TableBodyText"/>
              <w:spacing w:after="20"/>
              <w:jc w:val="left"/>
              <w:rPr>
                <w:szCs w:val="18"/>
              </w:rPr>
            </w:pPr>
            <w:r w:rsidRPr="00620A12">
              <w:rPr>
                <w:szCs w:val="18"/>
              </w:rPr>
              <w:t xml:space="preserve"> </w:t>
            </w:r>
            <w:proofErr w:type="spellStart"/>
            <w:r w:rsidRPr="00620A12">
              <w:rPr>
                <w:szCs w:val="18"/>
              </w:rPr>
              <w:t>Lodgments</w:t>
            </w:r>
            <w:proofErr w:type="spellEnd"/>
          </w:p>
        </w:tc>
        <w:tc>
          <w:tcPr>
            <w:tcW w:w="325" w:type="pct"/>
          </w:tcPr>
          <w:p w:rsidR="00B636B2" w:rsidRPr="00620A12" w:rsidRDefault="00B636B2" w:rsidP="00C46EDD">
            <w:pPr>
              <w:pStyle w:val="TableBodyText"/>
              <w:spacing w:after="20"/>
              <w:rPr>
                <w:szCs w:val="18"/>
              </w:rPr>
            </w:pPr>
            <w:r w:rsidRPr="00620A12">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0.79</w:t>
            </w:r>
          </w:p>
        </w:tc>
        <w:tc>
          <w:tcPr>
            <w:tcW w:w="416" w:type="pct"/>
            <w:vAlign w:val="bottom"/>
          </w:tcPr>
          <w:p w:rsidR="00B636B2" w:rsidRPr="00B636B2" w:rsidRDefault="00B636B2" w:rsidP="00B636B2">
            <w:pPr>
              <w:pStyle w:val="TableBodyText"/>
              <w:rPr>
                <w:sz w:val="18"/>
                <w:szCs w:val="18"/>
              </w:rPr>
            </w:pPr>
            <w:r w:rsidRPr="00B636B2">
              <w:rPr>
                <w:sz w:val="18"/>
                <w:szCs w:val="18"/>
              </w:rPr>
              <w:t>0.44</w:t>
            </w:r>
          </w:p>
        </w:tc>
        <w:tc>
          <w:tcPr>
            <w:tcW w:w="379" w:type="pct"/>
            <w:vAlign w:val="bottom"/>
          </w:tcPr>
          <w:p w:rsidR="00B636B2" w:rsidRPr="00B636B2" w:rsidRDefault="00B636B2" w:rsidP="00B636B2">
            <w:pPr>
              <w:pStyle w:val="TableBodyText"/>
              <w:rPr>
                <w:sz w:val="18"/>
                <w:szCs w:val="18"/>
              </w:rPr>
            </w:pPr>
            <w:r w:rsidRPr="00B636B2">
              <w:rPr>
                <w:sz w:val="18"/>
                <w:szCs w:val="18"/>
              </w:rPr>
              <w:t>0.28</w:t>
            </w:r>
          </w:p>
        </w:tc>
        <w:tc>
          <w:tcPr>
            <w:tcW w:w="403" w:type="pct"/>
            <w:vAlign w:val="bottom"/>
          </w:tcPr>
          <w:p w:rsidR="00B636B2" w:rsidRPr="00B636B2" w:rsidRDefault="00B636B2" w:rsidP="00B636B2">
            <w:pPr>
              <w:pStyle w:val="TableBodyText"/>
              <w:rPr>
                <w:sz w:val="18"/>
                <w:szCs w:val="18"/>
              </w:rPr>
            </w:pPr>
            <w:r w:rsidRPr="00B636B2">
              <w:rPr>
                <w:sz w:val="18"/>
                <w:szCs w:val="18"/>
              </w:rPr>
              <w:t>0.18</w:t>
            </w:r>
          </w:p>
        </w:tc>
        <w:tc>
          <w:tcPr>
            <w:tcW w:w="403" w:type="pct"/>
            <w:vAlign w:val="bottom"/>
          </w:tcPr>
          <w:p w:rsidR="00B636B2" w:rsidRPr="00B636B2" w:rsidRDefault="00B636B2" w:rsidP="00B636B2">
            <w:pPr>
              <w:pStyle w:val="TableBodyText"/>
              <w:rPr>
                <w:sz w:val="18"/>
                <w:szCs w:val="18"/>
              </w:rPr>
            </w:pPr>
            <w:r w:rsidRPr="00B636B2">
              <w:rPr>
                <w:sz w:val="18"/>
                <w:szCs w:val="18"/>
              </w:rPr>
              <w:t>0.13</w:t>
            </w:r>
          </w:p>
        </w:tc>
        <w:tc>
          <w:tcPr>
            <w:tcW w:w="403" w:type="pct"/>
            <w:vAlign w:val="bottom"/>
          </w:tcPr>
          <w:p w:rsidR="00B636B2" w:rsidRPr="00B636B2" w:rsidRDefault="00B636B2" w:rsidP="00B636B2">
            <w:pPr>
              <w:pStyle w:val="TableBodyText"/>
              <w:rPr>
                <w:sz w:val="18"/>
                <w:szCs w:val="18"/>
              </w:rPr>
            </w:pPr>
            <w:r w:rsidRPr="00B636B2">
              <w:rPr>
                <w:sz w:val="18"/>
                <w:szCs w:val="18"/>
              </w:rPr>
              <w:t>0.09</w:t>
            </w:r>
          </w:p>
        </w:tc>
        <w:tc>
          <w:tcPr>
            <w:tcW w:w="403" w:type="pct"/>
            <w:vAlign w:val="bottom"/>
          </w:tcPr>
          <w:p w:rsidR="00B636B2" w:rsidRPr="00B636B2" w:rsidRDefault="00B636B2" w:rsidP="00B636B2">
            <w:pPr>
              <w:pStyle w:val="TableBodyText"/>
              <w:rPr>
                <w:sz w:val="18"/>
                <w:szCs w:val="18"/>
              </w:rPr>
            </w:pPr>
            <w:r w:rsidRPr="00B636B2">
              <w:rPr>
                <w:sz w:val="18"/>
                <w:szCs w:val="18"/>
              </w:rPr>
              <w:t>0.06</w:t>
            </w:r>
          </w:p>
        </w:tc>
        <w:tc>
          <w:tcPr>
            <w:tcW w:w="403" w:type="pct"/>
            <w:vAlign w:val="bottom"/>
          </w:tcPr>
          <w:p w:rsidR="00B636B2" w:rsidRPr="00B636B2" w:rsidRDefault="00B636B2" w:rsidP="00B636B2">
            <w:pPr>
              <w:pStyle w:val="TableBodyText"/>
              <w:rPr>
                <w:sz w:val="18"/>
                <w:szCs w:val="18"/>
              </w:rPr>
            </w:pPr>
            <w:r w:rsidRPr="00B636B2">
              <w:rPr>
                <w:sz w:val="18"/>
                <w:szCs w:val="18"/>
              </w:rPr>
              <w:t>0.12</w:t>
            </w:r>
          </w:p>
        </w:tc>
        <w:tc>
          <w:tcPr>
            <w:tcW w:w="563" w:type="pct"/>
            <w:vAlign w:val="bottom"/>
          </w:tcPr>
          <w:p w:rsidR="00B636B2" w:rsidRPr="00B636B2" w:rsidRDefault="00B636B2" w:rsidP="00B636B2">
            <w:pPr>
              <w:pStyle w:val="TableBodyText"/>
              <w:rPr>
                <w:sz w:val="18"/>
                <w:szCs w:val="18"/>
              </w:rPr>
            </w:pPr>
            <w:r w:rsidRPr="00B636B2">
              <w:rPr>
                <w:sz w:val="18"/>
                <w:szCs w:val="18"/>
              </w:rPr>
              <w:t>0.63</w:t>
            </w:r>
          </w:p>
        </w:tc>
      </w:tr>
      <w:tr w:rsidR="00B636B2" w:rsidRPr="00620A12" w:rsidTr="00176BDC">
        <w:tc>
          <w:tcPr>
            <w:tcW w:w="886" w:type="pct"/>
          </w:tcPr>
          <w:p w:rsidR="00B636B2" w:rsidRPr="00620A12" w:rsidRDefault="00B636B2" w:rsidP="00C46EDD">
            <w:pPr>
              <w:pStyle w:val="TableBodyText"/>
              <w:spacing w:after="20"/>
              <w:jc w:val="left"/>
              <w:rPr>
                <w:szCs w:val="18"/>
              </w:rPr>
            </w:pPr>
            <w:r w:rsidRPr="00620A12">
              <w:rPr>
                <w:szCs w:val="18"/>
              </w:rPr>
              <w:t xml:space="preserve"> Finalisations</w:t>
            </w:r>
          </w:p>
        </w:tc>
        <w:tc>
          <w:tcPr>
            <w:tcW w:w="325" w:type="pct"/>
          </w:tcPr>
          <w:p w:rsidR="00B636B2" w:rsidRPr="00620A12" w:rsidRDefault="00B636B2" w:rsidP="00C46EDD">
            <w:pPr>
              <w:pStyle w:val="TableBodyText"/>
              <w:spacing w:after="20"/>
              <w:rPr>
                <w:szCs w:val="18"/>
              </w:rPr>
            </w:pPr>
            <w:r w:rsidRPr="00620A12">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0.72</w:t>
            </w:r>
          </w:p>
        </w:tc>
        <w:tc>
          <w:tcPr>
            <w:tcW w:w="416" w:type="pct"/>
            <w:vAlign w:val="bottom"/>
          </w:tcPr>
          <w:p w:rsidR="00B636B2" w:rsidRPr="00B636B2" w:rsidRDefault="00B636B2" w:rsidP="00B636B2">
            <w:pPr>
              <w:pStyle w:val="TableBodyText"/>
              <w:rPr>
                <w:sz w:val="18"/>
                <w:szCs w:val="18"/>
              </w:rPr>
            </w:pPr>
            <w:r w:rsidRPr="00B636B2">
              <w:rPr>
                <w:sz w:val="18"/>
                <w:szCs w:val="18"/>
              </w:rPr>
              <w:t>0.47</w:t>
            </w:r>
          </w:p>
        </w:tc>
        <w:tc>
          <w:tcPr>
            <w:tcW w:w="379" w:type="pct"/>
            <w:vAlign w:val="bottom"/>
          </w:tcPr>
          <w:p w:rsidR="00B636B2" w:rsidRPr="00B636B2" w:rsidRDefault="00B636B2" w:rsidP="00B636B2">
            <w:pPr>
              <w:pStyle w:val="TableBodyText"/>
              <w:rPr>
                <w:sz w:val="18"/>
                <w:szCs w:val="18"/>
              </w:rPr>
            </w:pPr>
            <w:r w:rsidRPr="00B636B2">
              <w:rPr>
                <w:sz w:val="18"/>
                <w:szCs w:val="18"/>
              </w:rPr>
              <w:t>0.28</w:t>
            </w:r>
          </w:p>
        </w:tc>
        <w:tc>
          <w:tcPr>
            <w:tcW w:w="403" w:type="pct"/>
            <w:vAlign w:val="bottom"/>
          </w:tcPr>
          <w:p w:rsidR="00B636B2" w:rsidRPr="00B636B2" w:rsidRDefault="00B636B2" w:rsidP="00B636B2">
            <w:pPr>
              <w:pStyle w:val="TableBodyText"/>
              <w:rPr>
                <w:sz w:val="18"/>
                <w:szCs w:val="18"/>
              </w:rPr>
            </w:pPr>
            <w:r w:rsidRPr="00B636B2">
              <w:rPr>
                <w:sz w:val="18"/>
                <w:szCs w:val="18"/>
              </w:rPr>
              <w:t>0.19</w:t>
            </w:r>
          </w:p>
        </w:tc>
        <w:tc>
          <w:tcPr>
            <w:tcW w:w="403" w:type="pct"/>
            <w:vAlign w:val="bottom"/>
          </w:tcPr>
          <w:p w:rsidR="00B636B2" w:rsidRPr="00B636B2" w:rsidRDefault="00B636B2" w:rsidP="00B636B2">
            <w:pPr>
              <w:pStyle w:val="TableBodyText"/>
              <w:rPr>
                <w:sz w:val="18"/>
                <w:szCs w:val="18"/>
              </w:rPr>
            </w:pPr>
            <w:r w:rsidRPr="00B636B2">
              <w:rPr>
                <w:sz w:val="18"/>
                <w:szCs w:val="18"/>
              </w:rPr>
              <w:t>0.11</w:t>
            </w:r>
          </w:p>
        </w:tc>
        <w:tc>
          <w:tcPr>
            <w:tcW w:w="403" w:type="pct"/>
            <w:vAlign w:val="bottom"/>
          </w:tcPr>
          <w:p w:rsidR="00B636B2" w:rsidRPr="00B636B2" w:rsidRDefault="00B636B2" w:rsidP="00B636B2">
            <w:pPr>
              <w:pStyle w:val="TableBodyText"/>
              <w:rPr>
                <w:sz w:val="18"/>
                <w:szCs w:val="18"/>
              </w:rPr>
            </w:pPr>
            <w:r w:rsidRPr="00B636B2">
              <w:rPr>
                <w:sz w:val="18"/>
                <w:szCs w:val="18"/>
              </w:rPr>
              <w:t>0.10</w:t>
            </w:r>
          </w:p>
        </w:tc>
        <w:tc>
          <w:tcPr>
            <w:tcW w:w="403" w:type="pct"/>
            <w:vAlign w:val="bottom"/>
          </w:tcPr>
          <w:p w:rsidR="00B636B2" w:rsidRPr="00B636B2" w:rsidRDefault="00B636B2" w:rsidP="00B636B2">
            <w:pPr>
              <w:pStyle w:val="TableBodyText"/>
              <w:rPr>
                <w:sz w:val="18"/>
                <w:szCs w:val="18"/>
              </w:rPr>
            </w:pPr>
            <w:r w:rsidRPr="00B636B2">
              <w:rPr>
                <w:sz w:val="18"/>
                <w:szCs w:val="18"/>
              </w:rPr>
              <w:t>0.04</w:t>
            </w:r>
          </w:p>
        </w:tc>
        <w:tc>
          <w:tcPr>
            <w:tcW w:w="403" w:type="pct"/>
            <w:vAlign w:val="bottom"/>
          </w:tcPr>
          <w:p w:rsidR="00B636B2" w:rsidRPr="00B636B2" w:rsidRDefault="00B636B2" w:rsidP="00B636B2">
            <w:pPr>
              <w:pStyle w:val="TableBodyText"/>
              <w:rPr>
                <w:sz w:val="18"/>
                <w:szCs w:val="18"/>
              </w:rPr>
            </w:pPr>
            <w:r w:rsidRPr="00B636B2">
              <w:rPr>
                <w:sz w:val="18"/>
                <w:szCs w:val="18"/>
              </w:rPr>
              <w:t>0.13</w:t>
            </w:r>
          </w:p>
        </w:tc>
        <w:tc>
          <w:tcPr>
            <w:tcW w:w="563" w:type="pct"/>
            <w:vAlign w:val="bottom"/>
          </w:tcPr>
          <w:p w:rsidR="00B636B2" w:rsidRPr="00B636B2" w:rsidRDefault="00B636B2" w:rsidP="00B636B2">
            <w:pPr>
              <w:pStyle w:val="TableBodyText"/>
              <w:rPr>
                <w:sz w:val="18"/>
                <w:szCs w:val="18"/>
              </w:rPr>
            </w:pPr>
            <w:r w:rsidRPr="00B636B2">
              <w:rPr>
                <w:sz w:val="18"/>
                <w:szCs w:val="18"/>
              </w:rPr>
              <w:t>0.63</w:t>
            </w:r>
          </w:p>
        </w:tc>
      </w:tr>
      <w:tr w:rsidR="00B636B2" w:rsidRPr="00C92FDC" w:rsidTr="00176BDC">
        <w:tc>
          <w:tcPr>
            <w:tcW w:w="886" w:type="pct"/>
          </w:tcPr>
          <w:p w:rsidR="00B636B2" w:rsidRPr="00C92FDC" w:rsidRDefault="00B636B2" w:rsidP="007916C0">
            <w:pPr>
              <w:pStyle w:val="TableBodyText"/>
              <w:spacing w:after="20"/>
              <w:jc w:val="left"/>
              <w:rPr>
                <w:i/>
                <w:szCs w:val="18"/>
              </w:rPr>
            </w:pPr>
            <w:r w:rsidRPr="00C92FDC">
              <w:rPr>
                <w:i/>
                <w:szCs w:val="18"/>
              </w:rPr>
              <w:t>Clearance rate</w:t>
            </w:r>
          </w:p>
        </w:tc>
        <w:tc>
          <w:tcPr>
            <w:tcW w:w="325" w:type="pct"/>
          </w:tcPr>
          <w:p w:rsidR="00B636B2" w:rsidRPr="00C92FDC" w:rsidRDefault="00B636B2" w:rsidP="007916C0">
            <w:pPr>
              <w:pStyle w:val="TableBodyText"/>
              <w:spacing w:after="20"/>
              <w:rPr>
                <w:i/>
                <w:szCs w:val="18"/>
              </w:rPr>
            </w:pPr>
            <w:r w:rsidRPr="00C92FDC">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91.2</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107.0</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99.6</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106.0</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86.7</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105.6</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80.0</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110.9</w:t>
            </w:r>
          </w:p>
        </w:tc>
        <w:tc>
          <w:tcPr>
            <w:tcW w:w="563" w:type="pct"/>
            <w:vAlign w:val="bottom"/>
          </w:tcPr>
          <w:p w:rsidR="00B636B2" w:rsidRPr="00B636B2" w:rsidRDefault="00B636B2" w:rsidP="00B636B2">
            <w:pPr>
              <w:pStyle w:val="TableBodyText"/>
              <w:rPr>
                <w:i/>
                <w:iCs/>
                <w:sz w:val="18"/>
                <w:szCs w:val="18"/>
              </w:rPr>
            </w:pPr>
            <w:r w:rsidRPr="00B636B2">
              <w:rPr>
                <w:i/>
                <w:iCs/>
                <w:sz w:val="18"/>
                <w:szCs w:val="18"/>
              </w:rPr>
              <w:t>100.2</w:t>
            </w:r>
          </w:p>
        </w:tc>
      </w:tr>
      <w:tr w:rsidR="004A4EF2" w:rsidRPr="00C92FDC" w:rsidTr="002247B8">
        <w:tc>
          <w:tcPr>
            <w:tcW w:w="5000" w:type="pct"/>
            <w:gridSpan w:val="11"/>
          </w:tcPr>
          <w:p w:rsidR="004A4EF2" w:rsidRPr="00C92FDC" w:rsidRDefault="004A4EF2" w:rsidP="00F56C72">
            <w:pPr>
              <w:pStyle w:val="TableBodyText"/>
              <w:spacing w:after="0"/>
              <w:jc w:val="left"/>
              <w:rPr>
                <w:b/>
              </w:rPr>
            </w:pPr>
            <w:r w:rsidRPr="00C92FDC">
              <w:rPr>
                <w:b/>
              </w:rPr>
              <w:t>Supreme (</w:t>
            </w:r>
            <w:proofErr w:type="spellStart"/>
            <w:r w:rsidRPr="00C92FDC">
              <w:rPr>
                <w:b/>
              </w:rPr>
              <w:t>excl</w:t>
            </w:r>
            <w:proofErr w:type="spellEnd"/>
            <w:r w:rsidRPr="00C92FDC">
              <w:rPr>
                <w:b/>
              </w:rPr>
              <w:t xml:space="preserve"> probate)</w:t>
            </w:r>
            <w:r w:rsidR="00F43AAD" w:rsidRPr="00C92FDC">
              <w:rPr>
                <w:b/>
              </w:rPr>
              <w:t>/</w:t>
            </w:r>
            <w:r w:rsidRPr="00C92FDC">
              <w:rPr>
                <w:b/>
              </w:rPr>
              <w:t>Federal</w:t>
            </w:r>
            <w:r w:rsidR="00505751" w:rsidRPr="00C92FDC">
              <w:rPr>
                <w:b/>
              </w:rPr>
              <w:t xml:space="preserve"> — </w:t>
            </w:r>
            <w:r w:rsidRPr="00C92FDC">
              <w:rPr>
                <w:b/>
              </w:rPr>
              <w:t>non-appeal</w:t>
            </w:r>
          </w:p>
        </w:tc>
      </w:tr>
      <w:tr w:rsidR="00B636B2" w:rsidRPr="00C92FDC" w:rsidTr="00176BDC">
        <w:tc>
          <w:tcPr>
            <w:tcW w:w="886" w:type="pct"/>
          </w:tcPr>
          <w:p w:rsidR="00B636B2" w:rsidRPr="00C92FDC" w:rsidRDefault="00B636B2" w:rsidP="00C46EDD">
            <w:pPr>
              <w:pStyle w:val="TableBodyText"/>
              <w:spacing w:after="20"/>
              <w:jc w:val="left"/>
              <w:rPr>
                <w:szCs w:val="18"/>
              </w:rPr>
            </w:pPr>
            <w:r w:rsidRPr="00C92FDC">
              <w:rPr>
                <w:szCs w:val="18"/>
              </w:rPr>
              <w:t xml:space="preserve"> </w:t>
            </w:r>
            <w:proofErr w:type="spellStart"/>
            <w:r w:rsidRPr="00C92FDC">
              <w:rPr>
                <w:szCs w:val="18"/>
              </w:rPr>
              <w:t>Lodgments</w:t>
            </w:r>
            <w:proofErr w:type="spellEnd"/>
          </w:p>
        </w:tc>
        <w:tc>
          <w:tcPr>
            <w:tcW w:w="325" w:type="pct"/>
          </w:tcPr>
          <w:p w:rsidR="00B636B2" w:rsidRPr="00C92FDC" w:rsidRDefault="00B636B2" w:rsidP="00C46EDD">
            <w:pPr>
              <w:pStyle w:val="TableBodyText"/>
              <w:spacing w:after="20"/>
              <w:rPr>
                <w:szCs w:val="18"/>
              </w:rPr>
            </w:pPr>
            <w:r w:rsidRPr="00C92FDC">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8.65</w:t>
            </w:r>
          </w:p>
        </w:tc>
        <w:tc>
          <w:tcPr>
            <w:tcW w:w="416" w:type="pct"/>
            <w:vAlign w:val="bottom"/>
          </w:tcPr>
          <w:p w:rsidR="00B636B2" w:rsidRPr="00B636B2" w:rsidRDefault="00B636B2" w:rsidP="00B636B2">
            <w:pPr>
              <w:pStyle w:val="TableBodyText"/>
              <w:rPr>
                <w:sz w:val="18"/>
                <w:szCs w:val="18"/>
              </w:rPr>
            </w:pPr>
            <w:r w:rsidRPr="00B636B2">
              <w:rPr>
                <w:sz w:val="18"/>
                <w:szCs w:val="18"/>
              </w:rPr>
              <w:t>6.63</w:t>
            </w:r>
          </w:p>
        </w:tc>
        <w:tc>
          <w:tcPr>
            <w:tcW w:w="379" w:type="pct"/>
            <w:vAlign w:val="bottom"/>
          </w:tcPr>
          <w:p w:rsidR="00B636B2" w:rsidRPr="00B636B2" w:rsidRDefault="00B636B2" w:rsidP="00B636B2">
            <w:pPr>
              <w:pStyle w:val="TableBodyText"/>
              <w:rPr>
                <w:sz w:val="18"/>
                <w:szCs w:val="18"/>
              </w:rPr>
            </w:pPr>
            <w:r w:rsidRPr="00B636B2">
              <w:rPr>
                <w:sz w:val="18"/>
                <w:szCs w:val="18"/>
              </w:rPr>
              <w:t>3.52</w:t>
            </w:r>
          </w:p>
        </w:tc>
        <w:tc>
          <w:tcPr>
            <w:tcW w:w="403" w:type="pct"/>
            <w:vAlign w:val="bottom"/>
          </w:tcPr>
          <w:p w:rsidR="00B636B2" w:rsidRPr="00B636B2" w:rsidRDefault="00B636B2" w:rsidP="00B636B2">
            <w:pPr>
              <w:pStyle w:val="TableBodyText"/>
              <w:rPr>
                <w:sz w:val="18"/>
                <w:szCs w:val="18"/>
              </w:rPr>
            </w:pPr>
            <w:r w:rsidRPr="00B636B2">
              <w:rPr>
                <w:sz w:val="18"/>
                <w:szCs w:val="18"/>
              </w:rPr>
              <w:t>2.39</w:t>
            </w:r>
          </w:p>
        </w:tc>
        <w:tc>
          <w:tcPr>
            <w:tcW w:w="403" w:type="pct"/>
            <w:vAlign w:val="bottom"/>
          </w:tcPr>
          <w:p w:rsidR="00B636B2" w:rsidRPr="00B636B2" w:rsidRDefault="00B636B2" w:rsidP="00B636B2">
            <w:pPr>
              <w:pStyle w:val="TableBodyText"/>
              <w:rPr>
                <w:sz w:val="18"/>
                <w:szCs w:val="18"/>
              </w:rPr>
            </w:pPr>
            <w:r w:rsidRPr="00B636B2">
              <w:rPr>
                <w:sz w:val="18"/>
                <w:szCs w:val="18"/>
              </w:rPr>
              <w:t>1.13</w:t>
            </w:r>
          </w:p>
        </w:tc>
        <w:tc>
          <w:tcPr>
            <w:tcW w:w="403" w:type="pct"/>
            <w:vAlign w:val="bottom"/>
          </w:tcPr>
          <w:p w:rsidR="00B636B2" w:rsidRPr="00B636B2" w:rsidRDefault="00B636B2" w:rsidP="00B636B2">
            <w:pPr>
              <w:pStyle w:val="TableBodyText"/>
              <w:rPr>
                <w:sz w:val="18"/>
                <w:szCs w:val="18"/>
              </w:rPr>
            </w:pPr>
            <w:r w:rsidRPr="00B636B2">
              <w:rPr>
                <w:sz w:val="18"/>
                <w:szCs w:val="18"/>
              </w:rPr>
              <w:t>1.05</w:t>
            </w:r>
          </w:p>
        </w:tc>
        <w:tc>
          <w:tcPr>
            <w:tcW w:w="403" w:type="pct"/>
            <w:vAlign w:val="bottom"/>
          </w:tcPr>
          <w:p w:rsidR="00B636B2" w:rsidRPr="00B636B2" w:rsidRDefault="00B636B2" w:rsidP="00B636B2">
            <w:pPr>
              <w:pStyle w:val="TableBodyText"/>
              <w:rPr>
                <w:sz w:val="18"/>
                <w:szCs w:val="18"/>
              </w:rPr>
            </w:pPr>
            <w:r w:rsidRPr="00B636B2">
              <w:rPr>
                <w:sz w:val="18"/>
                <w:szCs w:val="18"/>
              </w:rPr>
              <w:t>0.51</w:t>
            </w:r>
          </w:p>
        </w:tc>
        <w:tc>
          <w:tcPr>
            <w:tcW w:w="403" w:type="pct"/>
            <w:vAlign w:val="bottom"/>
          </w:tcPr>
          <w:p w:rsidR="00B636B2" w:rsidRPr="00B636B2" w:rsidRDefault="00B636B2" w:rsidP="00B636B2">
            <w:pPr>
              <w:pStyle w:val="TableBodyText"/>
              <w:rPr>
                <w:sz w:val="18"/>
                <w:szCs w:val="18"/>
              </w:rPr>
            </w:pPr>
            <w:r w:rsidRPr="00B636B2">
              <w:rPr>
                <w:sz w:val="18"/>
                <w:szCs w:val="18"/>
              </w:rPr>
              <w:t>0.14</w:t>
            </w:r>
          </w:p>
        </w:tc>
        <w:tc>
          <w:tcPr>
            <w:tcW w:w="563" w:type="pct"/>
            <w:vAlign w:val="bottom"/>
          </w:tcPr>
          <w:p w:rsidR="00B636B2" w:rsidRPr="00B636B2" w:rsidRDefault="00B636B2" w:rsidP="00B636B2">
            <w:pPr>
              <w:pStyle w:val="TableBodyText"/>
              <w:rPr>
                <w:sz w:val="18"/>
                <w:szCs w:val="18"/>
              </w:rPr>
            </w:pPr>
            <w:r w:rsidRPr="00B636B2">
              <w:rPr>
                <w:sz w:val="18"/>
                <w:szCs w:val="18"/>
              </w:rPr>
              <w:t>5.17</w:t>
            </w:r>
          </w:p>
        </w:tc>
      </w:tr>
      <w:tr w:rsidR="00B636B2" w:rsidRPr="00C92FDC" w:rsidTr="00176BDC">
        <w:tc>
          <w:tcPr>
            <w:tcW w:w="886" w:type="pct"/>
          </w:tcPr>
          <w:p w:rsidR="00B636B2" w:rsidRPr="00C92FDC" w:rsidRDefault="00B636B2" w:rsidP="00C46EDD">
            <w:pPr>
              <w:pStyle w:val="TableBodyText"/>
              <w:spacing w:after="20"/>
              <w:jc w:val="left"/>
              <w:rPr>
                <w:szCs w:val="18"/>
              </w:rPr>
            </w:pPr>
            <w:r w:rsidRPr="00C92FDC">
              <w:rPr>
                <w:szCs w:val="18"/>
              </w:rPr>
              <w:t xml:space="preserve"> Finalisations</w:t>
            </w:r>
          </w:p>
        </w:tc>
        <w:tc>
          <w:tcPr>
            <w:tcW w:w="325" w:type="pct"/>
          </w:tcPr>
          <w:p w:rsidR="00B636B2" w:rsidRPr="00C92FDC" w:rsidRDefault="00B636B2" w:rsidP="00C46EDD">
            <w:pPr>
              <w:pStyle w:val="TableBodyText"/>
              <w:spacing w:after="20"/>
              <w:rPr>
                <w:szCs w:val="18"/>
              </w:rPr>
            </w:pPr>
            <w:r w:rsidRPr="00C92FDC">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11.74</w:t>
            </w:r>
          </w:p>
        </w:tc>
        <w:tc>
          <w:tcPr>
            <w:tcW w:w="416" w:type="pct"/>
            <w:vAlign w:val="bottom"/>
          </w:tcPr>
          <w:p w:rsidR="00B636B2" w:rsidRPr="00B636B2" w:rsidRDefault="00B636B2" w:rsidP="00B636B2">
            <w:pPr>
              <w:pStyle w:val="TableBodyText"/>
              <w:rPr>
                <w:sz w:val="18"/>
                <w:szCs w:val="18"/>
              </w:rPr>
            </w:pPr>
            <w:r w:rsidRPr="00B636B2">
              <w:rPr>
                <w:sz w:val="18"/>
                <w:szCs w:val="18"/>
              </w:rPr>
              <w:t>7.06</w:t>
            </w:r>
          </w:p>
        </w:tc>
        <w:tc>
          <w:tcPr>
            <w:tcW w:w="379" w:type="pct"/>
            <w:vAlign w:val="bottom"/>
          </w:tcPr>
          <w:p w:rsidR="00B636B2" w:rsidRPr="00B636B2" w:rsidRDefault="00B636B2" w:rsidP="00B636B2">
            <w:pPr>
              <w:pStyle w:val="TableBodyText"/>
              <w:rPr>
                <w:sz w:val="18"/>
                <w:szCs w:val="18"/>
              </w:rPr>
            </w:pPr>
            <w:r w:rsidRPr="00B636B2">
              <w:rPr>
                <w:sz w:val="18"/>
                <w:szCs w:val="18"/>
              </w:rPr>
              <w:t>3.96</w:t>
            </w:r>
          </w:p>
        </w:tc>
        <w:tc>
          <w:tcPr>
            <w:tcW w:w="403" w:type="pct"/>
            <w:vAlign w:val="bottom"/>
          </w:tcPr>
          <w:p w:rsidR="00B636B2" w:rsidRPr="00B636B2" w:rsidRDefault="00B636B2" w:rsidP="00B636B2">
            <w:pPr>
              <w:pStyle w:val="TableBodyText"/>
              <w:rPr>
                <w:sz w:val="18"/>
                <w:szCs w:val="18"/>
              </w:rPr>
            </w:pPr>
            <w:r w:rsidRPr="00B636B2">
              <w:rPr>
                <w:sz w:val="18"/>
                <w:szCs w:val="18"/>
              </w:rPr>
              <w:t>2.63</w:t>
            </w:r>
          </w:p>
        </w:tc>
        <w:tc>
          <w:tcPr>
            <w:tcW w:w="403" w:type="pct"/>
            <w:vAlign w:val="bottom"/>
          </w:tcPr>
          <w:p w:rsidR="00B636B2" w:rsidRPr="00B636B2" w:rsidRDefault="00B636B2" w:rsidP="00B636B2">
            <w:pPr>
              <w:pStyle w:val="TableBodyText"/>
              <w:rPr>
                <w:sz w:val="18"/>
                <w:szCs w:val="18"/>
              </w:rPr>
            </w:pPr>
            <w:r w:rsidRPr="00B636B2">
              <w:rPr>
                <w:sz w:val="18"/>
                <w:szCs w:val="18"/>
              </w:rPr>
              <w:t>1.20</w:t>
            </w:r>
          </w:p>
        </w:tc>
        <w:tc>
          <w:tcPr>
            <w:tcW w:w="403" w:type="pct"/>
            <w:vAlign w:val="bottom"/>
          </w:tcPr>
          <w:p w:rsidR="00B636B2" w:rsidRPr="00B636B2" w:rsidRDefault="00B636B2" w:rsidP="00B636B2">
            <w:pPr>
              <w:pStyle w:val="TableBodyText"/>
              <w:rPr>
                <w:sz w:val="18"/>
                <w:szCs w:val="18"/>
              </w:rPr>
            </w:pPr>
            <w:r w:rsidRPr="00B636B2">
              <w:rPr>
                <w:sz w:val="18"/>
                <w:szCs w:val="18"/>
              </w:rPr>
              <w:t>0.95</w:t>
            </w:r>
          </w:p>
        </w:tc>
        <w:tc>
          <w:tcPr>
            <w:tcW w:w="403" w:type="pct"/>
            <w:vAlign w:val="bottom"/>
          </w:tcPr>
          <w:p w:rsidR="00B636B2" w:rsidRPr="00B636B2" w:rsidRDefault="00B636B2" w:rsidP="00B636B2">
            <w:pPr>
              <w:pStyle w:val="TableBodyText"/>
              <w:rPr>
                <w:sz w:val="18"/>
                <w:szCs w:val="18"/>
              </w:rPr>
            </w:pPr>
            <w:r w:rsidRPr="00B636B2">
              <w:rPr>
                <w:sz w:val="18"/>
                <w:szCs w:val="18"/>
              </w:rPr>
              <w:t>0.82</w:t>
            </w:r>
          </w:p>
        </w:tc>
        <w:tc>
          <w:tcPr>
            <w:tcW w:w="403" w:type="pct"/>
            <w:vAlign w:val="bottom"/>
          </w:tcPr>
          <w:p w:rsidR="00B636B2" w:rsidRPr="00B636B2" w:rsidRDefault="00B636B2" w:rsidP="00B636B2">
            <w:pPr>
              <w:pStyle w:val="TableBodyText"/>
              <w:rPr>
                <w:sz w:val="18"/>
                <w:szCs w:val="18"/>
              </w:rPr>
            </w:pPr>
            <w:r w:rsidRPr="00B636B2">
              <w:rPr>
                <w:sz w:val="18"/>
                <w:szCs w:val="18"/>
              </w:rPr>
              <w:t>0.17</w:t>
            </w:r>
          </w:p>
        </w:tc>
        <w:tc>
          <w:tcPr>
            <w:tcW w:w="563" w:type="pct"/>
            <w:vAlign w:val="bottom"/>
          </w:tcPr>
          <w:p w:rsidR="00B636B2" w:rsidRPr="00B636B2" w:rsidRDefault="00B636B2" w:rsidP="00B636B2">
            <w:pPr>
              <w:pStyle w:val="TableBodyText"/>
              <w:rPr>
                <w:sz w:val="18"/>
                <w:szCs w:val="18"/>
              </w:rPr>
            </w:pPr>
            <w:r w:rsidRPr="00B636B2">
              <w:rPr>
                <w:sz w:val="18"/>
                <w:szCs w:val="18"/>
              </w:rPr>
              <w:t>5.92</w:t>
            </w:r>
          </w:p>
        </w:tc>
      </w:tr>
      <w:tr w:rsidR="00B636B2" w:rsidRPr="00C92FDC" w:rsidTr="00176BDC">
        <w:tc>
          <w:tcPr>
            <w:tcW w:w="886" w:type="pct"/>
          </w:tcPr>
          <w:p w:rsidR="00B636B2" w:rsidRPr="00C92FDC" w:rsidRDefault="00B636B2" w:rsidP="00565C9D">
            <w:pPr>
              <w:pStyle w:val="TableBodyText"/>
              <w:jc w:val="left"/>
              <w:rPr>
                <w:i/>
                <w:szCs w:val="18"/>
              </w:rPr>
            </w:pPr>
            <w:r w:rsidRPr="00C92FDC">
              <w:rPr>
                <w:i/>
                <w:szCs w:val="18"/>
              </w:rPr>
              <w:t>Clearance rate</w:t>
            </w:r>
          </w:p>
        </w:tc>
        <w:tc>
          <w:tcPr>
            <w:tcW w:w="325" w:type="pct"/>
          </w:tcPr>
          <w:p w:rsidR="00B636B2" w:rsidRPr="00C92FDC" w:rsidRDefault="00B636B2" w:rsidP="002247B8">
            <w:pPr>
              <w:pStyle w:val="TableBodyText"/>
              <w:rPr>
                <w:i/>
                <w:szCs w:val="18"/>
              </w:rPr>
            </w:pPr>
            <w:r w:rsidRPr="00C92FDC">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135.7</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106.6</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112.6</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110.1</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106.0</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90.3</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162.0</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120.3</w:t>
            </w:r>
          </w:p>
        </w:tc>
        <w:tc>
          <w:tcPr>
            <w:tcW w:w="563" w:type="pct"/>
            <w:vAlign w:val="bottom"/>
          </w:tcPr>
          <w:p w:rsidR="00B636B2" w:rsidRPr="00B636B2" w:rsidRDefault="00B636B2" w:rsidP="00B636B2">
            <w:pPr>
              <w:pStyle w:val="TableBodyText"/>
              <w:rPr>
                <w:i/>
                <w:iCs/>
                <w:sz w:val="18"/>
                <w:szCs w:val="18"/>
              </w:rPr>
            </w:pPr>
            <w:r w:rsidRPr="00B636B2">
              <w:rPr>
                <w:i/>
                <w:iCs/>
                <w:sz w:val="18"/>
                <w:szCs w:val="18"/>
              </w:rPr>
              <w:t>114.6</w:t>
            </w:r>
          </w:p>
        </w:tc>
      </w:tr>
      <w:tr w:rsidR="004A4EF2" w:rsidRPr="00EB410C" w:rsidTr="002247B8">
        <w:tc>
          <w:tcPr>
            <w:tcW w:w="5000" w:type="pct"/>
            <w:gridSpan w:val="11"/>
          </w:tcPr>
          <w:p w:rsidR="004A4EF2" w:rsidRPr="00EB410C" w:rsidRDefault="004A4EF2" w:rsidP="00F56C72">
            <w:pPr>
              <w:pStyle w:val="TableBodyText"/>
              <w:spacing w:after="0"/>
              <w:jc w:val="left"/>
              <w:rPr>
                <w:b/>
              </w:rPr>
            </w:pPr>
            <w:r w:rsidRPr="00EB410C">
              <w:rPr>
                <w:b/>
              </w:rPr>
              <w:t>District</w:t>
            </w:r>
            <w:r w:rsidR="00F43AAD" w:rsidRPr="00EB410C">
              <w:rPr>
                <w:b/>
              </w:rPr>
              <w:t>/</w:t>
            </w:r>
            <w:r w:rsidR="007552A5" w:rsidRPr="00EB410C">
              <w:rPr>
                <w:b/>
              </w:rPr>
              <w:t>C</w:t>
            </w:r>
            <w:r w:rsidRPr="00EB410C">
              <w:rPr>
                <w:b/>
              </w:rPr>
              <w:t>ounty</w:t>
            </w:r>
            <w:r w:rsidR="00505751" w:rsidRPr="00EB410C">
              <w:rPr>
                <w:b/>
              </w:rPr>
              <w:t xml:space="preserve"> — </w:t>
            </w:r>
            <w:r w:rsidRPr="00EB410C">
              <w:rPr>
                <w:b/>
              </w:rPr>
              <w:t>appeal</w:t>
            </w:r>
          </w:p>
        </w:tc>
      </w:tr>
      <w:tr w:rsidR="00B636B2" w:rsidRPr="00EB410C" w:rsidTr="00176BDC">
        <w:tc>
          <w:tcPr>
            <w:tcW w:w="886" w:type="pct"/>
          </w:tcPr>
          <w:p w:rsidR="00B636B2" w:rsidRPr="00EB410C" w:rsidRDefault="00B636B2" w:rsidP="00C46EDD">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325" w:type="pct"/>
          </w:tcPr>
          <w:p w:rsidR="00B636B2" w:rsidRPr="00EB410C" w:rsidRDefault="00B636B2" w:rsidP="00C46EDD">
            <w:pPr>
              <w:pStyle w:val="TableBodyText"/>
              <w:spacing w:after="20"/>
              <w:rPr>
                <w:szCs w:val="18"/>
              </w:rPr>
            </w:pPr>
            <w:r w:rsidRPr="00EB410C">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0.18</w:t>
            </w:r>
          </w:p>
        </w:tc>
        <w:tc>
          <w:tcPr>
            <w:tcW w:w="416" w:type="pct"/>
            <w:vAlign w:val="bottom"/>
          </w:tcPr>
          <w:p w:rsidR="00B636B2" w:rsidRPr="00B636B2" w:rsidRDefault="00B636B2" w:rsidP="00B636B2">
            <w:pPr>
              <w:pStyle w:val="TableBodyText"/>
              <w:rPr>
                <w:sz w:val="18"/>
                <w:szCs w:val="18"/>
              </w:rPr>
            </w:pPr>
            <w:r w:rsidRPr="00B636B2">
              <w:rPr>
                <w:sz w:val="18"/>
                <w:szCs w:val="18"/>
              </w:rPr>
              <w:t>0.16</w:t>
            </w:r>
          </w:p>
        </w:tc>
        <w:tc>
          <w:tcPr>
            <w:tcW w:w="379" w:type="pct"/>
            <w:vAlign w:val="bottom"/>
          </w:tcPr>
          <w:p w:rsidR="00B636B2" w:rsidRPr="00B636B2" w:rsidRDefault="00B636B2" w:rsidP="00B636B2">
            <w:pPr>
              <w:pStyle w:val="TableBodyText"/>
              <w:rPr>
                <w:sz w:val="18"/>
                <w:szCs w:val="18"/>
              </w:rPr>
            </w:pPr>
            <w:r w:rsidRPr="00B636B2">
              <w:rPr>
                <w:sz w:val="18"/>
                <w:szCs w:val="18"/>
              </w:rPr>
              <w:t>0.05</w:t>
            </w:r>
          </w:p>
        </w:tc>
        <w:tc>
          <w:tcPr>
            <w:tcW w:w="403" w:type="pct"/>
            <w:vAlign w:val="bottom"/>
          </w:tcPr>
          <w:p w:rsidR="00B636B2" w:rsidRPr="00B636B2" w:rsidRDefault="00B636B2" w:rsidP="00B636B2">
            <w:pPr>
              <w:pStyle w:val="TableBodyText"/>
              <w:rPr>
                <w:sz w:val="18"/>
                <w:szCs w:val="18"/>
              </w:rPr>
            </w:pPr>
            <w:r w:rsidRPr="00B636B2">
              <w:rPr>
                <w:sz w:val="18"/>
                <w:szCs w:val="18"/>
              </w:rPr>
              <w:t>0.12</w:t>
            </w:r>
          </w:p>
        </w:tc>
        <w:tc>
          <w:tcPr>
            <w:tcW w:w="403" w:type="pct"/>
            <w:vAlign w:val="bottom"/>
          </w:tcPr>
          <w:p w:rsidR="00B636B2" w:rsidRPr="00B636B2" w:rsidRDefault="00B636B2" w:rsidP="00B636B2">
            <w:pPr>
              <w:pStyle w:val="TableBodyText"/>
              <w:rPr>
                <w:sz w:val="18"/>
                <w:szCs w:val="18"/>
              </w:rPr>
            </w:pPr>
            <w:r w:rsidRPr="00B636B2">
              <w:rPr>
                <w:sz w:val="18"/>
                <w:szCs w:val="18"/>
              </w:rPr>
              <w:t>0.21</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EB410C" w:rsidTr="00176BDC">
        <w:tc>
          <w:tcPr>
            <w:tcW w:w="886" w:type="pct"/>
          </w:tcPr>
          <w:p w:rsidR="00B636B2" w:rsidRPr="00EB410C" w:rsidRDefault="00B636B2" w:rsidP="00C46EDD">
            <w:pPr>
              <w:pStyle w:val="TableBodyText"/>
              <w:spacing w:after="20"/>
              <w:jc w:val="left"/>
              <w:rPr>
                <w:szCs w:val="18"/>
              </w:rPr>
            </w:pPr>
            <w:r w:rsidRPr="00EB410C">
              <w:rPr>
                <w:szCs w:val="18"/>
              </w:rPr>
              <w:t xml:space="preserve"> Finalisations</w:t>
            </w:r>
          </w:p>
        </w:tc>
        <w:tc>
          <w:tcPr>
            <w:tcW w:w="325" w:type="pct"/>
          </w:tcPr>
          <w:p w:rsidR="00B636B2" w:rsidRPr="00EB410C" w:rsidRDefault="00B636B2" w:rsidP="00C46EDD">
            <w:pPr>
              <w:pStyle w:val="TableBodyText"/>
              <w:spacing w:after="20"/>
              <w:rPr>
                <w:szCs w:val="18"/>
              </w:rPr>
            </w:pPr>
            <w:r w:rsidRPr="00EB410C">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0.19</w:t>
            </w:r>
          </w:p>
        </w:tc>
        <w:tc>
          <w:tcPr>
            <w:tcW w:w="416" w:type="pct"/>
            <w:vAlign w:val="bottom"/>
          </w:tcPr>
          <w:p w:rsidR="00B636B2" w:rsidRPr="00B636B2" w:rsidRDefault="00B636B2" w:rsidP="00B636B2">
            <w:pPr>
              <w:pStyle w:val="TableBodyText"/>
              <w:rPr>
                <w:sz w:val="18"/>
                <w:szCs w:val="18"/>
              </w:rPr>
            </w:pPr>
            <w:r w:rsidRPr="00B636B2">
              <w:rPr>
                <w:sz w:val="18"/>
                <w:szCs w:val="18"/>
              </w:rPr>
              <w:t>0.13</w:t>
            </w:r>
          </w:p>
        </w:tc>
        <w:tc>
          <w:tcPr>
            <w:tcW w:w="379" w:type="pct"/>
            <w:vAlign w:val="bottom"/>
          </w:tcPr>
          <w:p w:rsidR="00B636B2" w:rsidRPr="00B636B2" w:rsidRDefault="00B636B2" w:rsidP="00B636B2">
            <w:pPr>
              <w:pStyle w:val="TableBodyText"/>
              <w:rPr>
                <w:sz w:val="18"/>
                <w:szCs w:val="18"/>
              </w:rPr>
            </w:pPr>
            <w:r w:rsidRPr="00B636B2">
              <w:rPr>
                <w:sz w:val="18"/>
                <w:szCs w:val="18"/>
              </w:rPr>
              <w:t>0.06</w:t>
            </w:r>
          </w:p>
        </w:tc>
        <w:tc>
          <w:tcPr>
            <w:tcW w:w="403" w:type="pct"/>
            <w:vAlign w:val="bottom"/>
          </w:tcPr>
          <w:p w:rsidR="00B636B2" w:rsidRPr="00B636B2" w:rsidRDefault="00B636B2" w:rsidP="00B636B2">
            <w:pPr>
              <w:pStyle w:val="TableBodyText"/>
              <w:rPr>
                <w:sz w:val="18"/>
                <w:szCs w:val="18"/>
              </w:rPr>
            </w:pPr>
            <w:r w:rsidRPr="00B636B2">
              <w:rPr>
                <w:sz w:val="18"/>
                <w:szCs w:val="18"/>
              </w:rPr>
              <w:t>0.12</w:t>
            </w:r>
          </w:p>
        </w:tc>
        <w:tc>
          <w:tcPr>
            <w:tcW w:w="403" w:type="pct"/>
            <w:vAlign w:val="bottom"/>
          </w:tcPr>
          <w:p w:rsidR="00B636B2" w:rsidRPr="00B636B2" w:rsidRDefault="00B636B2" w:rsidP="00B636B2">
            <w:pPr>
              <w:pStyle w:val="TableBodyText"/>
              <w:rPr>
                <w:sz w:val="18"/>
                <w:szCs w:val="18"/>
              </w:rPr>
            </w:pPr>
            <w:r w:rsidRPr="00B636B2">
              <w:rPr>
                <w:sz w:val="18"/>
                <w:szCs w:val="18"/>
              </w:rPr>
              <w:t>0.17</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EB410C" w:rsidTr="00176BDC">
        <w:tc>
          <w:tcPr>
            <w:tcW w:w="886" w:type="pct"/>
          </w:tcPr>
          <w:p w:rsidR="00B636B2" w:rsidRPr="00EB410C" w:rsidRDefault="00B636B2" w:rsidP="007916C0">
            <w:pPr>
              <w:pStyle w:val="TableBodyText"/>
              <w:spacing w:after="20"/>
              <w:jc w:val="left"/>
              <w:rPr>
                <w:i/>
                <w:szCs w:val="18"/>
              </w:rPr>
            </w:pPr>
            <w:r w:rsidRPr="00EB410C">
              <w:rPr>
                <w:i/>
                <w:szCs w:val="18"/>
              </w:rPr>
              <w:t>Clearance rate</w:t>
            </w:r>
          </w:p>
        </w:tc>
        <w:tc>
          <w:tcPr>
            <w:tcW w:w="325" w:type="pct"/>
          </w:tcPr>
          <w:p w:rsidR="00B636B2" w:rsidRPr="00EB410C" w:rsidRDefault="00B636B2" w:rsidP="007916C0">
            <w:pPr>
              <w:pStyle w:val="TableBodyText"/>
              <w:spacing w:after="20"/>
              <w:rPr>
                <w:i/>
                <w:szCs w:val="18"/>
              </w:rPr>
            </w:pPr>
            <w:r w:rsidRPr="00EB410C">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107.2</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81.5</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118.9</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98.3</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80.9</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w:t>
            </w:r>
          </w:p>
        </w:tc>
        <w:tc>
          <w:tcPr>
            <w:tcW w:w="563" w:type="pct"/>
            <w:vAlign w:val="bottom"/>
          </w:tcPr>
          <w:p w:rsidR="00B636B2" w:rsidRPr="00B636B2" w:rsidRDefault="00B636B2" w:rsidP="00B636B2">
            <w:pPr>
              <w:pStyle w:val="TableBodyText"/>
              <w:rPr>
                <w:i/>
                <w:iCs/>
                <w:sz w:val="18"/>
                <w:szCs w:val="18"/>
              </w:rPr>
            </w:pPr>
            <w:r w:rsidRPr="00B636B2">
              <w:rPr>
                <w:i/>
                <w:iCs/>
                <w:sz w:val="18"/>
                <w:szCs w:val="18"/>
              </w:rPr>
              <w:t>..</w:t>
            </w:r>
          </w:p>
        </w:tc>
      </w:tr>
      <w:tr w:rsidR="004A4EF2" w:rsidRPr="00EB410C" w:rsidTr="002247B8">
        <w:tc>
          <w:tcPr>
            <w:tcW w:w="5000" w:type="pct"/>
            <w:gridSpan w:val="11"/>
          </w:tcPr>
          <w:p w:rsidR="004A4EF2" w:rsidRPr="00EB410C" w:rsidRDefault="004A4EF2" w:rsidP="00F56C72">
            <w:pPr>
              <w:pStyle w:val="TableBodyText"/>
              <w:spacing w:after="0"/>
              <w:jc w:val="left"/>
              <w:rPr>
                <w:b/>
              </w:rPr>
            </w:pPr>
            <w:r w:rsidRPr="00EB410C">
              <w:rPr>
                <w:b/>
              </w:rPr>
              <w:t>District</w:t>
            </w:r>
            <w:r w:rsidR="00F43AAD" w:rsidRPr="00EB410C">
              <w:rPr>
                <w:b/>
              </w:rPr>
              <w:t>/</w:t>
            </w:r>
            <w:r w:rsidR="007552A5" w:rsidRPr="00EB410C">
              <w:rPr>
                <w:b/>
              </w:rPr>
              <w:t>C</w:t>
            </w:r>
            <w:r w:rsidRPr="00EB410C">
              <w:rPr>
                <w:b/>
              </w:rPr>
              <w:t>ounty</w:t>
            </w:r>
            <w:r w:rsidR="00505751" w:rsidRPr="00EB410C">
              <w:rPr>
                <w:b/>
              </w:rPr>
              <w:t xml:space="preserve"> — </w:t>
            </w:r>
            <w:r w:rsidR="00DB1E5B" w:rsidRPr="00EB410C">
              <w:rPr>
                <w:b/>
              </w:rPr>
              <w:t>non-appeal</w:t>
            </w:r>
          </w:p>
        </w:tc>
      </w:tr>
      <w:tr w:rsidR="00B636B2" w:rsidRPr="00EB410C" w:rsidTr="00176BDC">
        <w:tc>
          <w:tcPr>
            <w:tcW w:w="886" w:type="pct"/>
          </w:tcPr>
          <w:p w:rsidR="00B636B2" w:rsidRPr="00EB410C" w:rsidRDefault="00B636B2" w:rsidP="00C46EDD">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325" w:type="pct"/>
          </w:tcPr>
          <w:p w:rsidR="00B636B2" w:rsidRPr="00EB410C" w:rsidRDefault="00B636B2" w:rsidP="00C46EDD">
            <w:pPr>
              <w:pStyle w:val="TableBodyText"/>
              <w:spacing w:after="20"/>
              <w:rPr>
                <w:szCs w:val="18"/>
              </w:rPr>
            </w:pPr>
            <w:r w:rsidRPr="00EB410C">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7.31</w:t>
            </w:r>
          </w:p>
        </w:tc>
        <w:tc>
          <w:tcPr>
            <w:tcW w:w="416" w:type="pct"/>
            <w:vAlign w:val="bottom"/>
          </w:tcPr>
          <w:p w:rsidR="00B636B2" w:rsidRPr="00B636B2" w:rsidRDefault="00B636B2" w:rsidP="00B636B2">
            <w:pPr>
              <w:pStyle w:val="TableBodyText"/>
              <w:rPr>
                <w:sz w:val="18"/>
                <w:szCs w:val="18"/>
              </w:rPr>
            </w:pPr>
            <w:r w:rsidRPr="00B636B2">
              <w:rPr>
                <w:sz w:val="18"/>
                <w:szCs w:val="18"/>
              </w:rPr>
              <w:t>6.68</w:t>
            </w:r>
          </w:p>
        </w:tc>
        <w:tc>
          <w:tcPr>
            <w:tcW w:w="379" w:type="pct"/>
            <w:vAlign w:val="bottom"/>
          </w:tcPr>
          <w:p w:rsidR="00B636B2" w:rsidRPr="00B636B2" w:rsidRDefault="00B636B2" w:rsidP="00B636B2">
            <w:pPr>
              <w:pStyle w:val="TableBodyText"/>
              <w:rPr>
                <w:sz w:val="18"/>
                <w:szCs w:val="18"/>
              </w:rPr>
            </w:pPr>
            <w:r w:rsidRPr="00B636B2">
              <w:rPr>
                <w:sz w:val="18"/>
                <w:szCs w:val="18"/>
              </w:rPr>
              <w:t>5.54</w:t>
            </w:r>
          </w:p>
        </w:tc>
        <w:tc>
          <w:tcPr>
            <w:tcW w:w="403" w:type="pct"/>
            <w:vAlign w:val="bottom"/>
          </w:tcPr>
          <w:p w:rsidR="00B636B2" w:rsidRPr="00B636B2" w:rsidRDefault="00B636B2" w:rsidP="00B636B2">
            <w:pPr>
              <w:pStyle w:val="TableBodyText"/>
              <w:rPr>
                <w:sz w:val="18"/>
                <w:szCs w:val="18"/>
              </w:rPr>
            </w:pPr>
            <w:r w:rsidRPr="00B636B2">
              <w:rPr>
                <w:sz w:val="18"/>
                <w:szCs w:val="18"/>
              </w:rPr>
              <w:t>4.47</w:t>
            </w:r>
          </w:p>
        </w:tc>
        <w:tc>
          <w:tcPr>
            <w:tcW w:w="403" w:type="pct"/>
            <w:vAlign w:val="bottom"/>
          </w:tcPr>
          <w:p w:rsidR="00B636B2" w:rsidRPr="00B636B2" w:rsidRDefault="00B636B2" w:rsidP="00B636B2">
            <w:pPr>
              <w:pStyle w:val="TableBodyText"/>
              <w:rPr>
                <w:sz w:val="18"/>
                <w:szCs w:val="18"/>
              </w:rPr>
            </w:pPr>
            <w:r w:rsidRPr="00B636B2">
              <w:rPr>
                <w:sz w:val="18"/>
                <w:szCs w:val="18"/>
              </w:rPr>
              <w:t>2.91</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EB410C" w:rsidTr="00176BDC">
        <w:tc>
          <w:tcPr>
            <w:tcW w:w="886" w:type="pct"/>
          </w:tcPr>
          <w:p w:rsidR="00B636B2" w:rsidRPr="00EB410C" w:rsidRDefault="00B636B2" w:rsidP="00C46EDD">
            <w:pPr>
              <w:pStyle w:val="TableBodyText"/>
              <w:spacing w:after="20"/>
              <w:jc w:val="left"/>
              <w:rPr>
                <w:szCs w:val="18"/>
              </w:rPr>
            </w:pPr>
            <w:r w:rsidRPr="00EB410C">
              <w:rPr>
                <w:szCs w:val="18"/>
              </w:rPr>
              <w:t xml:space="preserve"> Finalisations</w:t>
            </w:r>
          </w:p>
        </w:tc>
        <w:tc>
          <w:tcPr>
            <w:tcW w:w="325" w:type="pct"/>
          </w:tcPr>
          <w:p w:rsidR="00B636B2" w:rsidRPr="00EB410C" w:rsidRDefault="00B636B2" w:rsidP="00C46EDD">
            <w:pPr>
              <w:pStyle w:val="TableBodyText"/>
              <w:spacing w:after="20"/>
              <w:rPr>
                <w:szCs w:val="18"/>
              </w:rPr>
            </w:pPr>
            <w:r w:rsidRPr="00EB410C">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7.66</w:t>
            </w:r>
          </w:p>
        </w:tc>
        <w:tc>
          <w:tcPr>
            <w:tcW w:w="416" w:type="pct"/>
            <w:vAlign w:val="bottom"/>
          </w:tcPr>
          <w:p w:rsidR="00B636B2" w:rsidRPr="00B636B2" w:rsidRDefault="00B636B2" w:rsidP="00B636B2">
            <w:pPr>
              <w:pStyle w:val="TableBodyText"/>
              <w:rPr>
                <w:sz w:val="18"/>
                <w:szCs w:val="18"/>
              </w:rPr>
            </w:pPr>
            <w:r w:rsidRPr="00B636B2">
              <w:rPr>
                <w:sz w:val="18"/>
                <w:szCs w:val="18"/>
              </w:rPr>
              <w:t>6.21</w:t>
            </w:r>
          </w:p>
        </w:tc>
        <w:tc>
          <w:tcPr>
            <w:tcW w:w="379" w:type="pct"/>
            <w:vAlign w:val="bottom"/>
          </w:tcPr>
          <w:p w:rsidR="00B636B2" w:rsidRPr="00B636B2" w:rsidRDefault="00B636B2" w:rsidP="00B636B2">
            <w:pPr>
              <w:pStyle w:val="TableBodyText"/>
              <w:rPr>
                <w:sz w:val="18"/>
                <w:szCs w:val="18"/>
              </w:rPr>
            </w:pPr>
            <w:r w:rsidRPr="00B636B2">
              <w:rPr>
                <w:sz w:val="18"/>
                <w:szCs w:val="18"/>
              </w:rPr>
              <w:t>5.95</w:t>
            </w:r>
          </w:p>
        </w:tc>
        <w:tc>
          <w:tcPr>
            <w:tcW w:w="403" w:type="pct"/>
            <w:vAlign w:val="bottom"/>
          </w:tcPr>
          <w:p w:rsidR="00B636B2" w:rsidRPr="00B636B2" w:rsidRDefault="00B636B2" w:rsidP="00B636B2">
            <w:pPr>
              <w:pStyle w:val="TableBodyText"/>
              <w:rPr>
                <w:sz w:val="18"/>
                <w:szCs w:val="18"/>
              </w:rPr>
            </w:pPr>
            <w:r w:rsidRPr="00B636B2">
              <w:rPr>
                <w:sz w:val="18"/>
                <w:szCs w:val="18"/>
              </w:rPr>
              <w:t>4.41</w:t>
            </w:r>
          </w:p>
        </w:tc>
        <w:tc>
          <w:tcPr>
            <w:tcW w:w="403" w:type="pct"/>
            <w:vAlign w:val="bottom"/>
          </w:tcPr>
          <w:p w:rsidR="00B636B2" w:rsidRPr="00B636B2" w:rsidRDefault="00B636B2" w:rsidP="00B636B2">
            <w:pPr>
              <w:pStyle w:val="TableBodyText"/>
              <w:rPr>
                <w:sz w:val="18"/>
                <w:szCs w:val="18"/>
              </w:rPr>
            </w:pPr>
            <w:r w:rsidRPr="00B636B2">
              <w:rPr>
                <w:sz w:val="18"/>
                <w:szCs w:val="18"/>
              </w:rPr>
              <w:t>2.76</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5D3F41" w:rsidTr="00176BDC">
        <w:tc>
          <w:tcPr>
            <w:tcW w:w="886" w:type="pct"/>
          </w:tcPr>
          <w:p w:rsidR="00B636B2" w:rsidRPr="005D3F41" w:rsidRDefault="00B636B2" w:rsidP="007916C0">
            <w:pPr>
              <w:pStyle w:val="TableBodyText"/>
              <w:spacing w:after="20"/>
              <w:jc w:val="left"/>
              <w:rPr>
                <w:i/>
                <w:szCs w:val="18"/>
              </w:rPr>
            </w:pPr>
            <w:r w:rsidRPr="005D3F41">
              <w:rPr>
                <w:i/>
                <w:szCs w:val="18"/>
              </w:rPr>
              <w:t>Clearance rate</w:t>
            </w:r>
          </w:p>
        </w:tc>
        <w:tc>
          <w:tcPr>
            <w:tcW w:w="325" w:type="pct"/>
          </w:tcPr>
          <w:p w:rsidR="00B636B2" w:rsidRPr="005D3F41" w:rsidRDefault="00B636B2" w:rsidP="007916C0">
            <w:pPr>
              <w:pStyle w:val="TableBodyText"/>
              <w:spacing w:after="20"/>
              <w:rPr>
                <w:i/>
                <w:szCs w:val="18"/>
              </w:rPr>
            </w:pPr>
            <w:r w:rsidRPr="005D3F41">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104.8</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92.9</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107.4</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98.8</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94.8</w:t>
            </w:r>
          </w:p>
        </w:tc>
        <w:tc>
          <w:tcPr>
            <w:tcW w:w="403" w:type="pct"/>
          </w:tcPr>
          <w:p w:rsidR="00B636B2" w:rsidRPr="00B636B2" w:rsidRDefault="00B636B2" w:rsidP="00B636B2">
            <w:pPr>
              <w:pStyle w:val="TableBodyText"/>
              <w:rPr>
                <w:i/>
                <w:iCs/>
                <w:sz w:val="18"/>
                <w:szCs w:val="18"/>
              </w:rPr>
            </w:pPr>
            <w:r w:rsidRPr="00B636B2">
              <w:rPr>
                <w:i/>
                <w:iCs/>
                <w:sz w:val="18"/>
                <w:szCs w:val="18"/>
              </w:rPr>
              <w:t>..</w:t>
            </w:r>
          </w:p>
        </w:tc>
        <w:tc>
          <w:tcPr>
            <w:tcW w:w="403" w:type="pct"/>
          </w:tcPr>
          <w:p w:rsidR="00B636B2" w:rsidRPr="00B636B2" w:rsidRDefault="00B636B2" w:rsidP="00B636B2">
            <w:pPr>
              <w:pStyle w:val="TableBodyText"/>
              <w:rPr>
                <w:i/>
                <w:iCs/>
                <w:sz w:val="18"/>
                <w:szCs w:val="18"/>
              </w:rPr>
            </w:pPr>
            <w:r w:rsidRPr="00B636B2">
              <w:rPr>
                <w:i/>
                <w:iCs/>
                <w:sz w:val="18"/>
                <w:szCs w:val="18"/>
              </w:rPr>
              <w:t>..</w:t>
            </w:r>
          </w:p>
        </w:tc>
        <w:tc>
          <w:tcPr>
            <w:tcW w:w="403" w:type="pct"/>
          </w:tcPr>
          <w:p w:rsidR="00B636B2" w:rsidRPr="00B636B2" w:rsidRDefault="00B636B2" w:rsidP="00B636B2">
            <w:pPr>
              <w:pStyle w:val="TableBodyText"/>
              <w:rPr>
                <w:i/>
                <w:iCs/>
                <w:sz w:val="18"/>
                <w:szCs w:val="18"/>
              </w:rPr>
            </w:pPr>
            <w:r w:rsidRPr="00B636B2">
              <w:rPr>
                <w:i/>
                <w:iCs/>
                <w:sz w:val="18"/>
                <w:szCs w:val="18"/>
              </w:rPr>
              <w:t>..</w:t>
            </w:r>
          </w:p>
        </w:tc>
        <w:tc>
          <w:tcPr>
            <w:tcW w:w="563" w:type="pct"/>
          </w:tcPr>
          <w:p w:rsidR="00B636B2" w:rsidRPr="00B636B2" w:rsidRDefault="00B636B2" w:rsidP="00B636B2">
            <w:pPr>
              <w:pStyle w:val="TableBodyText"/>
              <w:rPr>
                <w:i/>
                <w:iCs/>
                <w:sz w:val="18"/>
                <w:szCs w:val="18"/>
              </w:rPr>
            </w:pPr>
            <w:r w:rsidRPr="00B636B2">
              <w:rPr>
                <w:i/>
                <w:iCs/>
                <w:sz w:val="18"/>
                <w:szCs w:val="18"/>
              </w:rPr>
              <w:t>..</w:t>
            </w:r>
          </w:p>
        </w:tc>
      </w:tr>
      <w:tr w:rsidR="004C6A88" w:rsidRPr="005D3F41" w:rsidTr="004C6A88">
        <w:tc>
          <w:tcPr>
            <w:tcW w:w="5000" w:type="pct"/>
            <w:gridSpan w:val="11"/>
          </w:tcPr>
          <w:p w:rsidR="004C6A88" w:rsidRPr="005D3F41" w:rsidRDefault="004C6A88" w:rsidP="00F56C72">
            <w:pPr>
              <w:pStyle w:val="TableBodyText"/>
              <w:spacing w:after="0"/>
              <w:jc w:val="left"/>
              <w:rPr>
                <w:b/>
              </w:rPr>
            </w:pPr>
            <w:r w:rsidRPr="005D3F41">
              <w:rPr>
                <w:b/>
              </w:rPr>
              <w:t>Magistrates</w:t>
            </w:r>
          </w:p>
        </w:tc>
      </w:tr>
      <w:tr w:rsidR="00B636B2" w:rsidRPr="00464DE7" w:rsidTr="00176BDC">
        <w:tc>
          <w:tcPr>
            <w:tcW w:w="886" w:type="pct"/>
          </w:tcPr>
          <w:p w:rsidR="00B636B2" w:rsidRPr="00464DE7" w:rsidRDefault="00B636B2" w:rsidP="00C46EDD">
            <w:pPr>
              <w:pStyle w:val="TableBodyText"/>
              <w:spacing w:after="20"/>
              <w:jc w:val="left"/>
              <w:rPr>
                <w:szCs w:val="18"/>
              </w:rPr>
            </w:pPr>
            <w:r w:rsidRPr="00464DE7">
              <w:rPr>
                <w:szCs w:val="18"/>
              </w:rPr>
              <w:t xml:space="preserve"> </w:t>
            </w:r>
            <w:proofErr w:type="spellStart"/>
            <w:r w:rsidRPr="00464DE7">
              <w:rPr>
                <w:szCs w:val="18"/>
              </w:rPr>
              <w:t>Lodgments</w:t>
            </w:r>
            <w:proofErr w:type="spellEnd"/>
          </w:p>
        </w:tc>
        <w:tc>
          <w:tcPr>
            <w:tcW w:w="325" w:type="pct"/>
          </w:tcPr>
          <w:p w:rsidR="00B636B2" w:rsidRPr="00464DE7" w:rsidRDefault="00B636B2" w:rsidP="00C46EDD">
            <w:pPr>
              <w:pStyle w:val="TableBodyText"/>
              <w:spacing w:after="20"/>
              <w:rPr>
                <w:szCs w:val="18"/>
              </w:rPr>
            </w:pPr>
            <w:r w:rsidRPr="00464DE7">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146.82</w:t>
            </w:r>
          </w:p>
        </w:tc>
        <w:tc>
          <w:tcPr>
            <w:tcW w:w="416" w:type="pct"/>
            <w:vAlign w:val="bottom"/>
          </w:tcPr>
          <w:p w:rsidR="00B636B2" w:rsidRPr="00B636B2" w:rsidRDefault="00B636B2" w:rsidP="00B636B2">
            <w:pPr>
              <w:pStyle w:val="TableBodyText"/>
              <w:rPr>
                <w:sz w:val="18"/>
                <w:szCs w:val="18"/>
              </w:rPr>
            </w:pPr>
            <w:r w:rsidRPr="00B636B2">
              <w:rPr>
                <w:sz w:val="18"/>
                <w:szCs w:val="18"/>
              </w:rPr>
              <w:t>98.64</w:t>
            </w:r>
          </w:p>
        </w:tc>
        <w:tc>
          <w:tcPr>
            <w:tcW w:w="379" w:type="pct"/>
            <w:vAlign w:val="bottom"/>
          </w:tcPr>
          <w:p w:rsidR="00B636B2" w:rsidRPr="00B636B2" w:rsidRDefault="00B636B2" w:rsidP="00B636B2">
            <w:pPr>
              <w:pStyle w:val="TableBodyText"/>
              <w:rPr>
                <w:sz w:val="18"/>
                <w:szCs w:val="18"/>
              </w:rPr>
            </w:pPr>
            <w:r w:rsidRPr="00B636B2">
              <w:rPr>
                <w:sz w:val="18"/>
                <w:szCs w:val="18"/>
              </w:rPr>
              <w:t>55.24</w:t>
            </w:r>
          </w:p>
        </w:tc>
        <w:tc>
          <w:tcPr>
            <w:tcW w:w="403" w:type="pct"/>
            <w:vAlign w:val="bottom"/>
          </w:tcPr>
          <w:p w:rsidR="00B636B2" w:rsidRPr="00B636B2" w:rsidRDefault="00B636B2" w:rsidP="00B636B2">
            <w:pPr>
              <w:pStyle w:val="TableBodyText"/>
              <w:rPr>
                <w:sz w:val="18"/>
                <w:szCs w:val="18"/>
              </w:rPr>
            </w:pPr>
            <w:r w:rsidRPr="00B636B2">
              <w:rPr>
                <w:sz w:val="18"/>
                <w:szCs w:val="18"/>
              </w:rPr>
              <w:t>50.60</w:t>
            </w:r>
          </w:p>
        </w:tc>
        <w:tc>
          <w:tcPr>
            <w:tcW w:w="403" w:type="pct"/>
            <w:vAlign w:val="bottom"/>
          </w:tcPr>
          <w:p w:rsidR="00B636B2" w:rsidRPr="00B636B2" w:rsidRDefault="00B636B2" w:rsidP="00B636B2">
            <w:pPr>
              <w:pStyle w:val="TableBodyText"/>
              <w:rPr>
                <w:sz w:val="18"/>
                <w:szCs w:val="18"/>
              </w:rPr>
            </w:pPr>
            <w:r w:rsidRPr="00B636B2">
              <w:rPr>
                <w:sz w:val="18"/>
                <w:szCs w:val="18"/>
              </w:rPr>
              <w:t>28.88</w:t>
            </w:r>
          </w:p>
        </w:tc>
        <w:tc>
          <w:tcPr>
            <w:tcW w:w="403" w:type="pct"/>
            <w:vAlign w:val="bottom"/>
          </w:tcPr>
          <w:p w:rsidR="00B636B2" w:rsidRPr="00B636B2" w:rsidRDefault="00B636B2" w:rsidP="00B636B2">
            <w:pPr>
              <w:pStyle w:val="TableBodyText"/>
              <w:rPr>
                <w:sz w:val="18"/>
                <w:szCs w:val="18"/>
              </w:rPr>
            </w:pPr>
            <w:r w:rsidRPr="00B636B2">
              <w:rPr>
                <w:sz w:val="18"/>
                <w:szCs w:val="18"/>
              </w:rPr>
              <w:t>7.78</w:t>
            </w:r>
          </w:p>
        </w:tc>
        <w:tc>
          <w:tcPr>
            <w:tcW w:w="403" w:type="pct"/>
            <w:vAlign w:val="bottom"/>
          </w:tcPr>
          <w:p w:rsidR="00B636B2" w:rsidRPr="00B636B2" w:rsidRDefault="00B636B2" w:rsidP="00B636B2">
            <w:pPr>
              <w:pStyle w:val="TableBodyText"/>
              <w:rPr>
                <w:sz w:val="18"/>
                <w:szCs w:val="18"/>
              </w:rPr>
            </w:pPr>
            <w:r w:rsidRPr="00B636B2">
              <w:rPr>
                <w:sz w:val="18"/>
                <w:szCs w:val="18"/>
              </w:rPr>
              <w:t>4.01</w:t>
            </w:r>
          </w:p>
        </w:tc>
        <w:tc>
          <w:tcPr>
            <w:tcW w:w="403" w:type="pct"/>
            <w:vAlign w:val="bottom"/>
          </w:tcPr>
          <w:p w:rsidR="00B636B2" w:rsidRPr="00B636B2" w:rsidRDefault="00B636B2" w:rsidP="00B636B2">
            <w:pPr>
              <w:pStyle w:val="TableBodyText"/>
              <w:rPr>
                <w:sz w:val="18"/>
                <w:szCs w:val="18"/>
              </w:rPr>
            </w:pPr>
            <w:r w:rsidRPr="00B636B2">
              <w:rPr>
                <w:sz w:val="18"/>
                <w:szCs w:val="18"/>
              </w:rPr>
              <w:t>6.71</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464DE7" w:rsidTr="00176BDC">
        <w:tc>
          <w:tcPr>
            <w:tcW w:w="886" w:type="pct"/>
          </w:tcPr>
          <w:p w:rsidR="00B636B2" w:rsidRPr="00464DE7" w:rsidRDefault="00B636B2" w:rsidP="00C46EDD">
            <w:pPr>
              <w:pStyle w:val="TableBodyText"/>
              <w:spacing w:after="20"/>
              <w:jc w:val="left"/>
              <w:rPr>
                <w:szCs w:val="18"/>
              </w:rPr>
            </w:pPr>
            <w:r w:rsidRPr="00464DE7">
              <w:rPr>
                <w:szCs w:val="18"/>
              </w:rPr>
              <w:t xml:space="preserve"> Finalisations</w:t>
            </w:r>
          </w:p>
        </w:tc>
        <w:tc>
          <w:tcPr>
            <w:tcW w:w="325" w:type="pct"/>
          </w:tcPr>
          <w:p w:rsidR="00B636B2" w:rsidRPr="00464DE7" w:rsidRDefault="00B636B2" w:rsidP="00C46EDD">
            <w:pPr>
              <w:pStyle w:val="TableBodyText"/>
              <w:spacing w:after="20"/>
              <w:rPr>
                <w:szCs w:val="18"/>
              </w:rPr>
            </w:pPr>
            <w:r w:rsidRPr="00464DE7">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146.07</w:t>
            </w:r>
          </w:p>
        </w:tc>
        <w:tc>
          <w:tcPr>
            <w:tcW w:w="416" w:type="pct"/>
            <w:vAlign w:val="bottom"/>
          </w:tcPr>
          <w:p w:rsidR="00B636B2" w:rsidRPr="00FD3BDE" w:rsidRDefault="00B636B2" w:rsidP="000E181B">
            <w:pPr>
              <w:pStyle w:val="TableBodyText"/>
              <w:tabs>
                <w:tab w:val="right" w:pos="8789"/>
              </w:tabs>
              <w:ind w:hanging="737"/>
              <w:rPr>
                <w:sz w:val="18"/>
                <w:szCs w:val="18"/>
              </w:rPr>
            </w:pPr>
            <w:r w:rsidRPr="00FD3BDE">
              <w:rPr>
                <w:sz w:val="18"/>
                <w:szCs w:val="18"/>
              </w:rPr>
              <w:t>10</w:t>
            </w:r>
            <w:r w:rsidR="000E181B" w:rsidRPr="00FD3BDE">
              <w:rPr>
                <w:sz w:val="18"/>
                <w:szCs w:val="18"/>
              </w:rPr>
              <w:t>6</w:t>
            </w:r>
            <w:r w:rsidRPr="00FD3BDE">
              <w:rPr>
                <w:sz w:val="18"/>
                <w:szCs w:val="18"/>
              </w:rPr>
              <w:t>.2</w:t>
            </w:r>
            <w:r w:rsidR="000E181B" w:rsidRPr="00FD3BDE">
              <w:rPr>
                <w:sz w:val="18"/>
                <w:szCs w:val="18"/>
              </w:rPr>
              <w:t>0</w:t>
            </w:r>
          </w:p>
        </w:tc>
        <w:tc>
          <w:tcPr>
            <w:tcW w:w="379" w:type="pct"/>
            <w:vAlign w:val="bottom"/>
          </w:tcPr>
          <w:p w:rsidR="00B636B2" w:rsidRPr="00B636B2" w:rsidRDefault="00B636B2" w:rsidP="00B636B2">
            <w:pPr>
              <w:pStyle w:val="TableBodyText"/>
              <w:rPr>
                <w:sz w:val="18"/>
                <w:szCs w:val="18"/>
              </w:rPr>
            </w:pPr>
            <w:r w:rsidRPr="00B636B2">
              <w:rPr>
                <w:sz w:val="18"/>
                <w:szCs w:val="18"/>
              </w:rPr>
              <w:t>53.87</w:t>
            </w:r>
          </w:p>
        </w:tc>
        <w:tc>
          <w:tcPr>
            <w:tcW w:w="403" w:type="pct"/>
            <w:vAlign w:val="bottom"/>
          </w:tcPr>
          <w:p w:rsidR="00B636B2" w:rsidRPr="00B636B2" w:rsidRDefault="00B636B2" w:rsidP="00B636B2">
            <w:pPr>
              <w:pStyle w:val="TableBodyText"/>
              <w:rPr>
                <w:sz w:val="18"/>
                <w:szCs w:val="18"/>
              </w:rPr>
            </w:pPr>
            <w:r w:rsidRPr="00B636B2">
              <w:rPr>
                <w:sz w:val="18"/>
                <w:szCs w:val="18"/>
              </w:rPr>
              <w:t>50.66</w:t>
            </w:r>
          </w:p>
        </w:tc>
        <w:tc>
          <w:tcPr>
            <w:tcW w:w="403" w:type="pct"/>
            <w:vAlign w:val="bottom"/>
          </w:tcPr>
          <w:p w:rsidR="00B636B2" w:rsidRPr="00B636B2" w:rsidRDefault="00B636B2" w:rsidP="00B636B2">
            <w:pPr>
              <w:pStyle w:val="TableBodyText"/>
              <w:rPr>
                <w:sz w:val="18"/>
                <w:szCs w:val="18"/>
              </w:rPr>
            </w:pPr>
            <w:r w:rsidRPr="00B636B2">
              <w:rPr>
                <w:sz w:val="18"/>
                <w:szCs w:val="18"/>
              </w:rPr>
              <w:t>26.37</w:t>
            </w:r>
          </w:p>
        </w:tc>
        <w:tc>
          <w:tcPr>
            <w:tcW w:w="403" w:type="pct"/>
            <w:vAlign w:val="bottom"/>
          </w:tcPr>
          <w:p w:rsidR="00B636B2" w:rsidRPr="00B636B2" w:rsidRDefault="00B636B2" w:rsidP="00B636B2">
            <w:pPr>
              <w:pStyle w:val="TableBodyText"/>
              <w:rPr>
                <w:sz w:val="18"/>
                <w:szCs w:val="18"/>
              </w:rPr>
            </w:pPr>
            <w:r w:rsidRPr="00B636B2">
              <w:rPr>
                <w:sz w:val="18"/>
                <w:szCs w:val="18"/>
              </w:rPr>
              <w:t>8.52</w:t>
            </w:r>
          </w:p>
        </w:tc>
        <w:tc>
          <w:tcPr>
            <w:tcW w:w="403" w:type="pct"/>
            <w:vAlign w:val="bottom"/>
          </w:tcPr>
          <w:p w:rsidR="00B636B2" w:rsidRPr="00B636B2" w:rsidRDefault="00B636B2" w:rsidP="00B636B2">
            <w:pPr>
              <w:pStyle w:val="TableBodyText"/>
              <w:rPr>
                <w:sz w:val="18"/>
                <w:szCs w:val="18"/>
              </w:rPr>
            </w:pPr>
            <w:r w:rsidRPr="00B636B2">
              <w:rPr>
                <w:sz w:val="18"/>
                <w:szCs w:val="18"/>
              </w:rPr>
              <w:t>3.76</w:t>
            </w:r>
          </w:p>
        </w:tc>
        <w:tc>
          <w:tcPr>
            <w:tcW w:w="403" w:type="pct"/>
            <w:vAlign w:val="bottom"/>
          </w:tcPr>
          <w:p w:rsidR="00B636B2" w:rsidRPr="00B636B2" w:rsidRDefault="00B636B2" w:rsidP="00B636B2">
            <w:pPr>
              <w:pStyle w:val="TableBodyText"/>
              <w:rPr>
                <w:sz w:val="18"/>
                <w:szCs w:val="18"/>
              </w:rPr>
            </w:pPr>
            <w:r w:rsidRPr="00B636B2">
              <w:rPr>
                <w:sz w:val="18"/>
                <w:szCs w:val="18"/>
              </w:rPr>
              <w:t>7.00</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D07F0B" w:rsidTr="00176BDC">
        <w:tc>
          <w:tcPr>
            <w:tcW w:w="886" w:type="pct"/>
          </w:tcPr>
          <w:p w:rsidR="00B636B2" w:rsidRPr="00D07F0B" w:rsidRDefault="00B636B2" w:rsidP="007916C0">
            <w:pPr>
              <w:pStyle w:val="TableBodyText"/>
              <w:spacing w:after="20"/>
              <w:jc w:val="left"/>
              <w:rPr>
                <w:i/>
                <w:szCs w:val="18"/>
              </w:rPr>
            </w:pPr>
            <w:r w:rsidRPr="00D07F0B">
              <w:rPr>
                <w:i/>
                <w:szCs w:val="18"/>
              </w:rPr>
              <w:t>Clearance rate</w:t>
            </w:r>
          </w:p>
        </w:tc>
        <w:tc>
          <w:tcPr>
            <w:tcW w:w="325" w:type="pct"/>
          </w:tcPr>
          <w:p w:rsidR="00B636B2" w:rsidRPr="00D07F0B" w:rsidRDefault="00B636B2" w:rsidP="007916C0">
            <w:pPr>
              <w:pStyle w:val="TableBodyText"/>
              <w:spacing w:after="20"/>
              <w:rPr>
                <w:i/>
                <w:szCs w:val="18"/>
              </w:rPr>
            </w:pPr>
            <w:r w:rsidRPr="00D07F0B">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99.5</w:t>
            </w:r>
          </w:p>
        </w:tc>
        <w:tc>
          <w:tcPr>
            <w:tcW w:w="416" w:type="pct"/>
            <w:vAlign w:val="bottom"/>
          </w:tcPr>
          <w:p w:rsidR="00B636B2" w:rsidRPr="00FD3BDE" w:rsidRDefault="00B636B2" w:rsidP="00B636B2">
            <w:pPr>
              <w:pStyle w:val="TableBodyText"/>
              <w:tabs>
                <w:tab w:val="right" w:pos="8789"/>
              </w:tabs>
              <w:ind w:hanging="737"/>
              <w:rPr>
                <w:i/>
                <w:iCs/>
                <w:sz w:val="18"/>
                <w:szCs w:val="18"/>
              </w:rPr>
            </w:pPr>
            <w:r w:rsidRPr="00FD3BDE">
              <w:rPr>
                <w:i/>
                <w:iCs/>
                <w:sz w:val="18"/>
                <w:szCs w:val="18"/>
              </w:rPr>
              <w:t>10</w:t>
            </w:r>
            <w:r w:rsidR="000E181B" w:rsidRPr="00FD3BDE">
              <w:rPr>
                <w:i/>
                <w:iCs/>
                <w:sz w:val="18"/>
                <w:szCs w:val="18"/>
              </w:rPr>
              <w:t>7</w:t>
            </w:r>
            <w:r w:rsidRPr="00FD3BDE">
              <w:rPr>
                <w:i/>
                <w:iCs/>
                <w:sz w:val="18"/>
                <w:szCs w:val="18"/>
              </w:rPr>
              <w:t>.</w:t>
            </w:r>
            <w:r w:rsidR="000E181B" w:rsidRPr="00FD3BDE">
              <w:rPr>
                <w:i/>
                <w:iCs/>
                <w:sz w:val="18"/>
                <w:szCs w:val="18"/>
              </w:rPr>
              <w:t>7</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97.5</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100.1</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91.3</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109.5</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93.6</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104.4</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4C6A88" w:rsidRPr="00D07F0B" w:rsidTr="004C6A88">
        <w:tc>
          <w:tcPr>
            <w:tcW w:w="5000" w:type="pct"/>
            <w:gridSpan w:val="11"/>
          </w:tcPr>
          <w:p w:rsidR="004C6A88" w:rsidRPr="00D07F0B" w:rsidRDefault="004C6A88" w:rsidP="00F56C72">
            <w:pPr>
              <w:pStyle w:val="TableBodyText"/>
              <w:spacing w:after="0"/>
              <w:jc w:val="left"/>
              <w:rPr>
                <w:b/>
              </w:rPr>
            </w:pPr>
            <w:r w:rsidRPr="00D07F0B">
              <w:rPr>
                <w:b/>
              </w:rPr>
              <w:t>Children’s</w:t>
            </w:r>
            <w:r w:rsidR="00810D05">
              <w:rPr>
                <w:rStyle w:val="NoteLabel"/>
              </w:rPr>
              <w:t>b</w:t>
            </w:r>
            <w:r w:rsidR="002A213B">
              <w:rPr>
                <w:rStyle w:val="NoteLabel"/>
                <w:sz w:val="20"/>
              </w:rPr>
              <w:t xml:space="preserve">, </w:t>
            </w:r>
            <w:r w:rsidR="00810D05">
              <w:rPr>
                <w:rStyle w:val="NoteLabel"/>
                <w:sz w:val="20"/>
              </w:rPr>
              <w:t>c</w:t>
            </w:r>
          </w:p>
        </w:tc>
      </w:tr>
      <w:tr w:rsidR="00B636B2" w:rsidRPr="00D07F0B" w:rsidTr="00176BDC">
        <w:tc>
          <w:tcPr>
            <w:tcW w:w="886" w:type="pct"/>
          </w:tcPr>
          <w:p w:rsidR="00B636B2" w:rsidRPr="00D07F0B" w:rsidRDefault="00B636B2" w:rsidP="008964F9">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325" w:type="pct"/>
          </w:tcPr>
          <w:p w:rsidR="00B636B2" w:rsidRPr="00D07F0B" w:rsidRDefault="00B636B2" w:rsidP="008964F9">
            <w:pPr>
              <w:pStyle w:val="TableBodyText"/>
              <w:spacing w:after="0"/>
              <w:rPr>
                <w:szCs w:val="18"/>
              </w:rPr>
            </w:pPr>
            <w:r w:rsidRPr="00D07F0B">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8.77</w:t>
            </w:r>
          </w:p>
        </w:tc>
        <w:tc>
          <w:tcPr>
            <w:tcW w:w="416" w:type="pct"/>
            <w:vAlign w:val="bottom"/>
          </w:tcPr>
          <w:p w:rsidR="00B636B2" w:rsidRPr="00B636B2" w:rsidRDefault="00B636B2" w:rsidP="00B636B2">
            <w:pPr>
              <w:pStyle w:val="TableBodyText"/>
              <w:rPr>
                <w:sz w:val="18"/>
                <w:szCs w:val="18"/>
              </w:rPr>
            </w:pPr>
            <w:r w:rsidRPr="00B636B2">
              <w:rPr>
                <w:sz w:val="18"/>
                <w:szCs w:val="18"/>
              </w:rPr>
              <w:t>6.35</w:t>
            </w:r>
          </w:p>
        </w:tc>
        <w:tc>
          <w:tcPr>
            <w:tcW w:w="379" w:type="pct"/>
            <w:vAlign w:val="bottom"/>
          </w:tcPr>
          <w:p w:rsidR="00B636B2" w:rsidRPr="00B636B2" w:rsidRDefault="00B636B2" w:rsidP="00B636B2">
            <w:pPr>
              <w:pStyle w:val="TableBodyText"/>
              <w:rPr>
                <w:sz w:val="18"/>
                <w:szCs w:val="18"/>
              </w:rPr>
            </w:pPr>
            <w:r w:rsidRPr="00B636B2">
              <w:rPr>
                <w:sz w:val="18"/>
                <w:szCs w:val="18"/>
              </w:rPr>
              <w:t>3.95</w:t>
            </w:r>
          </w:p>
        </w:tc>
        <w:tc>
          <w:tcPr>
            <w:tcW w:w="403" w:type="pct"/>
            <w:vAlign w:val="bottom"/>
          </w:tcPr>
          <w:p w:rsidR="00B636B2" w:rsidRPr="00B636B2" w:rsidRDefault="00B636B2" w:rsidP="00B636B2">
            <w:pPr>
              <w:pStyle w:val="TableBodyText"/>
              <w:rPr>
                <w:sz w:val="18"/>
                <w:szCs w:val="18"/>
              </w:rPr>
            </w:pPr>
            <w:r w:rsidRPr="00B636B2">
              <w:rPr>
                <w:sz w:val="18"/>
                <w:szCs w:val="18"/>
              </w:rPr>
              <w:t>3.06</w:t>
            </w:r>
          </w:p>
        </w:tc>
        <w:tc>
          <w:tcPr>
            <w:tcW w:w="403" w:type="pct"/>
            <w:vAlign w:val="bottom"/>
          </w:tcPr>
          <w:p w:rsidR="00B636B2" w:rsidRPr="00B636B2" w:rsidRDefault="00B636B2" w:rsidP="00B636B2">
            <w:pPr>
              <w:pStyle w:val="TableBodyText"/>
              <w:rPr>
                <w:sz w:val="18"/>
                <w:szCs w:val="18"/>
              </w:rPr>
            </w:pPr>
            <w:r w:rsidRPr="00B636B2">
              <w:rPr>
                <w:sz w:val="18"/>
                <w:szCs w:val="18"/>
              </w:rPr>
              <w:t>1.23</w:t>
            </w:r>
          </w:p>
        </w:tc>
        <w:tc>
          <w:tcPr>
            <w:tcW w:w="403" w:type="pct"/>
            <w:vAlign w:val="bottom"/>
          </w:tcPr>
          <w:p w:rsidR="00B636B2" w:rsidRPr="00B636B2" w:rsidRDefault="00B636B2" w:rsidP="00B636B2">
            <w:pPr>
              <w:pStyle w:val="TableBodyText"/>
              <w:rPr>
                <w:sz w:val="18"/>
                <w:szCs w:val="18"/>
              </w:rPr>
            </w:pPr>
            <w:r w:rsidRPr="00B636B2">
              <w:rPr>
                <w:sz w:val="18"/>
                <w:szCs w:val="18"/>
              </w:rPr>
              <w:t>0.40</w:t>
            </w:r>
          </w:p>
        </w:tc>
        <w:tc>
          <w:tcPr>
            <w:tcW w:w="403" w:type="pct"/>
            <w:vAlign w:val="bottom"/>
          </w:tcPr>
          <w:p w:rsidR="00B636B2" w:rsidRPr="00B636B2" w:rsidRDefault="00B636B2" w:rsidP="00B636B2">
            <w:pPr>
              <w:pStyle w:val="TableBodyText"/>
              <w:rPr>
                <w:sz w:val="18"/>
                <w:szCs w:val="18"/>
              </w:rPr>
            </w:pPr>
            <w:r w:rsidRPr="00B636B2">
              <w:rPr>
                <w:sz w:val="18"/>
                <w:szCs w:val="18"/>
              </w:rPr>
              <w:t>0.11</w:t>
            </w:r>
          </w:p>
        </w:tc>
        <w:tc>
          <w:tcPr>
            <w:tcW w:w="403" w:type="pct"/>
            <w:vAlign w:val="bottom"/>
          </w:tcPr>
          <w:p w:rsidR="00B636B2" w:rsidRPr="00B636B2" w:rsidRDefault="00B636B2" w:rsidP="00B636B2">
            <w:pPr>
              <w:pStyle w:val="TableBodyText"/>
              <w:rPr>
                <w:sz w:val="18"/>
                <w:szCs w:val="18"/>
              </w:rPr>
            </w:pPr>
            <w:r w:rsidRPr="00B636B2">
              <w:rPr>
                <w:sz w:val="18"/>
                <w:szCs w:val="18"/>
              </w:rPr>
              <w:t>0.36</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D07F0B" w:rsidTr="00176BDC">
        <w:tc>
          <w:tcPr>
            <w:tcW w:w="886" w:type="pct"/>
          </w:tcPr>
          <w:p w:rsidR="00B636B2" w:rsidRPr="00D07F0B" w:rsidRDefault="00B636B2" w:rsidP="008964F9">
            <w:pPr>
              <w:pStyle w:val="TableBodyText"/>
              <w:spacing w:after="0"/>
              <w:jc w:val="left"/>
              <w:rPr>
                <w:szCs w:val="18"/>
              </w:rPr>
            </w:pPr>
            <w:r w:rsidRPr="00D07F0B">
              <w:rPr>
                <w:szCs w:val="18"/>
              </w:rPr>
              <w:t xml:space="preserve"> Finalisations</w:t>
            </w:r>
          </w:p>
        </w:tc>
        <w:tc>
          <w:tcPr>
            <w:tcW w:w="325" w:type="pct"/>
          </w:tcPr>
          <w:p w:rsidR="00B636B2" w:rsidRPr="00D07F0B" w:rsidRDefault="00B636B2" w:rsidP="008964F9">
            <w:pPr>
              <w:pStyle w:val="TableBodyText"/>
              <w:spacing w:after="0"/>
              <w:rPr>
                <w:szCs w:val="18"/>
              </w:rPr>
            </w:pPr>
            <w:r w:rsidRPr="00D07F0B">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8.80</w:t>
            </w:r>
          </w:p>
        </w:tc>
        <w:tc>
          <w:tcPr>
            <w:tcW w:w="416" w:type="pct"/>
            <w:vAlign w:val="bottom"/>
          </w:tcPr>
          <w:p w:rsidR="00B636B2" w:rsidRPr="00B636B2" w:rsidRDefault="00B636B2" w:rsidP="00B636B2">
            <w:pPr>
              <w:pStyle w:val="TableBodyText"/>
              <w:rPr>
                <w:sz w:val="18"/>
                <w:szCs w:val="18"/>
              </w:rPr>
            </w:pPr>
            <w:r w:rsidRPr="00B636B2">
              <w:rPr>
                <w:sz w:val="18"/>
                <w:szCs w:val="18"/>
              </w:rPr>
              <w:t>6.24</w:t>
            </w:r>
          </w:p>
        </w:tc>
        <w:tc>
          <w:tcPr>
            <w:tcW w:w="379" w:type="pct"/>
            <w:vAlign w:val="bottom"/>
          </w:tcPr>
          <w:p w:rsidR="00B636B2" w:rsidRPr="00B636B2" w:rsidRDefault="00B636B2" w:rsidP="00B636B2">
            <w:pPr>
              <w:pStyle w:val="TableBodyText"/>
              <w:rPr>
                <w:sz w:val="18"/>
                <w:szCs w:val="18"/>
              </w:rPr>
            </w:pPr>
            <w:r w:rsidRPr="00B636B2">
              <w:rPr>
                <w:sz w:val="18"/>
                <w:szCs w:val="18"/>
              </w:rPr>
              <w:t>3.92</w:t>
            </w:r>
          </w:p>
        </w:tc>
        <w:tc>
          <w:tcPr>
            <w:tcW w:w="403" w:type="pct"/>
            <w:vAlign w:val="bottom"/>
          </w:tcPr>
          <w:p w:rsidR="00B636B2" w:rsidRPr="00B636B2" w:rsidRDefault="00B636B2" w:rsidP="00B636B2">
            <w:pPr>
              <w:pStyle w:val="TableBodyText"/>
              <w:rPr>
                <w:sz w:val="18"/>
                <w:szCs w:val="18"/>
              </w:rPr>
            </w:pPr>
            <w:r w:rsidRPr="00B636B2">
              <w:rPr>
                <w:sz w:val="18"/>
                <w:szCs w:val="18"/>
              </w:rPr>
              <w:t>2.76</w:t>
            </w:r>
          </w:p>
        </w:tc>
        <w:tc>
          <w:tcPr>
            <w:tcW w:w="403" w:type="pct"/>
            <w:vAlign w:val="bottom"/>
          </w:tcPr>
          <w:p w:rsidR="00B636B2" w:rsidRPr="00B636B2" w:rsidRDefault="00B636B2" w:rsidP="00B636B2">
            <w:pPr>
              <w:pStyle w:val="TableBodyText"/>
              <w:rPr>
                <w:sz w:val="18"/>
                <w:szCs w:val="18"/>
              </w:rPr>
            </w:pPr>
            <w:r w:rsidRPr="00B636B2">
              <w:rPr>
                <w:sz w:val="18"/>
                <w:szCs w:val="18"/>
              </w:rPr>
              <w:t>1.26</w:t>
            </w:r>
          </w:p>
        </w:tc>
        <w:tc>
          <w:tcPr>
            <w:tcW w:w="403" w:type="pct"/>
            <w:vAlign w:val="bottom"/>
          </w:tcPr>
          <w:p w:rsidR="00B636B2" w:rsidRPr="00B636B2" w:rsidRDefault="00B636B2" w:rsidP="00B636B2">
            <w:pPr>
              <w:pStyle w:val="TableBodyText"/>
              <w:rPr>
                <w:sz w:val="18"/>
                <w:szCs w:val="18"/>
              </w:rPr>
            </w:pPr>
            <w:r w:rsidRPr="00B636B2">
              <w:rPr>
                <w:sz w:val="18"/>
                <w:szCs w:val="18"/>
              </w:rPr>
              <w:t>0.45</w:t>
            </w:r>
          </w:p>
        </w:tc>
        <w:tc>
          <w:tcPr>
            <w:tcW w:w="403" w:type="pct"/>
            <w:vAlign w:val="bottom"/>
          </w:tcPr>
          <w:p w:rsidR="00B636B2" w:rsidRPr="00B636B2" w:rsidRDefault="00B636B2" w:rsidP="00B636B2">
            <w:pPr>
              <w:pStyle w:val="TableBodyText"/>
              <w:rPr>
                <w:sz w:val="18"/>
                <w:szCs w:val="18"/>
              </w:rPr>
            </w:pPr>
            <w:r w:rsidRPr="00B636B2">
              <w:rPr>
                <w:sz w:val="18"/>
                <w:szCs w:val="18"/>
              </w:rPr>
              <w:t>0.12</w:t>
            </w:r>
          </w:p>
        </w:tc>
        <w:tc>
          <w:tcPr>
            <w:tcW w:w="403" w:type="pct"/>
            <w:vAlign w:val="bottom"/>
          </w:tcPr>
          <w:p w:rsidR="00B636B2" w:rsidRPr="00B636B2" w:rsidRDefault="00B636B2" w:rsidP="00B636B2">
            <w:pPr>
              <w:pStyle w:val="TableBodyText"/>
              <w:rPr>
                <w:sz w:val="18"/>
                <w:szCs w:val="18"/>
              </w:rPr>
            </w:pPr>
            <w:r w:rsidRPr="00B636B2">
              <w:rPr>
                <w:sz w:val="18"/>
                <w:szCs w:val="18"/>
              </w:rPr>
              <w:t>0.37</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B636B2" w:rsidRPr="00D07F0B" w:rsidTr="00176BDC">
        <w:tc>
          <w:tcPr>
            <w:tcW w:w="886" w:type="pct"/>
          </w:tcPr>
          <w:p w:rsidR="00B636B2" w:rsidRPr="00D07F0B" w:rsidRDefault="00B636B2" w:rsidP="00565C9D">
            <w:pPr>
              <w:pStyle w:val="TableBodyText"/>
              <w:jc w:val="left"/>
              <w:rPr>
                <w:i/>
                <w:szCs w:val="18"/>
              </w:rPr>
            </w:pPr>
            <w:r w:rsidRPr="00D07F0B">
              <w:rPr>
                <w:i/>
                <w:szCs w:val="18"/>
              </w:rPr>
              <w:t>Clearance rate</w:t>
            </w:r>
          </w:p>
        </w:tc>
        <w:tc>
          <w:tcPr>
            <w:tcW w:w="325" w:type="pct"/>
          </w:tcPr>
          <w:p w:rsidR="00B636B2" w:rsidRPr="00D07F0B" w:rsidRDefault="00B636B2" w:rsidP="004C6A88">
            <w:pPr>
              <w:pStyle w:val="TableBodyText"/>
              <w:rPr>
                <w:i/>
                <w:szCs w:val="18"/>
              </w:rPr>
            </w:pPr>
            <w:r w:rsidRPr="00D07F0B">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100.4</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98.2</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99.2</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90.2</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102.0</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112.7</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112.3</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103.4</w:t>
            </w:r>
          </w:p>
        </w:tc>
        <w:tc>
          <w:tcPr>
            <w:tcW w:w="563" w:type="pct"/>
            <w:vAlign w:val="bottom"/>
          </w:tcPr>
          <w:p w:rsidR="00B636B2" w:rsidRPr="00B636B2" w:rsidRDefault="00B636B2" w:rsidP="00B636B2">
            <w:pPr>
              <w:pStyle w:val="TableBodyText"/>
              <w:rPr>
                <w:sz w:val="18"/>
                <w:szCs w:val="18"/>
              </w:rPr>
            </w:pPr>
            <w:r w:rsidRPr="00B636B2">
              <w:rPr>
                <w:sz w:val="18"/>
                <w:szCs w:val="18"/>
              </w:rPr>
              <w:t>..</w:t>
            </w:r>
          </w:p>
        </w:tc>
      </w:tr>
      <w:tr w:rsidR="00112B3B" w:rsidRPr="00D07F0B" w:rsidTr="00112B3B">
        <w:tc>
          <w:tcPr>
            <w:tcW w:w="5000" w:type="pct"/>
            <w:gridSpan w:val="11"/>
          </w:tcPr>
          <w:p w:rsidR="00112B3B" w:rsidRPr="00D07F0B" w:rsidRDefault="00112B3B" w:rsidP="00F56C72">
            <w:pPr>
              <w:pStyle w:val="TableBodyText"/>
              <w:spacing w:after="0"/>
              <w:jc w:val="left"/>
              <w:rPr>
                <w:b/>
              </w:rPr>
            </w:pPr>
            <w:r w:rsidRPr="00D07F0B">
              <w:rPr>
                <w:b/>
              </w:rPr>
              <w:t>Family — appeal</w:t>
            </w:r>
          </w:p>
        </w:tc>
      </w:tr>
      <w:tr w:rsidR="00B636B2" w:rsidRPr="00D07F0B" w:rsidTr="00176BDC">
        <w:tc>
          <w:tcPr>
            <w:tcW w:w="886" w:type="pct"/>
          </w:tcPr>
          <w:p w:rsidR="00B636B2" w:rsidRPr="00D07F0B" w:rsidRDefault="00B636B2" w:rsidP="008964F9">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325" w:type="pct"/>
          </w:tcPr>
          <w:p w:rsidR="00B636B2" w:rsidRPr="00D07F0B" w:rsidRDefault="00B636B2" w:rsidP="008964F9">
            <w:pPr>
              <w:pStyle w:val="TableBodyText"/>
              <w:spacing w:after="0"/>
              <w:rPr>
                <w:szCs w:val="18"/>
              </w:rPr>
            </w:pPr>
            <w:r w:rsidRPr="00D07F0B">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379"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0.03</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0.33</w:t>
            </w:r>
          </w:p>
        </w:tc>
      </w:tr>
      <w:tr w:rsidR="00B636B2" w:rsidRPr="00D07F0B" w:rsidTr="00176BDC">
        <w:tc>
          <w:tcPr>
            <w:tcW w:w="886" w:type="pct"/>
          </w:tcPr>
          <w:p w:rsidR="00B636B2" w:rsidRPr="00D07F0B" w:rsidRDefault="00B636B2" w:rsidP="008964F9">
            <w:pPr>
              <w:pStyle w:val="TableBodyText"/>
              <w:spacing w:after="0"/>
              <w:jc w:val="left"/>
              <w:rPr>
                <w:szCs w:val="18"/>
              </w:rPr>
            </w:pPr>
            <w:r w:rsidRPr="00D07F0B">
              <w:rPr>
                <w:szCs w:val="18"/>
              </w:rPr>
              <w:t xml:space="preserve"> Finalisations</w:t>
            </w:r>
          </w:p>
        </w:tc>
        <w:tc>
          <w:tcPr>
            <w:tcW w:w="325" w:type="pct"/>
          </w:tcPr>
          <w:p w:rsidR="00B636B2" w:rsidRPr="00D07F0B" w:rsidRDefault="00B636B2" w:rsidP="008964F9">
            <w:pPr>
              <w:pStyle w:val="TableBodyText"/>
              <w:spacing w:after="0"/>
              <w:rPr>
                <w:szCs w:val="18"/>
              </w:rPr>
            </w:pPr>
            <w:r w:rsidRPr="00D07F0B">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379"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0.03</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0.33</w:t>
            </w:r>
          </w:p>
        </w:tc>
      </w:tr>
      <w:tr w:rsidR="00B636B2" w:rsidRPr="00D07F0B" w:rsidTr="00176BDC">
        <w:tc>
          <w:tcPr>
            <w:tcW w:w="886" w:type="pct"/>
          </w:tcPr>
          <w:p w:rsidR="00B636B2" w:rsidRPr="00D07F0B" w:rsidRDefault="00B636B2" w:rsidP="00112B3B">
            <w:pPr>
              <w:pStyle w:val="TableBodyText"/>
              <w:jc w:val="left"/>
              <w:rPr>
                <w:i/>
                <w:szCs w:val="18"/>
              </w:rPr>
            </w:pPr>
            <w:r w:rsidRPr="00D07F0B">
              <w:rPr>
                <w:i/>
                <w:szCs w:val="18"/>
              </w:rPr>
              <w:t>Clearance rate</w:t>
            </w:r>
          </w:p>
        </w:tc>
        <w:tc>
          <w:tcPr>
            <w:tcW w:w="325" w:type="pct"/>
          </w:tcPr>
          <w:p w:rsidR="00B636B2" w:rsidRPr="00D07F0B" w:rsidRDefault="00B636B2" w:rsidP="00112B3B">
            <w:pPr>
              <w:pStyle w:val="TableBodyText"/>
              <w:rPr>
                <w:i/>
                <w:szCs w:val="18"/>
              </w:rPr>
            </w:pPr>
            <w:r w:rsidRPr="00D07F0B">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90.3</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i/>
                <w:iCs/>
                <w:sz w:val="18"/>
                <w:szCs w:val="18"/>
              </w:rPr>
            </w:pPr>
            <w:r w:rsidRPr="00B636B2">
              <w:rPr>
                <w:i/>
                <w:iCs/>
                <w:sz w:val="18"/>
                <w:szCs w:val="18"/>
              </w:rPr>
              <w:t>102.1</w:t>
            </w:r>
          </w:p>
        </w:tc>
      </w:tr>
      <w:tr w:rsidR="00112B3B" w:rsidRPr="00D07F0B" w:rsidTr="00112B3B">
        <w:tc>
          <w:tcPr>
            <w:tcW w:w="5000" w:type="pct"/>
            <w:gridSpan w:val="11"/>
          </w:tcPr>
          <w:p w:rsidR="00112B3B" w:rsidRPr="00D07F0B" w:rsidRDefault="00112B3B" w:rsidP="00F56C72">
            <w:pPr>
              <w:pStyle w:val="TableBodyText"/>
              <w:spacing w:after="0"/>
              <w:jc w:val="left"/>
              <w:rPr>
                <w:b/>
              </w:rPr>
            </w:pPr>
            <w:r w:rsidRPr="00D07F0B">
              <w:rPr>
                <w:b/>
              </w:rPr>
              <w:t xml:space="preserve">Family — non-appeal </w:t>
            </w:r>
          </w:p>
        </w:tc>
      </w:tr>
      <w:tr w:rsidR="00B636B2" w:rsidRPr="00D07F0B" w:rsidTr="0074475E">
        <w:tc>
          <w:tcPr>
            <w:tcW w:w="886" w:type="pct"/>
          </w:tcPr>
          <w:p w:rsidR="00B636B2" w:rsidRPr="00D07F0B" w:rsidRDefault="00B636B2" w:rsidP="00C46EDD">
            <w:pPr>
              <w:pStyle w:val="TableBodyText"/>
              <w:spacing w:after="20"/>
              <w:jc w:val="left"/>
              <w:rPr>
                <w:szCs w:val="18"/>
              </w:rPr>
            </w:pPr>
            <w:r w:rsidRPr="00D07F0B">
              <w:rPr>
                <w:szCs w:val="18"/>
              </w:rPr>
              <w:t xml:space="preserve"> </w:t>
            </w:r>
            <w:proofErr w:type="spellStart"/>
            <w:r w:rsidRPr="00D07F0B">
              <w:rPr>
                <w:szCs w:val="18"/>
              </w:rPr>
              <w:t>Lodgments</w:t>
            </w:r>
            <w:proofErr w:type="spellEnd"/>
          </w:p>
        </w:tc>
        <w:tc>
          <w:tcPr>
            <w:tcW w:w="325" w:type="pct"/>
          </w:tcPr>
          <w:p w:rsidR="00B636B2" w:rsidRPr="00D07F0B" w:rsidRDefault="00B636B2" w:rsidP="00C46EDD">
            <w:pPr>
              <w:pStyle w:val="TableBodyText"/>
              <w:spacing w:after="20"/>
              <w:rPr>
                <w:szCs w:val="18"/>
              </w:rPr>
            </w:pPr>
            <w:r w:rsidRPr="00D07F0B">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379"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14.90</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17.83</w:t>
            </w:r>
          </w:p>
        </w:tc>
      </w:tr>
      <w:tr w:rsidR="00B636B2" w:rsidRPr="00D07F0B" w:rsidTr="0074475E">
        <w:tc>
          <w:tcPr>
            <w:tcW w:w="886" w:type="pct"/>
          </w:tcPr>
          <w:p w:rsidR="00B636B2" w:rsidRPr="00D07F0B" w:rsidRDefault="00B636B2" w:rsidP="00C46EDD">
            <w:pPr>
              <w:pStyle w:val="TableBodyText"/>
              <w:spacing w:after="20"/>
              <w:jc w:val="left"/>
              <w:rPr>
                <w:szCs w:val="18"/>
              </w:rPr>
            </w:pPr>
            <w:r w:rsidRPr="00D07F0B">
              <w:rPr>
                <w:szCs w:val="18"/>
              </w:rPr>
              <w:t xml:space="preserve"> Finalisations</w:t>
            </w:r>
          </w:p>
        </w:tc>
        <w:tc>
          <w:tcPr>
            <w:tcW w:w="325" w:type="pct"/>
          </w:tcPr>
          <w:p w:rsidR="00B636B2" w:rsidRPr="00D07F0B" w:rsidRDefault="00B636B2" w:rsidP="00C46EDD">
            <w:pPr>
              <w:pStyle w:val="TableBodyText"/>
              <w:spacing w:after="20"/>
              <w:rPr>
                <w:szCs w:val="18"/>
              </w:rPr>
            </w:pPr>
            <w:r w:rsidRPr="00D07F0B">
              <w:rPr>
                <w:szCs w:val="18"/>
              </w:rPr>
              <w:t>‘000</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416" w:type="pct"/>
            <w:vAlign w:val="bottom"/>
          </w:tcPr>
          <w:p w:rsidR="00B636B2" w:rsidRPr="00B636B2" w:rsidRDefault="00B636B2" w:rsidP="00B636B2">
            <w:pPr>
              <w:pStyle w:val="TableBodyText"/>
              <w:rPr>
                <w:sz w:val="18"/>
                <w:szCs w:val="18"/>
              </w:rPr>
            </w:pPr>
            <w:r w:rsidRPr="00B636B2">
              <w:rPr>
                <w:sz w:val="18"/>
                <w:szCs w:val="18"/>
              </w:rPr>
              <w:t>..</w:t>
            </w:r>
          </w:p>
        </w:tc>
        <w:tc>
          <w:tcPr>
            <w:tcW w:w="379"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15.56</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sz w:val="18"/>
                <w:szCs w:val="18"/>
              </w:rPr>
            </w:pPr>
            <w:r w:rsidRPr="00B636B2">
              <w:rPr>
                <w:sz w:val="18"/>
                <w:szCs w:val="18"/>
              </w:rPr>
              <w:t>18.04</w:t>
            </w:r>
          </w:p>
        </w:tc>
      </w:tr>
      <w:tr w:rsidR="00B636B2" w:rsidRPr="001C734F" w:rsidTr="0074475E">
        <w:tc>
          <w:tcPr>
            <w:tcW w:w="886" w:type="pct"/>
          </w:tcPr>
          <w:p w:rsidR="00B636B2" w:rsidRPr="001C734F" w:rsidRDefault="00B636B2" w:rsidP="007916C0">
            <w:pPr>
              <w:pStyle w:val="TableBodyText"/>
              <w:spacing w:after="20"/>
              <w:jc w:val="left"/>
              <w:rPr>
                <w:i/>
                <w:szCs w:val="18"/>
              </w:rPr>
            </w:pPr>
            <w:r w:rsidRPr="001C734F">
              <w:rPr>
                <w:i/>
                <w:szCs w:val="18"/>
              </w:rPr>
              <w:t>Clearance rate</w:t>
            </w:r>
          </w:p>
        </w:tc>
        <w:tc>
          <w:tcPr>
            <w:tcW w:w="325" w:type="pct"/>
          </w:tcPr>
          <w:p w:rsidR="00B636B2" w:rsidRPr="001C734F" w:rsidRDefault="00B636B2" w:rsidP="007916C0">
            <w:pPr>
              <w:pStyle w:val="TableBodyText"/>
              <w:spacing w:after="20"/>
              <w:rPr>
                <w:i/>
                <w:szCs w:val="18"/>
              </w:rPr>
            </w:pPr>
            <w:r w:rsidRPr="001C734F">
              <w:rPr>
                <w:i/>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w:t>
            </w:r>
          </w:p>
        </w:tc>
        <w:tc>
          <w:tcPr>
            <w:tcW w:w="416" w:type="pct"/>
            <w:vAlign w:val="bottom"/>
          </w:tcPr>
          <w:p w:rsidR="00B636B2" w:rsidRPr="00B636B2" w:rsidRDefault="00B636B2" w:rsidP="00B636B2">
            <w:pPr>
              <w:pStyle w:val="TableBodyText"/>
              <w:rPr>
                <w:i/>
                <w:iCs/>
                <w:sz w:val="18"/>
                <w:szCs w:val="18"/>
              </w:rPr>
            </w:pPr>
            <w:r w:rsidRPr="00B636B2">
              <w:rPr>
                <w:i/>
                <w:iCs/>
                <w:sz w:val="18"/>
                <w:szCs w:val="18"/>
              </w:rPr>
              <w:t>..</w:t>
            </w:r>
          </w:p>
        </w:tc>
        <w:tc>
          <w:tcPr>
            <w:tcW w:w="379" w:type="pct"/>
            <w:vAlign w:val="bottom"/>
          </w:tcPr>
          <w:p w:rsidR="00B636B2" w:rsidRPr="00B636B2" w:rsidRDefault="00B636B2" w:rsidP="00B636B2">
            <w:pPr>
              <w:pStyle w:val="TableBodyText"/>
              <w:rPr>
                <w:i/>
                <w:iCs/>
                <w:sz w:val="18"/>
                <w:szCs w:val="18"/>
              </w:rPr>
            </w:pPr>
            <w:r w:rsidRPr="00B636B2">
              <w:rPr>
                <w:i/>
                <w:iCs/>
                <w:sz w:val="18"/>
                <w:szCs w:val="18"/>
              </w:rPr>
              <w:t>..</w:t>
            </w:r>
          </w:p>
        </w:tc>
        <w:tc>
          <w:tcPr>
            <w:tcW w:w="403" w:type="pct"/>
            <w:vAlign w:val="bottom"/>
          </w:tcPr>
          <w:p w:rsidR="00B636B2" w:rsidRPr="00B636B2" w:rsidRDefault="00B636B2" w:rsidP="00B636B2">
            <w:pPr>
              <w:pStyle w:val="TableBodyText"/>
              <w:rPr>
                <w:i/>
                <w:iCs/>
                <w:sz w:val="18"/>
                <w:szCs w:val="18"/>
              </w:rPr>
            </w:pPr>
            <w:r w:rsidRPr="00B636B2">
              <w:rPr>
                <w:i/>
                <w:iCs/>
                <w:sz w:val="18"/>
                <w:szCs w:val="18"/>
              </w:rPr>
              <w:t>104.5</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403" w:type="pct"/>
            <w:vAlign w:val="bottom"/>
          </w:tcPr>
          <w:p w:rsidR="00B636B2" w:rsidRPr="00B636B2" w:rsidRDefault="00B636B2" w:rsidP="00B636B2">
            <w:pPr>
              <w:pStyle w:val="TableBodyText"/>
              <w:rPr>
                <w:sz w:val="18"/>
                <w:szCs w:val="18"/>
              </w:rPr>
            </w:pPr>
            <w:r w:rsidRPr="00B636B2">
              <w:rPr>
                <w:sz w:val="18"/>
                <w:szCs w:val="18"/>
              </w:rPr>
              <w:t>..</w:t>
            </w:r>
          </w:p>
        </w:tc>
        <w:tc>
          <w:tcPr>
            <w:tcW w:w="563" w:type="pct"/>
            <w:vAlign w:val="bottom"/>
          </w:tcPr>
          <w:p w:rsidR="00B636B2" w:rsidRPr="00B636B2" w:rsidRDefault="00B636B2" w:rsidP="00B636B2">
            <w:pPr>
              <w:pStyle w:val="TableBodyText"/>
              <w:rPr>
                <w:i/>
                <w:iCs/>
                <w:sz w:val="18"/>
                <w:szCs w:val="18"/>
              </w:rPr>
            </w:pPr>
            <w:r w:rsidRPr="00B636B2">
              <w:rPr>
                <w:i/>
                <w:iCs/>
                <w:sz w:val="18"/>
                <w:szCs w:val="18"/>
              </w:rPr>
              <w:t>101.2</w:t>
            </w:r>
          </w:p>
        </w:tc>
      </w:tr>
      <w:tr w:rsidR="004C6A88" w:rsidRPr="001C734F" w:rsidTr="004C6A88">
        <w:tc>
          <w:tcPr>
            <w:tcW w:w="5000" w:type="pct"/>
            <w:gridSpan w:val="11"/>
          </w:tcPr>
          <w:p w:rsidR="004C6A88" w:rsidRPr="001C734F" w:rsidRDefault="004C6A88" w:rsidP="00EC4A90">
            <w:pPr>
              <w:pStyle w:val="TableBodyText"/>
              <w:spacing w:after="0"/>
              <w:jc w:val="left"/>
              <w:rPr>
                <w:b/>
              </w:rPr>
            </w:pPr>
            <w:r w:rsidRPr="001C734F">
              <w:rPr>
                <w:b/>
              </w:rPr>
              <w:t xml:space="preserve">Federal </w:t>
            </w:r>
            <w:r w:rsidR="00EC4A90">
              <w:rPr>
                <w:b/>
              </w:rPr>
              <w:t>Circuit</w:t>
            </w:r>
          </w:p>
        </w:tc>
      </w:tr>
      <w:tr w:rsidR="006F677D" w:rsidRPr="001C734F" w:rsidTr="00176BDC">
        <w:tc>
          <w:tcPr>
            <w:tcW w:w="886" w:type="pct"/>
          </w:tcPr>
          <w:p w:rsidR="006F677D" w:rsidRPr="001C734F" w:rsidRDefault="006F677D" w:rsidP="00C46EDD">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325" w:type="pct"/>
          </w:tcPr>
          <w:p w:rsidR="006F677D" w:rsidRPr="001C734F" w:rsidRDefault="006F677D" w:rsidP="00C46EDD">
            <w:pPr>
              <w:pStyle w:val="TableBodyText"/>
              <w:spacing w:after="20"/>
              <w:rPr>
                <w:szCs w:val="18"/>
              </w:rPr>
            </w:pPr>
            <w:r w:rsidRPr="001C734F">
              <w:rPr>
                <w:szCs w:val="18"/>
              </w:rPr>
              <w:t>‘000</w:t>
            </w:r>
          </w:p>
        </w:tc>
        <w:tc>
          <w:tcPr>
            <w:tcW w:w="416" w:type="pct"/>
            <w:vAlign w:val="bottom"/>
          </w:tcPr>
          <w:p w:rsidR="006F677D" w:rsidRPr="006F677D" w:rsidRDefault="006F677D" w:rsidP="006F677D">
            <w:pPr>
              <w:pStyle w:val="TableBodyText"/>
              <w:rPr>
                <w:sz w:val="18"/>
                <w:szCs w:val="18"/>
              </w:rPr>
            </w:pPr>
            <w:r w:rsidRPr="006F677D">
              <w:rPr>
                <w:sz w:val="18"/>
                <w:szCs w:val="18"/>
              </w:rPr>
              <w:t>..</w:t>
            </w:r>
          </w:p>
        </w:tc>
        <w:tc>
          <w:tcPr>
            <w:tcW w:w="416" w:type="pct"/>
            <w:vAlign w:val="bottom"/>
          </w:tcPr>
          <w:p w:rsidR="006F677D" w:rsidRPr="006F677D" w:rsidRDefault="006F677D" w:rsidP="006F677D">
            <w:pPr>
              <w:pStyle w:val="TableBodyText"/>
              <w:rPr>
                <w:sz w:val="18"/>
                <w:szCs w:val="18"/>
              </w:rPr>
            </w:pPr>
            <w:r w:rsidRPr="006F677D">
              <w:rPr>
                <w:sz w:val="18"/>
                <w:szCs w:val="18"/>
              </w:rPr>
              <w:t>..</w:t>
            </w:r>
          </w:p>
        </w:tc>
        <w:tc>
          <w:tcPr>
            <w:tcW w:w="379"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563" w:type="pct"/>
            <w:vAlign w:val="bottom"/>
          </w:tcPr>
          <w:p w:rsidR="006F677D" w:rsidRPr="006F677D" w:rsidRDefault="006F677D" w:rsidP="006F677D">
            <w:pPr>
              <w:pStyle w:val="TableBodyText"/>
              <w:rPr>
                <w:sz w:val="18"/>
                <w:szCs w:val="18"/>
              </w:rPr>
            </w:pPr>
            <w:r w:rsidRPr="006F677D">
              <w:rPr>
                <w:sz w:val="18"/>
                <w:szCs w:val="18"/>
              </w:rPr>
              <w:t>89.60</w:t>
            </w:r>
          </w:p>
        </w:tc>
      </w:tr>
      <w:tr w:rsidR="006F677D" w:rsidRPr="001C734F" w:rsidTr="00176BDC">
        <w:tc>
          <w:tcPr>
            <w:tcW w:w="886" w:type="pct"/>
          </w:tcPr>
          <w:p w:rsidR="006F677D" w:rsidRPr="001C734F" w:rsidRDefault="006F677D" w:rsidP="00C46EDD">
            <w:pPr>
              <w:pStyle w:val="TableBodyText"/>
              <w:spacing w:after="20"/>
              <w:jc w:val="left"/>
              <w:rPr>
                <w:szCs w:val="18"/>
              </w:rPr>
            </w:pPr>
            <w:r w:rsidRPr="001C734F">
              <w:rPr>
                <w:szCs w:val="18"/>
              </w:rPr>
              <w:t xml:space="preserve"> Finalisations</w:t>
            </w:r>
          </w:p>
        </w:tc>
        <w:tc>
          <w:tcPr>
            <w:tcW w:w="325" w:type="pct"/>
          </w:tcPr>
          <w:p w:rsidR="006F677D" w:rsidRPr="001C734F" w:rsidRDefault="006F677D" w:rsidP="00C46EDD">
            <w:pPr>
              <w:pStyle w:val="TableBodyText"/>
              <w:spacing w:after="20"/>
              <w:rPr>
                <w:szCs w:val="18"/>
              </w:rPr>
            </w:pPr>
            <w:r w:rsidRPr="001C734F">
              <w:rPr>
                <w:szCs w:val="18"/>
              </w:rPr>
              <w:t>‘000</w:t>
            </w:r>
          </w:p>
        </w:tc>
        <w:tc>
          <w:tcPr>
            <w:tcW w:w="416" w:type="pct"/>
            <w:vAlign w:val="bottom"/>
          </w:tcPr>
          <w:p w:rsidR="006F677D" w:rsidRPr="006F677D" w:rsidRDefault="006F677D" w:rsidP="006F677D">
            <w:pPr>
              <w:pStyle w:val="TableBodyText"/>
              <w:rPr>
                <w:sz w:val="18"/>
                <w:szCs w:val="18"/>
              </w:rPr>
            </w:pPr>
            <w:r w:rsidRPr="006F677D">
              <w:rPr>
                <w:sz w:val="18"/>
                <w:szCs w:val="18"/>
              </w:rPr>
              <w:t>..</w:t>
            </w:r>
          </w:p>
        </w:tc>
        <w:tc>
          <w:tcPr>
            <w:tcW w:w="416" w:type="pct"/>
            <w:vAlign w:val="bottom"/>
          </w:tcPr>
          <w:p w:rsidR="006F677D" w:rsidRPr="006F677D" w:rsidRDefault="006F677D" w:rsidP="006F677D">
            <w:pPr>
              <w:pStyle w:val="TableBodyText"/>
              <w:rPr>
                <w:sz w:val="18"/>
                <w:szCs w:val="18"/>
              </w:rPr>
            </w:pPr>
            <w:r w:rsidRPr="006F677D">
              <w:rPr>
                <w:sz w:val="18"/>
                <w:szCs w:val="18"/>
              </w:rPr>
              <w:t>..</w:t>
            </w:r>
          </w:p>
        </w:tc>
        <w:tc>
          <w:tcPr>
            <w:tcW w:w="379"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403" w:type="pct"/>
            <w:vAlign w:val="bottom"/>
          </w:tcPr>
          <w:p w:rsidR="006F677D" w:rsidRPr="006F677D" w:rsidRDefault="006F677D" w:rsidP="006F677D">
            <w:pPr>
              <w:pStyle w:val="TableBodyText"/>
              <w:rPr>
                <w:sz w:val="18"/>
                <w:szCs w:val="18"/>
              </w:rPr>
            </w:pPr>
            <w:r w:rsidRPr="006F677D">
              <w:rPr>
                <w:sz w:val="18"/>
                <w:szCs w:val="18"/>
              </w:rPr>
              <w:t>..</w:t>
            </w:r>
          </w:p>
        </w:tc>
        <w:tc>
          <w:tcPr>
            <w:tcW w:w="563" w:type="pct"/>
            <w:vAlign w:val="bottom"/>
          </w:tcPr>
          <w:p w:rsidR="006F677D" w:rsidRPr="006F677D" w:rsidRDefault="006F677D" w:rsidP="006F677D">
            <w:pPr>
              <w:pStyle w:val="TableBodyText"/>
              <w:rPr>
                <w:sz w:val="18"/>
                <w:szCs w:val="18"/>
              </w:rPr>
            </w:pPr>
            <w:r w:rsidRPr="006F677D">
              <w:rPr>
                <w:sz w:val="18"/>
                <w:szCs w:val="18"/>
              </w:rPr>
              <w:t>90.56</w:t>
            </w:r>
          </w:p>
        </w:tc>
      </w:tr>
      <w:tr w:rsidR="006F677D" w:rsidRPr="001C734F" w:rsidTr="00176BDC">
        <w:tc>
          <w:tcPr>
            <w:tcW w:w="886" w:type="pct"/>
          </w:tcPr>
          <w:p w:rsidR="006F677D" w:rsidRPr="001C734F" w:rsidRDefault="006F677D" w:rsidP="007916C0">
            <w:pPr>
              <w:pStyle w:val="TableBodyText"/>
              <w:spacing w:after="20"/>
              <w:jc w:val="left"/>
              <w:rPr>
                <w:i/>
                <w:szCs w:val="18"/>
              </w:rPr>
            </w:pPr>
            <w:r w:rsidRPr="001C734F">
              <w:rPr>
                <w:i/>
                <w:szCs w:val="18"/>
              </w:rPr>
              <w:t>Clearance rate</w:t>
            </w:r>
          </w:p>
        </w:tc>
        <w:tc>
          <w:tcPr>
            <w:tcW w:w="325" w:type="pct"/>
          </w:tcPr>
          <w:p w:rsidR="006F677D" w:rsidRPr="001C734F" w:rsidRDefault="006F677D" w:rsidP="007916C0">
            <w:pPr>
              <w:pStyle w:val="TableBodyText"/>
              <w:spacing w:after="20"/>
              <w:rPr>
                <w:i/>
                <w:szCs w:val="18"/>
              </w:rPr>
            </w:pPr>
            <w:r w:rsidRPr="001C734F">
              <w:rPr>
                <w:i/>
                <w:szCs w:val="18"/>
              </w:rPr>
              <w:t>%</w:t>
            </w:r>
          </w:p>
        </w:tc>
        <w:tc>
          <w:tcPr>
            <w:tcW w:w="416" w:type="pct"/>
            <w:vAlign w:val="bottom"/>
          </w:tcPr>
          <w:p w:rsidR="006F677D" w:rsidRPr="006F677D" w:rsidRDefault="006F677D" w:rsidP="006F677D">
            <w:pPr>
              <w:pStyle w:val="TableBodyText"/>
              <w:rPr>
                <w:i/>
                <w:iCs/>
                <w:sz w:val="18"/>
                <w:szCs w:val="18"/>
              </w:rPr>
            </w:pPr>
            <w:r w:rsidRPr="006F677D">
              <w:rPr>
                <w:i/>
                <w:iCs/>
                <w:sz w:val="18"/>
                <w:szCs w:val="18"/>
              </w:rPr>
              <w:t>..</w:t>
            </w:r>
          </w:p>
        </w:tc>
        <w:tc>
          <w:tcPr>
            <w:tcW w:w="416" w:type="pct"/>
            <w:vAlign w:val="bottom"/>
          </w:tcPr>
          <w:p w:rsidR="006F677D" w:rsidRPr="006F677D" w:rsidRDefault="006F677D" w:rsidP="006F677D">
            <w:pPr>
              <w:pStyle w:val="TableBodyText"/>
              <w:rPr>
                <w:i/>
                <w:iCs/>
                <w:sz w:val="18"/>
                <w:szCs w:val="18"/>
              </w:rPr>
            </w:pPr>
            <w:r w:rsidRPr="006F677D">
              <w:rPr>
                <w:i/>
                <w:iCs/>
                <w:sz w:val="18"/>
                <w:szCs w:val="18"/>
              </w:rPr>
              <w:t>..</w:t>
            </w:r>
          </w:p>
        </w:tc>
        <w:tc>
          <w:tcPr>
            <w:tcW w:w="379" w:type="pct"/>
            <w:vAlign w:val="bottom"/>
          </w:tcPr>
          <w:p w:rsidR="006F677D" w:rsidRPr="006F677D" w:rsidRDefault="006F677D" w:rsidP="006F677D">
            <w:pPr>
              <w:pStyle w:val="TableBodyText"/>
              <w:rPr>
                <w:i/>
                <w:iCs/>
                <w:sz w:val="18"/>
                <w:szCs w:val="18"/>
              </w:rPr>
            </w:pPr>
            <w:r w:rsidRPr="006F677D">
              <w:rPr>
                <w:i/>
                <w:iCs/>
                <w:sz w:val="18"/>
                <w:szCs w:val="18"/>
              </w:rPr>
              <w:t>..</w:t>
            </w:r>
          </w:p>
        </w:tc>
        <w:tc>
          <w:tcPr>
            <w:tcW w:w="403" w:type="pct"/>
            <w:vAlign w:val="bottom"/>
          </w:tcPr>
          <w:p w:rsidR="006F677D" w:rsidRPr="006F677D" w:rsidRDefault="006F677D" w:rsidP="006F677D">
            <w:pPr>
              <w:pStyle w:val="TableBodyText"/>
              <w:rPr>
                <w:i/>
                <w:iCs/>
                <w:sz w:val="18"/>
                <w:szCs w:val="18"/>
              </w:rPr>
            </w:pPr>
            <w:r w:rsidRPr="006F677D">
              <w:rPr>
                <w:i/>
                <w:iCs/>
                <w:sz w:val="18"/>
                <w:szCs w:val="18"/>
              </w:rPr>
              <w:t>..</w:t>
            </w:r>
          </w:p>
        </w:tc>
        <w:tc>
          <w:tcPr>
            <w:tcW w:w="403" w:type="pct"/>
            <w:vAlign w:val="bottom"/>
          </w:tcPr>
          <w:p w:rsidR="006F677D" w:rsidRPr="006F677D" w:rsidRDefault="006F677D" w:rsidP="006F677D">
            <w:pPr>
              <w:pStyle w:val="TableBodyText"/>
              <w:rPr>
                <w:i/>
                <w:iCs/>
                <w:sz w:val="18"/>
                <w:szCs w:val="18"/>
              </w:rPr>
            </w:pPr>
            <w:r w:rsidRPr="006F677D">
              <w:rPr>
                <w:i/>
                <w:iCs/>
                <w:sz w:val="18"/>
                <w:szCs w:val="18"/>
              </w:rPr>
              <w:t>..</w:t>
            </w:r>
          </w:p>
        </w:tc>
        <w:tc>
          <w:tcPr>
            <w:tcW w:w="403" w:type="pct"/>
            <w:vAlign w:val="bottom"/>
          </w:tcPr>
          <w:p w:rsidR="006F677D" w:rsidRPr="006F677D" w:rsidRDefault="006F677D" w:rsidP="006F677D">
            <w:pPr>
              <w:pStyle w:val="TableBodyText"/>
              <w:rPr>
                <w:i/>
                <w:iCs/>
                <w:sz w:val="18"/>
                <w:szCs w:val="18"/>
              </w:rPr>
            </w:pPr>
            <w:r w:rsidRPr="006F677D">
              <w:rPr>
                <w:i/>
                <w:iCs/>
                <w:sz w:val="18"/>
                <w:szCs w:val="18"/>
              </w:rPr>
              <w:t>..</w:t>
            </w:r>
          </w:p>
        </w:tc>
        <w:tc>
          <w:tcPr>
            <w:tcW w:w="403" w:type="pct"/>
            <w:vAlign w:val="bottom"/>
          </w:tcPr>
          <w:p w:rsidR="006F677D" w:rsidRPr="006F677D" w:rsidRDefault="006F677D" w:rsidP="006F677D">
            <w:pPr>
              <w:pStyle w:val="TableBodyText"/>
              <w:rPr>
                <w:i/>
                <w:iCs/>
                <w:sz w:val="18"/>
                <w:szCs w:val="18"/>
              </w:rPr>
            </w:pPr>
            <w:r w:rsidRPr="006F677D">
              <w:rPr>
                <w:i/>
                <w:iCs/>
                <w:sz w:val="18"/>
                <w:szCs w:val="18"/>
              </w:rPr>
              <w:t>..</w:t>
            </w:r>
          </w:p>
        </w:tc>
        <w:tc>
          <w:tcPr>
            <w:tcW w:w="403" w:type="pct"/>
            <w:vAlign w:val="bottom"/>
          </w:tcPr>
          <w:p w:rsidR="006F677D" w:rsidRPr="006F677D" w:rsidRDefault="006F677D" w:rsidP="006F677D">
            <w:pPr>
              <w:pStyle w:val="TableBodyText"/>
              <w:rPr>
                <w:i/>
                <w:iCs/>
                <w:sz w:val="18"/>
                <w:szCs w:val="18"/>
              </w:rPr>
            </w:pPr>
            <w:r w:rsidRPr="006F677D">
              <w:rPr>
                <w:i/>
                <w:iCs/>
                <w:sz w:val="18"/>
                <w:szCs w:val="18"/>
              </w:rPr>
              <w:t>..</w:t>
            </w:r>
          </w:p>
        </w:tc>
        <w:tc>
          <w:tcPr>
            <w:tcW w:w="563" w:type="pct"/>
            <w:vAlign w:val="bottom"/>
          </w:tcPr>
          <w:p w:rsidR="006F677D" w:rsidRPr="006F677D" w:rsidRDefault="006F677D" w:rsidP="006F677D">
            <w:pPr>
              <w:pStyle w:val="TableBodyText"/>
              <w:rPr>
                <w:i/>
                <w:iCs/>
                <w:sz w:val="18"/>
                <w:szCs w:val="18"/>
              </w:rPr>
            </w:pPr>
            <w:r w:rsidRPr="006F677D">
              <w:rPr>
                <w:i/>
                <w:iCs/>
                <w:sz w:val="18"/>
                <w:szCs w:val="18"/>
              </w:rPr>
              <w:t>101.1</w:t>
            </w:r>
          </w:p>
        </w:tc>
      </w:tr>
      <w:tr w:rsidR="004A4EF2" w:rsidRPr="001C734F" w:rsidTr="002247B8">
        <w:tc>
          <w:tcPr>
            <w:tcW w:w="5000" w:type="pct"/>
            <w:gridSpan w:val="11"/>
          </w:tcPr>
          <w:p w:rsidR="004A4EF2" w:rsidRPr="001C734F" w:rsidRDefault="004A4EF2" w:rsidP="00F56C72">
            <w:pPr>
              <w:pStyle w:val="TableBodyText"/>
              <w:spacing w:after="0"/>
              <w:jc w:val="left"/>
              <w:rPr>
                <w:b/>
              </w:rPr>
            </w:pPr>
            <w:r w:rsidRPr="001C734F">
              <w:rPr>
                <w:b/>
              </w:rPr>
              <w:t>Coroners’</w:t>
            </w:r>
            <w:r w:rsidRPr="001C734F">
              <w:t xml:space="preserve"> </w:t>
            </w:r>
          </w:p>
        </w:tc>
      </w:tr>
      <w:tr w:rsidR="006F677D" w:rsidRPr="001C734F" w:rsidTr="00176BDC">
        <w:tc>
          <w:tcPr>
            <w:tcW w:w="886" w:type="pct"/>
          </w:tcPr>
          <w:p w:rsidR="006F677D" w:rsidRPr="001C734F" w:rsidRDefault="006F677D" w:rsidP="00C46EDD">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325" w:type="pct"/>
          </w:tcPr>
          <w:p w:rsidR="006F677D" w:rsidRPr="001C734F" w:rsidRDefault="006F677D" w:rsidP="00C46EDD">
            <w:pPr>
              <w:pStyle w:val="TableBodyText"/>
              <w:spacing w:after="20"/>
              <w:rPr>
                <w:szCs w:val="18"/>
              </w:rPr>
            </w:pPr>
            <w:r w:rsidRPr="001C734F">
              <w:rPr>
                <w:szCs w:val="18"/>
              </w:rPr>
              <w:t>‘000</w:t>
            </w:r>
          </w:p>
        </w:tc>
        <w:tc>
          <w:tcPr>
            <w:tcW w:w="416" w:type="pct"/>
            <w:vAlign w:val="bottom"/>
          </w:tcPr>
          <w:p w:rsidR="006F677D" w:rsidRPr="006F677D" w:rsidRDefault="006F677D" w:rsidP="006F677D">
            <w:pPr>
              <w:pStyle w:val="TableBodyText"/>
              <w:rPr>
                <w:sz w:val="18"/>
                <w:szCs w:val="18"/>
              </w:rPr>
            </w:pPr>
            <w:r w:rsidRPr="006F677D">
              <w:rPr>
                <w:sz w:val="18"/>
                <w:szCs w:val="18"/>
              </w:rPr>
              <w:t>5.40</w:t>
            </w:r>
          </w:p>
        </w:tc>
        <w:tc>
          <w:tcPr>
            <w:tcW w:w="416" w:type="pct"/>
            <w:vAlign w:val="bottom"/>
          </w:tcPr>
          <w:p w:rsidR="006F677D" w:rsidRPr="006F677D" w:rsidRDefault="006F677D" w:rsidP="006F677D">
            <w:pPr>
              <w:pStyle w:val="TableBodyText"/>
              <w:rPr>
                <w:sz w:val="18"/>
                <w:szCs w:val="18"/>
              </w:rPr>
            </w:pPr>
            <w:r w:rsidRPr="006F677D">
              <w:rPr>
                <w:sz w:val="18"/>
                <w:szCs w:val="18"/>
              </w:rPr>
              <w:t>5.93</w:t>
            </w:r>
          </w:p>
        </w:tc>
        <w:tc>
          <w:tcPr>
            <w:tcW w:w="379" w:type="pct"/>
            <w:vAlign w:val="bottom"/>
          </w:tcPr>
          <w:p w:rsidR="006F677D" w:rsidRPr="006F677D" w:rsidRDefault="006F677D" w:rsidP="006F677D">
            <w:pPr>
              <w:pStyle w:val="TableBodyText"/>
              <w:rPr>
                <w:sz w:val="18"/>
                <w:szCs w:val="18"/>
              </w:rPr>
            </w:pPr>
            <w:r w:rsidRPr="006F677D">
              <w:rPr>
                <w:sz w:val="18"/>
                <w:szCs w:val="18"/>
              </w:rPr>
              <w:t>4.76</w:t>
            </w:r>
          </w:p>
        </w:tc>
        <w:tc>
          <w:tcPr>
            <w:tcW w:w="403" w:type="pct"/>
            <w:vAlign w:val="bottom"/>
          </w:tcPr>
          <w:p w:rsidR="006F677D" w:rsidRPr="006F677D" w:rsidRDefault="006F677D" w:rsidP="006F677D">
            <w:pPr>
              <w:pStyle w:val="TableBodyText"/>
              <w:rPr>
                <w:sz w:val="18"/>
                <w:szCs w:val="18"/>
              </w:rPr>
            </w:pPr>
            <w:r w:rsidRPr="006F677D">
              <w:rPr>
                <w:sz w:val="18"/>
                <w:szCs w:val="18"/>
              </w:rPr>
              <w:t>2.16</w:t>
            </w:r>
          </w:p>
        </w:tc>
        <w:tc>
          <w:tcPr>
            <w:tcW w:w="403" w:type="pct"/>
            <w:vAlign w:val="bottom"/>
          </w:tcPr>
          <w:p w:rsidR="006F677D" w:rsidRPr="006F677D" w:rsidRDefault="006F677D" w:rsidP="006F677D">
            <w:pPr>
              <w:pStyle w:val="TableBodyText"/>
              <w:rPr>
                <w:sz w:val="18"/>
                <w:szCs w:val="18"/>
              </w:rPr>
            </w:pPr>
            <w:r w:rsidRPr="006F677D">
              <w:rPr>
                <w:sz w:val="18"/>
                <w:szCs w:val="18"/>
              </w:rPr>
              <w:t>2.20</w:t>
            </w:r>
          </w:p>
        </w:tc>
        <w:tc>
          <w:tcPr>
            <w:tcW w:w="403" w:type="pct"/>
            <w:vAlign w:val="bottom"/>
          </w:tcPr>
          <w:p w:rsidR="006F677D" w:rsidRPr="006F677D" w:rsidRDefault="006F677D" w:rsidP="006F677D">
            <w:pPr>
              <w:pStyle w:val="TableBodyText"/>
              <w:rPr>
                <w:sz w:val="18"/>
                <w:szCs w:val="18"/>
              </w:rPr>
            </w:pPr>
            <w:r w:rsidRPr="006F677D">
              <w:rPr>
                <w:sz w:val="18"/>
                <w:szCs w:val="18"/>
              </w:rPr>
              <w:t>0.56</w:t>
            </w:r>
          </w:p>
        </w:tc>
        <w:tc>
          <w:tcPr>
            <w:tcW w:w="403" w:type="pct"/>
            <w:vAlign w:val="bottom"/>
          </w:tcPr>
          <w:p w:rsidR="006F677D" w:rsidRPr="006F677D" w:rsidRDefault="006F677D" w:rsidP="006F677D">
            <w:pPr>
              <w:pStyle w:val="TableBodyText"/>
              <w:rPr>
                <w:sz w:val="18"/>
                <w:szCs w:val="18"/>
              </w:rPr>
            </w:pPr>
            <w:r w:rsidRPr="006F677D">
              <w:rPr>
                <w:sz w:val="18"/>
                <w:szCs w:val="18"/>
              </w:rPr>
              <w:t>1.34</w:t>
            </w:r>
          </w:p>
        </w:tc>
        <w:tc>
          <w:tcPr>
            <w:tcW w:w="403" w:type="pct"/>
            <w:vAlign w:val="bottom"/>
          </w:tcPr>
          <w:p w:rsidR="006F677D" w:rsidRPr="006F677D" w:rsidRDefault="006F677D" w:rsidP="006F677D">
            <w:pPr>
              <w:pStyle w:val="TableBodyText"/>
              <w:rPr>
                <w:sz w:val="18"/>
                <w:szCs w:val="18"/>
              </w:rPr>
            </w:pPr>
            <w:r w:rsidRPr="006F677D">
              <w:rPr>
                <w:sz w:val="18"/>
                <w:szCs w:val="18"/>
              </w:rPr>
              <w:t>0.30</w:t>
            </w:r>
          </w:p>
        </w:tc>
        <w:tc>
          <w:tcPr>
            <w:tcW w:w="563" w:type="pct"/>
            <w:vAlign w:val="bottom"/>
          </w:tcPr>
          <w:p w:rsidR="006F677D" w:rsidRPr="006F677D" w:rsidRDefault="006F677D" w:rsidP="006F677D">
            <w:pPr>
              <w:pStyle w:val="TableBodyText"/>
              <w:rPr>
                <w:sz w:val="18"/>
                <w:szCs w:val="18"/>
              </w:rPr>
            </w:pPr>
            <w:r w:rsidRPr="006F677D">
              <w:rPr>
                <w:sz w:val="18"/>
                <w:szCs w:val="18"/>
              </w:rPr>
              <w:t>..</w:t>
            </w:r>
          </w:p>
        </w:tc>
      </w:tr>
      <w:tr w:rsidR="006F677D" w:rsidRPr="001C734F" w:rsidTr="00176BDC">
        <w:tc>
          <w:tcPr>
            <w:tcW w:w="886" w:type="pct"/>
          </w:tcPr>
          <w:p w:rsidR="006F677D" w:rsidRPr="001C734F" w:rsidRDefault="006F677D" w:rsidP="00C46EDD">
            <w:pPr>
              <w:pStyle w:val="TableBodyText"/>
              <w:spacing w:after="20"/>
              <w:jc w:val="left"/>
              <w:rPr>
                <w:szCs w:val="18"/>
              </w:rPr>
            </w:pPr>
            <w:r w:rsidRPr="001C734F">
              <w:rPr>
                <w:szCs w:val="18"/>
              </w:rPr>
              <w:t xml:space="preserve"> Finalisations</w:t>
            </w:r>
          </w:p>
        </w:tc>
        <w:tc>
          <w:tcPr>
            <w:tcW w:w="325" w:type="pct"/>
          </w:tcPr>
          <w:p w:rsidR="006F677D" w:rsidRPr="001C734F" w:rsidRDefault="006F677D" w:rsidP="00C46EDD">
            <w:pPr>
              <w:pStyle w:val="TableBodyText"/>
              <w:spacing w:after="20"/>
              <w:rPr>
                <w:szCs w:val="18"/>
              </w:rPr>
            </w:pPr>
            <w:r w:rsidRPr="001C734F">
              <w:rPr>
                <w:szCs w:val="18"/>
              </w:rPr>
              <w:t>‘000</w:t>
            </w:r>
          </w:p>
        </w:tc>
        <w:tc>
          <w:tcPr>
            <w:tcW w:w="416" w:type="pct"/>
            <w:vAlign w:val="bottom"/>
          </w:tcPr>
          <w:p w:rsidR="006F677D" w:rsidRPr="006F677D" w:rsidRDefault="006F677D" w:rsidP="006F677D">
            <w:pPr>
              <w:pStyle w:val="TableBodyText"/>
              <w:rPr>
                <w:sz w:val="18"/>
                <w:szCs w:val="18"/>
              </w:rPr>
            </w:pPr>
            <w:r w:rsidRPr="006F677D">
              <w:rPr>
                <w:sz w:val="18"/>
                <w:szCs w:val="18"/>
              </w:rPr>
              <w:t>5.99</w:t>
            </w:r>
          </w:p>
        </w:tc>
        <w:tc>
          <w:tcPr>
            <w:tcW w:w="416" w:type="pct"/>
            <w:vAlign w:val="bottom"/>
          </w:tcPr>
          <w:p w:rsidR="006F677D" w:rsidRPr="006F677D" w:rsidRDefault="006F677D" w:rsidP="006F677D">
            <w:pPr>
              <w:pStyle w:val="TableBodyText"/>
              <w:rPr>
                <w:sz w:val="18"/>
                <w:szCs w:val="18"/>
              </w:rPr>
            </w:pPr>
            <w:r w:rsidRPr="006F677D">
              <w:rPr>
                <w:sz w:val="18"/>
                <w:szCs w:val="18"/>
              </w:rPr>
              <w:t>5.53</w:t>
            </w:r>
          </w:p>
        </w:tc>
        <w:tc>
          <w:tcPr>
            <w:tcW w:w="379" w:type="pct"/>
            <w:vAlign w:val="bottom"/>
          </w:tcPr>
          <w:p w:rsidR="006F677D" w:rsidRPr="006F677D" w:rsidRDefault="006F677D" w:rsidP="006F677D">
            <w:pPr>
              <w:pStyle w:val="TableBodyText"/>
              <w:rPr>
                <w:sz w:val="18"/>
                <w:szCs w:val="18"/>
              </w:rPr>
            </w:pPr>
            <w:r w:rsidRPr="006F677D">
              <w:rPr>
                <w:sz w:val="18"/>
                <w:szCs w:val="18"/>
              </w:rPr>
              <w:t>5.00</w:t>
            </w:r>
          </w:p>
        </w:tc>
        <w:tc>
          <w:tcPr>
            <w:tcW w:w="403" w:type="pct"/>
            <w:vAlign w:val="bottom"/>
          </w:tcPr>
          <w:p w:rsidR="006F677D" w:rsidRPr="006F677D" w:rsidRDefault="006F677D" w:rsidP="006F677D">
            <w:pPr>
              <w:pStyle w:val="TableBodyText"/>
              <w:rPr>
                <w:sz w:val="18"/>
                <w:szCs w:val="18"/>
              </w:rPr>
            </w:pPr>
            <w:r w:rsidRPr="006F677D">
              <w:rPr>
                <w:sz w:val="18"/>
                <w:szCs w:val="18"/>
              </w:rPr>
              <w:t>2.22</w:t>
            </w:r>
          </w:p>
        </w:tc>
        <w:tc>
          <w:tcPr>
            <w:tcW w:w="403" w:type="pct"/>
            <w:vAlign w:val="bottom"/>
          </w:tcPr>
          <w:p w:rsidR="006F677D" w:rsidRPr="006F677D" w:rsidRDefault="006F677D" w:rsidP="006F677D">
            <w:pPr>
              <w:pStyle w:val="TableBodyText"/>
              <w:rPr>
                <w:sz w:val="18"/>
                <w:szCs w:val="18"/>
              </w:rPr>
            </w:pPr>
            <w:r w:rsidRPr="006F677D">
              <w:rPr>
                <w:sz w:val="18"/>
                <w:szCs w:val="18"/>
              </w:rPr>
              <w:t>1.85</w:t>
            </w:r>
          </w:p>
        </w:tc>
        <w:tc>
          <w:tcPr>
            <w:tcW w:w="403" w:type="pct"/>
            <w:vAlign w:val="bottom"/>
          </w:tcPr>
          <w:p w:rsidR="006F677D" w:rsidRPr="006F677D" w:rsidRDefault="006F677D" w:rsidP="006F677D">
            <w:pPr>
              <w:pStyle w:val="TableBodyText"/>
              <w:rPr>
                <w:sz w:val="18"/>
                <w:szCs w:val="18"/>
              </w:rPr>
            </w:pPr>
            <w:r w:rsidRPr="006F677D">
              <w:rPr>
                <w:sz w:val="18"/>
                <w:szCs w:val="18"/>
              </w:rPr>
              <w:t>0.45</w:t>
            </w:r>
          </w:p>
        </w:tc>
        <w:tc>
          <w:tcPr>
            <w:tcW w:w="403" w:type="pct"/>
            <w:vAlign w:val="bottom"/>
          </w:tcPr>
          <w:p w:rsidR="006F677D" w:rsidRPr="006F677D" w:rsidRDefault="006F677D" w:rsidP="006F677D">
            <w:pPr>
              <w:pStyle w:val="TableBodyText"/>
              <w:rPr>
                <w:sz w:val="18"/>
                <w:szCs w:val="18"/>
              </w:rPr>
            </w:pPr>
            <w:r w:rsidRPr="006F677D">
              <w:rPr>
                <w:sz w:val="18"/>
                <w:szCs w:val="18"/>
              </w:rPr>
              <w:t>1.39</w:t>
            </w:r>
          </w:p>
        </w:tc>
        <w:tc>
          <w:tcPr>
            <w:tcW w:w="403" w:type="pct"/>
            <w:vAlign w:val="bottom"/>
          </w:tcPr>
          <w:p w:rsidR="006F677D" w:rsidRPr="006F677D" w:rsidRDefault="006F677D" w:rsidP="006F677D">
            <w:pPr>
              <w:pStyle w:val="TableBodyText"/>
              <w:rPr>
                <w:sz w:val="18"/>
                <w:szCs w:val="18"/>
              </w:rPr>
            </w:pPr>
            <w:r w:rsidRPr="006F677D">
              <w:rPr>
                <w:sz w:val="18"/>
                <w:szCs w:val="18"/>
              </w:rPr>
              <w:t>0.30</w:t>
            </w:r>
          </w:p>
        </w:tc>
        <w:tc>
          <w:tcPr>
            <w:tcW w:w="563" w:type="pct"/>
            <w:vAlign w:val="bottom"/>
          </w:tcPr>
          <w:p w:rsidR="006F677D" w:rsidRPr="006F677D" w:rsidRDefault="006F677D" w:rsidP="006F677D">
            <w:pPr>
              <w:pStyle w:val="TableBodyText"/>
              <w:rPr>
                <w:sz w:val="18"/>
                <w:szCs w:val="18"/>
              </w:rPr>
            </w:pPr>
            <w:r w:rsidRPr="006F677D">
              <w:rPr>
                <w:sz w:val="18"/>
                <w:szCs w:val="18"/>
              </w:rPr>
              <w:t>..</w:t>
            </w:r>
          </w:p>
        </w:tc>
      </w:tr>
      <w:tr w:rsidR="006F677D" w:rsidRPr="001C734F" w:rsidTr="00176BDC">
        <w:tc>
          <w:tcPr>
            <w:tcW w:w="886" w:type="pct"/>
            <w:tcBorders>
              <w:bottom w:val="single" w:sz="4" w:space="0" w:color="auto"/>
            </w:tcBorders>
          </w:tcPr>
          <w:p w:rsidR="006F677D" w:rsidRPr="001C734F" w:rsidRDefault="006F677D" w:rsidP="007916C0">
            <w:pPr>
              <w:pStyle w:val="TableBodyText"/>
              <w:spacing w:after="20"/>
              <w:jc w:val="left"/>
              <w:rPr>
                <w:i/>
                <w:szCs w:val="18"/>
              </w:rPr>
            </w:pPr>
            <w:r w:rsidRPr="001C734F">
              <w:rPr>
                <w:i/>
                <w:szCs w:val="18"/>
              </w:rPr>
              <w:t>Clearance rate</w:t>
            </w:r>
          </w:p>
        </w:tc>
        <w:tc>
          <w:tcPr>
            <w:tcW w:w="325" w:type="pct"/>
            <w:tcBorders>
              <w:bottom w:val="single" w:sz="4" w:space="0" w:color="auto"/>
            </w:tcBorders>
          </w:tcPr>
          <w:p w:rsidR="006F677D" w:rsidRPr="001C734F" w:rsidRDefault="006F677D" w:rsidP="007916C0">
            <w:pPr>
              <w:pStyle w:val="TableBodyText"/>
              <w:spacing w:after="20"/>
              <w:rPr>
                <w:i/>
                <w:szCs w:val="18"/>
              </w:rPr>
            </w:pPr>
            <w:r w:rsidRPr="001C734F">
              <w:rPr>
                <w:i/>
                <w:szCs w:val="18"/>
              </w:rPr>
              <w:t>%</w:t>
            </w:r>
          </w:p>
        </w:tc>
        <w:tc>
          <w:tcPr>
            <w:tcW w:w="416"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110.9</w:t>
            </w:r>
          </w:p>
        </w:tc>
        <w:tc>
          <w:tcPr>
            <w:tcW w:w="416"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93.3</w:t>
            </w:r>
          </w:p>
        </w:tc>
        <w:tc>
          <w:tcPr>
            <w:tcW w:w="379"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105.0</w:t>
            </w:r>
          </w:p>
        </w:tc>
        <w:tc>
          <w:tcPr>
            <w:tcW w:w="403"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102.9</w:t>
            </w:r>
          </w:p>
        </w:tc>
        <w:tc>
          <w:tcPr>
            <w:tcW w:w="403"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84.2</w:t>
            </w:r>
          </w:p>
        </w:tc>
        <w:tc>
          <w:tcPr>
            <w:tcW w:w="403"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81.1</w:t>
            </w:r>
          </w:p>
        </w:tc>
        <w:tc>
          <w:tcPr>
            <w:tcW w:w="403"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104.0</w:t>
            </w:r>
          </w:p>
        </w:tc>
        <w:tc>
          <w:tcPr>
            <w:tcW w:w="403"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99.7</w:t>
            </w:r>
          </w:p>
        </w:tc>
        <w:tc>
          <w:tcPr>
            <w:tcW w:w="563" w:type="pct"/>
            <w:tcBorders>
              <w:bottom w:val="single" w:sz="4" w:space="0" w:color="auto"/>
            </w:tcBorders>
            <w:vAlign w:val="bottom"/>
          </w:tcPr>
          <w:p w:rsidR="006F677D" w:rsidRPr="006F677D" w:rsidRDefault="006F677D" w:rsidP="006F677D">
            <w:pPr>
              <w:pStyle w:val="TableBodyText"/>
              <w:rPr>
                <w:i/>
                <w:iCs/>
                <w:sz w:val="18"/>
                <w:szCs w:val="18"/>
              </w:rPr>
            </w:pPr>
            <w:r w:rsidRPr="006F677D">
              <w:rPr>
                <w:i/>
                <w:iCs/>
                <w:sz w:val="18"/>
                <w:szCs w:val="18"/>
              </w:rPr>
              <w:t>..</w:t>
            </w:r>
          </w:p>
        </w:tc>
      </w:tr>
    </w:tbl>
    <w:p w:rsidR="00286E64" w:rsidRDefault="00EB2A24" w:rsidP="00FE3767">
      <w:pPr>
        <w:pStyle w:val="Note"/>
      </w:pPr>
      <w:r w:rsidRPr="00186666">
        <w:rPr>
          <w:rStyle w:val="NoteLabel"/>
        </w:rPr>
        <w:t>a </w:t>
      </w:r>
      <w:r w:rsidR="00676FB5" w:rsidRPr="00186666">
        <w:t>C</w:t>
      </w:r>
      <w:r w:rsidR="00A84524" w:rsidRPr="00186666">
        <w:t>learance indicator</w:t>
      </w:r>
      <w:r w:rsidR="00E11C0C" w:rsidRPr="00186666">
        <w:t xml:space="preserve"> results are</w:t>
      </w:r>
      <w:r w:rsidR="00676FB5" w:rsidRPr="00186666">
        <w:t xml:space="preserve"> </w:t>
      </w:r>
      <w:r w:rsidRPr="00186666">
        <w:t xml:space="preserve">derived from finalisation and </w:t>
      </w:r>
      <w:proofErr w:type="spellStart"/>
      <w:r w:rsidRPr="00186666">
        <w:t>lodgment</w:t>
      </w:r>
      <w:proofErr w:type="spellEnd"/>
      <w:r w:rsidRPr="00186666">
        <w:t xml:space="preserve"> data presented in tables </w:t>
      </w:r>
      <w:proofErr w:type="spellStart"/>
      <w:r w:rsidRPr="00186666">
        <w:t>7A.</w:t>
      </w:r>
      <w:r w:rsidR="001652D2">
        <w:t>3</w:t>
      </w:r>
      <w:proofErr w:type="spellEnd"/>
      <w:r w:rsidRPr="00186666">
        <w:t xml:space="preserve"> and </w:t>
      </w:r>
      <w:proofErr w:type="spellStart"/>
      <w:r w:rsidRPr="00186666">
        <w:t>7A.</w:t>
      </w:r>
      <w:r w:rsidR="001652D2">
        <w:t>8</w:t>
      </w:r>
      <w:proofErr w:type="spellEnd"/>
      <w:r w:rsidRPr="00186666">
        <w:t>.</w:t>
      </w:r>
      <w:r w:rsidR="00386589" w:rsidRPr="00186666">
        <w:rPr>
          <w:rStyle w:val="NoteLabel"/>
        </w:rPr>
        <w:t xml:space="preserve"> </w:t>
      </w:r>
      <w:r w:rsidR="00810D05" w:rsidRPr="00186666">
        <w:rPr>
          <w:rStyle w:val="NoteLabel"/>
        </w:rPr>
        <w:t>b</w:t>
      </w:r>
      <w:r w:rsidR="002C3B8E" w:rsidRPr="00186666">
        <w:rPr>
          <w:rStyle w:val="NoteLabel"/>
        </w:rPr>
        <w:t> </w:t>
      </w:r>
      <w:r w:rsidR="002C3B8E" w:rsidRPr="00186666">
        <w:t xml:space="preserve">NSW </w:t>
      </w:r>
      <w:proofErr w:type="spellStart"/>
      <w:r w:rsidR="002C3B8E" w:rsidRPr="00186666">
        <w:t>lodgment</w:t>
      </w:r>
      <w:proofErr w:type="spellEnd"/>
      <w:r w:rsidR="002C3B8E">
        <w:t xml:space="preserve"> data for children in the civil court is based on a count of</w:t>
      </w:r>
      <w:r w:rsidR="002C3B8E" w:rsidRPr="005301DD">
        <w:t xml:space="preserve"> </w:t>
      </w:r>
      <w:r w:rsidR="002C3B8E">
        <w:t xml:space="preserve">each child listed in all new </w:t>
      </w:r>
      <w:r w:rsidR="002C3B8E" w:rsidRPr="005301DD">
        <w:t>applications for care and protection</w:t>
      </w:r>
      <w:r w:rsidR="002C3B8E">
        <w:t xml:space="preserve">, not just the originating application. </w:t>
      </w:r>
      <w:r w:rsidR="00810D05">
        <w:rPr>
          <w:rStyle w:val="NoteLabel"/>
        </w:rPr>
        <w:t>c</w:t>
      </w:r>
      <w:r w:rsidR="00CE64AE">
        <w:t> </w:t>
      </w:r>
      <w:r w:rsidR="00672F39">
        <w:t>Queensland c</w:t>
      </w:r>
      <w:r w:rsidR="00CE64AE" w:rsidRPr="00CE64AE">
        <w:t>hildren</w:t>
      </w:r>
      <w:r w:rsidR="00CE64AE">
        <w:t>’</w:t>
      </w:r>
      <w:r w:rsidR="00672F39">
        <w:t>s c</w:t>
      </w:r>
      <w:r w:rsidR="00CE64AE" w:rsidRPr="00CE64AE">
        <w:t>ourt</w:t>
      </w:r>
      <w:r w:rsidR="00672F39">
        <w:t>s</w:t>
      </w:r>
      <w:r w:rsidR="00CE64AE" w:rsidRPr="00CE64AE">
        <w:t xml:space="preserve"> data for civil cases </w:t>
      </w:r>
      <w:r w:rsidR="00672F39">
        <w:t>are</w:t>
      </w:r>
      <w:r w:rsidR="00CE64AE" w:rsidRPr="00CE64AE">
        <w:t xml:space="preserve"> based on a count of cases, not the number of children involved in the care and protection case.</w:t>
      </w:r>
      <w:r w:rsidR="00360351">
        <w:t xml:space="preserve"> </w:t>
      </w:r>
      <w:r w:rsidR="00E92ADD">
        <w:rPr>
          <w:b/>
        </w:rPr>
        <w:t>.. </w:t>
      </w:r>
      <w:r w:rsidR="00E92ADD" w:rsidRPr="00E92ADD">
        <w:t>Not</w:t>
      </w:r>
      <w:r w:rsidR="00E92ADD">
        <w:t> applicable</w:t>
      </w:r>
      <w:r w:rsidR="002247B8">
        <w:t>.</w:t>
      </w:r>
    </w:p>
    <w:p w:rsidR="007C1F92" w:rsidRPr="002247B8" w:rsidRDefault="007C1F92" w:rsidP="00F56C72">
      <w:pPr>
        <w:pStyle w:val="Note"/>
        <w:spacing w:before="40" w:line="240" w:lineRule="auto"/>
      </w:pPr>
      <w:r>
        <w:rPr>
          <w:i/>
        </w:rPr>
        <w:t>Source</w:t>
      </w:r>
      <w:r>
        <w:t xml:space="preserve">: </w:t>
      </w:r>
      <w:r w:rsidR="002247B8" w:rsidRPr="002247B8">
        <w:t>Australian, State and Territory court authorities and dep</w:t>
      </w:r>
      <w:r w:rsidR="00682064">
        <w:t>artments (unpublished); tables</w:t>
      </w:r>
      <w:r w:rsidR="002247B8">
        <w:t> </w:t>
      </w:r>
      <w:proofErr w:type="spellStart"/>
      <w:r w:rsidR="00682064">
        <w:t>7A.</w:t>
      </w:r>
      <w:r w:rsidR="001652D2">
        <w:t>3</w:t>
      </w:r>
      <w:proofErr w:type="spellEnd"/>
      <w:r w:rsidR="00682064">
        <w:t xml:space="preserve">, </w:t>
      </w:r>
      <w:proofErr w:type="spellStart"/>
      <w:r w:rsidR="00682064">
        <w:t>7A.</w:t>
      </w:r>
      <w:r w:rsidR="001652D2">
        <w:t>8</w:t>
      </w:r>
      <w:proofErr w:type="spellEnd"/>
      <w:r w:rsidR="00682064">
        <w:t xml:space="preserve"> and </w:t>
      </w:r>
      <w:proofErr w:type="spellStart"/>
      <w:r w:rsidR="002247B8">
        <w:t>7</w:t>
      </w:r>
      <w:r w:rsidR="002247B8" w:rsidRPr="002247B8">
        <w:t>A.</w:t>
      </w:r>
      <w:r w:rsidR="00682064">
        <w:t>2</w:t>
      </w:r>
      <w:r w:rsidR="001652D2">
        <w:t>6</w:t>
      </w:r>
      <w:proofErr w:type="spellEnd"/>
      <w:r w:rsidR="00E2019A">
        <w:t>.</w:t>
      </w:r>
    </w:p>
    <w:p w:rsidR="00553C42" w:rsidRDefault="00553C42" w:rsidP="00553C42">
      <w:pPr>
        <w:pStyle w:val="Heading5"/>
      </w:pPr>
      <w:r>
        <w:lastRenderedPageBreak/>
        <w:t>All matters</w:t>
      </w:r>
    </w:p>
    <w:p w:rsidR="0074069E" w:rsidRPr="001C734F" w:rsidRDefault="00A76A9C" w:rsidP="00622974">
      <w:pPr>
        <w:pStyle w:val="BodyText"/>
        <w:rPr>
          <w:b/>
        </w:rPr>
      </w:pPr>
      <w:r>
        <w:t>Table 7</w:t>
      </w:r>
      <w:r w:rsidR="0074069E" w:rsidRPr="0074069E">
        <w:t>.1</w:t>
      </w:r>
      <w:r w:rsidR="00B41AFA">
        <w:t>8</w:t>
      </w:r>
      <w:r w:rsidR="0074069E" w:rsidRPr="0074069E">
        <w:t xml:space="preserve"> contains </w:t>
      </w:r>
      <w:r w:rsidR="00503053">
        <w:t>clearance indicator results</w:t>
      </w:r>
      <w:r w:rsidR="00503053" w:rsidRPr="0074069E">
        <w:t xml:space="preserve"> </w:t>
      </w:r>
      <w:r w:rsidR="0074069E" w:rsidRPr="0074069E">
        <w:t>for all court matters (</w:t>
      </w:r>
      <w:r w:rsidR="0074069E">
        <w:t xml:space="preserve">both </w:t>
      </w:r>
      <w:r w:rsidR="0074069E" w:rsidRPr="001C734F">
        <w:t xml:space="preserve">criminal and civil) in </w:t>
      </w:r>
      <w:r w:rsidR="00E065FB">
        <w:t>20</w:t>
      </w:r>
      <w:r w:rsidR="00B5291A">
        <w:t>12</w:t>
      </w:r>
      <w:r w:rsidR="00205BCF">
        <w:noBreakHyphen/>
      </w:r>
      <w:r w:rsidR="00E065FB">
        <w:t>1</w:t>
      </w:r>
      <w:r w:rsidR="00B5291A">
        <w:t>3</w:t>
      </w:r>
      <w:r w:rsidR="0074069E" w:rsidRPr="001C734F">
        <w:t xml:space="preserve">, and combines appeal and non-appeal matters. </w:t>
      </w:r>
    </w:p>
    <w:p w:rsidR="00553C42" w:rsidRPr="001C734F" w:rsidRDefault="00553C42" w:rsidP="003B341A">
      <w:pPr>
        <w:pStyle w:val="TableTitle"/>
      </w:pPr>
      <w:r w:rsidRPr="001C734F">
        <w:rPr>
          <w:b w:val="0"/>
        </w:rPr>
        <w:t>Table 7.</w:t>
      </w:r>
      <w:r w:rsidR="00B41AFA">
        <w:rPr>
          <w:b w:val="0"/>
          <w:noProof/>
        </w:rPr>
        <w:t>18</w:t>
      </w:r>
      <w:r w:rsidRPr="001C734F">
        <w:tab/>
      </w:r>
      <w:r w:rsidR="006749BD" w:rsidRPr="001C734F">
        <w:t xml:space="preserve">Clearance </w:t>
      </w:r>
      <w:r w:rsidR="00195308" w:rsidRPr="001C734F">
        <w:t xml:space="preserve">— </w:t>
      </w:r>
      <w:r w:rsidRPr="001C734F">
        <w:t xml:space="preserve">all matters, </w:t>
      </w:r>
      <w:r w:rsidR="00B5291A">
        <w:t>2012</w:t>
      </w:r>
      <w:r w:rsidR="00B73354">
        <w:t>-</w:t>
      </w:r>
      <w:r w:rsidR="00335EB2">
        <w:t>1</w:t>
      </w:r>
      <w:r w:rsidR="00B5291A">
        <w:t>3</w:t>
      </w:r>
      <w:r w:rsidRPr="001C734F">
        <w:t xml:space="preserve"> (</w:t>
      </w:r>
      <w:r w:rsidR="00A76A9C" w:rsidRPr="001C734F">
        <w:t>per cent</w:t>
      </w:r>
      <w:r w:rsidRPr="001C734F">
        <w:t>)</w:t>
      </w:r>
      <w:r w:rsidR="002529A2" w:rsidRPr="001C734F">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552"/>
        <w:gridCol w:w="709"/>
        <w:gridCol w:w="708"/>
        <w:gridCol w:w="656"/>
        <w:gridCol w:w="691"/>
        <w:gridCol w:w="691"/>
        <w:gridCol w:w="691"/>
        <w:gridCol w:w="691"/>
        <w:gridCol w:w="691"/>
        <w:gridCol w:w="710"/>
      </w:tblGrid>
      <w:tr w:rsidR="00553C42" w:rsidTr="00B475AD">
        <w:tc>
          <w:tcPr>
            <w:tcW w:w="2552" w:type="dxa"/>
            <w:tcBorders>
              <w:top w:val="single" w:sz="6" w:space="0" w:color="auto"/>
              <w:bottom w:val="single" w:sz="6" w:space="0" w:color="auto"/>
            </w:tcBorders>
          </w:tcPr>
          <w:p w:rsidR="00553C42" w:rsidRDefault="00553C42" w:rsidP="00553C42">
            <w:pPr>
              <w:pStyle w:val="TableColumnHeading"/>
              <w:jc w:val="left"/>
            </w:pPr>
          </w:p>
        </w:tc>
        <w:tc>
          <w:tcPr>
            <w:tcW w:w="709" w:type="dxa"/>
            <w:tcBorders>
              <w:top w:val="single" w:sz="6" w:space="0" w:color="auto"/>
              <w:bottom w:val="single" w:sz="6" w:space="0" w:color="auto"/>
            </w:tcBorders>
          </w:tcPr>
          <w:p w:rsidR="00553C42" w:rsidRDefault="00553C42" w:rsidP="00553C42">
            <w:pPr>
              <w:pStyle w:val="TableColumnHeading"/>
            </w:pPr>
            <w:r>
              <w:t>NSW</w:t>
            </w:r>
          </w:p>
        </w:tc>
        <w:tc>
          <w:tcPr>
            <w:tcW w:w="708" w:type="dxa"/>
            <w:tcBorders>
              <w:top w:val="single" w:sz="6" w:space="0" w:color="auto"/>
              <w:bottom w:val="single" w:sz="6" w:space="0" w:color="auto"/>
            </w:tcBorders>
          </w:tcPr>
          <w:p w:rsidR="00553C42" w:rsidRDefault="00553C42" w:rsidP="00553C42">
            <w:pPr>
              <w:pStyle w:val="TableColumnHeading"/>
            </w:pPr>
            <w:r>
              <w:t>Vic</w:t>
            </w:r>
          </w:p>
        </w:tc>
        <w:tc>
          <w:tcPr>
            <w:tcW w:w="656" w:type="dxa"/>
            <w:tcBorders>
              <w:top w:val="single" w:sz="6" w:space="0" w:color="auto"/>
              <w:bottom w:val="single" w:sz="6" w:space="0" w:color="auto"/>
            </w:tcBorders>
          </w:tcPr>
          <w:p w:rsidR="00553C42" w:rsidRDefault="00553C42" w:rsidP="00553C42">
            <w:pPr>
              <w:pStyle w:val="TableColumnHeading"/>
            </w:pPr>
            <w:r>
              <w:t>Qld</w:t>
            </w:r>
          </w:p>
        </w:tc>
        <w:tc>
          <w:tcPr>
            <w:tcW w:w="691" w:type="dxa"/>
            <w:tcBorders>
              <w:top w:val="single" w:sz="6" w:space="0" w:color="auto"/>
              <w:bottom w:val="single" w:sz="6" w:space="0" w:color="auto"/>
            </w:tcBorders>
          </w:tcPr>
          <w:p w:rsidR="00553C42" w:rsidRDefault="00553C42" w:rsidP="00553C42">
            <w:pPr>
              <w:pStyle w:val="TableColumnHeading"/>
            </w:pPr>
            <w:r>
              <w:t>WA</w:t>
            </w:r>
          </w:p>
        </w:tc>
        <w:tc>
          <w:tcPr>
            <w:tcW w:w="691" w:type="dxa"/>
            <w:tcBorders>
              <w:top w:val="single" w:sz="6" w:space="0" w:color="auto"/>
              <w:bottom w:val="single" w:sz="6" w:space="0" w:color="auto"/>
            </w:tcBorders>
          </w:tcPr>
          <w:p w:rsidR="00553C42" w:rsidRDefault="00553C42" w:rsidP="00553C42">
            <w:pPr>
              <w:pStyle w:val="TableColumnHeading"/>
            </w:pPr>
            <w:r>
              <w:t>SA</w:t>
            </w:r>
          </w:p>
        </w:tc>
        <w:tc>
          <w:tcPr>
            <w:tcW w:w="691" w:type="dxa"/>
            <w:tcBorders>
              <w:top w:val="single" w:sz="6" w:space="0" w:color="auto"/>
              <w:bottom w:val="single" w:sz="6" w:space="0" w:color="auto"/>
            </w:tcBorders>
          </w:tcPr>
          <w:p w:rsidR="00553C42" w:rsidRDefault="00553C42" w:rsidP="00553C42">
            <w:pPr>
              <w:pStyle w:val="TableColumnHeading"/>
            </w:pPr>
            <w:proofErr w:type="spellStart"/>
            <w:r>
              <w:t>Tas</w:t>
            </w:r>
            <w:proofErr w:type="spellEnd"/>
          </w:p>
        </w:tc>
        <w:tc>
          <w:tcPr>
            <w:tcW w:w="691" w:type="dxa"/>
            <w:tcBorders>
              <w:top w:val="single" w:sz="6" w:space="0" w:color="auto"/>
              <w:bottom w:val="single" w:sz="6" w:space="0" w:color="auto"/>
            </w:tcBorders>
          </w:tcPr>
          <w:p w:rsidR="00553C42" w:rsidRDefault="00553C42" w:rsidP="00553C42">
            <w:pPr>
              <w:pStyle w:val="TableColumnHeading"/>
            </w:pPr>
            <w:r>
              <w:t>ACT</w:t>
            </w:r>
          </w:p>
        </w:tc>
        <w:tc>
          <w:tcPr>
            <w:tcW w:w="691" w:type="dxa"/>
            <w:tcBorders>
              <w:top w:val="single" w:sz="6" w:space="0" w:color="auto"/>
              <w:bottom w:val="single" w:sz="6" w:space="0" w:color="auto"/>
            </w:tcBorders>
          </w:tcPr>
          <w:p w:rsidR="00553C42" w:rsidRDefault="00553C42" w:rsidP="00553C42">
            <w:pPr>
              <w:pStyle w:val="TableColumnHeading"/>
            </w:pPr>
            <w:r>
              <w:t>NT</w:t>
            </w:r>
          </w:p>
        </w:tc>
        <w:tc>
          <w:tcPr>
            <w:tcW w:w="710" w:type="dxa"/>
            <w:tcBorders>
              <w:top w:val="single" w:sz="6" w:space="0" w:color="auto"/>
              <w:bottom w:val="single" w:sz="6" w:space="0" w:color="auto"/>
            </w:tcBorders>
          </w:tcPr>
          <w:p w:rsidR="00553C42" w:rsidRDefault="00553C42" w:rsidP="00553C42">
            <w:pPr>
              <w:pStyle w:val="TableColumnHeading"/>
              <w:ind w:right="28"/>
            </w:pPr>
            <w:proofErr w:type="spellStart"/>
            <w:r>
              <w:t>Aust</w:t>
            </w:r>
            <w:proofErr w:type="spellEnd"/>
            <w:r>
              <w:t xml:space="preserve"> courts</w:t>
            </w:r>
          </w:p>
        </w:tc>
      </w:tr>
      <w:tr w:rsidR="001D3A1E" w:rsidRPr="00EB64F9" w:rsidTr="00B475AD">
        <w:tc>
          <w:tcPr>
            <w:tcW w:w="2552" w:type="dxa"/>
            <w:tcBorders>
              <w:top w:val="single" w:sz="6" w:space="0" w:color="auto"/>
            </w:tcBorders>
          </w:tcPr>
          <w:p w:rsidR="001D3A1E" w:rsidRPr="00EB64F9" w:rsidRDefault="001D3A1E" w:rsidP="00553C42">
            <w:pPr>
              <w:pStyle w:val="TableBodyText"/>
              <w:jc w:val="left"/>
              <w:rPr>
                <w:b/>
              </w:rPr>
            </w:pPr>
            <w:r>
              <w:rPr>
                <w:b/>
              </w:rPr>
              <w:t>Supreme/Federal</w:t>
            </w:r>
            <w:r w:rsidR="00453B3B">
              <w:rPr>
                <w:rStyle w:val="NoteLabel"/>
              </w:rPr>
              <w:t>b</w:t>
            </w:r>
          </w:p>
        </w:tc>
        <w:tc>
          <w:tcPr>
            <w:tcW w:w="709" w:type="dxa"/>
            <w:tcBorders>
              <w:top w:val="single" w:sz="6" w:space="0" w:color="auto"/>
            </w:tcBorders>
            <w:vAlign w:val="bottom"/>
          </w:tcPr>
          <w:p w:rsidR="001D3A1E" w:rsidRDefault="001D3A1E">
            <w:pPr>
              <w:jc w:val="right"/>
              <w:rPr>
                <w:rFonts w:ascii="Arial" w:hAnsi="Arial" w:cs="Arial"/>
                <w:sz w:val="20"/>
                <w:szCs w:val="20"/>
              </w:rPr>
            </w:pPr>
          </w:p>
        </w:tc>
        <w:tc>
          <w:tcPr>
            <w:tcW w:w="708" w:type="dxa"/>
            <w:tcBorders>
              <w:top w:val="single" w:sz="6" w:space="0" w:color="auto"/>
            </w:tcBorders>
            <w:vAlign w:val="bottom"/>
          </w:tcPr>
          <w:p w:rsidR="001D3A1E" w:rsidRDefault="001D3A1E">
            <w:pPr>
              <w:jc w:val="right"/>
              <w:rPr>
                <w:rFonts w:ascii="Arial" w:hAnsi="Arial" w:cs="Arial"/>
                <w:sz w:val="20"/>
                <w:szCs w:val="20"/>
              </w:rPr>
            </w:pPr>
          </w:p>
        </w:tc>
        <w:tc>
          <w:tcPr>
            <w:tcW w:w="656" w:type="dxa"/>
            <w:tcBorders>
              <w:top w:val="single" w:sz="6" w:space="0" w:color="auto"/>
            </w:tcBorders>
            <w:vAlign w:val="bottom"/>
          </w:tcPr>
          <w:p w:rsidR="001D3A1E" w:rsidRDefault="001D3A1E">
            <w:pPr>
              <w:jc w:val="right"/>
              <w:rPr>
                <w:rFonts w:ascii="Arial" w:hAnsi="Arial" w:cs="Arial"/>
                <w:sz w:val="20"/>
                <w:szCs w:val="20"/>
              </w:rPr>
            </w:pPr>
          </w:p>
        </w:tc>
        <w:tc>
          <w:tcPr>
            <w:tcW w:w="691" w:type="dxa"/>
            <w:tcBorders>
              <w:top w:val="single" w:sz="6" w:space="0" w:color="auto"/>
            </w:tcBorders>
            <w:vAlign w:val="bottom"/>
          </w:tcPr>
          <w:p w:rsidR="001D3A1E" w:rsidRDefault="001D3A1E">
            <w:pPr>
              <w:jc w:val="right"/>
              <w:rPr>
                <w:rFonts w:ascii="Arial" w:hAnsi="Arial" w:cs="Arial"/>
                <w:sz w:val="20"/>
                <w:szCs w:val="20"/>
              </w:rPr>
            </w:pPr>
          </w:p>
        </w:tc>
        <w:tc>
          <w:tcPr>
            <w:tcW w:w="691" w:type="dxa"/>
            <w:tcBorders>
              <w:top w:val="single" w:sz="6" w:space="0" w:color="auto"/>
            </w:tcBorders>
            <w:vAlign w:val="bottom"/>
          </w:tcPr>
          <w:p w:rsidR="001D3A1E" w:rsidRDefault="001D3A1E">
            <w:pPr>
              <w:jc w:val="right"/>
              <w:rPr>
                <w:rFonts w:ascii="Arial" w:hAnsi="Arial" w:cs="Arial"/>
                <w:sz w:val="20"/>
                <w:szCs w:val="20"/>
              </w:rPr>
            </w:pPr>
          </w:p>
        </w:tc>
        <w:tc>
          <w:tcPr>
            <w:tcW w:w="691" w:type="dxa"/>
            <w:tcBorders>
              <w:top w:val="single" w:sz="6" w:space="0" w:color="auto"/>
            </w:tcBorders>
            <w:vAlign w:val="bottom"/>
          </w:tcPr>
          <w:p w:rsidR="001D3A1E" w:rsidRDefault="001D3A1E">
            <w:pPr>
              <w:jc w:val="right"/>
              <w:rPr>
                <w:rFonts w:ascii="Arial" w:hAnsi="Arial" w:cs="Arial"/>
                <w:sz w:val="20"/>
                <w:szCs w:val="20"/>
              </w:rPr>
            </w:pPr>
          </w:p>
        </w:tc>
        <w:tc>
          <w:tcPr>
            <w:tcW w:w="691" w:type="dxa"/>
            <w:tcBorders>
              <w:top w:val="single" w:sz="6" w:space="0" w:color="auto"/>
            </w:tcBorders>
            <w:vAlign w:val="bottom"/>
          </w:tcPr>
          <w:p w:rsidR="001D3A1E" w:rsidRDefault="001D3A1E">
            <w:pPr>
              <w:jc w:val="right"/>
              <w:rPr>
                <w:rFonts w:ascii="Arial" w:hAnsi="Arial" w:cs="Arial"/>
                <w:sz w:val="20"/>
                <w:szCs w:val="20"/>
              </w:rPr>
            </w:pPr>
          </w:p>
        </w:tc>
        <w:tc>
          <w:tcPr>
            <w:tcW w:w="691" w:type="dxa"/>
            <w:tcBorders>
              <w:top w:val="single" w:sz="6" w:space="0" w:color="auto"/>
            </w:tcBorders>
            <w:vAlign w:val="bottom"/>
          </w:tcPr>
          <w:p w:rsidR="001D3A1E" w:rsidRDefault="001D3A1E">
            <w:pPr>
              <w:jc w:val="right"/>
              <w:rPr>
                <w:rFonts w:ascii="Arial" w:hAnsi="Arial" w:cs="Arial"/>
                <w:sz w:val="20"/>
                <w:szCs w:val="20"/>
              </w:rPr>
            </w:pPr>
          </w:p>
        </w:tc>
        <w:tc>
          <w:tcPr>
            <w:tcW w:w="710" w:type="dxa"/>
            <w:tcBorders>
              <w:top w:val="single" w:sz="6" w:space="0" w:color="auto"/>
            </w:tcBorders>
            <w:vAlign w:val="bottom"/>
          </w:tcPr>
          <w:p w:rsidR="001D3A1E" w:rsidRDefault="001D3A1E" w:rsidP="00584FFF">
            <w:pPr>
              <w:jc w:val="right"/>
              <w:rPr>
                <w:rFonts w:ascii="Arial" w:hAnsi="Arial" w:cs="Arial"/>
                <w:sz w:val="20"/>
                <w:szCs w:val="20"/>
              </w:rPr>
            </w:pPr>
          </w:p>
        </w:tc>
      </w:tr>
      <w:tr w:rsidR="004350EE" w:rsidRPr="00EF0257" w:rsidTr="00B475AD">
        <w:tc>
          <w:tcPr>
            <w:tcW w:w="2552" w:type="dxa"/>
          </w:tcPr>
          <w:p w:rsidR="004350EE" w:rsidRPr="00EF0257" w:rsidRDefault="004350EE" w:rsidP="00553C42">
            <w:pPr>
              <w:pStyle w:val="TableBodyText"/>
              <w:jc w:val="left"/>
            </w:pPr>
            <w:r w:rsidRPr="00EF0257">
              <w:t xml:space="preserve"> Criminal </w:t>
            </w:r>
          </w:p>
        </w:tc>
        <w:tc>
          <w:tcPr>
            <w:tcW w:w="709" w:type="dxa"/>
            <w:vAlign w:val="bottom"/>
          </w:tcPr>
          <w:p w:rsidR="004350EE" w:rsidRPr="004350EE" w:rsidRDefault="004350EE" w:rsidP="004350EE">
            <w:pPr>
              <w:pStyle w:val="TableBodyText"/>
              <w:rPr>
                <w:sz w:val="18"/>
                <w:szCs w:val="18"/>
              </w:rPr>
            </w:pPr>
            <w:r w:rsidRPr="004350EE">
              <w:rPr>
                <w:sz w:val="18"/>
                <w:szCs w:val="18"/>
              </w:rPr>
              <w:t>114.7</w:t>
            </w:r>
          </w:p>
        </w:tc>
        <w:tc>
          <w:tcPr>
            <w:tcW w:w="708" w:type="dxa"/>
            <w:vAlign w:val="bottom"/>
          </w:tcPr>
          <w:p w:rsidR="004350EE" w:rsidRPr="004350EE" w:rsidRDefault="004350EE" w:rsidP="004350EE">
            <w:pPr>
              <w:pStyle w:val="TableBodyText"/>
              <w:rPr>
                <w:sz w:val="18"/>
                <w:szCs w:val="18"/>
              </w:rPr>
            </w:pPr>
            <w:r w:rsidRPr="004350EE">
              <w:rPr>
                <w:sz w:val="18"/>
                <w:szCs w:val="18"/>
              </w:rPr>
              <w:t>104.1</w:t>
            </w:r>
          </w:p>
        </w:tc>
        <w:tc>
          <w:tcPr>
            <w:tcW w:w="656" w:type="dxa"/>
            <w:vAlign w:val="bottom"/>
          </w:tcPr>
          <w:p w:rsidR="004350EE" w:rsidRPr="004350EE" w:rsidRDefault="004350EE" w:rsidP="004350EE">
            <w:pPr>
              <w:pStyle w:val="TableBodyText"/>
              <w:rPr>
                <w:sz w:val="18"/>
                <w:szCs w:val="18"/>
              </w:rPr>
            </w:pPr>
            <w:r w:rsidRPr="004350EE">
              <w:rPr>
                <w:sz w:val="18"/>
                <w:szCs w:val="18"/>
              </w:rPr>
              <w:t>110.5</w:t>
            </w:r>
          </w:p>
        </w:tc>
        <w:tc>
          <w:tcPr>
            <w:tcW w:w="691" w:type="dxa"/>
            <w:vAlign w:val="bottom"/>
          </w:tcPr>
          <w:p w:rsidR="004350EE" w:rsidRPr="004350EE" w:rsidRDefault="004350EE" w:rsidP="004350EE">
            <w:pPr>
              <w:pStyle w:val="TableBodyText"/>
              <w:rPr>
                <w:sz w:val="18"/>
                <w:szCs w:val="18"/>
              </w:rPr>
            </w:pPr>
            <w:r w:rsidRPr="004350EE">
              <w:rPr>
                <w:sz w:val="18"/>
                <w:szCs w:val="18"/>
              </w:rPr>
              <w:t>98.2</w:t>
            </w:r>
          </w:p>
        </w:tc>
        <w:tc>
          <w:tcPr>
            <w:tcW w:w="691" w:type="dxa"/>
            <w:vAlign w:val="bottom"/>
          </w:tcPr>
          <w:p w:rsidR="004350EE" w:rsidRPr="004350EE" w:rsidRDefault="004350EE" w:rsidP="004350EE">
            <w:pPr>
              <w:pStyle w:val="TableBodyText"/>
              <w:rPr>
                <w:sz w:val="18"/>
                <w:szCs w:val="18"/>
              </w:rPr>
            </w:pPr>
            <w:r w:rsidRPr="004350EE">
              <w:rPr>
                <w:sz w:val="18"/>
                <w:szCs w:val="18"/>
              </w:rPr>
              <w:t>103.7</w:t>
            </w:r>
          </w:p>
        </w:tc>
        <w:tc>
          <w:tcPr>
            <w:tcW w:w="691" w:type="dxa"/>
            <w:vAlign w:val="bottom"/>
          </w:tcPr>
          <w:p w:rsidR="004350EE" w:rsidRPr="004350EE" w:rsidRDefault="004350EE" w:rsidP="004350EE">
            <w:pPr>
              <w:pStyle w:val="TableBodyText"/>
              <w:rPr>
                <w:sz w:val="18"/>
                <w:szCs w:val="18"/>
              </w:rPr>
            </w:pPr>
            <w:r w:rsidRPr="004350EE">
              <w:rPr>
                <w:sz w:val="18"/>
                <w:szCs w:val="18"/>
              </w:rPr>
              <w:t>102.0</w:t>
            </w:r>
          </w:p>
        </w:tc>
        <w:tc>
          <w:tcPr>
            <w:tcW w:w="691" w:type="dxa"/>
            <w:vAlign w:val="bottom"/>
          </w:tcPr>
          <w:p w:rsidR="004350EE" w:rsidRPr="004350EE" w:rsidRDefault="004350EE" w:rsidP="004350EE">
            <w:pPr>
              <w:pStyle w:val="TableBodyText"/>
              <w:rPr>
                <w:sz w:val="18"/>
                <w:szCs w:val="18"/>
              </w:rPr>
            </w:pPr>
            <w:r w:rsidRPr="004350EE">
              <w:rPr>
                <w:sz w:val="18"/>
                <w:szCs w:val="18"/>
              </w:rPr>
              <w:t>155.3</w:t>
            </w:r>
          </w:p>
        </w:tc>
        <w:tc>
          <w:tcPr>
            <w:tcW w:w="691" w:type="dxa"/>
            <w:vAlign w:val="bottom"/>
          </w:tcPr>
          <w:p w:rsidR="004350EE" w:rsidRPr="004350EE" w:rsidRDefault="004350EE" w:rsidP="004350EE">
            <w:pPr>
              <w:pStyle w:val="TableBodyText"/>
              <w:rPr>
                <w:sz w:val="18"/>
                <w:szCs w:val="18"/>
              </w:rPr>
            </w:pPr>
            <w:r w:rsidRPr="004350EE">
              <w:rPr>
                <w:sz w:val="18"/>
                <w:szCs w:val="18"/>
              </w:rPr>
              <w:t>91.8</w:t>
            </w:r>
          </w:p>
        </w:tc>
        <w:tc>
          <w:tcPr>
            <w:tcW w:w="710" w:type="dxa"/>
            <w:vAlign w:val="bottom"/>
          </w:tcPr>
          <w:p w:rsidR="004350EE" w:rsidRPr="004350EE" w:rsidRDefault="004350EE" w:rsidP="004350EE">
            <w:pPr>
              <w:pStyle w:val="TableBodyText"/>
              <w:rPr>
                <w:sz w:val="18"/>
                <w:szCs w:val="18"/>
              </w:rPr>
            </w:pPr>
            <w:r w:rsidRPr="004350EE">
              <w:rPr>
                <w:sz w:val="18"/>
                <w:szCs w:val="18"/>
              </w:rPr>
              <w:t>..</w:t>
            </w:r>
          </w:p>
        </w:tc>
      </w:tr>
      <w:tr w:rsidR="004350EE" w:rsidRPr="00273501" w:rsidTr="00B475AD">
        <w:tc>
          <w:tcPr>
            <w:tcW w:w="2552" w:type="dxa"/>
          </w:tcPr>
          <w:p w:rsidR="004350EE" w:rsidRPr="00273501" w:rsidRDefault="004350EE" w:rsidP="00553C42">
            <w:pPr>
              <w:pStyle w:val="TableBodyText"/>
              <w:jc w:val="left"/>
              <w:rPr>
                <w:rStyle w:val="NoteLabel"/>
              </w:rPr>
            </w:pPr>
            <w:r w:rsidRPr="00273501">
              <w:t xml:space="preserve"> Civil</w:t>
            </w:r>
          </w:p>
        </w:tc>
        <w:tc>
          <w:tcPr>
            <w:tcW w:w="709" w:type="dxa"/>
            <w:vAlign w:val="bottom"/>
          </w:tcPr>
          <w:p w:rsidR="004350EE" w:rsidRPr="004350EE" w:rsidRDefault="004350EE" w:rsidP="004350EE">
            <w:pPr>
              <w:pStyle w:val="TableBodyText"/>
              <w:rPr>
                <w:sz w:val="18"/>
                <w:szCs w:val="18"/>
              </w:rPr>
            </w:pPr>
            <w:r w:rsidRPr="004350EE">
              <w:rPr>
                <w:sz w:val="18"/>
                <w:szCs w:val="18"/>
              </w:rPr>
              <w:t>132.0</w:t>
            </w:r>
          </w:p>
        </w:tc>
        <w:tc>
          <w:tcPr>
            <w:tcW w:w="708" w:type="dxa"/>
            <w:vAlign w:val="bottom"/>
          </w:tcPr>
          <w:p w:rsidR="004350EE" w:rsidRPr="004350EE" w:rsidRDefault="004350EE" w:rsidP="004350EE">
            <w:pPr>
              <w:pStyle w:val="TableBodyText"/>
              <w:rPr>
                <w:sz w:val="18"/>
                <w:szCs w:val="18"/>
              </w:rPr>
            </w:pPr>
            <w:r w:rsidRPr="004350EE">
              <w:rPr>
                <w:sz w:val="18"/>
                <w:szCs w:val="18"/>
              </w:rPr>
              <w:t>106.6</w:t>
            </w:r>
          </w:p>
        </w:tc>
        <w:tc>
          <w:tcPr>
            <w:tcW w:w="656" w:type="dxa"/>
            <w:vAlign w:val="bottom"/>
          </w:tcPr>
          <w:p w:rsidR="004350EE" w:rsidRPr="004350EE" w:rsidRDefault="004350EE" w:rsidP="004350EE">
            <w:pPr>
              <w:pStyle w:val="TableBodyText"/>
              <w:rPr>
                <w:sz w:val="18"/>
                <w:szCs w:val="18"/>
              </w:rPr>
            </w:pPr>
            <w:r w:rsidRPr="004350EE">
              <w:rPr>
                <w:sz w:val="18"/>
                <w:szCs w:val="18"/>
              </w:rPr>
              <w:t>111.7</w:t>
            </w:r>
          </w:p>
        </w:tc>
        <w:tc>
          <w:tcPr>
            <w:tcW w:w="691" w:type="dxa"/>
            <w:vAlign w:val="bottom"/>
          </w:tcPr>
          <w:p w:rsidR="004350EE" w:rsidRPr="004350EE" w:rsidRDefault="004350EE" w:rsidP="004350EE">
            <w:pPr>
              <w:pStyle w:val="TableBodyText"/>
              <w:rPr>
                <w:sz w:val="18"/>
                <w:szCs w:val="18"/>
              </w:rPr>
            </w:pPr>
            <w:r w:rsidRPr="004350EE">
              <w:rPr>
                <w:sz w:val="18"/>
                <w:szCs w:val="18"/>
              </w:rPr>
              <w:t>109.8</w:t>
            </w:r>
          </w:p>
        </w:tc>
        <w:tc>
          <w:tcPr>
            <w:tcW w:w="691" w:type="dxa"/>
            <w:vAlign w:val="bottom"/>
          </w:tcPr>
          <w:p w:rsidR="004350EE" w:rsidRPr="004350EE" w:rsidRDefault="004350EE" w:rsidP="004350EE">
            <w:pPr>
              <w:pStyle w:val="TableBodyText"/>
              <w:rPr>
                <w:sz w:val="18"/>
                <w:szCs w:val="18"/>
              </w:rPr>
            </w:pPr>
            <w:r w:rsidRPr="004350EE">
              <w:rPr>
                <w:sz w:val="18"/>
                <w:szCs w:val="18"/>
              </w:rPr>
              <w:t>104.1</w:t>
            </w:r>
          </w:p>
        </w:tc>
        <w:tc>
          <w:tcPr>
            <w:tcW w:w="691" w:type="dxa"/>
            <w:vAlign w:val="bottom"/>
          </w:tcPr>
          <w:p w:rsidR="004350EE" w:rsidRPr="004350EE" w:rsidRDefault="004350EE" w:rsidP="004350EE">
            <w:pPr>
              <w:pStyle w:val="TableBodyText"/>
              <w:rPr>
                <w:sz w:val="18"/>
                <w:szCs w:val="18"/>
              </w:rPr>
            </w:pPr>
            <w:r w:rsidRPr="004350EE">
              <w:rPr>
                <w:sz w:val="18"/>
                <w:szCs w:val="18"/>
              </w:rPr>
              <w:t>91.5</w:t>
            </w:r>
          </w:p>
        </w:tc>
        <w:tc>
          <w:tcPr>
            <w:tcW w:w="691" w:type="dxa"/>
            <w:vAlign w:val="bottom"/>
          </w:tcPr>
          <w:p w:rsidR="004350EE" w:rsidRPr="004350EE" w:rsidRDefault="004350EE" w:rsidP="004350EE">
            <w:pPr>
              <w:pStyle w:val="TableBodyText"/>
              <w:rPr>
                <w:sz w:val="18"/>
                <w:szCs w:val="18"/>
              </w:rPr>
            </w:pPr>
            <w:r w:rsidRPr="004350EE">
              <w:rPr>
                <w:sz w:val="18"/>
                <w:szCs w:val="18"/>
              </w:rPr>
              <w:t>153.9</w:t>
            </w:r>
          </w:p>
        </w:tc>
        <w:tc>
          <w:tcPr>
            <w:tcW w:w="691" w:type="dxa"/>
            <w:vAlign w:val="bottom"/>
          </w:tcPr>
          <w:p w:rsidR="004350EE" w:rsidRPr="004350EE" w:rsidRDefault="004350EE" w:rsidP="004350EE">
            <w:pPr>
              <w:pStyle w:val="TableBodyText"/>
              <w:rPr>
                <w:sz w:val="18"/>
                <w:szCs w:val="18"/>
              </w:rPr>
            </w:pPr>
            <w:r w:rsidRPr="004350EE">
              <w:rPr>
                <w:sz w:val="18"/>
                <w:szCs w:val="18"/>
              </w:rPr>
              <w:t>116.0</w:t>
            </w:r>
          </w:p>
        </w:tc>
        <w:tc>
          <w:tcPr>
            <w:tcW w:w="710" w:type="dxa"/>
            <w:vAlign w:val="bottom"/>
          </w:tcPr>
          <w:p w:rsidR="004350EE" w:rsidRPr="004350EE" w:rsidRDefault="004350EE" w:rsidP="004350EE">
            <w:pPr>
              <w:pStyle w:val="TableBodyText"/>
              <w:rPr>
                <w:sz w:val="18"/>
                <w:szCs w:val="18"/>
              </w:rPr>
            </w:pPr>
            <w:r w:rsidRPr="004350EE">
              <w:rPr>
                <w:sz w:val="18"/>
                <w:szCs w:val="18"/>
              </w:rPr>
              <w:t>113.0</w:t>
            </w:r>
          </w:p>
        </w:tc>
      </w:tr>
      <w:tr w:rsidR="004350EE" w:rsidRPr="00BF3CA2" w:rsidTr="00B475AD">
        <w:tc>
          <w:tcPr>
            <w:tcW w:w="2552" w:type="dxa"/>
          </w:tcPr>
          <w:p w:rsidR="004350EE" w:rsidRPr="00BF3CA2" w:rsidRDefault="004350EE" w:rsidP="00553C42">
            <w:pPr>
              <w:pStyle w:val="TableBodyText"/>
              <w:jc w:val="left"/>
              <w:rPr>
                <w:i/>
              </w:rPr>
            </w:pPr>
            <w:r w:rsidRPr="00BF3CA2">
              <w:rPr>
                <w:i/>
              </w:rPr>
              <w:t xml:space="preserve"> Total</w:t>
            </w:r>
          </w:p>
        </w:tc>
        <w:tc>
          <w:tcPr>
            <w:tcW w:w="709" w:type="dxa"/>
            <w:vAlign w:val="bottom"/>
          </w:tcPr>
          <w:p w:rsidR="004350EE" w:rsidRPr="004350EE" w:rsidRDefault="004350EE" w:rsidP="004350EE">
            <w:pPr>
              <w:pStyle w:val="TableBodyText"/>
              <w:rPr>
                <w:i/>
                <w:iCs/>
                <w:sz w:val="18"/>
                <w:szCs w:val="18"/>
              </w:rPr>
            </w:pPr>
            <w:r w:rsidRPr="004350EE">
              <w:rPr>
                <w:i/>
                <w:iCs/>
                <w:sz w:val="18"/>
                <w:szCs w:val="18"/>
              </w:rPr>
              <w:t>131.2</w:t>
            </w:r>
          </w:p>
        </w:tc>
        <w:tc>
          <w:tcPr>
            <w:tcW w:w="708" w:type="dxa"/>
            <w:vAlign w:val="bottom"/>
          </w:tcPr>
          <w:p w:rsidR="004350EE" w:rsidRPr="004350EE" w:rsidRDefault="004350EE" w:rsidP="004350EE">
            <w:pPr>
              <w:pStyle w:val="TableBodyText"/>
              <w:rPr>
                <w:i/>
                <w:iCs/>
                <w:sz w:val="18"/>
                <w:szCs w:val="18"/>
              </w:rPr>
            </w:pPr>
            <w:r w:rsidRPr="004350EE">
              <w:rPr>
                <w:i/>
                <w:iCs/>
                <w:sz w:val="18"/>
                <w:szCs w:val="18"/>
              </w:rPr>
              <w:t>106.5</w:t>
            </w:r>
          </w:p>
        </w:tc>
        <w:tc>
          <w:tcPr>
            <w:tcW w:w="656" w:type="dxa"/>
            <w:vAlign w:val="bottom"/>
          </w:tcPr>
          <w:p w:rsidR="004350EE" w:rsidRPr="004350EE" w:rsidRDefault="004350EE" w:rsidP="004350EE">
            <w:pPr>
              <w:pStyle w:val="TableBodyText"/>
              <w:rPr>
                <w:i/>
                <w:iCs/>
                <w:sz w:val="18"/>
                <w:szCs w:val="18"/>
              </w:rPr>
            </w:pPr>
            <w:r w:rsidRPr="004350EE">
              <w:rPr>
                <w:i/>
                <w:iCs/>
                <w:sz w:val="18"/>
                <w:szCs w:val="18"/>
              </w:rPr>
              <w:t>111.4</w:t>
            </w:r>
          </w:p>
        </w:tc>
        <w:tc>
          <w:tcPr>
            <w:tcW w:w="691" w:type="dxa"/>
            <w:vAlign w:val="bottom"/>
          </w:tcPr>
          <w:p w:rsidR="004350EE" w:rsidRPr="004350EE" w:rsidRDefault="004350EE" w:rsidP="004350EE">
            <w:pPr>
              <w:pStyle w:val="TableBodyText"/>
              <w:rPr>
                <w:i/>
                <w:iCs/>
                <w:sz w:val="18"/>
                <w:szCs w:val="18"/>
              </w:rPr>
            </w:pPr>
            <w:r w:rsidRPr="004350EE">
              <w:rPr>
                <w:i/>
                <w:iCs/>
                <w:sz w:val="18"/>
                <w:szCs w:val="18"/>
              </w:rPr>
              <w:t>107.3</w:t>
            </w:r>
          </w:p>
        </w:tc>
        <w:tc>
          <w:tcPr>
            <w:tcW w:w="691" w:type="dxa"/>
            <w:vAlign w:val="bottom"/>
          </w:tcPr>
          <w:p w:rsidR="004350EE" w:rsidRPr="004350EE" w:rsidRDefault="004350EE" w:rsidP="004350EE">
            <w:pPr>
              <w:pStyle w:val="TableBodyText"/>
              <w:rPr>
                <w:i/>
                <w:iCs/>
                <w:sz w:val="18"/>
                <w:szCs w:val="18"/>
              </w:rPr>
            </w:pPr>
            <w:r w:rsidRPr="004350EE">
              <w:rPr>
                <w:i/>
                <w:iCs/>
                <w:sz w:val="18"/>
                <w:szCs w:val="18"/>
              </w:rPr>
              <w:t>104.0</w:t>
            </w:r>
          </w:p>
        </w:tc>
        <w:tc>
          <w:tcPr>
            <w:tcW w:w="691" w:type="dxa"/>
            <w:vAlign w:val="bottom"/>
          </w:tcPr>
          <w:p w:rsidR="004350EE" w:rsidRPr="004350EE" w:rsidRDefault="004350EE" w:rsidP="004350EE">
            <w:pPr>
              <w:pStyle w:val="TableBodyText"/>
              <w:rPr>
                <w:i/>
                <w:iCs/>
                <w:sz w:val="18"/>
                <w:szCs w:val="18"/>
              </w:rPr>
            </w:pPr>
            <w:r w:rsidRPr="004350EE">
              <w:rPr>
                <w:i/>
                <w:iCs/>
                <w:sz w:val="18"/>
                <w:szCs w:val="18"/>
              </w:rPr>
              <w:t>94.9</w:t>
            </w:r>
          </w:p>
        </w:tc>
        <w:tc>
          <w:tcPr>
            <w:tcW w:w="691" w:type="dxa"/>
            <w:vAlign w:val="bottom"/>
          </w:tcPr>
          <w:p w:rsidR="004350EE" w:rsidRPr="004350EE" w:rsidRDefault="004350EE" w:rsidP="004350EE">
            <w:pPr>
              <w:pStyle w:val="TableBodyText"/>
              <w:rPr>
                <w:i/>
                <w:iCs/>
                <w:sz w:val="18"/>
                <w:szCs w:val="18"/>
              </w:rPr>
            </w:pPr>
            <w:r w:rsidRPr="004350EE">
              <w:rPr>
                <w:i/>
                <w:iCs/>
                <w:sz w:val="18"/>
                <w:szCs w:val="18"/>
              </w:rPr>
              <w:t>154.4</w:t>
            </w:r>
          </w:p>
        </w:tc>
        <w:tc>
          <w:tcPr>
            <w:tcW w:w="691" w:type="dxa"/>
            <w:vAlign w:val="bottom"/>
          </w:tcPr>
          <w:p w:rsidR="004350EE" w:rsidRPr="004350EE" w:rsidRDefault="004350EE" w:rsidP="004350EE">
            <w:pPr>
              <w:pStyle w:val="TableBodyText"/>
              <w:rPr>
                <w:i/>
                <w:iCs/>
                <w:sz w:val="18"/>
                <w:szCs w:val="18"/>
              </w:rPr>
            </w:pPr>
            <w:r w:rsidRPr="004350EE">
              <w:rPr>
                <w:i/>
                <w:iCs/>
                <w:sz w:val="18"/>
                <w:szCs w:val="18"/>
              </w:rPr>
              <w:t>99.9</w:t>
            </w:r>
          </w:p>
        </w:tc>
        <w:tc>
          <w:tcPr>
            <w:tcW w:w="710" w:type="dxa"/>
            <w:vAlign w:val="bottom"/>
          </w:tcPr>
          <w:p w:rsidR="004350EE" w:rsidRPr="004350EE" w:rsidRDefault="004350EE" w:rsidP="004350EE">
            <w:pPr>
              <w:pStyle w:val="TableBodyText"/>
              <w:rPr>
                <w:i/>
                <w:iCs/>
                <w:sz w:val="18"/>
                <w:szCs w:val="18"/>
              </w:rPr>
            </w:pPr>
            <w:r w:rsidRPr="004350EE">
              <w:rPr>
                <w:i/>
                <w:iCs/>
                <w:sz w:val="18"/>
                <w:szCs w:val="18"/>
              </w:rPr>
              <w:t>113.0</w:t>
            </w:r>
          </w:p>
        </w:tc>
      </w:tr>
      <w:tr w:rsidR="009B1C9E" w:rsidRPr="00BF3CA2" w:rsidTr="00B475AD">
        <w:tc>
          <w:tcPr>
            <w:tcW w:w="2552" w:type="dxa"/>
          </w:tcPr>
          <w:p w:rsidR="009B1C9E" w:rsidRPr="00BF3CA2" w:rsidRDefault="00F43AAD" w:rsidP="00553C42">
            <w:pPr>
              <w:pStyle w:val="TableBodyText"/>
              <w:jc w:val="left"/>
              <w:rPr>
                <w:b/>
              </w:rPr>
            </w:pPr>
            <w:r w:rsidRPr="00BF3CA2">
              <w:rPr>
                <w:b/>
              </w:rPr>
              <w:t>District/county</w:t>
            </w:r>
          </w:p>
        </w:tc>
        <w:tc>
          <w:tcPr>
            <w:tcW w:w="709" w:type="dxa"/>
            <w:vAlign w:val="bottom"/>
          </w:tcPr>
          <w:p w:rsidR="009B1C9E" w:rsidRPr="00AC4C27" w:rsidRDefault="009B1C9E" w:rsidP="009B1C9E">
            <w:pPr>
              <w:pStyle w:val="TableBodyText"/>
              <w:rPr>
                <w:sz w:val="18"/>
                <w:szCs w:val="18"/>
              </w:rPr>
            </w:pPr>
          </w:p>
        </w:tc>
        <w:tc>
          <w:tcPr>
            <w:tcW w:w="708" w:type="dxa"/>
            <w:vAlign w:val="bottom"/>
          </w:tcPr>
          <w:p w:rsidR="009B1C9E" w:rsidRPr="00AC4C27" w:rsidRDefault="009B1C9E" w:rsidP="009B1C9E">
            <w:pPr>
              <w:pStyle w:val="TableBodyText"/>
              <w:rPr>
                <w:sz w:val="18"/>
                <w:szCs w:val="18"/>
              </w:rPr>
            </w:pPr>
          </w:p>
        </w:tc>
        <w:tc>
          <w:tcPr>
            <w:tcW w:w="656"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710" w:type="dxa"/>
            <w:vAlign w:val="bottom"/>
          </w:tcPr>
          <w:p w:rsidR="009B1C9E" w:rsidRPr="00AC4C27" w:rsidRDefault="009B1C9E" w:rsidP="009B1C9E">
            <w:pPr>
              <w:pStyle w:val="TableBodyText"/>
              <w:rPr>
                <w:sz w:val="18"/>
                <w:szCs w:val="18"/>
              </w:rPr>
            </w:pPr>
          </w:p>
        </w:tc>
      </w:tr>
      <w:tr w:rsidR="008937A9" w:rsidRPr="00EF0257" w:rsidTr="00B475AD">
        <w:tc>
          <w:tcPr>
            <w:tcW w:w="2552" w:type="dxa"/>
          </w:tcPr>
          <w:p w:rsidR="008937A9" w:rsidRPr="00EF0257" w:rsidRDefault="008937A9" w:rsidP="00553C42">
            <w:pPr>
              <w:pStyle w:val="TableBodyText"/>
              <w:jc w:val="left"/>
            </w:pPr>
            <w:r w:rsidRPr="00EF0257">
              <w:t xml:space="preserve"> Criminal</w:t>
            </w:r>
          </w:p>
        </w:tc>
        <w:tc>
          <w:tcPr>
            <w:tcW w:w="709" w:type="dxa"/>
            <w:vAlign w:val="bottom"/>
          </w:tcPr>
          <w:p w:rsidR="008937A9" w:rsidRPr="008937A9" w:rsidRDefault="008937A9" w:rsidP="008937A9">
            <w:pPr>
              <w:pStyle w:val="TableBodyText"/>
              <w:rPr>
                <w:sz w:val="18"/>
                <w:szCs w:val="18"/>
              </w:rPr>
            </w:pPr>
            <w:r w:rsidRPr="008937A9">
              <w:rPr>
                <w:sz w:val="18"/>
                <w:szCs w:val="18"/>
              </w:rPr>
              <w:t>95.6</w:t>
            </w:r>
          </w:p>
        </w:tc>
        <w:tc>
          <w:tcPr>
            <w:tcW w:w="708" w:type="dxa"/>
            <w:vAlign w:val="bottom"/>
          </w:tcPr>
          <w:p w:rsidR="008937A9" w:rsidRPr="008937A9" w:rsidRDefault="008937A9" w:rsidP="008937A9">
            <w:pPr>
              <w:pStyle w:val="TableBodyText"/>
              <w:rPr>
                <w:sz w:val="18"/>
                <w:szCs w:val="18"/>
              </w:rPr>
            </w:pPr>
            <w:r w:rsidRPr="008937A9">
              <w:rPr>
                <w:sz w:val="18"/>
                <w:szCs w:val="18"/>
              </w:rPr>
              <w:t>94.0</w:t>
            </w:r>
          </w:p>
        </w:tc>
        <w:tc>
          <w:tcPr>
            <w:tcW w:w="656" w:type="dxa"/>
            <w:vAlign w:val="bottom"/>
          </w:tcPr>
          <w:p w:rsidR="008937A9" w:rsidRPr="008937A9" w:rsidRDefault="008937A9" w:rsidP="008937A9">
            <w:pPr>
              <w:pStyle w:val="TableBodyText"/>
              <w:rPr>
                <w:sz w:val="18"/>
                <w:szCs w:val="18"/>
              </w:rPr>
            </w:pPr>
            <w:r w:rsidRPr="008937A9">
              <w:rPr>
                <w:sz w:val="18"/>
                <w:szCs w:val="18"/>
              </w:rPr>
              <w:t>119.1</w:t>
            </w:r>
          </w:p>
        </w:tc>
        <w:tc>
          <w:tcPr>
            <w:tcW w:w="691" w:type="dxa"/>
            <w:vAlign w:val="bottom"/>
          </w:tcPr>
          <w:p w:rsidR="008937A9" w:rsidRPr="008937A9" w:rsidRDefault="008937A9" w:rsidP="008937A9">
            <w:pPr>
              <w:pStyle w:val="TableBodyText"/>
              <w:rPr>
                <w:sz w:val="18"/>
                <w:szCs w:val="18"/>
              </w:rPr>
            </w:pPr>
            <w:r w:rsidRPr="008937A9">
              <w:rPr>
                <w:sz w:val="18"/>
                <w:szCs w:val="18"/>
              </w:rPr>
              <w:t>101.4</w:t>
            </w:r>
          </w:p>
        </w:tc>
        <w:tc>
          <w:tcPr>
            <w:tcW w:w="691" w:type="dxa"/>
            <w:vAlign w:val="bottom"/>
          </w:tcPr>
          <w:p w:rsidR="008937A9" w:rsidRPr="008937A9" w:rsidRDefault="008937A9" w:rsidP="008937A9">
            <w:pPr>
              <w:pStyle w:val="TableBodyText"/>
              <w:rPr>
                <w:sz w:val="18"/>
                <w:szCs w:val="18"/>
              </w:rPr>
            </w:pPr>
            <w:r w:rsidRPr="008937A9">
              <w:rPr>
                <w:sz w:val="18"/>
                <w:szCs w:val="18"/>
              </w:rPr>
              <w:t>95.3</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710" w:type="dxa"/>
            <w:vAlign w:val="bottom"/>
          </w:tcPr>
          <w:p w:rsidR="008937A9" w:rsidRPr="008937A9" w:rsidRDefault="008937A9" w:rsidP="008937A9">
            <w:pPr>
              <w:pStyle w:val="TableBodyText"/>
              <w:rPr>
                <w:sz w:val="18"/>
                <w:szCs w:val="18"/>
              </w:rPr>
            </w:pPr>
            <w:r w:rsidRPr="008937A9">
              <w:rPr>
                <w:sz w:val="18"/>
                <w:szCs w:val="18"/>
              </w:rPr>
              <w:t>..</w:t>
            </w:r>
          </w:p>
        </w:tc>
      </w:tr>
      <w:tr w:rsidR="008937A9" w:rsidRPr="00273501" w:rsidTr="00B475AD">
        <w:tc>
          <w:tcPr>
            <w:tcW w:w="2552" w:type="dxa"/>
          </w:tcPr>
          <w:p w:rsidR="008937A9" w:rsidRPr="00273501" w:rsidRDefault="008937A9" w:rsidP="00553C42">
            <w:pPr>
              <w:pStyle w:val="TableBodyText"/>
              <w:jc w:val="left"/>
              <w:rPr>
                <w:rStyle w:val="NoteLabel"/>
              </w:rPr>
            </w:pPr>
            <w:r w:rsidRPr="00273501">
              <w:t xml:space="preserve"> Civil</w:t>
            </w:r>
          </w:p>
        </w:tc>
        <w:tc>
          <w:tcPr>
            <w:tcW w:w="709" w:type="dxa"/>
            <w:vAlign w:val="bottom"/>
          </w:tcPr>
          <w:p w:rsidR="008937A9" w:rsidRPr="008937A9" w:rsidRDefault="008937A9" w:rsidP="008937A9">
            <w:pPr>
              <w:pStyle w:val="TableBodyText"/>
              <w:rPr>
                <w:sz w:val="18"/>
                <w:szCs w:val="18"/>
              </w:rPr>
            </w:pPr>
            <w:r w:rsidRPr="008937A9">
              <w:rPr>
                <w:sz w:val="18"/>
                <w:szCs w:val="18"/>
              </w:rPr>
              <w:t>104.9</w:t>
            </w:r>
          </w:p>
        </w:tc>
        <w:tc>
          <w:tcPr>
            <w:tcW w:w="708" w:type="dxa"/>
            <w:vAlign w:val="bottom"/>
          </w:tcPr>
          <w:p w:rsidR="008937A9" w:rsidRPr="008937A9" w:rsidRDefault="008937A9" w:rsidP="008937A9">
            <w:pPr>
              <w:pStyle w:val="TableBodyText"/>
              <w:rPr>
                <w:sz w:val="18"/>
                <w:szCs w:val="18"/>
              </w:rPr>
            </w:pPr>
            <w:r w:rsidRPr="008937A9">
              <w:rPr>
                <w:sz w:val="18"/>
                <w:szCs w:val="18"/>
              </w:rPr>
              <w:t>92.6</w:t>
            </w:r>
          </w:p>
        </w:tc>
        <w:tc>
          <w:tcPr>
            <w:tcW w:w="656" w:type="dxa"/>
            <w:vAlign w:val="bottom"/>
          </w:tcPr>
          <w:p w:rsidR="008937A9" w:rsidRPr="008937A9" w:rsidRDefault="008937A9" w:rsidP="008937A9">
            <w:pPr>
              <w:pStyle w:val="TableBodyText"/>
              <w:rPr>
                <w:sz w:val="18"/>
                <w:szCs w:val="18"/>
              </w:rPr>
            </w:pPr>
            <w:r w:rsidRPr="008937A9">
              <w:rPr>
                <w:sz w:val="18"/>
                <w:szCs w:val="18"/>
              </w:rPr>
              <w:t>107.5</w:t>
            </w:r>
          </w:p>
        </w:tc>
        <w:tc>
          <w:tcPr>
            <w:tcW w:w="691" w:type="dxa"/>
            <w:vAlign w:val="bottom"/>
          </w:tcPr>
          <w:p w:rsidR="008937A9" w:rsidRPr="008937A9" w:rsidRDefault="008937A9" w:rsidP="008937A9">
            <w:pPr>
              <w:pStyle w:val="TableBodyText"/>
              <w:rPr>
                <w:sz w:val="18"/>
                <w:szCs w:val="18"/>
              </w:rPr>
            </w:pPr>
            <w:r w:rsidRPr="008937A9">
              <w:rPr>
                <w:sz w:val="18"/>
                <w:szCs w:val="18"/>
              </w:rPr>
              <w:t>98.8</w:t>
            </w:r>
          </w:p>
        </w:tc>
        <w:tc>
          <w:tcPr>
            <w:tcW w:w="691" w:type="dxa"/>
            <w:vAlign w:val="bottom"/>
          </w:tcPr>
          <w:p w:rsidR="008937A9" w:rsidRPr="008937A9" w:rsidRDefault="008937A9" w:rsidP="008937A9">
            <w:pPr>
              <w:pStyle w:val="TableBodyText"/>
              <w:rPr>
                <w:sz w:val="18"/>
                <w:szCs w:val="18"/>
              </w:rPr>
            </w:pPr>
            <w:r w:rsidRPr="008937A9">
              <w:rPr>
                <w:sz w:val="18"/>
                <w:szCs w:val="18"/>
              </w:rPr>
              <w:t>93.9</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710" w:type="dxa"/>
            <w:vAlign w:val="bottom"/>
          </w:tcPr>
          <w:p w:rsidR="008937A9" w:rsidRPr="008937A9" w:rsidRDefault="008937A9" w:rsidP="008937A9">
            <w:pPr>
              <w:pStyle w:val="TableBodyText"/>
              <w:rPr>
                <w:sz w:val="18"/>
                <w:szCs w:val="18"/>
              </w:rPr>
            </w:pPr>
            <w:r w:rsidRPr="008937A9">
              <w:rPr>
                <w:sz w:val="18"/>
                <w:szCs w:val="18"/>
              </w:rPr>
              <w:t>..</w:t>
            </w:r>
          </w:p>
        </w:tc>
      </w:tr>
      <w:tr w:rsidR="008937A9" w:rsidRPr="00BF3CA2" w:rsidTr="00B475AD">
        <w:tc>
          <w:tcPr>
            <w:tcW w:w="2552" w:type="dxa"/>
          </w:tcPr>
          <w:p w:rsidR="008937A9" w:rsidRPr="00BF3CA2" w:rsidRDefault="008937A9" w:rsidP="00553C42">
            <w:pPr>
              <w:pStyle w:val="TableBodyText"/>
              <w:jc w:val="left"/>
              <w:rPr>
                <w:i/>
              </w:rPr>
            </w:pPr>
            <w:r w:rsidRPr="00BF3CA2">
              <w:rPr>
                <w:i/>
              </w:rPr>
              <w:t xml:space="preserve"> Total</w:t>
            </w:r>
          </w:p>
        </w:tc>
        <w:tc>
          <w:tcPr>
            <w:tcW w:w="709" w:type="dxa"/>
            <w:vAlign w:val="bottom"/>
          </w:tcPr>
          <w:p w:rsidR="008937A9" w:rsidRPr="008937A9" w:rsidRDefault="008937A9" w:rsidP="008937A9">
            <w:pPr>
              <w:pStyle w:val="TableBodyText"/>
              <w:rPr>
                <w:i/>
                <w:iCs/>
                <w:sz w:val="18"/>
                <w:szCs w:val="18"/>
              </w:rPr>
            </w:pPr>
            <w:r w:rsidRPr="008937A9">
              <w:rPr>
                <w:i/>
                <w:iCs/>
                <w:sz w:val="18"/>
                <w:szCs w:val="18"/>
              </w:rPr>
              <w:t>99.5</w:t>
            </w:r>
          </w:p>
        </w:tc>
        <w:tc>
          <w:tcPr>
            <w:tcW w:w="708" w:type="dxa"/>
            <w:vAlign w:val="bottom"/>
          </w:tcPr>
          <w:p w:rsidR="008937A9" w:rsidRPr="008937A9" w:rsidRDefault="008937A9" w:rsidP="008937A9">
            <w:pPr>
              <w:pStyle w:val="TableBodyText"/>
              <w:rPr>
                <w:i/>
                <w:iCs/>
                <w:sz w:val="18"/>
                <w:szCs w:val="18"/>
              </w:rPr>
            </w:pPr>
            <w:r w:rsidRPr="008937A9">
              <w:rPr>
                <w:i/>
                <w:iCs/>
                <w:sz w:val="18"/>
                <w:szCs w:val="18"/>
              </w:rPr>
              <w:t>93.2</w:t>
            </w:r>
          </w:p>
        </w:tc>
        <w:tc>
          <w:tcPr>
            <w:tcW w:w="656" w:type="dxa"/>
            <w:vAlign w:val="bottom"/>
          </w:tcPr>
          <w:p w:rsidR="008937A9" w:rsidRPr="008937A9" w:rsidRDefault="008937A9" w:rsidP="008937A9">
            <w:pPr>
              <w:pStyle w:val="TableBodyText"/>
              <w:rPr>
                <w:i/>
                <w:iCs/>
                <w:sz w:val="18"/>
                <w:szCs w:val="18"/>
              </w:rPr>
            </w:pPr>
            <w:r w:rsidRPr="008937A9">
              <w:rPr>
                <w:i/>
                <w:iCs/>
                <w:sz w:val="18"/>
                <w:szCs w:val="18"/>
              </w:rPr>
              <w:t>113.0</w:t>
            </w:r>
          </w:p>
        </w:tc>
        <w:tc>
          <w:tcPr>
            <w:tcW w:w="691" w:type="dxa"/>
            <w:vAlign w:val="bottom"/>
          </w:tcPr>
          <w:p w:rsidR="008937A9" w:rsidRPr="008937A9" w:rsidRDefault="008937A9" w:rsidP="008937A9">
            <w:pPr>
              <w:pStyle w:val="TableBodyText"/>
              <w:rPr>
                <w:i/>
                <w:iCs/>
                <w:sz w:val="18"/>
                <w:szCs w:val="18"/>
              </w:rPr>
            </w:pPr>
            <w:r w:rsidRPr="008937A9">
              <w:rPr>
                <w:i/>
                <w:iCs/>
                <w:sz w:val="18"/>
                <w:szCs w:val="18"/>
              </w:rPr>
              <w:t>99.6</w:t>
            </w:r>
          </w:p>
        </w:tc>
        <w:tc>
          <w:tcPr>
            <w:tcW w:w="691" w:type="dxa"/>
            <w:vAlign w:val="bottom"/>
          </w:tcPr>
          <w:p w:rsidR="008937A9" w:rsidRPr="008937A9" w:rsidRDefault="008937A9" w:rsidP="008937A9">
            <w:pPr>
              <w:pStyle w:val="TableBodyText"/>
              <w:rPr>
                <w:i/>
                <w:iCs/>
                <w:sz w:val="18"/>
                <w:szCs w:val="18"/>
              </w:rPr>
            </w:pPr>
            <w:r w:rsidRPr="008937A9">
              <w:rPr>
                <w:i/>
                <w:iCs/>
                <w:sz w:val="18"/>
                <w:szCs w:val="18"/>
              </w:rPr>
              <w:t>94.5</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691" w:type="dxa"/>
            <w:vAlign w:val="bottom"/>
          </w:tcPr>
          <w:p w:rsidR="008937A9" w:rsidRPr="008937A9" w:rsidRDefault="008937A9" w:rsidP="008937A9">
            <w:pPr>
              <w:pStyle w:val="TableBodyText"/>
              <w:rPr>
                <w:sz w:val="18"/>
                <w:szCs w:val="18"/>
              </w:rPr>
            </w:pPr>
            <w:r w:rsidRPr="008937A9">
              <w:rPr>
                <w:sz w:val="18"/>
                <w:szCs w:val="18"/>
              </w:rPr>
              <w:t>..</w:t>
            </w:r>
          </w:p>
        </w:tc>
        <w:tc>
          <w:tcPr>
            <w:tcW w:w="710" w:type="dxa"/>
            <w:vAlign w:val="bottom"/>
          </w:tcPr>
          <w:p w:rsidR="008937A9" w:rsidRPr="008937A9" w:rsidRDefault="008937A9" w:rsidP="008937A9">
            <w:pPr>
              <w:pStyle w:val="TableBodyText"/>
              <w:rPr>
                <w:sz w:val="18"/>
                <w:szCs w:val="18"/>
              </w:rPr>
            </w:pPr>
            <w:r w:rsidRPr="008937A9">
              <w:rPr>
                <w:sz w:val="18"/>
                <w:szCs w:val="18"/>
              </w:rPr>
              <w:t>..</w:t>
            </w:r>
          </w:p>
        </w:tc>
      </w:tr>
      <w:tr w:rsidR="009B1C9E" w:rsidRPr="00BF3CA2" w:rsidTr="00B475AD">
        <w:tc>
          <w:tcPr>
            <w:tcW w:w="2552" w:type="dxa"/>
          </w:tcPr>
          <w:p w:rsidR="009B1C9E" w:rsidRPr="003F4406" w:rsidRDefault="009B1C9E" w:rsidP="00553C42">
            <w:pPr>
              <w:pStyle w:val="TableBodyText"/>
              <w:jc w:val="left"/>
              <w:rPr>
                <w:rStyle w:val="NoteLabel"/>
              </w:rPr>
            </w:pPr>
            <w:r w:rsidRPr="00BF3CA2">
              <w:rPr>
                <w:b/>
              </w:rPr>
              <w:t>Magistrates’</w:t>
            </w:r>
          </w:p>
        </w:tc>
        <w:tc>
          <w:tcPr>
            <w:tcW w:w="709" w:type="dxa"/>
            <w:vAlign w:val="bottom"/>
          </w:tcPr>
          <w:p w:rsidR="009B1C9E" w:rsidRPr="00AC4C27" w:rsidRDefault="009B1C9E" w:rsidP="009B1C9E">
            <w:pPr>
              <w:pStyle w:val="TableBodyText"/>
              <w:rPr>
                <w:sz w:val="18"/>
                <w:szCs w:val="18"/>
              </w:rPr>
            </w:pPr>
          </w:p>
        </w:tc>
        <w:tc>
          <w:tcPr>
            <w:tcW w:w="708" w:type="dxa"/>
            <w:vAlign w:val="bottom"/>
          </w:tcPr>
          <w:p w:rsidR="009B1C9E" w:rsidRPr="00AC4C27" w:rsidRDefault="009B1C9E" w:rsidP="009B1C9E">
            <w:pPr>
              <w:pStyle w:val="TableBodyText"/>
              <w:rPr>
                <w:sz w:val="18"/>
                <w:szCs w:val="18"/>
              </w:rPr>
            </w:pPr>
          </w:p>
        </w:tc>
        <w:tc>
          <w:tcPr>
            <w:tcW w:w="656"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710" w:type="dxa"/>
            <w:vAlign w:val="bottom"/>
          </w:tcPr>
          <w:p w:rsidR="009B1C9E" w:rsidRPr="00AC4C27" w:rsidRDefault="009B1C9E" w:rsidP="009B1C9E">
            <w:pPr>
              <w:pStyle w:val="TableBodyText"/>
              <w:rPr>
                <w:sz w:val="18"/>
                <w:szCs w:val="18"/>
              </w:rPr>
            </w:pPr>
          </w:p>
        </w:tc>
      </w:tr>
      <w:tr w:rsidR="001E0C23" w:rsidRPr="00EF0257" w:rsidTr="00B475AD">
        <w:tc>
          <w:tcPr>
            <w:tcW w:w="2552" w:type="dxa"/>
          </w:tcPr>
          <w:p w:rsidR="001E0C23" w:rsidRPr="00EF0257" w:rsidRDefault="001E0C23" w:rsidP="00553C42">
            <w:pPr>
              <w:pStyle w:val="TableBodyText"/>
              <w:jc w:val="left"/>
            </w:pPr>
            <w:r w:rsidRPr="00EF0257">
              <w:t xml:space="preserve"> Criminal</w:t>
            </w:r>
          </w:p>
        </w:tc>
        <w:tc>
          <w:tcPr>
            <w:tcW w:w="709" w:type="dxa"/>
            <w:vAlign w:val="bottom"/>
          </w:tcPr>
          <w:p w:rsidR="001E0C23" w:rsidRPr="001E0C23" w:rsidRDefault="001E0C23" w:rsidP="001E0C23">
            <w:pPr>
              <w:pStyle w:val="TableBodyText"/>
              <w:rPr>
                <w:sz w:val="18"/>
                <w:szCs w:val="18"/>
              </w:rPr>
            </w:pPr>
            <w:r w:rsidRPr="001E0C23">
              <w:rPr>
                <w:sz w:val="18"/>
                <w:szCs w:val="18"/>
              </w:rPr>
              <w:t>98.4</w:t>
            </w:r>
          </w:p>
        </w:tc>
        <w:tc>
          <w:tcPr>
            <w:tcW w:w="708" w:type="dxa"/>
            <w:vAlign w:val="bottom"/>
          </w:tcPr>
          <w:p w:rsidR="001E0C23" w:rsidRPr="001E0C23" w:rsidRDefault="001E0C23" w:rsidP="001E0C23">
            <w:pPr>
              <w:pStyle w:val="TableBodyText"/>
              <w:rPr>
                <w:sz w:val="18"/>
                <w:szCs w:val="18"/>
              </w:rPr>
            </w:pPr>
            <w:r w:rsidRPr="001E0C23">
              <w:rPr>
                <w:sz w:val="18"/>
                <w:szCs w:val="18"/>
              </w:rPr>
              <w:t>107.5</w:t>
            </w:r>
          </w:p>
        </w:tc>
        <w:tc>
          <w:tcPr>
            <w:tcW w:w="656" w:type="dxa"/>
            <w:vAlign w:val="bottom"/>
          </w:tcPr>
          <w:p w:rsidR="001E0C23" w:rsidRPr="001E0C23" w:rsidRDefault="001E0C23" w:rsidP="001E0C23">
            <w:pPr>
              <w:pStyle w:val="TableBodyText"/>
              <w:rPr>
                <w:sz w:val="18"/>
                <w:szCs w:val="18"/>
              </w:rPr>
            </w:pPr>
            <w:r w:rsidRPr="001E0C23">
              <w:rPr>
                <w:sz w:val="18"/>
                <w:szCs w:val="18"/>
              </w:rPr>
              <w:t>97.5</w:t>
            </w:r>
          </w:p>
        </w:tc>
        <w:tc>
          <w:tcPr>
            <w:tcW w:w="691" w:type="dxa"/>
            <w:vAlign w:val="bottom"/>
          </w:tcPr>
          <w:p w:rsidR="001E0C23" w:rsidRPr="001E0C23" w:rsidRDefault="001E0C23" w:rsidP="001E0C23">
            <w:pPr>
              <w:pStyle w:val="TableBodyText"/>
              <w:rPr>
                <w:sz w:val="18"/>
                <w:szCs w:val="18"/>
              </w:rPr>
            </w:pPr>
            <w:r w:rsidRPr="001E0C23">
              <w:rPr>
                <w:sz w:val="18"/>
                <w:szCs w:val="18"/>
              </w:rPr>
              <w:t>95.6</w:t>
            </w:r>
          </w:p>
        </w:tc>
        <w:tc>
          <w:tcPr>
            <w:tcW w:w="691" w:type="dxa"/>
            <w:vAlign w:val="bottom"/>
          </w:tcPr>
          <w:p w:rsidR="001E0C23" w:rsidRPr="001E0C23" w:rsidRDefault="001E0C23" w:rsidP="001E0C23">
            <w:pPr>
              <w:pStyle w:val="TableBodyText"/>
              <w:rPr>
                <w:sz w:val="18"/>
                <w:szCs w:val="18"/>
              </w:rPr>
            </w:pPr>
            <w:r w:rsidRPr="001E0C23">
              <w:rPr>
                <w:sz w:val="18"/>
                <w:szCs w:val="18"/>
              </w:rPr>
              <w:t>100.8</w:t>
            </w:r>
          </w:p>
        </w:tc>
        <w:tc>
          <w:tcPr>
            <w:tcW w:w="691" w:type="dxa"/>
            <w:vAlign w:val="bottom"/>
          </w:tcPr>
          <w:p w:rsidR="001E0C23" w:rsidRPr="001E0C23" w:rsidRDefault="001E0C23" w:rsidP="001E0C23">
            <w:pPr>
              <w:pStyle w:val="TableBodyText"/>
              <w:rPr>
                <w:sz w:val="18"/>
                <w:szCs w:val="18"/>
              </w:rPr>
            </w:pPr>
            <w:r w:rsidRPr="001E0C23">
              <w:rPr>
                <w:sz w:val="18"/>
                <w:szCs w:val="18"/>
              </w:rPr>
              <w:t>102.1</w:t>
            </w:r>
          </w:p>
        </w:tc>
        <w:tc>
          <w:tcPr>
            <w:tcW w:w="691" w:type="dxa"/>
            <w:vAlign w:val="bottom"/>
          </w:tcPr>
          <w:p w:rsidR="001E0C23" w:rsidRPr="001E0C23" w:rsidRDefault="001E0C23" w:rsidP="001E0C23">
            <w:pPr>
              <w:pStyle w:val="TableBodyText"/>
              <w:rPr>
                <w:sz w:val="18"/>
                <w:szCs w:val="18"/>
              </w:rPr>
            </w:pPr>
            <w:r w:rsidRPr="001E0C23">
              <w:rPr>
                <w:sz w:val="18"/>
                <w:szCs w:val="18"/>
              </w:rPr>
              <w:t>98.8</w:t>
            </w:r>
          </w:p>
        </w:tc>
        <w:tc>
          <w:tcPr>
            <w:tcW w:w="691" w:type="dxa"/>
            <w:vAlign w:val="bottom"/>
          </w:tcPr>
          <w:p w:rsidR="001E0C23" w:rsidRPr="001E0C23" w:rsidRDefault="001E0C23" w:rsidP="001E0C23">
            <w:pPr>
              <w:pStyle w:val="TableBodyText"/>
              <w:rPr>
                <w:sz w:val="18"/>
                <w:szCs w:val="18"/>
              </w:rPr>
            </w:pPr>
            <w:r w:rsidRPr="001E0C23">
              <w:rPr>
                <w:sz w:val="18"/>
                <w:szCs w:val="18"/>
              </w:rPr>
              <w:t>107.1</w:t>
            </w:r>
          </w:p>
        </w:tc>
        <w:tc>
          <w:tcPr>
            <w:tcW w:w="710" w:type="dxa"/>
            <w:vAlign w:val="bottom"/>
          </w:tcPr>
          <w:p w:rsidR="001E0C23" w:rsidRPr="001E0C23" w:rsidRDefault="001E0C23" w:rsidP="001E0C23">
            <w:pPr>
              <w:pStyle w:val="TableBodyText"/>
              <w:rPr>
                <w:sz w:val="18"/>
                <w:szCs w:val="18"/>
              </w:rPr>
            </w:pPr>
            <w:r w:rsidRPr="001E0C23">
              <w:rPr>
                <w:sz w:val="18"/>
                <w:szCs w:val="18"/>
              </w:rPr>
              <w:t>..</w:t>
            </w:r>
          </w:p>
        </w:tc>
      </w:tr>
      <w:tr w:rsidR="001E0C23" w:rsidRPr="00273501" w:rsidTr="00B475AD">
        <w:tc>
          <w:tcPr>
            <w:tcW w:w="2552" w:type="dxa"/>
          </w:tcPr>
          <w:p w:rsidR="001E0C23" w:rsidRPr="00273501" w:rsidRDefault="001E0C23" w:rsidP="00553C42">
            <w:pPr>
              <w:pStyle w:val="TableBodyText"/>
              <w:jc w:val="left"/>
            </w:pPr>
            <w:r w:rsidRPr="00273501">
              <w:t xml:space="preserve"> Civil</w:t>
            </w:r>
          </w:p>
        </w:tc>
        <w:tc>
          <w:tcPr>
            <w:tcW w:w="709" w:type="dxa"/>
            <w:vAlign w:val="bottom"/>
          </w:tcPr>
          <w:p w:rsidR="001E0C23" w:rsidRPr="001E0C23" w:rsidRDefault="001E0C23" w:rsidP="001E0C23">
            <w:pPr>
              <w:pStyle w:val="TableBodyText"/>
              <w:rPr>
                <w:sz w:val="18"/>
                <w:szCs w:val="18"/>
              </w:rPr>
            </w:pPr>
            <w:r w:rsidRPr="001E0C23">
              <w:rPr>
                <w:sz w:val="18"/>
                <w:szCs w:val="18"/>
              </w:rPr>
              <w:t>99.5</w:t>
            </w:r>
          </w:p>
        </w:tc>
        <w:tc>
          <w:tcPr>
            <w:tcW w:w="708" w:type="dxa"/>
            <w:vAlign w:val="bottom"/>
          </w:tcPr>
          <w:p w:rsidR="001E0C23" w:rsidRPr="00FF59B2" w:rsidRDefault="001E0C23" w:rsidP="001E0C23">
            <w:pPr>
              <w:pStyle w:val="TableBodyText"/>
              <w:tabs>
                <w:tab w:val="right" w:pos="8789"/>
              </w:tabs>
              <w:ind w:hanging="737"/>
              <w:rPr>
                <w:sz w:val="18"/>
                <w:szCs w:val="18"/>
              </w:rPr>
            </w:pPr>
            <w:r w:rsidRPr="00FF59B2">
              <w:rPr>
                <w:sz w:val="18"/>
                <w:szCs w:val="18"/>
              </w:rPr>
              <w:t>10</w:t>
            </w:r>
            <w:r w:rsidR="00CA4785" w:rsidRPr="00FF59B2">
              <w:rPr>
                <w:sz w:val="18"/>
                <w:szCs w:val="18"/>
              </w:rPr>
              <w:t>7</w:t>
            </w:r>
            <w:r w:rsidRPr="00FF59B2">
              <w:rPr>
                <w:sz w:val="18"/>
                <w:szCs w:val="18"/>
              </w:rPr>
              <w:t>.</w:t>
            </w:r>
            <w:r w:rsidR="00CA4785" w:rsidRPr="00FF59B2">
              <w:rPr>
                <w:sz w:val="18"/>
                <w:szCs w:val="18"/>
              </w:rPr>
              <w:t>7</w:t>
            </w:r>
          </w:p>
        </w:tc>
        <w:tc>
          <w:tcPr>
            <w:tcW w:w="656" w:type="dxa"/>
            <w:vAlign w:val="bottom"/>
          </w:tcPr>
          <w:p w:rsidR="001E0C23" w:rsidRPr="001E0C23" w:rsidRDefault="001E0C23" w:rsidP="001E0C23">
            <w:pPr>
              <w:pStyle w:val="TableBodyText"/>
              <w:rPr>
                <w:sz w:val="18"/>
                <w:szCs w:val="18"/>
              </w:rPr>
            </w:pPr>
            <w:r w:rsidRPr="001E0C23">
              <w:rPr>
                <w:sz w:val="18"/>
                <w:szCs w:val="18"/>
              </w:rPr>
              <w:t>97.5</w:t>
            </w:r>
          </w:p>
        </w:tc>
        <w:tc>
          <w:tcPr>
            <w:tcW w:w="691" w:type="dxa"/>
            <w:vAlign w:val="bottom"/>
          </w:tcPr>
          <w:p w:rsidR="001E0C23" w:rsidRPr="001E0C23" w:rsidRDefault="001E0C23" w:rsidP="001E0C23">
            <w:pPr>
              <w:pStyle w:val="TableBodyText"/>
              <w:rPr>
                <w:sz w:val="18"/>
                <w:szCs w:val="18"/>
              </w:rPr>
            </w:pPr>
            <w:r w:rsidRPr="001E0C23">
              <w:rPr>
                <w:sz w:val="18"/>
                <w:szCs w:val="18"/>
              </w:rPr>
              <w:t>100.1</w:t>
            </w:r>
          </w:p>
        </w:tc>
        <w:tc>
          <w:tcPr>
            <w:tcW w:w="691" w:type="dxa"/>
            <w:vAlign w:val="bottom"/>
          </w:tcPr>
          <w:p w:rsidR="001E0C23" w:rsidRPr="001E0C23" w:rsidRDefault="001E0C23" w:rsidP="001E0C23">
            <w:pPr>
              <w:pStyle w:val="TableBodyText"/>
              <w:rPr>
                <w:sz w:val="18"/>
                <w:szCs w:val="18"/>
              </w:rPr>
            </w:pPr>
            <w:r w:rsidRPr="001E0C23">
              <w:rPr>
                <w:sz w:val="18"/>
                <w:szCs w:val="18"/>
              </w:rPr>
              <w:t>91.3</w:t>
            </w:r>
          </w:p>
        </w:tc>
        <w:tc>
          <w:tcPr>
            <w:tcW w:w="691" w:type="dxa"/>
            <w:vAlign w:val="bottom"/>
          </w:tcPr>
          <w:p w:rsidR="001E0C23" w:rsidRPr="001E0C23" w:rsidRDefault="001E0C23" w:rsidP="001E0C23">
            <w:pPr>
              <w:pStyle w:val="TableBodyText"/>
              <w:rPr>
                <w:sz w:val="18"/>
                <w:szCs w:val="18"/>
              </w:rPr>
            </w:pPr>
            <w:r w:rsidRPr="001E0C23">
              <w:rPr>
                <w:sz w:val="18"/>
                <w:szCs w:val="18"/>
              </w:rPr>
              <w:t>109.5</w:t>
            </w:r>
          </w:p>
        </w:tc>
        <w:tc>
          <w:tcPr>
            <w:tcW w:w="691" w:type="dxa"/>
            <w:vAlign w:val="bottom"/>
          </w:tcPr>
          <w:p w:rsidR="001E0C23" w:rsidRPr="001E0C23" w:rsidRDefault="001E0C23" w:rsidP="001E0C23">
            <w:pPr>
              <w:pStyle w:val="TableBodyText"/>
              <w:rPr>
                <w:sz w:val="18"/>
                <w:szCs w:val="18"/>
              </w:rPr>
            </w:pPr>
            <w:r w:rsidRPr="001E0C23">
              <w:rPr>
                <w:sz w:val="18"/>
                <w:szCs w:val="18"/>
              </w:rPr>
              <w:t>93.6</w:t>
            </w:r>
          </w:p>
        </w:tc>
        <w:tc>
          <w:tcPr>
            <w:tcW w:w="691" w:type="dxa"/>
            <w:vAlign w:val="bottom"/>
          </w:tcPr>
          <w:p w:rsidR="001E0C23" w:rsidRPr="001E0C23" w:rsidRDefault="001E0C23" w:rsidP="001E0C23">
            <w:pPr>
              <w:pStyle w:val="TableBodyText"/>
              <w:rPr>
                <w:sz w:val="18"/>
                <w:szCs w:val="18"/>
              </w:rPr>
            </w:pPr>
            <w:r w:rsidRPr="001E0C23">
              <w:rPr>
                <w:sz w:val="18"/>
                <w:szCs w:val="18"/>
              </w:rPr>
              <w:t>104.4</w:t>
            </w:r>
          </w:p>
        </w:tc>
        <w:tc>
          <w:tcPr>
            <w:tcW w:w="710" w:type="dxa"/>
            <w:vAlign w:val="bottom"/>
          </w:tcPr>
          <w:p w:rsidR="001E0C23" w:rsidRPr="001E0C23" w:rsidRDefault="001E0C23" w:rsidP="001E0C23">
            <w:pPr>
              <w:pStyle w:val="TableBodyText"/>
              <w:rPr>
                <w:sz w:val="18"/>
                <w:szCs w:val="18"/>
              </w:rPr>
            </w:pPr>
            <w:r w:rsidRPr="001E0C23">
              <w:rPr>
                <w:sz w:val="18"/>
                <w:szCs w:val="18"/>
              </w:rPr>
              <w:t>..</w:t>
            </w:r>
          </w:p>
        </w:tc>
      </w:tr>
      <w:tr w:rsidR="001E0C23" w:rsidRPr="00BF3CA2" w:rsidTr="00B475AD">
        <w:tc>
          <w:tcPr>
            <w:tcW w:w="2552" w:type="dxa"/>
          </w:tcPr>
          <w:p w:rsidR="001E0C23" w:rsidRPr="00BF3CA2" w:rsidRDefault="001E0C23" w:rsidP="00553C42">
            <w:pPr>
              <w:pStyle w:val="TableBodyText"/>
              <w:jc w:val="left"/>
              <w:rPr>
                <w:i/>
              </w:rPr>
            </w:pPr>
            <w:r w:rsidRPr="00BF3CA2">
              <w:rPr>
                <w:i/>
              </w:rPr>
              <w:t xml:space="preserve"> Total</w:t>
            </w:r>
          </w:p>
        </w:tc>
        <w:tc>
          <w:tcPr>
            <w:tcW w:w="709" w:type="dxa"/>
            <w:vAlign w:val="bottom"/>
          </w:tcPr>
          <w:p w:rsidR="001E0C23" w:rsidRPr="001E0C23" w:rsidRDefault="001E0C23" w:rsidP="001E0C23">
            <w:pPr>
              <w:pStyle w:val="TableBodyText"/>
              <w:rPr>
                <w:i/>
                <w:iCs/>
                <w:sz w:val="18"/>
                <w:szCs w:val="18"/>
              </w:rPr>
            </w:pPr>
            <w:r w:rsidRPr="001E0C23">
              <w:rPr>
                <w:i/>
                <w:iCs/>
                <w:sz w:val="18"/>
                <w:szCs w:val="18"/>
              </w:rPr>
              <w:t>98.9</w:t>
            </w:r>
          </w:p>
        </w:tc>
        <w:tc>
          <w:tcPr>
            <w:tcW w:w="708" w:type="dxa"/>
            <w:vAlign w:val="bottom"/>
          </w:tcPr>
          <w:p w:rsidR="001E0C23" w:rsidRPr="00FF59B2" w:rsidRDefault="001E0C23" w:rsidP="001E0C23">
            <w:pPr>
              <w:pStyle w:val="TableBodyText"/>
              <w:tabs>
                <w:tab w:val="right" w:pos="8789"/>
              </w:tabs>
              <w:ind w:hanging="737"/>
              <w:rPr>
                <w:i/>
                <w:iCs/>
                <w:sz w:val="18"/>
                <w:szCs w:val="18"/>
              </w:rPr>
            </w:pPr>
            <w:r w:rsidRPr="00FF59B2">
              <w:rPr>
                <w:i/>
                <w:iCs/>
                <w:sz w:val="18"/>
                <w:szCs w:val="18"/>
              </w:rPr>
              <w:t>107.</w:t>
            </w:r>
            <w:r w:rsidR="00CA4785" w:rsidRPr="00FF59B2">
              <w:rPr>
                <w:i/>
                <w:iCs/>
                <w:sz w:val="18"/>
                <w:szCs w:val="18"/>
              </w:rPr>
              <w:t>6</w:t>
            </w:r>
          </w:p>
        </w:tc>
        <w:tc>
          <w:tcPr>
            <w:tcW w:w="656" w:type="dxa"/>
            <w:vAlign w:val="bottom"/>
          </w:tcPr>
          <w:p w:rsidR="001E0C23" w:rsidRPr="001E0C23" w:rsidRDefault="001E0C23" w:rsidP="001E0C23">
            <w:pPr>
              <w:pStyle w:val="TableBodyText"/>
              <w:rPr>
                <w:i/>
                <w:iCs/>
                <w:sz w:val="18"/>
                <w:szCs w:val="18"/>
              </w:rPr>
            </w:pPr>
            <w:r w:rsidRPr="001E0C23">
              <w:rPr>
                <w:i/>
                <w:iCs/>
                <w:sz w:val="18"/>
                <w:szCs w:val="18"/>
              </w:rPr>
              <w:t>97.5</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97.3</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97.5</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104.5</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96.6</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106.3</w:t>
            </w:r>
          </w:p>
        </w:tc>
        <w:tc>
          <w:tcPr>
            <w:tcW w:w="710" w:type="dxa"/>
            <w:vAlign w:val="bottom"/>
          </w:tcPr>
          <w:p w:rsidR="001E0C23" w:rsidRPr="001E0C23" w:rsidRDefault="001E0C23" w:rsidP="001E0C23">
            <w:pPr>
              <w:pStyle w:val="TableBodyText"/>
              <w:rPr>
                <w:i/>
                <w:iCs/>
                <w:sz w:val="18"/>
                <w:szCs w:val="18"/>
              </w:rPr>
            </w:pPr>
            <w:r w:rsidRPr="001E0C23">
              <w:rPr>
                <w:i/>
                <w:iCs/>
                <w:sz w:val="18"/>
                <w:szCs w:val="18"/>
              </w:rPr>
              <w:t>..</w:t>
            </w:r>
          </w:p>
        </w:tc>
      </w:tr>
      <w:tr w:rsidR="009B1C9E" w:rsidRPr="00BF3CA2" w:rsidTr="00B475AD">
        <w:tc>
          <w:tcPr>
            <w:tcW w:w="2552" w:type="dxa"/>
          </w:tcPr>
          <w:p w:rsidR="009B1C9E" w:rsidRPr="003F4406" w:rsidRDefault="009B1C9E" w:rsidP="00553C42">
            <w:pPr>
              <w:pStyle w:val="TableBodyText"/>
              <w:jc w:val="left"/>
              <w:rPr>
                <w:rStyle w:val="NoteLabel"/>
              </w:rPr>
            </w:pPr>
            <w:r w:rsidRPr="00BF3CA2">
              <w:rPr>
                <w:b/>
              </w:rPr>
              <w:t>Children’s</w:t>
            </w:r>
            <w:r w:rsidR="00CD1CAF">
              <w:t xml:space="preserve"> </w:t>
            </w:r>
            <w:r w:rsidR="00453B3B">
              <w:rPr>
                <w:rStyle w:val="NoteLabel"/>
              </w:rPr>
              <w:t>c</w:t>
            </w:r>
            <w:r w:rsidR="00CD1CAF">
              <w:rPr>
                <w:rStyle w:val="NoteLabel"/>
              </w:rPr>
              <w:t>,</w:t>
            </w:r>
            <w:r w:rsidR="00174472">
              <w:rPr>
                <w:rStyle w:val="NoteLabel"/>
              </w:rPr>
              <w:t xml:space="preserve"> </w:t>
            </w:r>
            <w:r w:rsidR="00453B3B">
              <w:rPr>
                <w:rStyle w:val="NoteLabel"/>
              </w:rPr>
              <w:t>d</w:t>
            </w:r>
          </w:p>
        </w:tc>
        <w:tc>
          <w:tcPr>
            <w:tcW w:w="709" w:type="dxa"/>
            <w:vAlign w:val="bottom"/>
          </w:tcPr>
          <w:p w:rsidR="009B1C9E" w:rsidRPr="00AC4C27" w:rsidRDefault="009B1C9E" w:rsidP="009B1C9E">
            <w:pPr>
              <w:pStyle w:val="TableBodyText"/>
              <w:rPr>
                <w:sz w:val="18"/>
                <w:szCs w:val="18"/>
              </w:rPr>
            </w:pPr>
          </w:p>
        </w:tc>
        <w:tc>
          <w:tcPr>
            <w:tcW w:w="708" w:type="dxa"/>
            <w:vAlign w:val="bottom"/>
          </w:tcPr>
          <w:p w:rsidR="009B1C9E" w:rsidRPr="00AC4C27" w:rsidRDefault="009B1C9E" w:rsidP="009B1C9E">
            <w:pPr>
              <w:pStyle w:val="TableBodyText"/>
              <w:rPr>
                <w:sz w:val="18"/>
                <w:szCs w:val="18"/>
              </w:rPr>
            </w:pPr>
          </w:p>
        </w:tc>
        <w:tc>
          <w:tcPr>
            <w:tcW w:w="656"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691" w:type="dxa"/>
            <w:vAlign w:val="bottom"/>
          </w:tcPr>
          <w:p w:rsidR="009B1C9E" w:rsidRPr="00AC4C27" w:rsidRDefault="009B1C9E" w:rsidP="009B1C9E">
            <w:pPr>
              <w:pStyle w:val="TableBodyText"/>
              <w:rPr>
                <w:sz w:val="18"/>
                <w:szCs w:val="18"/>
              </w:rPr>
            </w:pPr>
          </w:p>
        </w:tc>
        <w:tc>
          <w:tcPr>
            <w:tcW w:w="710" w:type="dxa"/>
            <w:vAlign w:val="bottom"/>
          </w:tcPr>
          <w:p w:rsidR="009B1C9E" w:rsidRPr="00AC4C27" w:rsidRDefault="009B1C9E" w:rsidP="009B1C9E">
            <w:pPr>
              <w:pStyle w:val="TableBodyText"/>
              <w:rPr>
                <w:sz w:val="18"/>
                <w:szCs w:val="18"/>
              </w:rPr>
            </w:pPr>
          </w:p>
        </w:tc>
      </w:tr>
      <w:tr w:rsidR="001E0C23" w:rsidRPr="00EF0257" w:rsidTr="00B475AD">
        <w:tc>
          <w:tcPr>
            <w:tcW w:w="2552" w:type="dxa"/>
          </w:tcPr>
          <w:p w:rsidR="001E0C23" w:rsidRPr="00EF0257" w:rsidRDefault="001E0C23" w:rsidP="00553C42">
            <w:pPr>
              <w:pStyle w:val="TableBodyText"/>
              <w:jc w:val="left"/>
            </w:pPr>
            <w:r w:rsidRPr="00EF0257">
              <w:t xml:space="preserve"> Criminal</w:t>
            </w:r>
          </w:p>
        </w:tc>
        <w:tc>
          <w:tcPr>
            <w:tcW w:w="709" w:type="dxa"/>
            <w:vAlign w:val="bottom"/>
          </w:tcPr>
          <w:p w:rsidR="001E0C23" w:rsidRPr="001E0C23" w:rsidRDefault="001E0C23" w:rsidP="001E0C23">
            <w:pPr>
              <w:pStyle w:val="TableBodyText"/>
              <w:rPr>
                <w:sz w:val="18"/>
                <w:szCs w:val="18"/>
              </w:rPr>
            </w:pPr>
            <w:r w:rsidRPr="001E0C23">
              <w:rPr>
                <w:sz w:val="18"/>
                <w:szCs w:val="18"/>
              </w:rPr>
              <w:t>99.6</w:t>
            </w:r>
          </w:p>
        </w:tc>
        <w:tc>
          <w:tcPr>
            <w:tcW w:w="708" w:type="dxa"/>
            <w:vAlign w:val="bottom"/>
          </w:tcPr>
          <w:p w:rsidR="001E0C23" w:rsidRPr="001E0C23" w:rsidRDefault="001E0C23" w:rsidP="001E0C23">
            <w:pPr>
              <w:pStyle w:val="TableBodyText"/>
              <w:rPr>
                <w:sz w:val="18"/>
                <w:szCs w:val="18"/>
              </w:rPr>
            </w:pPr>
            <w:r w:rsidRPr="001E0C23">
              <w:rPr>
                <w:sz w:val="18"/>
                <w:szCs w:val="18"/>
              </w:rPr>
              <w:t>105.5</w:t>
            </w:r>
          </w:p>
        </w:tc>
        <w:tc>
          <w:tcPr>
            <w:tcW w:w="656" w:type="dxa"/>
            <w:vAlign w:val="bottom"/>
          </w:tcPr>
          <w:p w:rsidR="001E0C23" w:rsidRPr="001E0C23" w:rsidRDefault="001E0C23" w:rsidP="001E0C23">
            <w:pPr>
              <w:pStyle w:val="TableBodyText"/>
              <w:rPr>
                <w:sz w:val="18"/>
                <w:szCs w:val="18"/>
              </w:rPr>
            </w:pPr>
            <w:r w:rsidRPr="001E0C23">
              <w:rPr>
                <w:sz w:val="18"/>
                <w:szCs w:val="18"/>
              </w:rPr>
              <w:t>106.9</w:t>
            </w:r>
          </w:p>
        </w:tc>
        <w:tc>
          <w:tcPr>
            <w:tcW w:w="691" w:type="dxa"/>
            <w:vAlign w:val="bottom"/>
          </w:tcPr>
          <w:p w:rsidR="001E0C23" w:rsidRPr="001E0C23" w:rsidRDefault="001E0C23" w:rsidP="001E0C23">
            <w:pPr>
              <w:pStyle w:val="TableBodyText"/>
              <w:rPr>
                <w:sz w:val="18"/>
                <w:szCs w:val="18"/>
              </w:rPr>
            </w:pPr>
            <w:r w:rsidRPr="001E0C23">
              <w:rPr>
                <w:sz w:val="18"/>
                <w:szCs w:val="18"/>
              </w:rPr>
              <w:t>98.5</w:t>
            </w:r>
          </w:p>
        </w:tc>
        <w:tc>
          <w:tcPr>
            <w:tcW w:w="691" w:type="dxa"/>
            <w:vAlign w:val="bottom"/>
          </w:tcPr>
          <w:p w:rsidR="001E0C23" w:rsidRPr="001E0C23" w:rsidRDefault="001E0C23" w:rsidP="001E0C23">
            <w:pPr>
              <w:pStyle w:val="TableBodyText"/>
              <w:rPr>
                <w:sz w:val="18"/>
                <w:szCs w:val="18"/>
              </w:rPr>
            </w:pPr>
            <w:r w:rsidRPr="001E0C23">
              <w:rPr>
                <w:sz w:val="18"/>
                <w:szCs w:val="18"/>
              </w:rPr>
              <w:t>100.8</w:t>
            </w:r>
          </w:p>
        </w:tc>
        <w:tc>
          <w:tcPr>
            <w:tcW w:w="691" w:type="dxa"/>
            <w:vAlign w:val="bottom"/>
          </w:tcPr>
          <w:p w:rsidR="001E0C23" w:rsidRPr="001E0C23" w:rsidRDefault="001E0C23" w:rsidP="001E0C23">
            <w:pPr>
              <w:pStyle w:val="TableBodyText"/>
              <w:rPr>
                <w:sz w:val="18"/>
                <w:szCs w:val="18"/>
              </w:rPr>
            </w:pPr>
            <w:r w:rsidRPr="001E0C23">
              <w:rPr>
                <w:sz w:val="18"/>
                <w:szCs w:val="18"/>
              </w:rPr>
              <w:t>105.7</w:t>
            </w:r>
          </w:p>
        </w:tc>
        <w:tc>
          <w:tcPr>
            <w:tcW w:w="691" w:type="dxa"/>
            <w:vAlign w:val="bottom"/>
          </w:tcPr>
          <w:p w:rsidR="001E0C23" w:rsidRPr="001E0C23" w:rsidRDefault="001E0C23" w:rsidP="001E0C23">
            <w:pPr>
              <w:pStyle w:val="TableBodyText"/>
              <w:rPr>
                <w:sz w:val="18"/>
                <w:szCs w:val="18"/>
              </w:rPr>
            </w:pPr>
            <w:r w:rsidRPr="001E0C23">
              <w:rPr>
                <w:sz w:val="18"/>
                <w:szCs w:val="18"/>
              </w:rPr>
              <w:t>114.5</w:t>
            </w:r>
          </w:p>
        </w:tc>
        <w:tc>
          <w:tcPr>
            <w:tcW w:w="691" w:type="dxa"/>
            <w:vAlign w:val="bottom"/>
          </w:tcPr>
          <w:p w:rsidR="001E0C23" w:rsidRPr="001E0C23" w:rsidRDefault="001E0C23" w:rsidP="001E0C23">
            <w:pPr>
              <w:pStyle w:val="TableBodyText"/>
              <w:rPr>
                <w:sz w:val="18"/>
                <w:szCs w:val="18"/>
              </w:rPr>
            </w:pPr>
            <w:r w:rsidRPr="001E0C23">
              <w:rPr>
                <w:sz w:val="18"/>
                <w:szCs w:val="18"/>
              </w:rPr>
              <w:t>104.3</w:t>
            </w:r>
          </w:p>
        </w:tc>
        <w:tc>
          <w:tcPr>
            <w:tcW w:w="710" w:type="dxa"/>
            <w:vAlign w:val="bottom"/>
          </w:tcPr>
          <w:p w:rsidR="001E0C23" w:rsidRPr="001E0C23" w:rsidRDefault="001E0C23" w:rsidP="001E0C23">
            <w:pPr>
              <w:pStyle w:val="TableBodyText"/>
              <w:rPr>
                <w:i/>
                <w:iCs/>
                <w:sz w:val="18"/>
                <w:szCs w:val="18"/>
              </w:rPr>
            </w:pPr>
            <w:r w:rsidRPr="001E0C23">
              <w:rPr>
                <w:i/>
                <w:iCs/>
                <w:sz w:val="18"/>
                <w:szCs w:val="18"/>
              </w:rPr>
              <w:t>..</w:t>
            </w:r>
          </w:p>
        </w:tc>
      </w:tr>
      <w:tr w:rsidR="001E0C23" w:rsidRPr="00273501" w:rsidTr="00B475AD">
        <w:tc>
          <w:tcPr>
            <w:tcW w:w="2552" w:type="dxa"/>
          </w:tcPr>
          <w:p w:rsidR="001E0C23" w:rsidRPr="00273501" w:rsidRDefault="001E0C23" w:rsidP="00553C42">
            <w:pPr>
              <w:pStyle w:val="TableBodyText"/>
              <w:jc w:val="left"/>
            </w:pPr>
            <w:r w:rsidRPr="00273501">
              <w:t xml:space="preserve"> Civil</w:t>
            </w:r>
          </w:p>
        </w:tc>
        <w:tc>
          <w:tcPr>
            <w:tcW w:w="709" w:type="dxa"/>
            <w:vAlign w:val="bottom"/>
          </w:tcPr>
          <w:p w:rsidR="001E0C23" w:rsidRPr="001E0C23" w:rsidRDefault="001E0C23" w:rsidP="001E0C23">
            <w:pPr>
              <w:pStyle w:val="TableBodyText"/>
              <w:rPr>
                <w:sz w:val="18"/>
                <w:szCs w:val="18"/>
              </w:rPr>
            </w:pPr>
            <w:r w:rsidRPr="001E0C23">
              <w:rPr>
                <w:sz w:val="18"/>
                <w:szCs w:val="18"/>
              </w:rPr>
              <w:t>100.4</w:t>
            </w:r>
          </w:p>
        </w:tc>
        <w:tc>
          <w:tcPr>
            <w:tcW w:w="708" w:type="dxa"/>
            <w:vAlign w:val="bottom"/>
          </w:tcPr>
          <w:p w:rsidR="001E0C23" w:rsidRPr="001E0C23" w:rsidRDefault="001E0C23" w:rsidP="001E0C23">
            <w:pPr>
              <w:pStyle w:val="TableBodyText"/>
              <w:rPr>
                <w:sz w:val="18"/>
                <w:szCs w:val="18"/>
              </w:rPr>
            </w:pPr>
            <w:r w:rsidRPr="001E0C23">
              <w:rPr>
                <w:sz w:val="18"/>
                <w:szCs w:val="18"/>
              </w:rPr>
              <w:t>98.2</w:t>
            </w:r>
          </w:p>
        </w:tc>
        <w:tc>
          <w:tcPr>
            <w:tcW w:w="656" w:type="dxa"/>
            <w:vAlign w:val="bottom"/>
          </w:tcPr>
          <w:p w:rsidR="001E0C23" w:rsidRPr="001E0C23" w:rsidRDefault="001E0C23" w:rsidP="001E0C23">
            <w:pPr>
              <w:pStyle w:val="TableBodyText"/>
              <w:rPr>
                <w:sz w:val="18"/>
                <w:szCs w:val="18"/>
              </w:rPr>
            </w:pPr>
            <w:r w:rsidRPr="001E0C23">
              <w:rPr>
                <w:sz w:val="18"/>
                <w:szCs w:val="18"/>
              </w:rPr>
              <w:t>99.2</w:t>
            </w:r>
          </w:p>
        </w:tc>
        <w:tc>
          <w:tcPr>
            <w:tcW w:w="691" w:type="dxa"/>
            <w:vAlign w:val="bottom"/>
          </w:tcPr>
          <w:p w:rsidR="001E0C23" w:rsidRPr="001E0C23" w:rsidRDefault="001E0C23" w:rsidP="001E0C23">
            <w:pPr>
              <w:pStyle w:val="TableBodyText"/>
              <w:rPr>
                <w:sz w:val="18"/>
                <w:szCs w:val="18"/>
              </w:rPr>
            </w:pPr>
            <w:r w:rsidRPr="001E0C23">
              <w:rPr>
                <w:sz w:val="18"/>
                <w:szCs w:val="18"/>
              </w:rPr>
              <w:t>90.2</w:t>
            </w:r>
          </w:p>
        </w:tc>
        <w:tc>
          <w:tcPr>
            <w:tcW w:w="691" w:type="dxa"/>
            <w:vAlign w:val="bottom"/>
          </w:tcPr>
          <w:p w:rsidR="001E0C23" w:rsidRPr="001E0C23" w:rsidRDefault="001E0C23" w:rsidP="001E0C23">
            <w:pPr>
              <w:pStyle w:val="TableBodyText"/>
              <w:rPr>
                <w:sz w:val="18"/>
                <w:szCs w:val="18"/>
              </w:rPr>
            </w:pPr>
            <w:r w:rsidRPr="001E0C23">
              <w:rPr>
                <w:sz w:val="18"/>
                <w:szCs w:val="18"/>
              </w:rPr>
              <w:t>102.0</w:t>
            </w:r>
          </w:p>
        </w:tc>
        <w:tc>
          <w:tcPr>
            <w:tcW w:w="691" w:type="dxa"/>
            <w:vAlign w:val="bottom"/>
          </w:tcPr>
          <w:p w:rsidR="001E0C23" w:rsidRPr="001E0C23" w:rsidRDefault="001E0C23" w:rsidP="001E0C23">
            <w:pPr>
              <w:pStyle w:val="TableBodyText"/>
              <w:rPr>
                <w:sz w:val="18"/>
                <w:szCs w:val="18"/>
              </w:rPr>
            </w:pPr>
            <w:r w:rsidRPr="001E0C23">
              <w:rPr>
                <w:sz w:val="18"/>
                <w:szCs w:val="18"/>
              </w:rPr>
              <w:t>112.7</w:t>
            </w:r>
          </w:p>
        </w:tc>
        <w:tc>
          <w:tcPr>
            <w:tcW w:w="691" w:type="dxa"/>
            <w:vAlign w:val="bottom"/>
          </w:tcPr>
          <w:p w:rsidR="001E0C23" w:rsidRPr="001E0C23" w:rsidRDefault="001E0C23" w:rsidP="001E0C23">
            <w:pPr>
              <w:pStyle w:val="TableBodyText"/>
              <w:rPr>
                <w:sz w:val="18"/>
                <w:szCs w:val="18"/>
              </w:rPr>
            </w:pPr>
            <w:r w:rsidRPr="001E0C23">
              <w:rPr>
                <w:sz w:val="18"/>
                <w:szCs w:val="18"/>
              </w:rPr>
              <w:t>112.3</w:t>
            </w:r>
          </w:p>
        </w:tc>
        <w:tc>
          <w:tcPr>
            <w:tcW w:w="691" w:type="dxa"/>
            <w:vAlign w:val="bottom"/>
          </w:tcPr>
          <w:p w:rsidR="001E0C23" w:rsidRPr="001E0C23" w:rsidRDefault="001E0C23" w:rsidP="001E0C23">
            <w:pPr>
              <w:pStyle w:val="TableBodyText"/>
              <w:rPr>
                <w:sz w:val="18"/>
                <w:szCs w:val="18"/>
              </w:rPr>
            </w:pPr>
            <w:r w:rsidRPr="001E0C23">
              <w:rPr>
                <w:sz w:val="18"/>
                <w:szCs w:val="18"/>
              </w:rPr>
              <w:t>103.4</w:t>
            </w:r>
          </w:p>
        </w:tc>
        <w:tc>
          <w:tcPr>
            <w:tcW w:w="710" w:type="dxa"/>
            <w:vAlign w:val="bottom"/>
          </w:tcPr>
          <w:p w:rsidR="001E0C23" w:rsidRPr="001E0C23" w:rsidRDefault="001E0C23" w:rsidP="001E0C23">
            <w:pPr>
              <w:pStyle w:val="TableBodyText"/>
              <w:rPr>
                <w:sz w:val="18"/>
                <w:szCs w:val="18"/>
              </w:rPr>
            </w:pPr>
            <w:r w:rsidRPr="001E0C23">
              <w:rPr>
                <w:sz w:val="18"/>
                <w:szCs w:val="18"/>
              </w:rPr>
              <w:t>..</w:t>
            </w:r>
          </w:p>
        </w:tc>
      </w:tr>
      <w:tr w:rsidR="001E0C23" w:rsidRPr="00534379" w:rsidTr="00B475AD">
        <w:tc>
          <w:tcPr>
            <w:tcW w:w="2552" w:type="dxa"/>
          </w:tcPr>
          <w:p w:rsidR="001E0C23" w:rsidRPr="00534379" w:rsidRDefault="001E0C23" w:rsidP="00553C42">
            <w:pPr>
              <w:pStyle w:val="TableBodyText"/>
              <w:jc w:val="left"/>
              <w:rPr>
                <w:i/>
              </w:rPr>
            </w:pPr>
            <w:r w:rsidRPr="00534379">
              <w:rPr>
                <w:i/>
              </w:rPr>
              <w:t xml:space="preserve"> Total</w:t>
            </w:r>
          </w:p>
        </w:tc>
        <w:tc>
          <w:tcPr>
            <w:tcW w:w="709" w:type="dxa"/>
            <w:vAlign w:val="bottom"/>
          </w:tcPr>
          <w:p w:rsidR="001E0C23" w:rsidRPr="001E0C23" w:rsidRDefault="001E0C23" w:rsidP="001E0C23">
            <w:pPr>
              <w:pStyle w:val="TableBodyText"/>
              <w:rPr>
                <w:i/>
                <w:iCs/>
                <w:sz w:val="18"/>
                <w:szCs w:val="18"/>
              </w:rPr>
            </w:pPr>
            <w:r w:rsidRPr="001E0C23">
              <w:rPr>
                <w:i/>
                <w:iCs/>
                <w:sz w:val="18"/>
                <w:szCs w:val="18"/>
              </w:rPr>
              <w:t>99.9</w:t>
            </w:r>
          </w:p>
        </w:tc>
        <w:tc>
          <w:tcPr>
            <w:tcW w:w="708" w:type="dxa"/>
            <w:vAlign w:val="bottom"/>
          </w:tcPr>
          <w:p w:rsidR="001E0C23" w:rsidRPr="001E0C23" w:rsidRDefault="001E0C23" w:rsidP="001E0C23">
            <w:pPr>
              <w:pStyle w:val="TableBodyText"/>
              <w:rPr>
                <w:i/>
                <w:iCs/>
                <w:sz w:val="18"/>
                <w:szCs w:val="18"/>
              </w:rPr>
            </w:pPr>
            <w:r w:rsidRPr="001E0C23">
              <w:rPr>
                <w:i/>
                <w:iCs/>
                <w:sz w:val="18"/>
                <w:szCs w:val="18"/>
              </w:rPr>
              <w:t>103.8</w:t>
            </w:r>
          </w:p>
        </w:tc>
        <w:tc>
          <w:tcPr>
            <w:tcW w:w="656" w:type="dxa"/>
            <w:vAlign w:val="bottom"/>
          </w:tcPr>
          <w:p w:rsidR="001E0C23" w:rsidRPr="001E0C23" w:rsidRDefault="001E0C23" w:rsidP="001E0C23">
            <w:pPr>
              <w:pStyle w:val="TableBodyText"/>
              <w:rPr>
                <w:i/>
                <w:iCs/>
                <w:sz w:val="18"/>
                <w:szCs w:val="18"/>
              </w:rPr>
            </w:pPr>
            <w:r w:rsidRPr="001E0C23">
              <w:rPr>
                <w:i/>
                <w:iCs/>
                <w:sz w:val="18"/>
                <w:szCs w:val="18"/>
              </w:rPr>
              <w:t>104.9</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96.0</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101.1</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107.2</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114.0</w:t>
            </w:r>
          </w:p>
        </w:tc>
        <w:tc>
          <w:tcPr>
            <w:tcW w:w="691" w:type="dxa"/>
            <w:vAlign w:val="bottom"/>
          </w:tcPr>
          <w:p w:rsidR="001E0C23" w:rsidRPr="001E0C23" w:rsidRDefault="001E0C23" w:rsidP="001E0C23">
            <w:pPr>
              <w:pStyle w:val="TableBodyText"/>
              <w:rPr>
                <w:i/>
                <w:iCs/>
                <w:sz w:val="18"/>
                <w:szCs w:val="18"/>
              </w:rPr>
            </w:pPr>
            <w:r w:rsidRPr="001E0C23">
              <w:rPr>
                <w:i/>
                <w:iCs/>
                <w:sz w:val="18"/>
                <w:szCs w:val="18"/>
              </w:rPr>
              <w:t>104.2</w:t>
            </w:r>
          </w:p>
        </w:tc>
        <w:tc>
          <w:tcPr>
            <w:tcW w:w="710" w:type="dxa"/>
            <w:vAlign w:val="bottom"/>
          </w:tcPr>
          <w:p w:rsidR="001E0C23" w:rsidRPr="001E0C23" w:rsidRDefault="001E0C23" w:rsidP="001E0C23">
            <w:pPr>
              <w:pStyle w:val="TableBodyText"/>
              <w:rPr>
                <w:sz w:val="18"/>
                <w:szCs w:val="18"/>
              </w:rPr>
            </w:pPr>
            <w:r w:rsidRPr="001E0C23">
              <w:rPr>
                <w:sz w:val="18"/>
                <w:szCs w:val="18"/>
              </w:rPr>
              <w:t>..</w:t>
            </w:r>
          </w:p>
        </w:tc>
      </w:tr>
      <w:tr w:rsidR="00FF59B2" w:rsidRPr="00EF0257" w:rsidTr="00486F01">
        <w:tc>
          <w:tcPr>
            <w:tcW w:w="2552" w:type="dxa"/>
          </w:tcPr>
          <w:p w:rsidR="00FF59B2" w:rsidRPr="00EF0257" w:rsidRDefault="00FF59B2" w:rsidP="00553C42">
            <w:pPr>
              <w:pStyle w:val="TableBodyText"/>
              <w:jc w:val="left"/>
              <w:rPr>
                <w:b/>
              </w:rPr>
            </w:pPr>
            <w:r w:rsidRPr="00EF0257">
              <w:rPr>
                <w:b/>
              </w:rPr>
              <w:t>Family</w:t>
            </w:r>
          </w:p>
        </w:tc>
        <w:tc>
          <w:tcPr>
            <w:tcW w:w="709" w:type="dxa"/>
          </w:tcPr>
          <w:p w:rsidR="00FF59B2" w:rsidRDefault="00FF59B2" w:rsidP="00FF59B2">
            <w:pPr>
              <w:jc w:val="right"/>
            </w:pPr>
            <w:r w:rsidRPr="009A4BC2">
              <w:rPr>
                <w:i/>
                <w:iCs/>
                <w:sz w:val="18"/>
                <w:szCs w:val="18"/>
              </w:rPr>
              <w:t>..</w:t>
            </w:r>
          </w:p>
        </w:tc>
        <w:tc>
          <w:tcPr>
            <w:tcW w:w="708" w:type="dxa"/>
          </w:tcPr>
          <w:p w:rsidR="00FF59B2" w:rsidRDefault="00FF59B2" w:rsidP="00FF59B2">
            <w:pPr>
              <w:jc w:val="right"/>
            </w:pPr>
            <w:r w:rsidRPr="009A4BC2">
              <w:rPr>
                <w:i/>
                <w:iCs/>
                <w:sz w:val="18"/>
                <w:szCs w:val="18"/>
              </w:rPr>
              <w:t>..</w:t>
            </w:r>
          </w:p>
        </w:tc>
        <w:tc>
          <w:tcPr>
            <w:tcW w:w="656" w:type="dxa"/>
          </w:tcPr>
          <w:p w:rsidR="00FF59B2" w:rsidRDefault="00FF59B2" w:rsidP="00FF59B2">
            <w:pPr>
              <w:jc w:val="right"/>
            </w:pPr>
            <w:r w:rsidRPr="009A4BC2">
              <w:rPr>
                <w:i/>
                <w:iCs/>
                <w:sz w:val="18"/>
                <w:szCs w:val="18"/>
              </w:rPr>
              <w:t>..</w:t>
            </w:r>
          </w:p>
        </w:tc>
        <w:tc>
          <w:tcPr>
            <w:tcW w:w="691" w:type="dxa"/>
            <w:vAlign w:val="bottom"/>
          </w:tcPr>
          <w:p w:rsidR="00FF59B2" w:rsidRPr="00DD5537" w:rsidRDefault="00FF59B2" w:rsidP="00DD5537">
            <w:pPr>
              <w:pStyle w:val="TableBodyText"/>
              <w:rPr>
                <w:i/>
                <w:sz w:val="18"/>
                <w:szCs w:val="18"/>
              </w:rPr>
            </w:pPr>
            <w:r w:rsidRPr="00DD5537">
              <w:rPr>
                <w:i/>
                <w:sz w:val="18"/>
                <w:szCs w:val="18"/>
              </w:rPr>
              <w:t>104.4</w:t>
            </w:r>
          </w:p>
        </w:tc>
        <w:tc>
          <w:tcPr>
            <w:tcW w:w="691" w:type="dxa"/>
          </w:tcPr>
          <w:p w:rsidR="00FF59B2" w:rsidRDefault="00FF59B2" w:rsidP="00FF59B2">
            <w:pPr>
              <w:jc w:val="right"/>
            </w:pPr>
            <w:r w:rsidRPr="001A5867">
              <w:rPr>
                <w:i/>
                <w:iCs/>
                <w:sz w:val="18"/>
                <w:szCs w:val="18"/>
              </w:rPr>
              <w:t>..</w:t>
            </w:r>
          </w:p>
        </w:tc>
        <w:tc>
          <w:tcPr>
            <w:tcW w:w="691" w:type="dxa"/>
          </w:tcPr>
          <w:p w:rsidR="00FF59B2" w:rsidRDefault="00FF59B2" w:rsidP="00FF59B2">
            <w:pPr>
              <w:jc w:val="right"/>
            </w:pPr>
            <w:r w:rsidRPr="001A5867">
              <w:rPr>
                <w:i/>
                <w:iCs/>
                <w:sz w:val="18"/>
                <w:szCs w:val="18"/>
              </w:rPr>
              <w:t>..</w:t>
            </w:r>
          </w:p>
        </w:tc>
        <w:tc>
          <w:tcPr>
            <w:tcW w:w="691" w:type="dxa"/>
          </w:tcPr>
          <w:p w:rsidR="00FF59B2" w:rsidRDefault="00FF59B2" w:rsidP="00FF59B2">
            <w:pPr>
              <w:jc w:val="right"/>
            </w:pPr>
            <w:r w:rsidRPr="001A5867">
              <w:rPr>
                <w:i/>
                <w:iCs/>
                <w:sz w:val="18"/>
                <w:szCs w:val="18"/>
              </w:rPr>
              <w:t>..</w:t>
            </w:r>
          </w:p>
        </w:tc>
        <w:tc>
          <w:tcPr>
            <w:tcW w:w="691" w:type="dxa"/>
          </w:tcPr>
          <w:p w:rsidR="00FF59B2" w:rsidRDefault="00FF59B2" w:rsidP="00FF59B2">
            <w:pPr>
              <w:jc w:val="right"/>
            </w:pPr>
            <w:r w:rsidRPr="001A5867">
              <w:rPr>
                <w:i/>
                <w:iCs/>
                <w:sz w:val="18"/>
                <w:szCs w:val="18"/>
              </w:rPr>
              <w:t>..</w:t>
            </w:r>
          </w:p>
        </w:tc>
        <w:tc>
          <w:tcPr>
            <w:tcW w:w="710" w:type="dxa"/>
            <w:vAlign w:val="bottom"/>
          </w:tcPr>
          <w:p w:rsidR="00FF59B2" w:rsidRPr="00DD5537" w:rsidRDefault="00FF59B2" w:rsidP="00DD5537">
            <w:pPr>
              <w:jc w:val="right"/>
              <w:rPr>
                <w:rFonts w:ascii="Arial" w:hAnsi="Arial" w:cs="Arial"/>
                <w:i/>
                <w:sz w:val="18"/>
                <w:szCs w:val="18"/>
              </w:rPr>
            </w:pPr>
            <w:r w:rsidRPr="00DD5537">
              <w:rPr>
                <w:rFonts w:ascii="Arial" w:hAnsi="Arial" w:cs="Arial"/>
                <w:i/>
                <w:sz w:val="18"/>
                <w:szCs w:val="18"/>
              </w:rPr>
              <w:t>101.2</w:t>
            </w:r>
          </w:p>
        </w:tc>
      </w:tr>
      <w:tr w:rsidR="00FF59B2" w:rsidRPr="00EF0257" w:rsidTr="00486F01">
        <w:tc>
          <w:tcPr>
            <w:tcW w:w="2552" w:type="dxa"/>
          </w:tcPr>
          <w:p w:rsidR="00FF59B2" w:rsidRPr="00EF0257" w:rsidRDefault="00FF59B2" w:rsidP="00553C42">
            <w:pPr>
              <w:pStyle w:val="TableBodyText"/>
              <w:jc w:val="left"/>
              <w:rPr>
                <w:b/>
              </w:rPr>
            </w:pPr>
            <w:r>
              <w:rPr>
                <w:b/>
              </w:rPr>
              <w:t>Federal Circuit</w:t>
            </w:r>
            <w:r w:rsidRPr="00EF0257">
              <w:rPr>
                <w:b/>
              </w:rPr>
              <w:t xml:space="preserve"> </w:t>
            </w:r>
          </w:p>
        </w:tc>
        <w:tc>
          <w:tcPr>
            <w:tcW w:w="709" w:type="dxa"/>
          </w:tcPr>
          <w:p w:rsidR="00FF59B2" w:rsidRDefault="00FF59B2" w:rsidP="00FF59B2">
            <w:pPr>
              <w:jc w:val="right"/>
            </w:pPr>
            <w:r w:rsidRPr="009A4BC2">
              <w:rPr>
                <w:i/>
                <w:iCs/>
                <w:sz w:val="18"/>
                <w:szCs w:val="18"/>
              </w:rPr>
              <w:t>..</w:t>
            </w:r>
          </w:p>
        </w:tc>
        <w:tc>
          <w:tcPr>
            <w:tcW w:w="708" w:type="dxa"/>
          </w:tcPr>
          <w:p w:rsidR="00FF59B2" w:rsidRDefault="00FF59B2" w:rsidP="00FF59B2">
            <w:pPr>
              <w:jc w:val="right"/>
            </w:pPr>
            <w:r w:rsidRPr="009A4BC2">
              <w:rPr>
                <w:i/>
                <w:iCs/>
                <w:sz w:val="18"/>
                <w:szCs w:val="18"/>
              </w:rPr>
              <w:t>..</w:t>
            </w:r>
          </w:p>
        </w:tc>
        <w:tc>
          <w:tcPr>
            <w:tcW w:w="656" w:type="dxa"/>
          </w:tcPr>
          <w:p w:rsidR="00FF59B2" w:rsidRDefault="00FF59B2" w:rsidP="00FF59B2">
            <w:pPr>
              <w:jc w:val="right"/>
            </w:pPr>
            <w:r w:rsidRPr="009A4BC2">
              <w:rPr>
                <w:i/>
                <w:iCs/>
                <w:sz w:val="18"/>
                <w:szCs w:val="18"/>
              </w:rPr>
              <w:t>..</w:t>
            </w:r>
          </w:p>
        </w:tc>
        <w:tc>
          <w:tcPr>
            <w:tcW w:w="691" w:type="dxa"/>
            <w:vAlign w:val="bottom"/>
          </w:tcPr>
          <w:p w:rsidR="00FF59B2" w:rsidRPr="008127AE" w:rsidRDefault="00FF59B2" w:rsidP="008127AE">
            <w:pPr>
              <w:pStyle w:val="TableBodyText"/>
              <w:rPr>
                <w:sz w:val="18"/>
              </w:rPr>
            </w:pPr>
            <w:r w:rsidRPr="001E0C23">
              <w:rPr>
                <w:i/>
                <w:iCs/>
                <w:sz w:val="18"/>
                <w:szCs w:val="18"/>
              </w:rPr>
              <w:t>..</w:t>
            </w:r>
          </w:p>
        </w:tc>
        <w:tc>
          <w:tcPr>
            <w:tcW w:w="691" w:type="dxa"/>
          </w:tcPr>
          <w:p w:rsidR="00FF59B2" w:rsidRDefault="00FF59B2" w:rsidP="00FF59B2">
            <w:pPr>
              <w:jc w:val="right"/>
            </w:pPr>
            <w:r w:rsidRPr="001A5867">
              <w:rPr>
                <w:i/>
                <w:iCs/>
                <w:sz w:val="18"/>
                <w:szCs w:val="18"/>
              </w:rPr>
              <w:t>..</w:t>
            </w:r>
          </w:p>
        </w:tc>
        <w:tc>
          <w:tcPr>
            <w:tcW w:w="691" w:type="dxa"/>
          </w:tcPr>
          <w:p w:rsidR="00FF59B2" w:rsidRDefault="00FF59B2" w:rsidP="00FF59B2">
            <w:pPr>
              <w:jc w:val="right"/>
            </w:pPr>
            <w:r w:rsidRPr="001A5867">
              <w:rPr>
                <w:i/>
                <w:iCs/>
                <w:sz w:val="18"/>
                <w:szCs w:val="18"/>
              </w:rPr>
              <w:t>..</w:t>
            </w:r>
          </w:p>
        </w:tc>
        <w:tc>
          <w:tcPr>
            <w:tcW w:w="691" w:type="dxa"/>
          </w:tcPr>
          <w:p w:rsidR="00FF59B2" w:rsidRDefault="00FF59B2" w:rsidP="00FF59B2">
            <w:pPr>
              <w:jc w:val="right"/>
            </w:pPr>
            <w:r w:rsidRPr="001A5867">
              <w:rPr>
                <w:i/>
                <w:iCs/>
                <w:sz w:val="18"/>
                <w:szCs w:val="18"/>
              </w:rPr>
              <w:t>..</w:t>
            </w:r>
          </w:p>
        </w:tc>
        <w:tc>
          <w:tcPr>
            <w:tcW w:w="691" w:type="dxa"/>
          </w:tcPr>
          <w:p w:rsidR="00FF59B2" w:rsidRDefault="00FF59B2" w:rsidP="00FF59B2">
            <w:pPr>
              <w:jc w:val="right"/>
            </w:pPr>
            <w:r w:rsidRPr="001A5867">
              <w:rPr>
                <w:i/>
                <w:iCs/>
                <w:sz w:val="18"/>
                <w:szCs w:val="18"/>
              </w:rPr>
              <w:t>..</w:t>
            </w:r>
          </w:p>
        </w:tc>
        <w:tc>
          <w:tcPr>
            <w:tcW w:w="710" w:type="dxa"/>
            <w:vAlign w:val="bottom"/>
          </w:tcPr>
          <w:p w:rsidR="00FF59B2" w:rsidRPr="00DD5537" w:rsidRDefault="00FF59B2" w:rsidP="00DD5537">
            <w:pPr>
              <w:jc w:val="right"/>
              <w:rPr>
                <w:rFonts w:ascii="Arial" w:hAnsi="Arial" w:cs="Arial"/>
                <w:i/>
                <w:sz w:val="18"/>
                <w:szCs w:val="18"/>
              </w:rPr>
            </w:pPr>
            <w:r w:rsidRPr="00DD5537">
              <w:rPr>
                <w:rFonts w:ascii="Arial" w:hAnsi="Arial" w:cs="Arial"/>
                <w:i/>
                <w:sz w:val="18"/>
                <w:szCs w:val="18"/>
              </w:rPr>
              <w:t>101.1</w:t>
            </w:r>
          </w:p>
        </w:tc>
      </w:tr>
      <w:tr w:rsidR="00B46677" w:rsidRPr="00EF0257" w:rsidTr="00B475AD">
        <w:tc>
          <w:tcPr>
            <w:tcW w:w="2552" w:type="dxa"/>
            <w:tcBorders>
              <w:bottom w:val="single" w:sz="4" w:space="0" w:color="auto"/>
            </w:tcBorders>
          </w:tcPr>
          <w:p w:rsidR="00B46677" w:rsidRPr="00EF0257" w:rsidRDefault="00B46677" w:rsidP="00553C42">
            <w:pPr>
              <w:pStyle w:val="TableBodyText"/>
              <w:jc w:val="left"/>
              <w:rPr>
                <w:b/>
              </w:rPr>
            </w:pPr>
            <w:r w:rsidRPr="00EF0257">
              <w:rPr>
                <w:b/>
              </w:rPr>
              <w:t>Coroners’ courts</w:t>
            </w:r>
          </w:p>
        </w:tc>
        <w:tc>
          <w:tcPr>
            <w:tcW w:w="709"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110.9</w:t>
            </w:r>
          </w:p>
        </w:tc>
        <w:tc>
          <w:tcPr>
            <w:tcW w:w="708"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93.3</w:t>
            </w:r>
          </w:p>
        </w:tc>
        <w:tc>
          <w:tcPr>
            <w:tcW w:w="656"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105.0</w:t>
            </w:r>
          </w:p>
        </w:tc>
        <w:tc>
          <w:tcPr>
            <w:tcW w:w="691"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102.9</w:t>
            </w:r>
          </w:p>
        </w:tc>
        <w:tc>
          <w:tcPr>
            <w:tcW w:w="691"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84.2</w:t>
            </w:r>
          </w:p>
        </w:tc>
        <w:tc>
          <w:tcPr>
            <w:tcW w:w="691"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81.1</w:t>
            </w:r>
          </w:p>
        </w:tc>
        <w:tc>
          <w:tcPr>
            <w:tcW w:w="691" w:type="dxa"/>
            <w:tcBorders>
              <w:bottom w:val="single" w:sz="4" w:space="0" w:color="auto"/>
            </w:tcBorders>
            <w:vAlign w:val="bottom"/>
          </w:tcPr>
          <w:p w:rsidR="00B46677" w:rsidRPr="00B46677" w:rsidRDefault="00B46677" w:rsidP="00B46677">
            <w:pPr>
              <w:pStyle w:val="TableBodyText"/>
              <w:rPr>
                <w:i/>
                <w:sz w:val="18"/>
                <w:szCs w:val="18"/>
              </w:rPr>
            </w:pPr>
            <w:r w:rsidRPr="00B46677">
              <w:rPr>
                <w:i/>
                <w:sz w:val="18"/>
                <w:szCs w:val="18"/>
              </w:rPr>
              <w:t>104.0</w:t>
            </w:r>
          </w:p>
        </w:tc>
        <w:tc>
          <w:tcPr>
            <w:tcW w:w="691" w:type="dxa"/>
            <w:tcBorders>
              <w:bottom w:val="single" w:sz="6" w:space="0" w:color="auto"/>
            </w:tcBorders>
            <w:vAlign w:val="bottom"/>
          </w:tcPr>
          <w:p w:rsidR="00B46677" w:rsidRPr="00B46677" w:rsidRDefault="00B46677" w:rsidP="00B46677">
            <w:pPr>
              <w:pStyle w:val="TableBodyText"/>
              <w:rPr>
                <w:i/>
                <w:sz w:val="18"/>
                <w:szCs w:val="18"/>
              </w:rPr>
            </w:pPr>
            <w:r w:rsidRPr="00B46677">
              <w:rPr>
                <w:i/>
                <w:sz w:val="18"/>
                <w:szCs w:val="18"/>
              </w:rPr>
              <w:t>99.7</w:t>
            </w:r>
          </w:p>
        </w:tc>
        <w:tc>
          <w:tcPr>
            <w:tcW w:w="710" w:type="dxa"/>
            <w:tcBorders>
              <w:bottom w:val="single" w:sz="4" w:space="0" w:color="auto"/>
            </w:tcBorders>
            <w:vAlign w:val="bottom"/>
          </w:tcPr>
          <w:p w:rsidR="00B46677" w:rsidRPr="00B46677" w:rsidRDefault="00B46677" w:rsidP="00B46677">
            <w:pPr>
              <w:pStyle w:val="TableBodyText"/>
              <w:rPr>
                <w:sz w:val="18"/>
                <w:szCs w:val="18"/>
              </w:rPr>
            </w:pPr>
            <w:r w:rsidRPr="00B46677">
              <w:rPr>
                <w:sz w:val="18"/>
                <w:szCs w:val="18"/>
              </w:rPr>
              <w:t>..</w:t>
            </w:r>
          </w:p>
        </w:tc>
      </w:tr>
    </w:tbl>
    <w:p w:rsidR="00553C42" w:rsidRPr="0074069E" w:rsidRDefault="002379AD" w:rsidP="0095456D">
      <w:pPr>
        <w:pStyle w:val="Note"/>
      </w:pPr>
      <w:r w:rsidRPr="007C1F92">
        <w:rPr>
          <w:rStyle w:val="NoteLabel"/>
        </w:rPr>
        <w:t>a</w:t>
      </w:r>
      <w:r>
        <w:rPr>
          <w:rStyle w:val="NoteLabel"/>
        </w:rPr>
        <w:t> </w:t>
      </w:r>
      <w:r w:rsidR="00831BBC">
        <w:t>Cl</w:t>
      </w:r>
      <w:r>
        <w:t xml:space="preserve">earance </w:t>
      </w:r>
      <w:r w:rsidR="00CD185B">
        <w:t>indicator results</w:t>
      </w:r>
      <w:r w:rsidR="00831BBC">
        <w:t xml:space="preserve"> are</w:t>
      </w:r>
      <w:r>
        <w:t xml:space="preserve"> derived from finalisation and </w:t>
      </w:r>
      <w:proofErr w:type="spellStart"/>
      <w:r>
        <w:t>lodgmen</w:t>
      </w:r>
      <w:r w:rsidR="00744E2B">
        <w:t>t</w:t>
      </w:r>
      <w:proofErr w:type="spellEnd"/>
      <w:r w:rsidR="00744E2B">
        <w:t xml:space="preserve"> data presented in tables </w:t>
      </w:r>
      <w:proofErr w:type="spellStart"/>
      <w:r w:rsidR="00744E2B">
        <w:t>7A.1</w:t>
      </w:r>
      <w:proofErr w:type="spellEnd"/>
      <w:r w:rsidR="00227BFA">
        <w:t xml:space="preserve">, </w:t>
      </w:r>
      <w:proofErr w:type="spellStart"/>
      <w:r w:rsidR="00227BFA">
        <w:t>7A.3</w:t>
      </w:r>
      <w:proofErr w:type="spellEnd"/>
      <w:r w:rsidR="00587B29">
        <w:t>,</w:t>
      </w:r>
      <w:r>
        <w:t xml:space="preserve">  </w:t>
      </w:r>
      <w:proofErr w:type="spellStart"/>
      <w:r>
        <w:t>7A.</w:t>
      </w:r>
      <w:r w:rsidR="00587B29">
        <w:t>6</w:t>
      </w:r>
      <w:proofErr w:type="spellEnd"/>
      <w:r w:rsidR="00587B29">
        <w:t xml:space="preserve"> and </w:t>
      </w:r>
      <w:proofErr w:type="spellStart"/>
      <w:r w:rsidR="00587B29">
        <w:t>7A.8</w:t>
      </w:r>
      <w:proofErr w:type="spellEnd"/>
      <w:r w:rsidR="009E6C58" w:rsidRPr="00186666">
        <w:t xml:space="preserve">. </w:t>
      </w:r>
      <w:r w:rsidR="009E6C58" w:rsidRPr="00186666">
        <w:rPr>
          <w:rStyle w:val="NoteLabel"/>
        </w:rPr>
        <w:t>b </w:t>
      </w:r>
      <w:r w:rsidR="00B83072" w:rsidRPr="00186666">
        <w:t>Supreme court</w:t>
      </w:r>
      <w:r w:rsidR="00831BBC" w:rsidRPr="00186666">
        <w:t>s</w:t>
      </w:r>
      <w:r w:rsidR="00B83072" w:rsidRPr="00186666">
        <w:t xml:space="preserve"> data exclude</w:t>
      </w:r>
      <w:r w:rsidR="0074069E" w:rsidRPr="00186666">
        <w:t xml:space="preserve"> probate matters.</w:t>
      </w:r>
      <w:r w:rsidR="00174472" w:rsidRPr="00186666">
        <w:t xml:space="preserve"> </w:t>
      </w:r>
      <w:r w:rsidR="004202AD" w:rsidRPr="00186666">
        <w:rPr>
          <w:rStyle w:val="NoteLabel"/>
        </w:rPr>
        <w:t>c</w:t>
      </w:r>
      <w:r w:rsidR="00350605" w:rsidRPr="00186666">
        <w:rPr>
          <w:rStyle w:val="NoteLabel"/>
        </w:rPr>
        <w:t> </w:t>
      </w:r>
      <w:r w:rsidR="00350605" w:rsidRPr="00186666">
        <w:t xml:space="preserve">NSW </w:t>
      </w:r>
      <w:proofErr w:type="spellStart"/>
      <w:r w:rsidR="00350605" w:rsidRPr="00186666">
        <w:t>lodgment</w:t>
      </w:r>
      <w:proofErr w:type="spellEnd"/>
      <w:r w:rsidR="00350605">
        <w:t xml:space="preserve"> data for children in the civil court </w:t>
      </w:r>
      <w:r w:rsidR="00831BBC">
        <w:t>are</w:t>
      </w:r>
      <w:r w:rsidR="00350605">
        <w:t xml:space="preserve"> based on a count of</w:t>
      </w:r>
      <w:r w:rsidR="00350605" w:rsidRPr="005301DD">
        <w:t xml:space="preserve"> </w:t>
      </w:r>
      <w:r w:rsidR="00350605">
        <w:t xml:space="preserve">each child listed in all new </w:t>
      </w:r>
      <w:r w:rsidR="00350605" w:rsidRPr="005301DD">
        <w:t>applications for care and protection</w:t>
      </w:r>
      <w:r w:rsidR="00350605">
        <w:t>, not just the originating application.</w:t>
      </w:r>
      <w:r w:rsidR="00744E2B">
        <w:t xml:space="preserve"> </w:t>
      </w:r>
      <w:r w:rsidR="004202AD">
        <w:rPr>
          <w:rStyle w:val="NoteLabel"/>
        </w:rPr>
        <w:t>d</w:t>
      </w:r>
      <w:r w:rsidR="003C04C7">
        <w:t> </w:t>
      </w:r>
      <w:r w:rsidR="00831BBC">
        <w:t>Queensland c</w:t>
      </w:r>
      <w:r w:rsidR="00CE64AE" w:rsidRPr="00CE64AE">
        <w:t>hildren</w:t>
      </w:r>
      <w:r w:rsidR="00CE64AE">
        <w:t>’</w:t>
      </w:r>
      <w:r w:rsidR="00831BBC">
        <w:t>s courts data for civil cases are</w:t>
      </w:r>
      <w:r w:rsidR="00CE64AE" w:rsidRPr="00CE64AE">
        <w:t xml:space="preserve"> based on a count of cases, not the number of children involved in the care and protection case.</w:t>
      </w:r>
      <w:r w:rsidR="00163233">
        <w:t xml:space="preserve"> </w:t>
      </w:r>
      <w:r w:rsidR="00E92ADD">
        <w:rPr>
          <w:b/>
        </w:rPr>
        <w:t>.. </w:t>
      </w:r>
      <w:r w:rsidR="00E92ADD" w:rsidRPr="00E92ADD">
        <w:t>Not</w:t>
      </w:r>
      <w:r w:rsidR="00E92ADD">
        <w:t> applicable</w:t>
      </w:r>
      <w:r w:rsidR="0074069E" w:rsidRPr="0074069E">
        <w:t>.</w:t>
      </w:r>
    </w:p>
    <w:p w:rsidR="00553C42" w:rsidRDefault="00553C42" w:rsidP="00553C42">
      <w:pPr>
        <w:pStyle w:val="Source"/>
      </w:pPr>
      <w:r>
        <w:rPr>
          <w:i/>
        </w:rPr>
        <w:t>Source</w:t>
      </w:r>
      <w:r>
        <w:t xml:space="preserve">: </w:t>
      </w:r>
      <w:r w:rsidR="00B61C2A">
        <w:t>Australian, State and Territory court authorities and departments (unpublished); tables </w:t>
      </w:r>
      <w:proofErr w:type="spellStart"/>
      <w:r w:rsidR="00842231">
        <w:t>7A</w:t>
      </w:r>
      <w:r w:rsidR="007756B3">
        <w:t>.</w:t>
      </w:r>
      <w:r w:rsidR="00744E2B">
        <w:t>1</w:t>
      </w:r>
      <w:proofErr w:type="spellEnd"/>
      <w:r w:rsidR="008E4E0B">
        <w:t xml:space="preserve">, </w:t>
      </w:r>
      <w:proofErr w:type="spellStart"/>
      <w:r w:rsidR="008E4E0B">
        <w:t>7A.3</w:t>
      </w:r>
      <w:proofErr w:type="spellEnd"/>
      <w:r w:rsidR="008E4E0B">
        <w:t xml:space="preserve">, </w:t>
      </w:r>
      <w:proofErr w:type="spellStart"/>
      <w:r w:rsidR="008E4E0B">
        <w:t>7A.6</w:t>
      </w:r>
      <w:proofErr w:type="spellEnd"/>
      <w:r w:rsidR="008E4E0B">
        <w:t xml:space="preserve">, </w:t>
      </w:r>
      <w:proofErr w:type="spellStart"/>
      <w:r w:rsidR="008E4E0B">
        <w:t>7A.8</w:t>
      </w:r>
      <w:proofErr w:type="spellEnd"/>
      <w:r w:rsidR="008E4E0B">
        <w:t xml:space="preserve">, </w:t>
      </w:r>
      <w:proofErr w:type="spellStart"/>
      <w:r w:rsidR="008E4E0B">
        <w:t>7A.24</w:t>
      </w:r>
      <w:proofErr w:type="spellEnd"/>
      <w:r w:rsidR="008E4E0B">
        <w:t xml:space="preserve"> and </w:t>
      </w:r>
      <w:proofErr w:type="spellStart"/>
      <w:r w:rsidR="008E4E0B">
        <w:t>7A.26</w:t>
      </w:r>
      <w:proofErr w:type="spellEnd"/>
      <w:r w:rsidR="008E4E0B">
        <w:t>.</w:t>
      </w:r>
    </w:p>
    <w:p w:rsidR="00054625" w:rsidRDefault="00054625" w:rsidP="00054625">
      <w:pPr>
        <w:pStyle w:val="Heading5"/>
      </w:pPr>
      <w:r>
        <w:t>Homicide</w:t>
      </w:r>
      <w:r w:rsidR="001F6FE7">
        <w:t xml:space="preserve"> and related offences</w:t>
      </w:r>
    </w:p>
    <w:p w:rsidR="001B3935" w:rsidRPr="00AD4587" w:rsidRDefault="00054625" w:rsidP="00186666">
      <w:pPr>
        <w:pStyle w:val="BodyText"/>
      </w:pPr>
      <w:r>
        <w:t>Table 7</w:t>
      </w:r>
      <w:r w:rsidRPr="0074069E">
        <w:t>.1</w:t>
      </w:r>
      <w:r>
        <w:t>9 presents</w:t>
      </w:r>
      <w:r w:rsidR="00926F26">
        <w:t xml:space="preserve"> </w:t>
      </w:r>
      <w:r>
        <w:t xml:space="preserve"> data for</w:t>
      </w:r>
      <w:r w:rsidRPr="0074069E">
        <w:t xml:space="preserve"> </w:t>
      </w:r>
      <w:r w:rsidR="00BB47D8">
        <w:t>backlog, attendance and clearance</w:t>
      </w:r>
      <w:r>
        <w:t xml:space="preserve"> indicator results</w:t>
      </w:r>
      <w:r w:rsidRPr="0074069E">
        <w:t xml:space="preserve"> for </w:t>
      </w:r>
      <w:r>
        <w:t>homicide</w:t>
      </w:r>
      <w:r w:rsidR="00095F3A">
        <w:t xml:space="preserve"> and related</w:t>
      </w:r>
      <w:r>
        <w:t xml:space="preserve"> matters processed by the Supreme, District, Magistrates a</w:t>
      </w:r>
      <w:r w:rsidR="00AA49D4">
        <w:t>nd Children’s courts during 2012</w:t>
      </w:r>
      <w:r w:rsidR="00205BCF">
        <w:noBreakHyphen/>
      </w:r>
      <w:r w:rsidR="00AA49D4">
        <w:t>13</w:t>
      </w:r>
      <w:r>
        <w:t>.</w:t>
      </w:r>
      <w:r w:rsidR="001B3935">
        <w:t xml:space="preserve"> A </w:t>
      </w:r>
      <w:proofErr w:type="spellStart"/>
      <w:r w:rsidR="001B3935">
        <w:t>lodgment</w:t>
      </w:r>
      <w:proofErr w:type="spellEnd"/>
      <w:r w:rsidR="001B3935">
        <w:t xml:space="preserve"> </w:t>
      </w:r>
      <w:r w:rsidR="00902E2B">
        <w:t xml:space="preserve">for homicide </w:t>
      </w:r>
      <w:r w:rsidR="001B3935">
        <w:t>is counted in the following table where any</w:t>
      </w:r>
      <w:r w:rsidR="00726D16">
        <w:t xml:space="preserve"> criminal</w:t>
      </w:r>
      <w:r w:rsidR="001B3935">
        <w:t xml:space="preserve"> </w:t>
      </w:r>
      <w:r w:rsidR="00AB6801">
        <w:t>matter initiated, commenced, lodged or filed</w:t>
      </w:r>
      <w:r w:rsidR="001B3935">
        <w:t xml:space="preserve"> in a particular</w:t>
      </w:r>
      <w:r w:rsidR="00726D16">
        <w:t xml:space="preserve"> </w:t>
      </w:r>
      <w:r w:rsidR="001B3935">
        <w:t>court level includes a charge of murder, attempted murder, manslaughter or driving causing death</w:t>
      </w:r>
      <w:r w:rsidR="001B3935" w:rsidRPr="00AD4587">
        <w:t>.</w:t>
      </w:r>
      <w:r w:rsidR="00FF3D43" w:rsidRPr="00AD4587">
        <w:t xml:space="preserve"> </w:t>
      </w:r>
      <w:r w:rsidR="00D32B76" w:rsidRPr="00AD4587">
        <w:t>A defendant may have multiple charges of this type on the same file.</w:t>
      </w:r>
    </w:p>
    <w:p w:rsidR="007C5D42" w:rsidRPr="00AD4587" w:rsidRDefault="003D4EB9" w:rsidP="00186666">
      <w:pPr>
        <w:pStyle w:val="BodyText"/>
        <w:keepNext/>
      </w:pPr>
      <w:r w:rsidRPr="00AD4587">
        <w:lastRenderedPageBreak/>
        <w:t>It is important to note:</w:t>
      </w:r>
    </w:p>
    <w:p w:rsidR="00D32B76" w:rsidRPr="00AD4587" w:rsidRDefault="00D32B76" w:rsidP="00186666">
      <w:pPr>
        <w:pStyle w:val="ListBullet"/>
      </w:pPr>
      <w:proofErr w:type="spellStart"/>
      <w:r w:rsidRPr="00AD4587">
        <w:t>lodgments</w:t>
      </w:r>
      <w:proofErr w:type="spellEnd"/>
      <w:r w:rsidRPr="00AD4587">
        <w:t xml:space="preserve"> are based on defendant count, not the number of homicide charges brought before the court</w:t>
      </w:r>
    </w:p>
    <w:p w:rsidR="00500AF4" w:rsidRPr="00AD4587" w:rsidRDefault="00500AF4" w:rsidP="00186666">
      <w:pPr>
        <w:pStyle w:val="ListBullet"/>
      </w:pPr>
      <w:proofErr w:type="spellStart"/>
      <w:r w:rsidRPr="00AD4587">
        <w:t>lodgments</w:t>
      </w:r>
      <w:proofErr w:type="spellEnd"/>
      <w:r w:rsidRPr="00AD4587">
        <w:t xml:space="preserve"> are counted independently at each court level — </w:t>
      </w:r>
      <w:r w:rsidR="00CF7A01" w:rsidRPr="00AD4587">
        <w:t xml:space="preserve">for example, </w:t>
      </w:r>
      <w:r w:rsidRPr="00AD4587">
        <w:t xml:space="preserve">if a homicide-related </w:t>
      </w:r>
      <w:proofErr w:type="spellStart"/>
      <w:r w:rsidRPr="00AD4587">
        <w:t>lodgment</w:t>
      </w:r>
      <w:proofErr w:type="spellEnd"/>
      <w:r w:rsidRPr="00AD4587">
        <w:t xml:space="preserve"> in </w:t>
      </w:r>
      <w:r w:rsidR="00CF7A01" w:rsidRPr="00AD4587">
        <w:t>a</w:t>
      </w:r>
      <w:r w:rsidRPr="00AD4587">
        <w:t xml:space="preserve"> court is </w:t>
      </w:r>
      <w:r w:rsidR="00CF7A01" w:rsidRPr="00AD4587">
        <w:t>transferred to another court level</w:t>
      </w:r>
      <w:r w:rsidRPr="00AD4587">
        <w:t xml:space="preserve"> it will be counted </w:t>
      </w:r>
      <w:r w:rsidR="00CF7A01" w:rsidRPr="00AD4587">
        <w:t>at each court level</w:t>
      </w:r>
      <w:r w:rsidR="000456C5" w:rsidRPr="00AD4587">
        <w:t>. This is because the objective is to quantify court workload for each court level and assess relevant</w:t>
      </w:r>
      <w:r w:rsidR="003D4EB9" w:rsidRPr="00AD4587">
        <w:t xml:space="preserve"> indicators at each court level</w:t>
      </w:r>
    </w:p>
    <w:p w:rsidR="00083390" w:rsidRPr="00AD4587" w:rsidRDefault="00083390" w:rsidP="00186666">
      <w:pPr>
        <w:pStyle w:val="ListBullet"/>
      </w:pPr>
      <w:r w:rsidRPr="00AD4587">
        <w:t>the charge</w:t>
      </w:r>
      <w:r w:rsidR="00E54063" w:rsidRPr="00AD4587">
        <w:t>(s)</w:t>
      </w:r>
      <w:r w:rsidRPr="00AD4587">
        <w:t xml:space="preserve"> against a defendant may change once a matter has been lodged in the courts and proceeds through the court process</w:t>
      </w:r>
    </w:p>
    <w:p w:rsidR="00083390" w:rsidRPr="00AD4587" w:rsidRDefault="00083390" w:rsidP="00186666">
      <w:pPr>
        <w:pStyle w:val="ListBullet"/>
      </w:pPr>
      <w:r w:rsidRPr="00AD4587">
        <w:t xml:space="preserve">the </w:t>
      </w:r>
      <w:proofErr w:type="spellStart"/>
      <w:r w:rsidRPr="00AD4587">
        <w:t>lodgments</w:t>
      </w:r>
      <w:proofErr w:type="spellEnd"/>
      <w:r w:rsidRPr="00AD4587">
        <w:t xml:space="preserve"> </w:t>
      </w:r>
      <w:r w:rsidR="003D4EB9" w:rsidRPr="00AD4587">
        <w:t>in t</w:t>
      </w:r>
      <w:r w:rsidRPr="00AD4587">
        <w:t xml:space="preserve">able 7.19 do not reflect </w:t>
      </w:r>
      <w:r w:rsidR="00CA6318" w:rsidRPr="00AD4587">
        <w:t>whether a defendant has been found guilty or not</w:t>
      </w:r>
    </w:p>
    <w:p w:rsidR="00500AF4" w:rsidRPr="00AD4587" w:rsidRDefault="00E54063" w:rsidP="00186666">
      <w:pPr>
        <w:pStyle w:val="ListBullet"/>
      </w:pPr>
      <w:r w:rsidRPr="00FE3767">
        <w:t xml:space="preserve">homicide-related </w:t>
      </w:r>
      <w:proofErr w:type="spellStart"/>
      <w:r w:rsidRPr="00FE3767">
        <w:t>lodgments</w:t>
      </w:r>
      <w:proofErr w:type="spellEnd"/>
      <w:r w:rsidRPr="00FE3767">
        <w:t xml:space="preserve"> in table 7.19 differ from the ABS Criminal Courts data due to different counting rules. This report presents data from a </w:t>
      </w:r>
      <w:proofErr w:type="spellStart"/>
      <w:r w:rsidRPr="00FE3767">
        <w:t>lodgments</w:t>
      </w:r>
      <w:proofErr w:type="spellEnd"/>
      <w:r w:rsidRPr="00FE3767">
        <w:t xml:space="preserve"> perspective </w:t>
      </w:r>
      <w:r w:rsidRPr="00AD4587">
        <w:t>—</w:t>
      </w:r>
      <w:r w:rsidRPr="00FE3767">
        <w:t xml:space="preserve"> based upon a defendant being charged with one or more homicide offences at the time of entering each court level. The ABS publication presents data fr</w:t>
      </w:r>
      <w:r w:rsidR="008C3040" w:rsidRPr="00AD4587">
        <w:t>om a finalisations perspective —</w:t>
      </w:r>
      <w:r w:rsidRPr="00FE3767">
        <w:t xml:space="preserve"> based upon the 'principal offence' being a homicide offence at the time that</w:t>
      </w:r>
      <w:r w:rsidR="008C3040" w:rsidRPr="00AD4587">
        <w:t xml:space="preserve"> a</w:t>
      </w:r>
      <w:r w:rsidRPr="00FE3767">
        <w:t xml:space="preserve"> defendant is sentenced, acquitted or otherwise finalised in the criminal court system. As a defendant may have been charged with more than one offence, the ABS selects the principal offence based on how the offences were finalised and/or the rankings in the National Offence Index 2009</w:t>
      </w:r>
    </w:p>
    <w:p w:rsidR="00A13B01" w:rsidRPr="00AD4587" w:rsidRDefault="00A13B01" w:rsidP="00186666">
      <w:pPr>
        <w:pStyle w:val="ListBullet"/>
      </w:pPr>
      <w:r w:rsidRPr="00AD4587">
        <w:t>table 7.19 and the ABS Criminal Courts data refer to the committal, trial and sentencing processes, not to any subsequent appeal case.</w:t>
      </w:r>
    </w:p>
    <w:p w:rsidR="00B94EEB" w:rsidRPr="001C734F" w:rsidRDefault="00FF3D43" w:rsidP="00B94EEB">
      <w:pPr>
        <w:pStyle w:val="BodyText"/>
        <w:rPr>
          <w:b/>
        </w:rPr>
      </w:pPr>
      <w:r>
        <w:t>Given that homicide</w:t>
      </w:r>
      <w:r w:rsidR="007C3FEA">
        <w:t xml:space="preserve">-related </w:t>
      </w:r>
      <w:proofErr w:type="spellStart"/>
      <w:r w:rsidR="007C3FEA">
        <w:t>lodgments</w:t>
      </w:r>
      <w:proofErr w:type="spellEnd"/>
      <w:r>
        <w:t xml:space="preserve"> are generally small in number, percentages in the table should be interpreted with caution. </w:t>
      </w:r>
      <w:r w:rsidR="00FD60FA">
        <w:t>Homicide and related offences data were published as</w:t>
      </w:r>
      <w:r w:rsidR="00B94EEB">
        <w:t xml:space="preserve"> experimental for 2011</w:t>
      </w:r>
      <w:r w:rsidR="00205BCF">
        <w:noBreakHyphen/>
      </w:r>
      <w:r w:rsidR="00B94EEB">
        <w:t>12</w:t>
      </w:r>
      <w:r w:rsidR="00FD60FA">
        <w:t>. The following table presents homicide and related offences data for 2012</w:t>
      </w:r>
      <w:r w:rsidR="00205BCF">
        <w:noBreakHyphen/>
      </w:r>
      <w:r w:rsidR="00FD60FA">
        <w:t>13</w:t>
      </w:r>
      <w:r w:rsidR="00997261">
        <w:t xml:space="preserve"> with limited</w:t>
      </w:r>
      <w:r w:rsidR="00B94EEB">
        <w:t xml:space="preserve"> time series data in the attachment tables</w:t>
      </w:r>
      <w:r w:rsidR="00346063">
        <w:t xml:space="preserve"> (tables </w:t>
      </w:r>
      <w:proofErr w:type="spellStart"/>
      <w:r w:rsidR="00346063">
        <w:t>7A.2</w:t>
      </w:r>
      <w:proofErr w:type="spellEnd"/>
      <w:r w:rsidR="00346063">
        <w:t xml:space="preserve">, </w:t>
      </w:r>
      <w:proofErr w:type="spellStart"/>
      <w:r w:rsidR="00346063">
        <w:t>7A.7</w:t>
      </w:r>
      <w:proofErr w:type="spellEnd"/>
      <w:r w:rsidR="00346063">
        <w:t xml:space="preserve">, </w:t>
      </w:r>
      <w:proofErr w:type="spellStart"/>
      <w:r w:rsidR="00346063">
        <w:t>7A.20</w:t>
      </w:r>
      <w:proofErr w:type="spellEnd"/>
      <w:r w:rsidR="00346063">
        <w:t xml:space="preserve"> and </w:t>
      </w:r>
      <w:proofErr w:type="spellStart"/>
      <w:r w:rsidR="00346063">
        <w:t>7A.25</w:t>
      </w:r>
      <w:proofErr w:type="spellEnd"/>
      <w:r w:rsidR="00346063">
        <w:t>)</w:t>
      </w:r>
      <w:r w:rsidR="00B94EEB">
        <w:t>.</w:t>
      </w:r>
    </w:p>
    <w:p w:rsidR="00013DF9" w:rsidRPr="000B3555" w:rsidRDefault="00013DF9" w:rsidP="00013DF9">
      <w:pPr>
        <w:pStyle w:val="TableTitle"/>
        <w:spacing w:before="160"/>
      </w:pPr>
      <w:r w:rsidRPr="000B3555">
        <w:rPr>
          <w:b w:val="0"/>
        </w:rPr>
        <w:lastRenderedPageBreak/>
        <w:t>Table 7.</w:t>
      </w:r>
      <w:r>
        <w:rPr>
          <w:b w:val="0"/>
          <w:noProof/>
        </w:rPr>
        <w:t>19</w:t>
      </w:r>
      <w:r w:rsidRPr="000B3555">
        <w:tab/>
      </w:r>
      <w:r w:rsidR="004377CE">
        <w:t>H</w:t>
      </w:r>
      <w:r>
        <w:t>omicide</w:t>
      </w:r>
      <w:r w:rsidR="001A683C">
        <w:t xml:space="preserve"> and related offences</w:t>
      </w:r>
      <w:r>
        <w:t>,</w:t>
      </w:r>
      <w:r w:rsidRPr="000B3555">
        <w:t xml:space="preserve"> </w:t>
      </w:r>
      <w:r w:rsidR="004377CE">
        <w:t>2012</w:t>
      </w:r>
      <w:r>
        <w:t>-1</w:t>
      </w:r>
      <w:r w:rsidR="004377CE">
        <w:t>3</w:t>
      </w:r>
      <w:r w:rsidRPr="000B3555">
        <w:rPr>
          <w:rStyle w:val="NoteLabel"/>
          <w:b/>
        </w:rPr>
        <w:t>a</w:t>
      </w:r>
    </w:p>
    <w:tbl>
      <w:tblPr>
        <w:tblW w:w="5001" w:type="pct"/>
        <w:tblLayout w:type="fixed"/>
        <w:tblCellMar>
          <w:left w:w="0" w:type="dxa"/>
          <w:right w:w="0" w:type="dxa"/>
        </w:tblCellMar>
        <w:tblLook w:val="0000" w:firstRow="0" w:lastRow="0" w:firstColumn="0" w:lastColumn="0" w:noHBand="0" w:noVBand="0"/>
      </w:tblPr>
      <w:tblGrid>
        <w:gridCol w:w="1740"/>
        <w:gridCol w:w="548"/>
        <w:gridCol w:w="1020"/>
        <w:gridCol w:w="944"/>
        <w:gridCol w:w="818"/>
        <w:gridCol w:w="744"/>
        <w:gridCol w:w="744"/>
        <w:gridCol w:w="744"/>
        <w:gridCol w:w="744"/>
        <w:gridCol w:w="745"/>
      </w:tblGrid>
      <w:tr w:rsidR="00013DF9" w:rsidRPr="00013DF9" w:rsidTr="005651BA">
        <w:tc>
          <w:tcPr>
            <w:tcW w:w="990" w:type="pct"/>
            <w:tcBorders>
              <w:top w:val="single" w:sz="6" w:space="0" w:color="auto"/>
              <w:bottom w:val="single" w:sz="6" w:space="0" w:color="auto"/>
            </w:tcBorders>
            <w:shd w:val="clear" w:color="auto" w:fill="auto"/>
          </w:tcPr>
          <w:p w:rsidR="00013DF9" w:rsidRPr="00013DF9" w:rsidRDefault="00013DF9" w:rsidP="002D1BAB">
            <w:pPr>
              <w:pStyle w:val="TableColumnHeading"/>
              <w:jc w:val="left"/>
            </w:pPr>
          </w:p>
        </w:tc>
        <w:tc>
          <w:tcPr>
            <w:tcW w:w="312" w:type="pct"/>
            <w:tcBorders>
              <w:top w:val="single" w:sz="6" w:space="0" w:color="auto"/>
              <w:bottom w:val="single" w:sz="6" w:space="0" w:color="auto"/>
            </w:tcBorders>
          </w:tcPr>
          <w:p w:rsidR="00013DF9" w:rsidRPr="00013DF9" w:rsidRDefault="00013DF9" w:rsidP="002D1BAB">
            <w:pPr>
              <w:pStyle w:val="TableColumnHeading"/>
            </w:pPr>
            <w:r w:rsidRPr="00013DF9">
              <w:t>unit</w:t>
            </w:r>
          </w:p>
        </w:tc>
        <w:tc>
          <w:tcPr>
            <w:tcW w:w="580"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NSW</w:t>
            </w:r>
          </w:p>
        </w:tc>
        <w:tc>
          <w:tcPr>
            <w:tcW w:w="537"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Vic</w:t>
            </w:r>
          </w:p>
        </w:tc>
        <w:tc>
          <w:tcPr>
            <w:tcW w:w="465"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Qld</w:t>
            </w:r>
          </w:p>
        </w:tc>
        <w:tc>
          <w:tcPr>
            <w:tcW w:w="423"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WA</w:t>
            </w:r>
          </w:p>
        </w:tc>
        <w:tc>
          <w:tcPr>
            <w:tcW w:w="423"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SA</w:t>
            </w:r>
          </w:p>
        </w:tc>
        <w:tc>
          <w:tcPr>
            <w:tcW w:w="423" w:type="pct"/>
            <w:tcBorders>
              <w:top w:val="single" w:sz="6" w:space="0" w:color="auto"/>
              <w:bottom w:val="single" w:sz="6" w:space="0" w:color="auto"/>
            </w:tcBorders>
            <w:shd w:val="clear" w:color="auto" w:fill="auto"/>
          </w:tcPr>
          <w:p w:rsidR="00013DF9" w:rsidRPr="00013DF9" w:rsidRDefault="00013DF9" w:rsidP="002D1BAB">
            <w:pPr>
              <w:pStyle w:val="TableColumnHeading"/>
            </w:pPr>
            <w:proofErr w:type="spellStart"/>
            <w:r w:rsidRPr="00013DF9">
              <w:t>Tas</w:t>
            </w:r>
            <w:proofErr w:type="spellEnd"/>
          </w:p>
        </w:tc>
        <w:tc>
          <w:tcPr>
            <w:tcW w:w="423"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ACT</w:t>
            </w:r>
          </w:p>
        </w:tc>
        <w:tc>
          <w:tcPr>
            <w:tcW w:w="424" w:type="pct"/>
            <w:tcBorders>
              <w:top w:val="single" w:sz="6" w:space="0" w:color="auto"/>
              <w:bottom w:val="single" w:sz="6" w:space="0" w:color="auto"/>
            </w:tcBorders>
            <w:shd w:val="clear" w:color="auto" w:fill="auto"/>
          </w:tcPr>
          <w:p w:rsidR="00013DF9" w:rsidRPr="00013DF9" w:rsidRDefault="00013DF9" w:rsidP="002D1BAB">
            <w:pPr>
              <w:pStyle w:val="TableColumnHeading"/>
            </w:pPr>
            <w:r w:rsidRPr="00013DF9">
              <w:t>NT</w:t>
            </w:r>
          </w:p>
        </w:tc>
      </w:tr>
      <w:tr w:rsidR="00013DF9" w:rsidRPr="00013DF9" w:rsidTr="00584FFF">
        <w:tc>
          <w:tcPr>
            <w:tcW w:w="5000" w:type="pct"/>
            <w:gridSpan w:val="10"/>
          </w:tcPr>
          <w:p w:rsidR="00013DF9" w:rsidRPr="00013DF9" w:rsidRDefault="00013DF9" w:rsidP="00046ACB">
            <w:pPr>
              <w:pStyle w:val="TableBodyText"/>
              <w:jc w:val="left"/>
              <w:rPr>
                <w:b/>
              </w:rPr>
            </w:pPr>
            <w:r w:rsidRPr="00013DF9">
              <w:rPr>
                <w:b/>
              </w:rPr>
              <w:t>Supreme</w:t>
            </w:r>
          </w:p>
        </w:tc>
      </w:tr>
      <w:tr w:rsidR="005651BA" w:rsidRPr="00013DF9" w:rsidTr="005651BA">
        <w:tc>
          <w:tcPr>
            <w:tcW w:w="990" w:type="pct"/>
          </w:tcPr>
          <w:p w:rsidR="005651BA" w:rsidRPr="00013DF9" w:rsidRDefault="005651BA" w:rsidP="002D1BAB">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5651BA" w:rsidRPr="00013DF9" w:rsidRDefault="005651BA" w:rsidP="002D1BAB">
            <w:pPr>
              <w:pStyle w:val="TableBodyText"/>
              <w:rPr>
                <w:szCs w:val="18"/>
              </w:rPr>
            </w:pPr>
            <w:r>
              <w:rPr>
                <w:szCs w:val="18"/>
              </w:rPr>
              <w:t>no.</w:t>
            </w:r>
          </w:p>
        </w:tc>
        <w:tc>
          <w:tcPr>
            <w:tcW w:w="580" w:type="pct"/>
            <w:vAlign w:val="bottom"/>
          </w:tcPr>
          <w:p w:rsidR="005651BA" w:rsidRPr="005651BA" w:rsidRDefault="005651BA" w:rsidP="005651BA">
            <w:pPr>
              <w:pStyle w:val="TableBodyText"/>
              <w:rPr>
                <w:sz w:val="18"/>
                <w:szCs w:val="18"/>
              </w:rPr>
            </w:pPr>
            <w:r w:rsidRPr="005651BA">
              <w:rPr>
                <w:sz w:val="18"/>
                <w:szCs w:val="18"/>
              </w:rPr>
              <w:t>107</w:t>
            </w:r>
          </w:p>
        </w:tc>
        <w:tc>
          <w:tcPr>
            <w:tcW w:w="537" w:type="pct"/>
            <w:vAlign w:val="bottom"/>
          </w:tcPr>
          <w:p w:rsidR="005651BA" w:rsidRPr="005651BA" w:rsidRDefault="005651BA" w:rsidP="005651BA">
            <w:pPr>
              <w:pStyle w:val="TableBodyText"/>
              <w:rPr>
                <w:sz w:val="18"/>
                <w:szCs w:val="18"/>
              </w:rPr>
            </w:pPr>
            <w:r w:rsidRPr="005651BA">
              <w:rPr>
                <w:sz w:val="18"/>
                <w:szCs w:val="18"/>
              </w:rPr>
              <w:t>84</w:t>
            </w:r>
          </w:p>
        </w:tc>
        <w:tc>
          <w:tcPr>
            <w:tcW w:w="465" w:type="pct"/>
            <w:vAlign w:val="bottom"/>
          </w:tcPr>
          <w:p w:rsidR="005651BA" w:rsidRPr="005651BA" w:rsidRDefault="005651BA" w:rsidP="005651BA">
            <w:pPr>
              <w:pStyle w:val="TableBodyText"/>
              <w:rPr>
                <w:sz w:val="18"/>
                <w:szCs w:val="18"/>
              </w:rPr>
            </w:pPr>
            <w:r w:rsidRPr="005651BA">
              <w:rPr>
                <w:sz w:val="18"/>
                <w:szCs w:val="18"/>
              </w:rPr>
              <w:t>86</w:t>
            </w:r>
          </w:p>
        </w:tc>
        <w:tc>
          <w:tcPr>
            <w:tcW w:w="423" w:type="pct"/>
            <w:vAlign w:val="bottom"/>
          </w:tcPr>
          <w:p w:rsidR="005651BA" w:rsidRPr="005651BA" w:rsidRDefault="005651BA" w:rsidP="005651BA">
            <w:pPr>
              <w:pStyle w:val="TableBodyText"/>
              <w:rPr>
                <w:sz w:val="18"/>
                <w:szCs w:val="18"/>
              </w:rPr>
            </w:pPr>
            <w:r w:rsidRPr="005651BA">
              <w:rPr>
                <w:sz w:val="18"/>
                <w:szCs w:val="18"/>
              </w:rPr>
              <w:t>50</w:t>
            </w:r>
          </w:p>
        </w:tc>
        <w:tc>
          <w:tcPr>
            <w:tcW w:w="423" w:type="pct"/>
            <w:vAlign w:val="bottom"/>
          </w:tcPr>
          <w:p w:rsidR="005651BA" w:rsidRPr="005651BA" w:rsidRDefault="005651BA" w:rsidP="005651BA">
            <w:pPr>
              <w:pStyle w:val="TableBodyText"/>
              <w:rPr>
                <w:sz w:val="18"/>
                <w:szCs w:val="18"/>
              </w:rPr>
            </w:pPr>
            <w:r w:rsidRPr="005651BA">
              <w:rPr>
                <w:sz w:val="18"/>
                <w:szCs w:val="18"/>
              </w:rPr>
              <w:t>33</w:t>
            </w:r>
          </w:p>
        </w:tc>
        <w:tc>
          <w:tcPr>
            <w:tcW w:w="423" w:type="pct"/>
            <w:vAlign w:val="bottom"/>
          </w:tcPr>
          <w:p w:rsidR="005651BA" w:rsidRPr="005651BA" w:rsidRDefault="005651BA" w:rsidP="005651BA">
            <w:pPr>
              <w:pStyle w:val="TableBodyText"/>
              <w:rPr>
                <w:sz w:val="18"/>
                <w:szCs w:val="18"/>
              </w:rPr>
            </w:pPr>
            <w:r w:rsidRPr="005651BA">
              <w:rPr>
                <w:sz w:val="18"/>
                <w:szCs w:val="18"/>
              </w:rPr>
              <w:t>14</w:t>
            </w:r>
          </w:p>
        </w:tc>
        <w:tc>
          <w:tcPr>
            <w:tcW w:w="423" w:type="pct"/>
            <w:vAlign w:val="bottom"/>
          </w:tcPr>
          <w:p w:rsidR="005651BA" w:rsidRPr="005651BA" w:rsidRDefault="005651BA" w:rsidP="005651BA">
            <w:pPr>
              <w:pStyle w:val="TableBodyText"/>
              <w:rPr>
                <w:sz w:val="18"/>
                <w:szCs w:val="18"/>
              </w:rPr>
            </w:pPr>
            <w:r w:rsidRPr="005651BA">
              <w:rPr>
                <w:sz w:val="18"/>
                <w:szCs w:val="18"/>
              </w:rPr>
              <w:t>3</w:t>
            </w:r>
          </w:p>
        </w:tc>
        <w:tc>
          <w:tcPr>
            <w:tcW w:w="424" w:type="pct"/>
            <w:vAlign w:val="bottom"/>
          </w:tcPr>
          <w:p w:rsidR="005651BA" w:rsidRPr="005651BA" w:rsidRDefault="005651BA" w:rsidP="005651BA">
            <w:pPr>
              <w:pStyle w:val="TableBodyText"/>
              <w:rPr>
                <w:sz w:val="18"/>
                <w:szCs w:val="18"/>
              </w:rPr>
            </w:pPr>
            <w:r w:rsidRPr="005651BA">
              <w:rPr>
                <w:sz w:val="18"/>
                <w:szCs w:val="18"/>
              </w:rPr>
              <w:t>22</w:t>
            </w:r>
          </w:p>
        </w:tc>
      </w:tr>
      <w:tr w:rsidR="005651BA" w:rsidRPr="00013DF9" w:rsidTr="005651BA">
        <w:tc>
          <w:tcPr>
            <w:tcW w:w="990" w:type="pct"/>
          </w:tcPr>
          <w:p w:rsidR="005651BA" w:rsidRPr="00013DF9" w:rsidRDefault="005651BA" w:rsidP="002D1BAB">
            <w:pPr>
              <w:pStyle w:val="TableBodyText"/>
              <w:jc w:val="left"/>
              <w:rPr>
                <w:szCs w:val="18"/>
              </w:rPr>
            </w:pPr>
            <w:r w:rsidRPr="00013DF9">
              <w:rPr>
                <w:szCs w:val="18"/>
              </w:rPr>
              <w:t xml:space="preserve"> Finalisations</w:t>
            </w:r>
          </w:p>
        </w:tc>
        <w:tc>
          <w:tcPr>
            <w:tcW w:w="312" w:type="pct"/>
          </w:tcPr>
          <w:p w:rsidR="005651BA" w:rsidRPr="00013DF9" w:rsidRDefault="005651BA" w:rsidP="002D1BAB">
            <w:pPr>
              <w:pStyle w:val="TableBodyText"/>
              <w:rPr>
                <w:szCs w:val="18"/>
              </w:rPr>
            </w:pPr>
            <w:r>
              <w:rPr>
                <w:szCs w:val="18"/>
              </w:rPr>
              <w:t>no.</w:t>
            </w:r>
          </w:p>
        </w:tc>
        <w:tc>
          <w:tcPr>
            <w:tcW w:w="580" w:type="pct"/>
            <w:vAlign w:val="bottom"/>
          </w:tcPr>
          <w:p w:rsidR="005651BA" w:rsidRPr="005651BA" w:rsidRDefault="005651BA" w:rsidP="005651BA">
            <w:pPr>
              <w:pStyle w:val="TableBodyText"/>
              <w:rPr>
                <w:sz w:val="18"/>
                <w:szCs w:val="18"/>
              </w:rPr>
            </w:pPr>
            <w:r w:rsidRPr="005651BA">
              <w:rPr>
                <w:sz w:val="18"/>
                <w:szCs w:val="18"/>
              </w:rPr>
              <w:t>114</w:t>
            </w:r>
          </w:p>
        </w:tc>
        <w:tc>
          <w:tcPr>
            <w:tcW w:w="537" w:type="pct"/>
            <w:vAlign w:val="bottom"/>
          </w:tcPr>
          <w:p w:rsidR="005651BA" w:rsidRPr="005651BA" w:rsidRDefault="005651BA" w:rsidP="005651BA">
            <w:pPr>
              <w:pStyle w:val="TableBodyText"/>
              <w:rPr>
                <w:sz w:val="18"/>
                <w:szCs w:val="18"/>
              </w:rPr>
            </w:pPr>
            <w:r w:rsidRPr="005651BA">
              <w:rPr>
                <w:sz w:val="18"/>
                <w:szCs w:val="18"/>
              </w:rPr>
              <w:t>74</w:t>
            </w:r>
          </w:p>
        </w:tc>
        <w:tc>
          <w:tcPr>
            <w:tcW w:w="465" w:type="pct"/>
            <w:vAlign w:val="bottom"/>
          </w:tcPr>
          <w:p w:rsidR="005651BA" w:rsidRPr="005651BA" w:rsidRDefault="005651BA" w:rsidP="005651BA">
            <w:pPr>
              <w:pStyle w:val="TableBodyText"/>
              <w:rPr>
                <w:sz w:val="18"/>
                <w:szCs w:val="18"/>
              </w:rPr>
            </w:pPr>
            <w:r w:rsidRPr="005651BA">
              <w:rPr>
                <w:sz w:val="18"/>
                <w:szCs w:val="18"/>
              </w:rPr>
              <w:t>104</w:t>
            </w:r>
          </w:p>
        </w:tc>
        <w:tc>
          <w:tcPr>
            <w:tcW w:w="423" w:type="pct"/>
            <w:vAlign w:val="bottom"/>
          </w:tcPr>
          <w:p w:rsidR="005651BA" w:rsidRPr="005651BA" w:rsidRDefault="005651BA" w:rsidP="005651BA">
            <w:pPr>
              <w:pStyle w:val="TableBodyText"/>
              <w:rPr>
                <w:sz w:val="18"/>
                <w:szCs w:val="18"/>
              </w:rPr>
            </w:pPr>
            <w:r w:rsidRPr="005651BA">
              <w:rPr>
                <w:sz w:val="18"/>
                <w:szCs w:val="18"/>
              </w:rPr>
              <w:t>31</w:t>
            </w:r>
          </w:p>
        </w:tc>
        <w:tc>
          <w:tcPr>
            <w:tcW w:w="423" w:type="pct"/>
            <w:vAlign w:val="bottom"/>
          </w:tcPr>
          <w:p w:rsidR="005651BA" w:rsidRPr="005651BA" w:rsidRDefault="0089558A" w:rsidP="005651BA">
            <w:pPr>
              <w:pStyle w:val="TableBodyText"/>
              <w:rPr>
                <w:sz w:val="18"/>
                <w:szCs w:val="18"/>
              </w:rPr>
            </w:pPr>
            <w:r>
              <w:rPr>
                <w:sz w:val="18"/>
                <w:szCs w:val="18"/>
              </w:rPr>
              <w:t>46</w:t>
            </w:r>
          </w:p>
        </w:tc>
        <w:tc>
          <w:tcPr>
            <w:tcW w:w="423" w:type="pct"/>
            <w:vAlign w:val="bottom"/>
          </w:tcPr>
          <w:p w:rsidR="005651BA" w:rsidRPr="005651BA" w:rsidRDefault="005651BA" w:rsidP="005651BA">
            <w:pPr>
              <w:pStyle w:val="TableBodyText"/>
              <w:rPr>
                <w:sz w:val="18"/>
                <w:szCs w:val="18"/>
              </w:rPr>
            </w:pPr>
            <w:r w:rsidRPr="005651BA">
              <w:rPr>
                <w:sz w:val="18"/>
                <w:szCs w:val="18"/>
              </w:rPr>
              <w:t>10</w:t>
            </w:r>
          </w:p>
        </w:tc>
        <w:tc>
          <w:tcPr>
            <w:tcW w:w="423" w:type="pct"/>
            <w:vAlign w:val="bottom"/>
          </w:tcPr>
          <w:p w:rsidR="005651BA" w:rsidRPr="005651BA" w:rsidRDefault="005651BA" w:rsidP="005651BA">
            <w:pPr>
              <w:pStyle w:val="TableBodyText"/>
              <w:rPr>
                <w:sz w:val="18"/>
                <w:szCs w:val="18"/>
              </w:rPr>
            </w:pPr>
            <w:r w:rsidRPr="005651BA">
              <w:rPr>
                <w:sz w:val="18"/>
                <w:szCs w:val="18"/>
              </w:rPr>
              <w:t>3</w:t>
            </w:r>
          </w:p>
        </w:tc>
        <w:tc>
          <w:tcPr>
            <w:tcW w:w="424" w:type="pct"/>
            <w:vAlign w:val="bottom"/>
          </w:tcPr>
          <w:p w:rsidR="005651BA" w:rsidRPr="005651BA" w:rsidRDefault="005651BA" w:rsidP="005651BA">
            <w:pPr>
              <w:pStyle w:val="TableBodyText"/>
              <w:rPr>
                <w:sz w:val="18"/>
                <w:szCs w:val="18"/>
              </w:rPr>
            </w:pPr>
            <w:r w:rsidRPr="005651BA">
              <w:rPr>
                <w:sz w:val="18"/>
                <w:szCs w:val="18"/>
              </w:rPr>
              <w:t>13</w:t>
            </w:r>
          </w:p>
        </w:tc>
      </w:tr>
      <w:tr w:rsidR="005651BA" w:rsidRPr="00013DF9" w:rsidTr="005651BA">
        <w:tc>
          <w:tcPr>
            <w:tcW w:w="990" w:type="pct"/>
          </w:tcPr>
          <w:p w:rsidR="005651BA" w:rsidRPr="00046ACB" w:rsidRDefault="005651BA" w:rsidP="002D1BAB">
            <w:pPr>
              <w:pStyle w:val="TableBodyText"/>
              <w:jc w:val="left"/>
            </w:pPr>
            <w:r>
              <w:t xml:space="preserve"> Pending</w:t>
            </w:r>
          </w:p>
        </w:tc>
        <w:tc>
          <w:tcPr>
            <w:tcW w:w="312" w:type="pct"/>
          </w:tcPr>
          <w:p w:rsidR="005651BA" w:rsidRPr="00013DF9" w:rsidRDefault="005651BA" w:rsidP="002D1BAB">
            <w:pPr>
              <w:pStyle w:val="TableBodyText"/>
              <w:rPr>
                <w:i/>
                <w:szCs w:val="16"/>
              </w:rPr>
            </w:pPr>
            <w:r>
              <w:rPr>
                <w:i/>
                <w:szCs w:val="16"/>
              </w:rPr>
              <w:t>no.</w:t>
            </w:r>
          </w:p>
        </w:tc>
        <w:tc>
          <w:tcPr>
            <w:tcW w:w="580" w:type="pct"/>
            <w:vAlign w:val="bottom"/>
          </w:tcPr>
          <w:p w:rsidR="005651BA" w:rsidRPr="005651BA" w:rsidRDefault="005651BA" w:rsidP="005651BA">
            <w:pPr>
              <w:pStyle w:val="TableBodyText"/>
              <w:rPr>
                <w:sz w:val="18"/>
                <w:szCs w:val="18"/>
              </w:rPr>
            </w:pPr>
            <w:r w:rsidRPr="005651BA">
              <w:rPr>
                <w:sz w:val="18"/>
                <w:szCs w:val="18"/>
              </w:rPr>
              <w:t>95</w:t>
            </w:r>
          </w:p>
        </w:tc>
        <w:tc>
          <w:tcPr>
            <w:tcW w:w="537" w:type="pct"/>
            <w:vAlign w:val="bottom"/>
          </w:tcPr>
          <w:p w:rsidR="005651BA" w:rsidRPr="005651BA" w:rsidRDefault="005651BA" w:rsidP="005651BA">
            <w:pPr>
              <w:pStyle w:val="TableBodyText"/>
              <w:rPr>
                <w:sz w:val="18"/>
                <w:szCs w:val="18"/>
              </w:rPr>
            </w:pPr>
            <w:r w:rsidRPr="005651BA">
              <w:rPr>
                <w:sz w:val="18"/>
                <w:szCs w:val="18"/>
              </w:rPr>
              <w:t>58</w:t>
            </w:r>
          </w:p>
        </w:tc>
        <w:tc>
          <w:tcPr>
            <w:tcW w:w="465" w:type="pct"/>
            <w:vAlign w:val="bottom"/>
          </w:tcPr>
          <w:p w:rsidR="005651BA" w:rsidRPr="005651BA" w:rsidRDefault="005651BA" w:rsidP="005651BA">
            <w:pPr>
              <w:pStyle w:val="TableBodyText"/>
              <w:rPr>
                <w:sz w:val="18"/>
                <w:szCs w:val="18"/>
              </w:rPr>
            </w:pPr>
            <w:r w:rsidRPr="005651BA">
              <w:rPr>
                <w:sz w:val="18"/>
                <w:szCs w:val="18"/>
              </w:rPr>
              <w:t>58</w:t>
            </w:r>
          </w:p>
        </w:tc>
        <w:tc>
          <w:tcPr>
            <w:tcW w:w="423" w:type="pct"/>
            <w:vAlign w:val="bottom"/>
          </w:tcPr>
          <w:p w:rsidR="005651BA" w:rsidRPr="005651BA" w:rsidRDefault="005651BA" w:rsidP="005651BA">
            <w:pPr>
              <w:pStyle w:val="TableBodyText"/>
              <w:rPr>
                <w:sz w:val="18"/>
                <w:szCs w:val="18"/>
              </w:rPr>
            </w:pPr>
            <w:r w:rsidRPr="005651BA">
              <w:rPr>
                <w:sz w:val="18"/>
                <w:szCs w:val="18"/>
              </w:rPr>
              <w:t>34</w:t>
            </w:r>
          </w:p>
        </w:tc>
        <w:tc>
          <w:tcPr>
            <w:tcW w:w="423" w:type="pct"/>
            <w:vAlign w:val="bottom"/>
          </w:tcPr>
          <w:p w:rsidR="005651BA" w:rsidRPr="005651BA" w:rsidRDefault="005651BA" w:rsidP="005651BA">
            <w:pPr>
              <w:pStyle w:val="TableBodyText"/>
              <w:rPr>
                <w:sz w:val="18"/>
                <w:szCs w:val="18"/>
              </w:rPr>
            </w:pPr>
            <w:r w:rsidRPr="005651BA">
              <w:rPr>
                <w:sz w:val="18"/>
                <w:szCs w:val="18"/>
              </w:rPr>
              <w:t>22</w:t>
            </w:r>
          </w:p>
        </w:tc>
        <w:tc>
          <w:tcPr>
            <w:tcW w:w="423" w:type="pct"/>
            <w:vAlign w:val="bottom"/>
          </w:tcPr>
          <w:p w:rsidR="005651BA" w:rsidRPr="005651BA" w:rsidRDefault="005651BA" w:rsidP="005651BA">
            <w:pPr>
              <w:pStyle w:val="TableBodyText"/>
              <w:rPr>
                <w:sz w:val="18"/>
                <w:szCs w:val="18"/>
              </w:rPr>
            </w:pPr>
            <w:r w:rsidRPr="005651BA">
              <w:rPr>
                <w:sz w:val="18"/>
                <w:szCs w:val="18"/>
              </w:rPr>
              <w:t>14</w:t>
            </w:r>
          </w:p>
        </w:tc>
        <w:tc>
          <w:tcPr>
            <w:tcW w:w="423" w:type="pct"/>
            <w:vAlign w:val="bottom"/>
          </w:tcPr>
          <w:p w:rsidR="005651BA" w:rsidRPr="005651BA" w:rsidRDefault="005651BA" w:rsidP="005651BA">
            <w:pPr>
              <w:pStyle w:val="TableBodyText"/>
              <w:rPr>
                <w:sz w:val="18"/>
                <w:szCs w:val="18"/>
              </w:rPr>
            </w:pPr>
            <w:r w:rsidRPr="005651BA">
              <w:rPr>
                <w:sz w:val="18"/>
                <w:szCs w:val="18"/>
              </w:rPr>
              <w:t>7</w:t>
            </w:r>
          </w:p>
        </w:tc>
        <w:tc>
          <w:tcPr>
            <w:tcW w:w="424" w:type="pct"/>
            <w:vAlign w:val="bottom"/>
          </w:tcPr>
          <w:p w:rsidR="005651BA" w:rsidRPr="005651BA" w:rsidRDefault="005651BA" w:rsidP="005651BA">
            <w:pPr>
              <w:pStyle w:val="TableBodyText"/>
              <w:rPr>
                <w:sz w:val="18"/>
                <w:szCs w:val="18"/>
              </w:rPr>
            </w:pPr>
            <w:r w:rsidRPr="005651BA">
              <w:rPr>
                <w:sz w:val="18"/>
                <w:szCs w:val="18"/>
              </w:rPr>
              <w:t>10</w:t>
            </w:r>
          </w:p>
        </w:tc>
      </w:tr>
      <w:tr w:rsidR="005651BA" w:rsidRPr="00013DF9" w:rsidTr="006165C4">
        <w:tc>
          <w:tcPr>
            <w:tcW w:w="990" w:type="pct"/>
          </w:tcPr>
          <w:p w:rsidR="005651BA" w:rsidRPr="00013DF9" w:rsidRDefault="005651BA" w:rsidP="002D1BAB">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5651BA" w:rsidRPr="00013DF9" w:rsidRDefault="005651BA" w:rsidP="002D1BAB">
            <w:pPr>
              <w:pStyle w:val="TableBodyText"/>
              <w:rPr>
                <w:szCs w:val="18"/>
              </w:rPr>
            </w:pPr>
            <w:r>
              <w:rPr>
                <w:szCs w:val="18"/>
              </w:rPr>
              <w:t>%</w:t>
            </w:r>
          </w:p>
        </w:tc>
        <w:tc>
          <w:tcPr>
            <w:tcW w:w="580" w:type="pct"/>
            <w:vAlign w:val="center"/>
          </w:tcPr>
          <w:p w:rsidR="005651BA" w:rsidRPr="005651BA" w:rsidRDefault="005651BA" w:rsidP="005651BA">
            <w:pPr>
              <w:pStyle w:val="TableBodyText"/>
              <w:rPr>
                <w:sz w:val="18"/>
                <w:szCs w:val="18"/>
              </w:rPr>
            </w:pPr>
            <w:r w:rsidRPr="005651BA">
              <w:rPr>
                <w:sz w:val="18"/>
                <w:szCs w:val="18"/>
              </w:rPr>
              <w:t>16.8</w:t>
            </w:r>
          </w:p>
        </w:tc>
        <w:tc>
          <w:tcPr>
            <w:tcW w:w="537" w:type="pct"/>
            <w:vAlign w:val="center"/>
          </w:tcPr>
          <w:p w:rsidR="005651BA" w:rsidRPr="005651BA" w:rsidRDefault="005651BA" w:rsidP="005651BA">
            <w:pPr>
              <w:pStyle w:val="TableBodyText"/>
              <w:rPr>
                <w:sz w:val="18"/>
                <w:szCs w:val="18"/>
              </w:rPr>
            </w:pPr>
            <w:r w:rsidRPr="005651BA">
              <w:rPr>
                <w:sz w:val="18"/>
                <w:szCs w:val="18"/>
              </w:rPr>
              <w:t>5.2</w:t>
            </w:r>
          </w:p>
        </w:tc>
        <w:tc>
          <w:tcPr>
            <w:tcW w:w="465" w:type="pct"/>
            <w:vAlign w:val="center"/>
          </w:tcPr>
          <w:p w:rsidR="005651BA" w:rsidRPr="005651BA" w:rsidRDefault="005651BA" w:rsidP="005651BA">
            <w:pPr>
              <w:pStyle w:val="TableBodyText"/>
              <w:rPr>
                <w:sz w:val="18"/>
                <w:szCs w:val="18"/>
              </w:rPr>
            </w:pPr>
            <w:r w:rsidRPr="005651BA">
              <w:rPr>
                <w:sz w:val="18"/>
                <w:szCs w:val="18"/>
              </w:rPr>
              <w:t>17.2</w:t>
            </w:r>
          </w:p>
        </w:tc>
        <w:tc>
          <w:tcPr>
            <w:tcW w:w="423" w:type="pct"/>
            <w:vAlign w:val="center"/>
          </w:tcPr>
          <w:p w:rsidR="005651BA" w:rsidRPr="005651BA" w:rsidRDefault="005651BA" w:rsidP="005651BA">
            <w:pPr>
              <w:pStyle w:val="TableBodyText"/>
              <w:rPr>
                <w:sz w:val="18"/>
                <w:szCs w:val="18"/>
              </w:rPr>
            </w:pPr>
            <w:r w:rsidRPr="005651BA">
              <w:rPr>
                <w:sz w:val="18"/>
                <w:szCs w:val="18"/>
              </w:rPr>
              <w:t>11.8</w:t>
            </w:r>
          </w:p>
        </w:tc>
        <w:tc>
          <w:tcPr>
            <w:tcW w:w="423" w:type="pct"/>
            <w:vAlign w:val="center"/>
          </w:tcPr>
          <w:p w:rsidR="005651BA" w:rsidRPr="005651BA" w:rsidRDefault="005651BA" w:rsidP="005651BA">
            <w:pPr>
              <w:pStyle w:val="TableBodyText"/>
              <w:rPr>
                <w:sz w:val="18"/>
                <w:szCs w:val="18"/>
              </w:rPr>
            </w:pPr>
            <w:r w:rsidRPr="005651BA">
              <w:rPr>
                <w:sz w:val="18"/>
                <w:szCs w:val="18"/>
              </w:rPr>
              <w:t>27.3</w:t>
            </w:r>
          </w:p>
        </w:tc>
        <w:tc>
          <w:tcPr>
            <w:tcW w:w="423" w:type="pct"/>
            <w:vAlign w:val="center"/>
          </w:tcPr>
          <w:p w:rsidR="005651BA" w:rsidRPr="005651BA" w:rsidRDefault="005651BA" w:rsidP="005651BA">
            <w:pPr>
              <w:pStyle w:val="TableBodyText"/>
              <w:rPr>
                <w:sz w:val="18"/>
                <w:szCs w:val="18"/>
              </w:rPr>
            </w:pPr>
            <w:r w:rsidRPr="005651BA">
              <w:rPr>
                <w:sz w:val="18"/>
                <w:szCs w:val="18"/>
              </w:rPr>
              <w:t>21.4</w:t>
            </w:r>
          </w:p>
        </w:tc>
        <w:tc>
          <w:tcPr>
            <w:tcW w:w="423" w:type="pct"/>
            <w:vAlign w:val="center"/>
          </w:tcPr>
          <w:p w:rsidR="005651BA" w:rsidRPr="005651BA" w:rsidRDefault="005651BA" w:rsidP="005651BA">
            <w:pPr>
              <w:pStyle w:val="TableBodyText"/>
              <w:rPr>
                <w:sz w:val="18"/>
                <w:szCs w:val="18"/>
              </w:rPr>
            </w:pPr>
            <w:r w:rsidRPr="005651BA">
              <w:rPr>
                <w:sz w:val="18"/>
                <w:szCs w:val="18"/>
              </w:rPr>
              <w:t>57.1</w:t>
            </w:r>
          </w:p>
        </w:tc>
        <w:tc>
          <w:tcPr>
            <w:tcW w:w="424" w:type="pct"/>
            <w:vAlign w:val="center"/>
          </w:tcPr>
          <w:p w:rsidR="005651BA" w:rsidRPr="005651BA" w:rsidRDefault="005651BA" w:rsidP="005651BA">
            <w:pPr>
              <w:pStyle w:val="TableBodyText"/>
              <w:rPr>
                <w:sz w:val="18"/>
                <w:szCs w:val="18"/>
              </w:rPr>
            </w:pPr>
            <w:r>
              <w:rPr>
                <w:sz w:val="18"/>
                <w:szCs w:val="18"/>
              </w:rPr>
              <w:t>–</w:t>
            </w:r>
          </w:p>
        </w:tc>
      </w:tr>
      <w:tr w:rsidR="005651BA" w:rsidRPr="00013DF9" w:rsidTr="006165C4">
        <w:tc>
          <w:tcPr>
            <w:tcW w:w="990" w:type="pct"/>
          </w:tcPr>
          <w:p w:rsidR="005651BA" w:rsidRPr="00013DF9" w:rsidRDefault="005651BA" w:rsidP="002D1BAB">
            <w:pPr>
              <w:pStyle w:val="TableBodyText"/>
              <w:jc w:val="left"/>
              <w:rPr>
                <w:szCs w:val="18"/>
              </w:rPr>
            </w:pPr>
            <w:r>
              <w:rPr>
                <w:szCs w:val="18"/>
              </w:rPr>
              <w:t xml:space="preserve"> Backlog &gt;24 </w:t>
            </w:r>
            <w:proofErr w:type="spellStart"/>
            <w:r>
              <w:rPr>
                <w:szCs w:val="18"/>
              </w:rPr>
              <w:t>mths</w:t>
            </w:r>
            <w:proofErr w:type="spellEnd"/>
          </w:p>
        </w:tc>
        <w:tc>
          <w:tcPr>
            <w:tcW w:w="312" w:type="pct"/>
          </w:tcPr>
          <w:p w:rsidR="005651BA" w:rsidRPr="00013DF9" w:rsidRDefault="005651BA" w:rsidP="002D1BAB">
            <w:pPr>
              <w:pStyle w:val="TableBodyText"/>
              <w:rPr>
                <w:szCs w:val="18"/>
              </w:rPr>
            </w:pPr>
            <w:r>
              <w:rPr>
                <w:szCs w:val="18"/>
              </w:rPr>
              <w:t>%</w:t>
            </w:r>
          </w:p>
        </w:tc>
        <w:tc>
          <w:tcPr>
            <w:tcW w:w="580" w:type="pct"/>
            <w:vAlign w:val="center"/>
          </w:tcPr>
          <w:p w:rsidR="005651BA" w:rsidRPr="005651BA" w:rsidRDefault="005651BA" w:rsidP="005651BA">
            <w:pPr>
              <w:pStyle w:val="TableBodyText"/>
              <w:rPr>
                <w:sz w:val="18"/>
                <w:szCs w:val="18"/>
              </w:rPr>
            </w:pPr>
            <w:r>
              <w:rPr>
                <w:sz w:val="18"/>
                <w:szCs w:val="18"/>
              </w:rPr>
              <w:t>–</w:t>
            </w:r>
          </w:p>
        </w:tc>
        <w:tc>
          <w:tcPr>
            <w:tcW w:w="537" w:type="pct"/>
            <w:vAlign w:val="center"/>
          </w:tcPr>
          <w:p w:rsidR="005651BA" w:rsidRPr="005651BA" w:rsidRDefault="005651BA" w:rsidP="005651BA">
            <w:pPr>
              <w:pStyle w:val="TableBodyText"/>
              <w:rPr>
                <w:sz w:val="18"/>
                <w:szCs w:val="18"/>
              </w:rPr>
            </w:pPr>
            <w:r>
              <w:rPr>
                <w:sz w:val="18"/>
                <w:szCs w:val="18"/>
              </w:rPr>
              <w:t>–</w:t>
            </w:r>
          </w:p>
        </w:tc>
        <w:tc>
          <w:tcPr>
            <w:tcW w:w="465" w:type="pct"/>
            <w:vAlign w:val="center"/>
          </w:tcPr>
          <w:p w:rsidR="005651BA" w:rsidRPr="005651BA" w:rsidRDefault="005651BA" w:rsidP="005651BA">
            <w:pPr>
              <w:pStyle w:val="TableBodyText"/>
              <w:rPr>
                <w:sz w:val="18"/>
                <w:szCs w:val="18"/>
              </w:rPr>
            </w:pPr>
            <w:r w:rsidRPr="005651BA">
              <w:rPr>
                <w:sz w:val="18"/>
                <w:szCs w:val="18"/>
              </w:rPr>
              <w:t>8.6</w:t>
            </w:r>
          </w:p>
        </w:tc>
        <w:tc>
          <w:tcPr>
            <w:tcW w:w="423" w:type="pct"/>
            <w:vAlign w:val="center"/>
          </w:tcPr>
          <w:p w:rsidR="005651BA" w:rsidRPr="005651BA" w:rsidRDefault="005651BA" w:rsidP="005651BA">
            <w:pPr>
              <w:pStyle w:val="TableBodyText"/>
              <w:rPr>
                <w:sz w:val="18"/>
                <w:szCs w:val="18"/>
              </w:rPr>
            </w:pPr>
            <w:r w:rsidRPr="005651BA">
              <w:rPr>
                <w:sz w:val="18"/>
                <w:szCs w:val="18"/>
              </w:rPr>
              <w:t>2.9</w:t>
            </w:r>
          </w:p>
        </w:tc>
        <w:tc>
          <w:tcPr>
            <w:tcW w:w="423" w:type="pct"/>
            <w:vAlign w:val="center"/>
          </w:tcPr>
          <w:p w:rsidR="005651BA" w:rsidRPr="005651BA" w:rsidRDefault="005651BA" w:rsidP="005651BA">
            <w:pPr>
              <w:pStyle w:val="TableBodyText"/>
              <w:rPr>
                <w:sz w:val="18"/>
                <w:szCs w:val="18"/>
              </w:rPr>
            </w:pPr>
            <w:r w:rsidRPr="005651BA">
              <w:rPr>
                <w:sz w:val="18"/>
                <w:szCs w:val="18"/>
              </w:rPr>
              <w:t>9.1</w:t>
            </w:r>
          </w:p>
        </w:tc>
        <w:tc>
          <w:tcPr>
            <w:tcW w:w="423" w:type="pct"/>
            <w:vAlign w:val="center"/>
          </w:tcPr>
          <w:p w:rsidR="005651BA" w:rsidRPr="005651BA" w:rsidRDefault="005651BA" w:rsidP="005651BA">
            <w:pPr>
              <w:pStyle w:val="TableBodyText"/>
              <w:rPr>
                <w:sz w:val="18"/>
                <w:szCs w:val="18"/>
              </w:rPr>
            </w:pPr>
            <w:r w:rsidRPr="005651BA">
              <w:rPr>
                <w:sz w:val="18"/>
                <w:szCs w:val="18"/>
              </w:rPr>
              <w:t>7.1</w:t>
            </w:r>
          </w:p>
        </w:tc>
        <w:tc>
          <w:tcPr>
            <w:tcW w:w="423" w:type="pct"/>
            <w:vAlign w:val="center"/>
          </w:tcPr>
          <w:p w:rsidR="005651BA" w:rsidRPr="005651BA" w:rsidRDefault="005651BA" w:rsidP="005651BA">
            <w:pPr>
              <w:pStyle w:val="TableBodyText"/>
              <w:rPr>
                <w:sz w:val="18"/>
                <w:szCs w:val="18"/>
              </w:rPr>
            </w:pPr>
            <w:r w:rsidRPr="005651BA">
              <w:rPr>
                <w:sz w:val="18"/>
                <w:szCs w:val="18"/>
              </w:rPr>
              <w:t>14.3</w:t>
            </w:r>
          </w:p>
        </w:tc>
        <w:tc>
          <w:tcPr>
            <w:tcW w:w="424" w:type="pct"/>
            <w:vAlign w:val="center"/>
          </w:tcPr>
          <w:p w:rsidR="005651BA" w:rsidRPr="005651BA" w:rsidRDefault="005651BA" w:rsidP="005651BA">
            <w:pPr>
              <w:pStyle w:val="TableBodyText"/>
              <w:rPr>
                <w:sz w:val="18"/>
                <w:szCs w:val="18"/>
              </w:rPr>
            </w:pPr>
            <w:r>
              <w:rPr>
                <w:sz w:val="18"/>
                <w:szCs w:val="18"/>
              </w:rPr>
              <w:t>–</w:t>
            </w:r>
          </w:p>
        </w:tc>
      </w:tr>
      <w:tr w:rsidR="005651BA" w:rsidRPr="00013DF9" w:rsidTr="005651BA">
        <w:tc>
          <w:tcPr>
            <w:tcW w:w="990" w:type="pct"/>
          </w:tcPr>
          <w:p w:rsidR="005651BA" w:rsidRPr="00046ACB" w:rsidRDefault="005651BA" w:rsidP="002D1BAB">
            <w:pPr>
              <w:pStyle w:val="TableBodyText"/>
              <w:jc w:val="left"/>
            </w:pPr>
            <w:r>
              <w:t xml:space="preserve"> </w:t>
            </w:r>
            <w:r w:rsidRPr="00046ACB">
              <w:t>Attendance</w:t>
            </w:r>
          </w:p>
        </w:tc>
        <w:tc>
          <w:tcPr>
            <w:tcW w:w="312" w:type="pct"/>
          </w:tcPr>
          <w:p w:rsidR="005651BA" w:rsidRPr="00013DF9" w:rsidRDefault="005651BA" w:rsidP="002D1BAB">
            <w:pPr>
              <w:pStyle w:val="TableBodyText"/>
              <w:rPr>
                <w:i/>
                <w:szCs w:val="16"/>
              </w:rPr>
            </w:pPr>
            <w:r>
              <w:rPr>
                <w:szCs w:val="16"/>
              </w:rPr>
              <w:t>n</w:t>
            </w:r>
            <w:r w:rsidRPr="008A7DD0">
              <w:rPr>
                <w:szCs w:val="16"/>
              </w:rPr>
              <w:t>o</w:t>
            </w:r>
            <w:r>
              <w:rPr>
                <w:i/>
                <w:szCs w:val="16"/>
              </w:rPr>
              <w:t>.</w:t>
            </w:r>
          </w:p>
        </w:tc>
        <w:tc>
          <w:tcPr>
            <w:tcW w:w="580" w:type="pct"/>
            <w:vAlign w:val="bottom"/>
          </w:tcPr>
          <w:p w:rsidR="005651BA" w:rsidRPr="005651BA" w:rsidRDefault="005651BA" w:rsidP="005651BA">
            <w:pPr>
              <w:pStyle w:val="TableBodyText"/>
              <w:rPr>
                <w:sz w:val="18"/>
                <w:szCs w:val="18"/>
              </w:rPr>
            </w:pPr>
            <w:proofErr w:type="spellStart"/>
            <w:r w:rsidRPr="005651BA">
              <w:rPr>
                <w:sz w:val="18"/>
                <w:szCs w:val="18"/>
              </w:rPr>
              <w:t>na</w:t>
            </w:r>
            <w:proofErr w:type="spellEnd"/>
          </w:p>
        </w:tc>
        <w:tc>
          <w:tcPr>
            <w:tcW w:w="537" w:type="pct"/>
            <w:vAlign w:val="bottom"/>
          </w:tcPr>
          <w:p w:rsidR="005651BA" w:rsidRPr="005651BA" w:rsidRDefault="005651BA" w:rsidP="005651BA">
            <w:pPr>
              <w:pStyle w:val="TableBodyText"/>
              <w:rPr>
                <w:sz w:val="18"/>
                <w:szCs w:val="18"/>
              </w:rPr>
            </w:pPr>
            <w:r w:rsidRPr="005651BA">
              <w:rPr>
                <w:sz w:val="18"/>
                <w:szCs w:val="18"/>
              </w:rPr>
              <w:t>6.4</w:t>
            </w:r>
          </w:p>
        </w:tc>
        <w:tc>
          <w:tcPr>
            <w:tcW w:w="465" w:type="pct"/>
            <w:vAlign w:val="bottom"/>
          </w:tcPr>
          <w:p w:rsidR="005651BA" w:rsidRPr="005651BA" w:rsidRDefault="005651BA" w:rsidP="005651BA">
            <w:pPr>
              <w:pStyle w:val="TableBodyText"/>
              <w:rPr>
                <w:sz w:val="18"/>
                <w:szCs w:val="18"/>
              </w:rPr>
            </w:pPr>
            <w:r w:rsidRPr="005651BA">
              <w:rPr>
                <w:sz w:val="18"/>
                <w:szCs w:val="18"/>
              </w:rPr>
              <w:t>6.2</w:t>
            </w:r>
          </w:p>
        </w:tc>
        <w:tc>
          <w:tcPr>
            <w:tcW w:w="423" w:type="pct"/>
            <w:vAlign w:val="bottom"/>
          </w:tcPr>
          <w:p w:rsidR="005651BA" w:rsidRPr="005651BA" w:rsidRDefault="005651BA" w:rsidP="005651BA">
            <w:pPr>
              <w:pStyle w:val="TableBodyText"/>
              <w:rPr>
                <w:sz w:val="18"/>
                <w:szCs w:val="18"/>
              </w:rPr>
            </w:pPr>
            <w:r w:rsidRPr="005651BA">
              <w:rPr>
                <w:sz w:val="18"/>
                <w:szCs w:val="18"/>
              </w:rPr>
              <w:t>6.4</w:t>
            </w:r>
          </w:p>
        </w:tc>
        <w:tc>
          <w:tcPr>
            <w:tcW w:w="423" w:type="pct"/>
            <w:vAlign w:val="bottom"/>
          </w:tcPr>
          <w:p w:rsidR="005651BA" w:rsidRPr="005651BA" w:rsidRDefault="0089558A" w:rsidP="005651BA">
            <w:pPr>
              <w:pStyle w:val="TableBodyText"/>
              <w:rPr>
                <w:sz w:val="18"/>
                <w:szCs w:val="18"/>
              </w:rPr>
            </w:pPr>
            <w:r>
              <w:rPr>
                <w:sz w:val="18"/>
                <w:szCs w:val="18"/>
              </w:rPr>
              <w:t>12.6</w:t>
            </w:r>
          </w:p>
        </w:tc>
        <w:tc>
          <w:tcPr>
            <w:tcW w:w="423" w:type="pct"/>
            <w:vAlign w:val="bottom"/>
          </w:tcPr>
          <w:p w:rsidR="005651BA" w:rsidRPr="005651BA" w:rsidRDefault="005651BA" w:rsidP="005651BA">
            <w:pPr>
              <w:pStyle w:val="TableBodyText"/>
              <w:rPr>
                <w:sz w:val="18"/>
                <w:szCs w:val="18"/>
              </w:rPr>
            </w:pPr>
            <w:r w:rsidRPr="005651BA">
              <w:rPr>
                <w:sz w:val="18"/>
                <w:szCs w:val="18"/>
              </w:rPr>
              <w:t>14.2</w:t>
            </w:r>
          </w:p>
        </w:tc>
        <w:tc>
          <w:tcPr>
            <w:tcW w:w="423" w:type="pct"/>
            <w:vAlign w:val="bottom"/>
          </w:tcPr>
          <w:p w:rsidR="005651BA" w:rsidRPr="005651BA" w:rsidRDefault="005651BA" w:rsidP="005651BA">
            <w:pPr>
              <w:pStyle w:val="TableBodyText"/>
              <w:rPr>
                <w:sz w:val="18"/>
                <w:szCs w:val="18"/>
              </w:rPr>
            </w:pPr>
            <w:r w:rsidRPr="005651BA">
              <w:rPr>
                <w:sz w:val="18"/>
                <w:szCs w:val="18"/>
              </w:rPr>
              <w:t>12.3</w:t>
            </w:r>
          </w:p>
        </w:tc>
        <w:tc>
          <w:tcPr>
            <w:tcW w:w="424" w:type="pct"/>
            <w:vAlign w:val="bottom"/>
          </w:tcPr>
          <w:p w:rsidR="005651BA" w:rsidRPr="005651BA" w:rsidRDefault="005651BA" w:rsidP="005651BA">
            <w:pPr>
              <w:pStyle w:val="TableBodyText"/>
              <w:rPr>
                <w:sz w:val="18"/>
                <w:szCs w:val="18"/>
              </w:rPr>
            </w:pPr>
            <w:r w:rsidRPr="005651BA">
              <w:rPr>
                <w:sz w:val="18"/>
                <w:szCs w:val="18"/>
              </w:rPr>
              <w:t>13.0</w:t>
            </w:r>
          </w:p>
        </w:tc>
      </w:tr>
      <w:tr w:rsidR="005651BA" w:rsidRPr="00013DF9" w:rsidTr="005651BA">
        <w:tc>
          <w:tcPr>
            <w:tcW w:w="990" w:type="pct"/>
          </w:tcPr>
          <w:p w:rsidR="005651BA" w:rsidRPr="00046ACB" w:rsidRDefault="005651BA" w:rsidP="002D1BAB">
            <w:pPr>
              <w:pStyle w:val="TableBodyText"/>
              <w:jc w:val="left"/>
            </w:pPr>
            <w:r>
              <w:t xml:space="preserve"> Clearance rate</w:t>
            </w:r>
          </w:p>
        </w:tc>
        <w:tc>
          <w:tcPr>
            <w:tcW w:w="312" w:type="pct"/>
          </w:tcPr>
          <w:p w:rsidR="005651BA" w:rsidRPr="00013DF9" w:rsidRDefault="005651BA" w:rsidP="002D1BAB">
            <w:pPr>
              <w:pStyle w:val="TableBodyText"/>
              <w:rPr>
                <w:i/>
                <w:szCs w:val="16"/>
              </w:rPr>
            </w:pPr>
            <w:r w:rsidRPr="00013DF9">
              <w:rPr>
                <w:i/>
                <w:szCs w:val="16"/>
              </w:rPr>
              <w:t>%</w:t>
            </w:r>
          </w:p>
        </w:tc>
        <w:tc>
          <w:tcPr>
            <w:tcW w:w="580" w:type="pct"/>
            <w:vAlign w:val="bottom"/>
          </w:tcPr>
          <w:p w:rsidR="005651BA" w:rsidRPr="005651BA" w:rsidRDefault="005651BA" w:rsidP="005651BA">
            <w:pPr>
              <w:pStyle w:val="TableBodyText"/>
              <w:rPr>
                <w:sz w:val="18"/>
                <w:szCs w:val="18"/>
              </w:rPr>
            </w:pPr>
            <w:r w:rsidRPr="005651BA">
              <w:rPr>
                <w:sz w:val="18"/>
                <w:szCs w:val="18"/>
              </w:rPr>
              <w:t>106.5</w:t>
            </w:r>
          </w:p>
        </w:tc>
        <w:tc>
          <w:tcPr>
            <w:tcW w:w="537" w:type="pct"/>
            <w:vAlign w:val="bottom"/>
          </w:tcPr>
          <w:p w:rsidR="005651BA" w:rsidRPr="005651BA" w:rsidRDefault="005651BA" w:rsidP="005651BA">
            <w:pPr>
              <w:pStyle w:val="TableBodyText"/>
              <w:rPr>
                <w:sz w:val="18"/>
                <w:szCs w:val="18"/>
              </w:rPr>
            </w:pPr>
            <w:r w:rsidRPr="005651BA">
              <w:rPr>
                <w:sz w:val="18"/>
                <w:szCs w:val="18"/>
              </w:rPr>
              <w:t>88.1</w:t>
            </w:r>
          </w:p>
        </w:tc>
        <w:tc>
          <w:tcPr>
            <w:tcW w:w="465" w:type="pct"/>
            <w:vAlign w:val="bottom"/>
          </w:tcPr>
          <w:p w:rsidR="005651BA" w:rsidRPr="005651BA" w:rsidRDefault="005651BA" w:rsidP="005651BA">
            <w:pPr>
              <w:pStyle w:val="TableBodyText"/>
              <w:rPr>
                <w:sz w:val="18"/>
                <w:szCs w:val="18"/>
              </w:rPr>
            </w:pPr>
            <w:r w:rsidRPr="005651BA">
              <w:rPr>
                <w:sz w:val="18"/>
                <w:szCs w:val="18"/>
              </w:rPr>
              <w:t>120.9</w:t>
            </w:r>
          </w:p>
        </w:tc>
        <w:tc>
          <w:tcPr>
            <w:tcW w:w="423" w:type="pct"/>
            <w:vAlign w:val="bottom"/>
          </w:tcPr>
          <w:p w:rsidR="005651BA" w:rsidRPr="005651BA" w:rsidRDefault="005651BA" w:rsidP="005651BA">
            <w:pPr>
              <w:pStyle w:val="TableBodyText"/>
              <w:rPr>
                <w:sz w:val="18"/>
                <w:szCs w:val="18"/>
              </w:rPr>
            </w:pPr>
            <w:r w:rsidRPr="005651BA">
              <w:rPr>
                <w:sz w:val="18"/>
                <w:szCs w:val="18"/>
              </w:rPr>
              <w:t>62.0</w:t>
            </w:r>
          </w:p>
        </w:tc>
        <w:tc>
          <w:tcPr>
            <w:tcW w:w="423" w:type="pct"/>
            <w:vAlign w:val="bottom"/>
          </w:tcPr>
          <w:p w:rsidR="005651BA" w:rsidRPr="005651BA" w:rsidRDefault="0089558A" w:rsidP="005651BA">
            <w:pPr>
              <w:pStyle w:val="TableBodyText"/>
              <w:rPr>
                <w:sz w:val="18"/>
                <w:szCs w:val="18"/>
              </w:rPr>
            </w:pPr>
            <w:r>
              <w:rPr>
                <w:sz w:val="18"/>
                <w:szCs w:val="18"/>
              </w:rPr>
              <w:t>139.4</w:t>
            </w:r>
          </w:p>
        </w:tc>
        <w:tc>
          <w:tcPr>
            <w:tcW w:w="423" w:type="pct"/>
            <w:vAlign w:val="bottom"/>
          </w:tcPr>
          <w:p w:rsidR="005651BA" w:rsidRPr="005651BA" w:rsidRDefault="005651BA" w:rsidP="005651BA">
            <w:pPr>
              <w:pStyle w:val="TableBodyText"/>
              <w:rPr>
                <w:sz w:val="18"/>
                <w:szCs w:val="18"/>
              </w:rPr>
            </w:pPr>
            <w:r w:rsidRPr="005651BA">
              <w:rPr>
                <w:sz w:val="18"/>
                <w:szCs w:val="18"/>
              </w:rPr>
              <w:t>71.4</w:t>
            </w:r>
          </w:p>
        </w:tc>
        <w:tc>
          <w:tcPr>
            <w:tcW w:w="423" w:type="pct"/>
            <w:vAlign w:val="bottom"/>
          </w:tcPr>
          <w:p w:rsidR="005651BA" w:rsidRPr="005651BA" w:rsidRDefault="005651BA" w:rsidP="005651BA">
            <w:pPr>
              <w:pStyle w:val="TableBodyText"/>
              <w:rPr>
                <w:sz w:val="18"/>
                <w:szCs w:val="18"/>
              </w:rPr>
            </w:pPr>
            <w:r w:rsidRPr="005651BA">
              <w:rPr>
                <w:sz w:val="18"/>
                <w:szCs w:val="18"/>
              </w:rPr>
              <w:t>100.0</w:t>
            </w:r>
          </w:p>
        </w:tc>
        <w:tc>
          <w:tcPr>
            <w:tcW w:w="424" w:type="pct"/>
            <w:vAlign w:val="bottom"/>
          </w:tcPr>
          <w:p w:rsidR="005651BA" w:rsidRPr="005651BA" w:rsidRDefault="005651BA" w:rsidP="005651BA">
            <w:pPr>
              <w:pStyle w:val="TableBodyText"/>
              <w:rPr>
                <w:sz w:val="18"/>
                <w:szCs w:val="18"/>
              </w:rPr>
            </w:pPr>
            <w:r w:rsidRPr="005651BA">
              <w:rPr>
                <w:sz w:val="18"/>
                <w:szCs w:val="18"/>
              </w:rPr>
              <w:t>59.1</w:t>
            </w:r>
          </w:p>
        </w:tc>
      </w:tr>
      <w:tr w:rsidR="00013DF9" w:rsidRPr="00013DF9" w:rsidTr="00584FFF">
        <w:tc>
          <w:tcPr>
            <w:tcW w:w="5000" w:type="pct"/>
            <w:gridSpan w:val="10"/>
          </w:tcPr>
          <w:p w:rsidR="00013DF9" w:rsidRPr="00013DF9" w:rsidRDefault="00013DF9" w:rsidP="002D1BAB">
            <w:pPr>
              <w:pStyle w:val="TableBodyText"/>
              <w:jc w:val="left"/>
              <w:rPr>
                <w:b/>
              </w:rPr>
            </w:pPr>
            <w:r w:rsidRPr="00013DF9">
              <w:rPr>
                <w:b/>
              </w:rPr>
              <w:t>District/County</w:t>
            </w:r>
          </w:p>
        </w:tc>
      </w:tr>
      <w:tr w:rsidR="0006049C" w:rsidRPr="00013DF9" w:rsidTr="005651BA">
        <w:tc>
          <w:tcPr>
            <w:tcW w:w="990" w:type="pct"/>
          </w:tcPr>
          <w:p w:rsidR="0006049C" w:rsidRPr="00013DF9" w:rsidRDefault="0006049C" w:rsidP="002D1BAB">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06049C" w:rsidRPr="00013DF9" w:rsidRDefault="0006049C" w:rsidP="002D1BAB">
            <w:pPr>
              <w:pStyle w:val="TableBodyText"/>
              <w:rPr>
                <w:szCs w:val="18"/>
              </w:rPr>
            </w:pPr>
            <w:r>
              <w:rPr>
                <w:szCs w:val="18"/>
              </w:rPr>
              <w:t>no.</w:t>
            </w:r>
          </w:p>
        </w:tc>
        <w:tc>
          <w:tcPr>
            <w:tcW w:w="580" w:type="pct"/>
            <w:vAlign w:val="bottom"/>
          </w:tcPr>
          <w:p w:rsidR="0006049C" w:rsidRPr="0006049C" w:rsidRDefault="0006049C" w:rsidP="0006049C">
            <w:pPr>
              <w:pStyle w:val="TableBodyText"/>
              <w:rPr>
                <w:sz w:val="18"/>
                <w:szCs w:val="18"/>
              </w:rPr>
            </w:pPr>
            <w:r w:rsidRPr="0006049C">
              <w:rPr>
                <w:sz w:val="18"/>
                <w:szCs w:val="18"/>
              </w:rPr>
              <w:t>81</w:t>
            </w:r>
          </w:p>
        </w:tc>
        <w:tc>
          <w:tcPr>
            <w:tcW w:w="537" w:type="pct"/>
            <w:vAlign w:val="bottom"/>
          </w:tcPr>
          <w:p w:rsidR="0006049C" w:rsidRPr="0006049C" w:rsidRDefault="0006049C" w:rsidP="0006049C">
            <w:pPr>
              <w:pStyle w:val="TableBodyText"/>
              <w:rPr>
                <w:sz w:val="18"/>
                <w:szCs w:val="18"/>
              </w:rPr>
            </w:pPr>
            <w:r w:rsidRPr="0006049C">
              <w:rPr>
                <w:sz w:val="18"/>
                <w:szCs w:val="18"/>
              </w:rPr>
              <w:t>31</w:t>
            </w:r>
          </w:p>
        </w:tc>
        <w:tc>
          <w:tcPr>
            <w:tcW w:w="465" w:type="pct"/>
            <w:vAlign w:val="bottom"/>
          </w:tcPr>
          <w:p w:rsidR="0006049C" w:rsidRPr="0006049C" w:rsidRDefault="0006049C" w:rsidP="0006049C">
            <w:pPr>
              <w:pStyle w:val="TableBodyText"/>
              <w:rPr>
                <w:sz w:val="18"/>
                <w:szCs w:val="18"/>
              </w:rPr>
            </w:pPr>
            <w:r w:rsidRPr="0006049C">
              <w:rPr>
                <w:sz w:val="18"/>
                <w:szCs w:val="18"/>
              </w:rPr>
              <w:t>15</w:t>
            </w:r>
          </w:p>
        </w:tc>
        <w:tc>
          <w:tcPr>
            <w:tcW w:w="423" w:type="pct"/>
            <w:vAlign w:val="bottom"/>
          </w:tcPr>
          <w:p w:rsidR="0006049C" w:rsidRPr="0006049C" w:rsidRDefault="0006049C" w:rsidP="0006049C">
            <w:pPr>
              <w:pStyle w:val="TableBodyText"/>
              <w:rPr>
                <w:sz w:val="18"/>
                <w:szCs w:val="18"/>
              </w:rPr>
            </w:pPr>
            <w:r w:rsidRPr="0006049C">
              <w:rPr>
                <w:sz w:val="18"/>
                <w:szCs w:val="18"/>
              </w:rPr>
              <w:t>31</w:t>
            </w:r>
          </w:p>
        </w:tc>
        <w:tc>
          <w:tcPr>
            <w:tcW w:w="423" w:type="pct"/>
            <w:vAlign w:val="bottom"/>
          </w:tcPr>
          <w:p w:rsidR="0006049C" w:rsidRPr="0006049C" w:rsidRDefault="0006049C" w:rsidP="0006049C">
            <w:pPr>
              <w:pStyle w:val="TableBodyText"/>
              <w:rPr>
                <w:sz w:val="18"/>
                <w:szCs w:val="18"/>
              </w:rPr>
            </w:pPr>
            <w:r w:rsidRPr="0006049C">
              <w:rPr>
                <w:sz w:val="18"/>
                <w:szCs w:val="18"/>
              </w:rPr>
              <w:t>9</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4" w:type="pct"/>
            <w:vAlign w:val="bottom"/>
          </w:tcPr>
          <w:p w:rsidR="0006049C" w:rsidRPr="0006049C" w:rsidRDefault="0006049C" w:rsidP="0006049C">
            <w:pPr>
              <w:pStyle w:val="TableBodyText"/>
              <w:rPr>
                <w:sz w:val="18"/>
                <w:szCs w:val="18"/>
              </w:rPr>
            </w:pPr>
            <w:r w:rsidRPr="0006049C">
              <w:rPr>
                <w:sz w:val="18"/>
                <w:szCs w:val="18"/>
              </w:rPr>
              <w:t>..</w:t>
            </w:r>
          </w:p>
        </w:tc>
      </w:tr>
      <w:tr w:rsidR="0006049C" w:rsidRPr="00013DF9" w:rsidTr="005651BA">
        <w:tc>
          <w:tcPr>
            <w:tcW w:w="990" w:type="pct"/>
          </w:tcPr>
          <w:p w:rsidR="0006049C" w:rsidRPr="00013DF9" w:rsidRDefault="0006049C" w:rsidP="002D1BAB">
            <w:pPr>
              <w:pStyle w:val="TableBodyText"/>
              <w:jc w:val="left"/>
              <w:rPr>
                <w:szCs w:val="18"/>
              </w:rPr>
            </w:pPr>
            <w:r w:rsidRPr="00013DF9">
              <w:rPr>
                <w:szCs w:val="18"/>
              </w:rPr>
              <w:t xml:space="preserve"> Finalisations</w:t>
            </w:r>
          </w:p>
        </w:tc>
        <w:tc>
          <w:tcPr>
            <w:tcW w:w="312" w:type="pct"/>
          </w:tcPr>
          <w:p w:rsidR="0006049C" w:rsidRPr="00013DF9" w:rsidRDefault="0006049C" w:rsidP="002D1BAB">
            <w:pPr>
              <w:pStyle w:val="TableBodyText"/>
              <w:rPr>
                <w:szCs w:val="18"/>
              </w:rPr>
            </w:pPr>
            <w:r>
              <w:rPr>
                <w:szCs w:val="18"/>
              </w:rPr>
              <w:t>no.</w:t>
            </w:r>
          </w:p>
        </w:tc>
        <w:tc>
          <w:tcPr>
            <w:tcW w:w="580" w:type="pct"/>
            <w:vAlign w:val="bottom"/>
          </w:tcPr>
          <w:p w:rsidR="0006049C" w:rsidRPr="0006049C" w:rsidRDefault="0006049C" w:rsidP="0006049C">
            <w:pPr>
              <w:pStyle w:val="TableBodyText"/>
              <w:rPr>
                <w:sz w:val="18"/>
                <w:szCs w:val="18"/>
              </w:rPr>
            </w:pPr>
            <w:r w:rsidRPr="0006049C">
              <w:rPr>
                <w:sz w:val="18"/>
                <w:szCs w:val="18"/>
              </w:rPr>
              <w:t>77</w:t>
            </w:r>
          </w:p>
        </w:tc>
        <w:tc>
          <w:tcPr>
            <w:tcW w:w="537" w:type="pct"/>
            <w:vAlign w:val="bottom"/>
          </w:tcPr>
          <w:p w:rsidR="0006049C" w:rsidRPr="0006049C" w:rsidRDefault="0006049C" w:rsidP="0006049C">
            <w:pPr>
              <w:pStyle w:val="TableBodyText"/>
              <w:rPr>
                <w:sz w:val="18"/>
                <w:szCs w:val="18"/>
              </w:rPr>
            </w:pPr>
            <w:r w:rsidRPr="0006049C">
              <w:rPr>
                <w:sz w:val="18"/>
                <w:szCs w:val="18"/>
              </w:rPr>
              <w:t>43</w:t>
            </w:r>
          </w:p>
        </w:tc>
        <w:tc>
          <w:tcPr>
            <w:tcW w:w="465" w:type="pct"/>
            <w:vAlign w:val="bottom"/>
          </w:tcPr>
          <w:p w:rsidR="0006049C" w:rsidRPr="0006049C" w:rsidRDefault="0006049C" w:rsidP="0006049C">
            <w:pPr>
              <w:pStyle w:val="TableBodyText"/>
              <w:rPr>
                <w:sz w:val="18"/>
                <w:szCs w:val="18"/>
              </w:rPr>
            </w:pPr>
            <w:r w:rsidRPr="0006049C">
              <w:rPr>
                <w:sz w:val="18"/>
                <w:szCs w:val="18"/>
              </w:rPr>
              <w:t>15</w:t>
            </w:r>
          </w:p>
        </w:tc>
        <w:tc>
          <w:tcPr>
            <w:tcW w:w="423" w:type="pct"/>
            <w:vAlign w:val="bottom"/>
          </w:tcPr>
          <w:p w:rsidR="0006049C" w:rsidRPr="0006049C" w:rsidRDefault="0006049C" w:rsidP="0006049C">
            <w:pPr>
              <w:pStyle w:val="TableBodyText"/>
              <w:rPr>
                <w:sz w:val="18"/>
                <w:szCs w:val="18"/>
              </w:rPr>
            </w:pPr>
            <w:r w:rsidRPr="0006049C">
              <w:rPr>
                <w:sz w:val="18"/>
                <w:szCs w:val="18"/>
              </w:rPr>
              <w:t>20</w:t>
            </w:r>
          </w:p>
        </w:tc>
        <w:tc>
          <w:tcPr>
            <w:tcW w:w="423" w:type="pct"/>
            <w:vAlign w:val="bottom"/>
          </w:tcPr>
          <w:p w:rsidR="0006049C" w:rsidRPr="0006049C" w:rsidRDefault="00364D9A" w:rsidP="0006049C">
            <w:pPr>
              <w:pStyle w:val="TableBodyText"/>
              <w:rPr>
                <w:sz w:val="18"/>
                <w:szCs w:val="18"/>
              </w:rPr>
            </w:pPr>
            <w:r>
              <w:rPr>
                <w:sz w:val="18"/>
                <w:szCs w:val="18"/>
              </w:rPr>
              <w:t>13</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4" w:type="pct"/>
            <w:vAlign w:val="bottom"/>
          </w:tcPr>
          <w:p w:rsidR="0006049C" w:rsidRPr="0006049C" w:rsidRDefault="0006049C" w:rsidP="0006049C">
            <w:pPr>
              <w:pStyle w:val="TableBodyText"/>
              <w:rPr>
                <w:sz w:val="18"/>
                <w:szCs w:val="18"/>
              </w:rPr>
            </w:pPr>
            <w:r w:rsidRPr="0006049C">
              <w:rPr>
                <w:sz w:val="18"/>
                <w:szCs w:val="18"/>
              </w:rPr>
              <w:t>..</w:t>
            </w:r>
          </w:p>
        </w:tc>
      </w:tr>
      <w:tr w:rsidR="0006049C" w:rsidRPr="00013DF9" w:rsidTr="005651BA">
        <w:tc>
          <w:tcPr>
            <w:tcW w:w="990" w:type="pct"/>
          </w:tcPr>
          <w:p w:rsidR="0006049C" w:rsidRPr="00046ACB" w:rsidRDefault="0006049C" w:rsidP="002D1BAB">
            <w:pPr>
              <w:pStyle w:val="TableBodyText"/>
              <w:jc w:val="left"/>
            </w:pPr>
            <w:r>
              <w:t xml:space="preserve"> Pending</w:t>
            </w:r>
          </w:p>
        </w:tc>
        <w:tc>
          <w:tcPr>
            <w:tcW w:w="312" w:type="pct"/>
          </w:tcPr>
          <w:p w:rsidR="0006049C" w:rsidRPr="00013DF9" w:rsidRDefault="0006049C" w:rsidP="002D1BAB">
            <w:pPr>
              <w:pStyle w:val="TableBodyText"/>
              <w:rPr>
                <w:i/>
                <w:szCs w:val="16"/>
              </w:rPr>
            </w:pPr>
            <w:r>
              <w:rPr>
                <w:i/>
                <w:szCs w:val="16"/>
              </w:rPr>
              <w:t>no.</w:t>
            </w:r>
          </w:p>
        </w:tc>
        <w:tc>
          <w:tcPr>
            <w:tcW w:w="580" w:type="pct"/>
            <w:vAlign w:val="bottom"/>
          </w:tcPr>
          <w:p w:rsidR="0006049C" w:rsidRPr="0006049C" w:rsidRDefault="0006049C" w:rsidP="0006049C">
            <w:pPr>
              <w:pStyle w:val="TableBodyText"/>
              <w:rPr>
                <w:sz w:val="18"/>
                <w:szCs w:val="18"/>
              </w:rPr>
            </w:pPr>
            <w:r w:rsidRPr="0006049C">
              <w:rPr>
                <w:sz w:val="18"/>
                <w:szCs w:val="18"/>
              </w:rPr>
              <w:t>67</w:t>
            </w:r>
          </w:p>
        </w:tc>
        <w:tc>
          <w:tcPr>
            <w:tcW w:w="537" w:type="pct"/>
            <w:vAlign w:val="bottom"/>
          </w:tcPr>
          <w:p w:rsidR="0006049C" w:rsidRPr="0006049C" w:rsidRDefault="0006049C" w:rsidP="0006049C">
            <w:pPr>
              <w:pStyle w:val="TableBodyText"/>
              <w:rPr>
                <w:sz w:val="18"/>
                <w:szCs w:val="18"/>
              </w:rPr>
            </w:pPr>
            <w:r w:rsidRPr="0006049C">
              <w:rPr>
                <w:sz w:val="18"/>
                <w:szCs w:val="18"/>
              </w:rPr>
              <w:t>18</w:t>
            </w:r>
          </w:p>
        </w:tc>
        <w:tc>
          <w:tcPr>
            <w:tcW w:w="465" w:type="pct"/>
            <w:vAlign w:val="bottom"/>
          </w:tcPr>
          <w:p w:rsidR="0006049C" w:rsidRPr="0006049C" w:rsidRDefault="0006049C" w:rsidP="0006049C">
            <w:pPr>
              <w:pStyle w:val="TableBodyText"/>
              <w:rPr>
                <w:sz w:val="18"/>
                <w:szCs w:val="18"/>
              </w:rPr>
            </w:pPr>
            <w:r w:rsidRPr="0006049C">
              <w:rPr>
                <w:sz w:val="18"/>
                <w:szCs w:val="18"/>
              </w:rPr>
              <w:t>6</w:t>
            </w:r>
          </w:p>
        </w:tc>
        <w:tc>
          <w:tcPr>
            <w:tcW w:w="423" w:type="pct"/>
            <w:vAlign w:val="bottom"/>
          </w:tcPr>
          <w:p w:rsidR="0006049C" w:rsidRPr="0006049C" w:rsidRDefault="0006049C" w:rsidP="0006049C">
            <w:pPr>
              <w:pStyle w:val="TableBodyText"/>
              <w:rPr>
                <w:sz w:val="18"/>
                <w:szCs w:val="18"/>
              </w:rPr>
            </w:pPr>
            <w:r w:rsidRPr="0006049C">
              <w:rPr>
                <w:sz w:val="18"/>
                <w:szCs w:val="18"/>
              </w:rPr>
              <w:t>17</w:t>
            </w:r>
          </w:p>
        </w:tc>
        <w:tc>
          <w:tcPr>
            <w:tcW w:w="423" w:type="pct"/>
            <w:vAlign w:val="bottom"/>
          </w:tcPr>
          <w:p w:rsidR="0006049C" w:rsidRPr="0006049C" w:rsidRDefault="0006049C" w:rsidP="0006049C">
            <w:pPr>
              <w:pStyle w:val="TableBodyText"/>
              <w:rPr>
                <w:sz w:val="18"/>
                <w:szCs w:val="18"/>
              </w:rPr>
            </w:pPr>
            <w:r w:rsidRPr="0006049C">
              <w:rPr>
                <w:sz w:val="18"/>
                <w:szCs w:val="18"/>
              </w:rPr>
              <w:t>11</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4" w:type="pct"/>
            <w:vAlign w:val="bottom"/>
          </w:tcPr>
          <w:p w:rsidR="0006049C" w:rsidRPr="0006049C" w:rsidRDefault="0006049C" w:rsidP="0006049C">
            <w:pPr>
              <w:pStyle w:val="TableBodyText"/>
              <w:rPr>
                <w:sz w:val="18"/>
                <w:szCs w:val="18"/>
              </w:rPr>
            </w:pPr>
            <w:r w:rsidRPr="0006049C">
              <w:rPr>
                <w:sz w:val="18"/>
                <w:szCs w:val="18"/>
              </w:rPr>
              <w:t>..</w:t>
            </w:r>
          </w:p>
        </w:tc>
      </w:tr>
      <w:tr w:rsidR="0006049C" w:rsidRPr="00013DF9" w:rsidTr="006165C4">
        <w:tc>
          <w:tcPr>
            <w:tcW w:w="990" w:type="pct"/>
          </w:tcPr>
          <w:p w:rsidR="0006049C" w:rsidRPr="00013DF9" w:rsidRDefault="0006049C" w:rsidP="002D1BAB">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06049C" w:rsidRPr="00013DF9" w:rsidRDefault="0006049C" w:rsidP="002D1BAB">
            <w:pPr>
              <w:pStyle w:val="TableBodyText"/>
              <w:rPr>
                <w:szCs w:val="18"/>
              </w:rPr>
            </w:pPr>
            <w:r>
              <w:rPr>
                <w:szCs w:val="18"/>
              </w:rPr>
              <w:t>%</w:t>
            </w:r>
          </w:p>
        </w:tc>
        <w:tc>
          <w:tcPr>
            <w:tcW w:w="580" w:type="pct"/>
            <w:vAlign w:val="center"/>
          </w:tcPr>
          <w:p w:rsidR="0006049C" w:rsidRPr="0006049C" w:rsidRDefault="0006049C" w:rsidP="0006049C">
            <w:pPr>
              <w:pStyle w:val="TableBodyText"/>
              <w:rPr>
                <w:sz w:val="18"/>
                <w:szCs w:val="18"/>
              </w:rPr>
            </w:pPr>
            <w:r w:rsidRPr="0006049C">
              <w:rPr>
                <w:sz w:val="18"/>
                <w:szCs w:val="18"/>
              </w:rPr>
              <w:t>14.9</w:t>
            </w:r>
          </w:p>
        </w:tc>
        <w:tc>
          <w:tcPr>
            <w:tcW w:w="537" w:type="pct"/>
            <w:vAlign w:val="center"/>
          </w:tcPr>
          <w:p w:rsidR="0006049C" w:rsidRPr="0006049C" w:rsidRDefault="0006049C" w:rsidP="0006049C">
            <w:pPr>
              <w:pStyle w:val="TableBodyText"/>
              <w:rPr>
                <w:sz w:val="18"/>
                <w:szCs w:val="18"/>
              </w:rPr>
            </w:pPr>
            <w:r w:rsidRPr="0006049C">
              <w:rPr>
                <w:sz w:val="18"/>
                <w:szCs w:val="18"/>
              </w:rPr>
              <w:t>44.4</w:t>
            </w:r>
          </w:p>
        </w:tc>
        <w:tc>
          <w:tcPr>
            <w:tcW w:w="465" w:type="pct"/>
            <w:vAlign w:val="center"/>
          </w:tcPr>
          <w:p w:rsidR="0006049C" w:rsidRPr="0006049C" w:rsidRDefault="0006049C" w:rsidP="0006049C">
            <w:pPr>
              <w:pStyle w:val="TableBodyText"/>
              <w:rPr>
                <w:sz w:val="18"/>
                <w:szCs w:val="18"/>
              </w:rPr>
            </w:pPr>
            <w:r>
              <w:rPr>
                <w:sz w:val="18"/>
                <w:szCs w:val="18"/>
              </w:rPr>
              <w:t>–</w:t>
            </w:r>
          </w:p>
        </w:tc>
        <w:tc>
          <w:tcPr>
            <w:tcW w:w="423" w:type="pct"/>
            <w:vAlign w:val="center"/>
          </w:tcPr>
          <w:p w:rsidR="0006049C" w:rsidRPr="0006049C" w:rsidRDefault="0006049C" w:rsidP="0006049C">
            <w:pPr>
              <w:pStyle w:val="TableBodyText"/>
              <w:rPr>
                <w:sz w:val="18"/>
                <w:szCs w:val="18"/>
              </w:rPr>
            </w:pPr>
            <w:r>
              <w:rPr>
                <w:sz w:val="18"/>
                <w:szCs w:val="18"/>
              </w:rPr>
              <w:t>–</w:t>
            </w:r>
          </w:p>
        </w:tc>
        <w:tc>
          <w:tcPr>
            <w:tcW w:w="423" w:type="pct"/>
            <w:vAlign w:val="center"/>
          </w:tcPr>
          <w:p w:rsidR="0006049C" w:rsidRPr="0006049C" w:rsidRDefault="0006049C" w:rsidP="0006049C">
            <w:pPr>
              <w:pStyle w:val="TableBodyText"/>
              <w:rPr>
                <w:sz w:val="18"/>
                <w:szCs w:val="18"/>
              </w:rPr>
            </w:pPr>
            <w:r w:rsidRPr="0006049C">
              <w:rPr>
                <w:sz w:val="18"/>
                <w:szCs w:val="18"/>
              </w:rPr>
              <w:t>27.3</w:t>
            </w:r>
          </w:p>
        </w:tc>
        <w:tc>
          <w:tcPr>
            <w:tcW w:w="423" w:type="pct"/>
            <w:vAlign w:val="center"/>
          </w:tcPr>
          <w:p w:rsidR="0006049C" w:rsidRPr="0006049C" w:rsidRDefault="0006049C" w:rsidP="0006049C">
            <w:pPr>
              <w:pStyle w:val="TableBodyText"/>
              <w:rPr>
                <w:sz w:val="18"/>
                <w:szCs w:val="18"/>
              </w:rPr>
            </w:pPr>
            <w:r w:rsidRPr="0006049C">
              <w:rPr>
                <w:sz w:val="18"/>
                <w:szCs w:val="18"/>
              </w:rPr>
              <w:t>..</w:t>
            </w:r>
          </w:p>
        </w:tc>
        <w:tc>
          <w:tcPr>
            <w:tcW w:w="423" w:type="pct"/>
            <w:vAlign w:val="center"/>
          </w:tcPr>
          <w:p w:rsidR="0006049C" w:rsidRPr="0006049C" w:rsidRDefault="0006049C" w:rsidP="0006049C">
            <w:pPr>
              <w:pStyle w:val="TableBodyText"/>
              <w:rPr>
                <w:sz w:val="18"/>
                <w:szCs w:val="18"/>
              </w:rPr>
            </w:pPr>
            <w:r w:rsidRPr="0006049C">
              <w:rPr>
                <w:sz w:val="18"/>
                <w:szCs w:val="18"/>
              </w:rPr>
              <w:t>..</w:t>
            </w:r>
          </w:p>
        </w:tc>
        <w:tc>
          <w:tcPr>
            <w:tcW w:w="424" w:type="pct"/>
            <w:vAlign w:val="center"/>
          </w:tcPr>
          <w:p w:rsidR="0006049C" w:rsidRPr="0006049C" w:rsidRDefault="0006049C" w:rsidP="0006049C">
            <w:pPr>
              <w:pStyle w:val="TableBodyText"/>
              <w:rPr>
                <w:sz w:val="18"/>
                <w:szCs w:val="18"/>
              </w:rPr>
            </w:pPr>
            <w:r w:rsidRPr="0006049C">
              <w:rPr>
                <w:sz w:val="18"/>
                <w:szCs w:val="18"/>
              </w:rPr>
              <w:t>..</w:t>
            </w:r>
          </w:p>
        </w:tc>
      </w:tr>
      <w:tr w:rsidR="0006049C" w:rsidRPr="00013DF9" w:rsidTr="006165C4">
        <w:tc>
          <w:tcPr>
            <w:tcW w:w="990" w:type="pct"/>
          </w:tcPr>
          <w:p w:rsidR="0006049C" w:rsidRPr="00013DF9" w:rsidRDefault="0006049C" w:rsidP="002D1BAB">
            <w:pPr>
              <w:pStyle w:val="TableBodyText"/>
              <w:jc w:val="left"/>
              <w:rPr>
                <w:szCs w:val="18"/>
              </w:rPr>
            </w:pPr>
            <w:r>
              <w:rPr>
                <w:szCs w:val="18"/>
              </w:rPr>
              <w:t xml:space="preserve"> Backlog &gt;24 </w:t>
            </w:r>
            <w:proofErr w:type="spellStart"/>
            <w:r>
              <w:rPr>
                <w:szCs w:val="18"/>
              </w:rPr>
              <w:t>mths</w:t>
            </w:r>
            <w:proofErr w:type="spellEnd"/>
          </w:p>
        </w:tc>
        <w:tc>
          <w:tcPr>
            <w:tcW w:w="312" w:type="pct"/>
          </w:tcPr>
          <w:p w:rsidR="0006049C" w:rsidRPr="00013DF9" w:rsidRDefault="0006049C" w:rsidP="002D1BAB">
            <w:pPr>
              <w:pStyle w:val="TableBodyText"/>
              <w:rPr>
                <w:szCs w:val="18"/>
              </w:rPr>
            </w:pPr>
            <w:r>
              <w:rPr>
                <w:szCs w:val="18"/>
              </w:rPr>
              <w:t>%</w:t>
            </w:r>
          </w:p>
        </w:tc>
        <w:tc>
          <w:tcPr>
            <w:tcW w:w="580" w:type="pct"/>
            <w:vAlign w:val="center"/>
          </w:tcPr>
          <w:p w:rsidR="0006049C" w:rsidRPr="0006049C" w:rsidRDefault="0006049C" w:rsidP="0006049C">
            <w:pPr>
              <w:pStyle w:val="TableBodyText"/>
              <w:rPr>
                <w:sz w:val="18"/>
                <w:szCs w:val="18"/>
              </w:rPr>
            </w:pPr>
            <w:r>
              <w:rPr>
                <w:sz w:val="18"/>
                <w:szCs w:val="18"/>
              </w:rPr>
              <w:t>–</w:t>
            </w:r>
          </w:p>
        </w:tc>
        <w:tc>
          <w:tcPr>
            <w:tcW w:w="537" w:type="pct"/>
            <w:vAlign w:val="center"/>
          </w:tcPr>
          <w:p w:rsidR="0006049C" w:rsidRPr="0006049C" w:rsidRDefault="0006049C" w:rsidP="0006049C">
            <w:pPr>
              <w:pStyle w:val="TableBodyText"/>
              <w:rPr>
                <w:sz w:val="18"/>
                <w:szCs w:val="18"/>
              </w:rPr>
            </w:pPr>
            <w:r w:rsidRPr="0006049C">
              <w:rPr>
                <w:sz w:val="18"/>
                <w:szCs w:val="18"/>
              </w:rPr>
              <w:t>5.6</w:t>
            </w:r>
          </w:p>
        </w:tc>
        <w:tc>
          <w:tcPr>
            <w:tcW w:w="465" w:type="pct"/>
            <w:vAlign w:val="center"/>
          </w:tcPr>
          <w:p w:rsidR="0006049C" w:rsidRPr="0006049C" w:rsidRDefault="0006049C" w:rsidP="0006049C">
            <w:pPr>
              <w:pStyle w:val="TableBodyText"/>
              <w:rPr>
                <w:sz w:val="18"/>
                <w:szCs w:val="18"/>
              </w:rPr>
            </w:pPr>
            <w:r>
              <w:rPr>
                <w:sz w:val="18"/>
                <w:szCs w:val="18"/>
              </w:rPr>
              <w:t>–</w:t>
            </w:r>
          </w:p>
        </w:tc>
        <w:tc>
          <w:tcPr>
            <w:tcW w:w="423" w:type="pct"/>
            <w:vAlign w:val="center"/>
          </w:tcPr>
          <w:p w:rsidR="0006049C" w:rsidRPr="0006049C" w:rsidRDefault="0006049C" w:rsidP="0006049C">
            <w:pPr>
              <w:pStyle w:val="TableBodyText"/>
              <w:rPr>
                <w:sz w:val="18"/>
                <w:szCs w:val="18"/>
              </w:rPr>
            </w:pPr>
            <w:r>
              <w:rPr>
                <w:sz w:val="18"/>
                <w:szCs w:val="18"/>
              </w:rPr>
              <w:t>–</w:t>
            </w:r>
          </w:p>
        </w:tc>
        <w:tc>
          <w:tcPr>
            <w:tcW w:w="423" w:type="pct"/>
            <w:vAlign w:val="center"/>
          </w:tcPr>
          <w:p w:rsidR="0006049C" w:rsidRPr="0006049C" w:rsidRDefault="0006049C" w:rsidP="0006049C">
            <w:pPr>
              <w:pStyle w:val="TableBodyText"/>
              <w:rPr>
                <w:sz w:val="18"/>
                <w:szCs w:val="18"/>
              </w:rPr>
            </w:pPr>
            <w:r>
              <w:rPr>
                <w:sz w:val="18"/>
                <w:szCs w:val="18"/>
              </w:rPr>
              <w:t>–</w:t>
            </w:r>
          </w:p>
        </w:tc>
        <w:tc>
          <w:tcPr>
            <w:tcW w:w="423" w:type="pct"/>
            <w:vAlign w:val="center"/>
          </w:tcPr>
          <w:p w:rsidR="0006049C" w:rsidRPr="0006049C" w:rsidRDefault="0006049C" w:rsidP="0006049C">
            <w:pPr>
              <w:pStyle w:val="TableBodyText"/>
              <w:rPr>
                <w:sz w:val="18"/>
                <w:szCs w:val="18"/>
              </w:rPr>
            </w:pPr>
            <w:r w:rsidRPr="0006049C">
              <w:rPr>
                <w:sz w:val="18"/>
                <w:szCs w:val="18"/>
              </w:rPr>
              <w:t>..</w:t>
            </w:r>
          </w:p>
        </w:tc>
        <w:tc>
          <w:tcPr>
            <w:tcW w:w="423" w:type="pct"/>
            <w:vAlign w:val="center"/>
          </w:tcPr>
          <w:p w:rsidR="0006049C" w:rsidRPr="0006049C" w:rsidRDefault="0006049C" w:rsidP="0006049C">
            <w:pPr>
              <w:pStyle w:val="TableBodyText"/>
              <w:rPr>
                <w:sz w:val="18"/>
                <w:szCs w:val="18"/>
              </w:rPr>
            </w:pPr>
            <w:r w:rsidRPr="0006049C">
              <w:rPr>
                <w:sz w:val="18"/>
                <w:szCs w:val="18"/>
              </w:rPr>
              <w:t>..</w:t>
            </w:r>
          </w:p>
        </w:tc>
        <w:tc>
          <w:tcPr>
            <w:tcW w:w="424" w:type="pct"/>
            <w:vAlign w:val="center"/>
          </w:tcPr>
          <w:p w:rsidR="0006049C" w:rsidRPr="0006049C" w:rsidRDefault="0006049C" w:rsidP="0006049C">
            <w:pPr>
              <w:pStyle w:val="TableBodyText"/>
              <w:rPr>
                <w:sz w:val="18"/>
                <w:szCs w:val="18"/>
              </w:rPr>
            </w:pPr>
            <w:r w:rsidRPr="0006049C">
              <w:rPr>
                <w:sz w:val="18"/>
                <w:szCs w:val="18"/>
              </w:rPr>
              <w:t>..</w:t>
            </w:r>
          </w:p>
        </w:tc>
      </w:tr>
      <w:tr w:rsidR="0006049C" w:rsidRPr="00013DF9" w:rsidTr="005651BA">
        <w:tc>
          <w:tcPr>
            <w:tcW w:w="990" w:type="pct"/>
          </w:tcPr>
          <w:p w:rsidR="0006049C" w:rsidRPr="00046ACB" w:rsidRDefault="0006049C" w:rsidP="002D1BAB">
            <w:pPr>
              <w:pStyle w:val="TableBodyText"/>
              <w:jc w:val="left"/>
            </w:pPr>
            <w:r>
              <w:t xml:space="preserve"> </w:t>
            </w:r>
            <w:r w:rsidRPr="00046ACB">
              <w:t>Attendance</w:t>
            </w:r>
          </w:p>
        </w:tc>
        <w:tc>
          <w:tcPr>
            <w:tcW w:w="312" w:type="pct"/>
          </w:tcPr>
          <w:p w:rsidR="0006049C" w:rsidRPr="008A7DD0" w:rsidRDefault="0006049C" w:rsidP="002D1BAB">
            <w:pPr>
              <w:pStyle w:val="TableBodyText"/>
              <w:rPr>
                <w:szCs w:val="16"/>
              </w:rPr>
            </w:pPr>
            <w:r>
              <w:rPr>
                <w:szCs w:val="16"/>
              </w:rPr>
              <w:t>n</w:t>
            </w:r>
            <w:r w:rsidRPr="008A7DD0">
              <w:rPr>
                <w:szCs w:val="16"/>
              </w:rPr>
              <w:t>o.</w:t>
            </w:r>
          </w:p>
        </w:tc>
        <w:tc>
          <w:tcPr>
            <w:tcW w:w="580" w:type="pct"/>
            <w:vAlign w:val="bottom"/>
          </w:tcPr>
          <w:p w:rsidR="0006049C" w:rsidRPr="0006049C" w:rsidRDefault="0006049C" w:rsidP="0006049C">
            <w:pPr>
              <w:pStyle w:val="TableBodyText"/>
              <w:rPr>
                <w:sz w:val="18"/>
                <w:szCs w:val="18"/>
              </w:rPr>
            </w:pPr>
            <w:proofErr w:type="spellStart"/>
            <w:r w:rsidRPr="0006049C">
              <w:rPr>
                <w:sz w:val="18"/>
                <w:szCs w:val="18"/>
              </w:rPr>
              <w:t>na</w:t>
            </w:r>
            <w:proofErr w:type="spellEnd"/>
          </w:p>
        </w:tc>
        <w:tc>
          <w:tcPr>
            <w:tcW w:w="537" w:type="pct"/>
            <w:vAlign w:val="bottom"/>
          </w:tcPr>
          <w:p w:rsidR="0006049C" w:rsidRPr="0006049C" w:rsidRDefault="0006049C" w:rsidP="0006049C">
            <w:pPr>
              <w:pStyle w:val="TableBodyText"/>
              <w:rPr>
                <w:sz w:val="18"/>
                <w:szCs w:val="18"/>
              </w:rPr>
            </w:pPr>
            <w:r w:rsidRPr="0006049C">
              <w:rPr>
                <w:sz w:val="18"/>
                <w:szCs w:val="18"/>
              </w:rPr>
              <w:t>5.2</w:t>
            </w:r>
          </w:p>
        </w:tc>
        <w:tc>
          <w:tcPr>
            <w:tcW w:w="465" w:type="pct"/>
            <w:vAlign w:val="bottom"/>
          </w:tcPr>
          <w:p w:rsidR="0006049C" w:rsidRPr="0006049C" w:rsidRDefault="0006049C" w:rsidP="0006049C">
            <w:pPr>
              <w:pStyle w:val="TableBodyText"/>
              <w:rPr>
                <w:sz w:val="18"/>
                <w:szCs w:val="18"/>
              </w:rPr>
            </w:pPr>
            <w:r w:rsidRPr="0006049C">
              <w:rPr>
                <w:sz w:val="18"/>
                <w:szCs w:val="18"/>
              </w:rPr>
              <w:t>4.1</w:t>
            </w:r>
          </w:p>
        </w:tc>
        <w:tc>
          <w:tcPr>
            <w:tcW w:w="423" w:type="pct"/>
            <w:vAlign w:val="bottom"/>
          </w:tcPr>
          <w:p w:rsidR="0006049C" w:rsidRPr="0006049C" w:rsidRDefault="0006049C" w:rsidP="0006049C">
            <w:pPr>
              <w:pStyle w:val="TableBodyText"/>
              <w:rPr>
                <w:sz w:val="18"/>
                <w:szCs w:val="18"/>
              </w:rPr>
            </w:pPr>
            <w:r w:rsidRPr="0006049C">
              <w:rPr>
                <w:sz w:val="18"/>
                <w:szCs w:val="18"/>
              </w:rPr>
              <w:t>2.8</w:t>
            </w:r>
          </w:p>
        </w:tc>
        <w:tc>
          <w:tcPr>
            <w:tcW w:w="423" w:type="pct"/>
            <w:vAlign w:val="bottom"/>
          </w:tcPr>
          <w:p w:rsidR="0006049C" w:rsidRPr="0006049C" w:rsidRDefault="005C2B7B" w:rsidP="005C2B7B">
            <w:pPr>
              <w:pStyle w:val="TableBodyText"/>
              <w:rPr>
                <w:sz w:val="18"/>
                <w:szCs w:val="18"/>
              </w:rPr>
            </w:pPr>
            <w:r>
              <w:rPr>
                <w:sz w:val="18"/>
                <w:szCs w:val="18"/>
              </w:rPr>
              <w:t>9</w:t>
            </w:r>
            <w:r w:rsidR="0006049C" w:rsidRPr="0006049C">
              <w:rPr>
                <w:sz w:val="18"/>
                <w:szCs w:val="18"/>
              </w:rPr>
              <w:t>.</w:t>
            </w:r>
            <w:r>
              <w:rPr>
                <w:sz w:val="18"/>
                <w:szCs w:val="18"/>
              </w:rPr>
              <w:t>1</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4" w:type="pct"/>
            <w:vAlign w:val="bottom"/>
          </w:tcPr>
          <w:p w:rsidR="0006049C" w:rsidRPr="0006049C" w:rsidRDefault="0006049C" w:rsidP="0006049C">
            <w:pPr>
              <w:pStyle w:val="TableBodyText"/>
              <w:rPr>
                <w:sz w:val="18"/>
                <w:szCs w:val="18"/>
              </w:rPr>
            </w:pPr>
            <w:r w:rsidRPr="0006049C">
              <w:rPr>
                <w:sz w:val="18"/>
                <w:szCs w:val="18"/>
              </w:rPr>
              <w:t>..</w:t>
            </w:r>
          </w:p>
        </w:tc>
      </w:tr>
      <w:tr w:rsidR="0006049C" w:rsidRPr="00013DF9" w:rsidTr="005651BA">
        <w:trPr>
          <w:trHeight w:val="258"/>
        </w:trPr>
        <w:tc>
          <w:tcPr>
            <w:tcW w:w="990" w:type="pct"/>
          </w:tcPr>
          <w:p w:rsidR="0006049C" w:rsidRPr="00046ACB" w:rsidRDefault="0006049C" w:rsidP="002D1BAB">
            <w:pPr>
              <w:pStyle w:val="TableBodyText"/>
              <w:jc w:val="left"/>
            </w:pPr>
            <w:r>
              <w:t xml:space="preserve"> Clearance rate</w:t>
            </w:r>
          </w:p>
        </w:tc>
        <w:tc>
          <w:tcPr>
            <w:tcW w:w="312" w:type="pct"/>
          </w:tcPr>
          <w:p w:rsidR="0006049C" w:rsidRPr="00013DF9" w:rsidRDefault="0006049C" w:rsidP="002D1BAB">
            <w:pPr>
              <w:pStyle w:val="TableBodyText"/>
              <w:rPr>
                <w:i/>
                <w:szCs w:val="16"/>
              </w:rPr>
            </w:pPr>
            <w:r w:rsidRPr="00013DF9">
              <w:rPr>
                <w:i/>
                <w:szCs w:val="16"/>
              </w:rPr>
              <w:t>%</w:t>
            </w:r>
          </w:p>
        </w:tc>
        <w:tc>
          <w:tcPr>
            <w:tcW w:w="580" w:type="pct"/>
            <w:vAlign w:val="bottom"/>
          </w:tcPr>
          <w:p w:rsidR="0006049C" w:rsidRPr="0006049C" w:rsidRDefault="0006049C" w:rsidP="0006049C">
            <w:pPr>
              <w:pStyle w:val="TableBodyText"/>
              <w:rPr>
                <w:sz w:val="18"/>
                <w:szCs w:val="18"/>
              </w:rPr>
            </w:pPr>
            <w:r w:rsidRPr="0006049C">
              <w:rPr>
                <w:sz w:val="18"/>
                <w:szCs w:val="18"/>
              </w:rPr>
              <w:t>95.1</w:t>
            </w:r>
          </w:p>
        </w:tc>
        <w:tc>
          <w:tcPr>
            <w:tcW w:w="537" w:type="pct"/>
            <w:vAlign w:val="bottom"/>
          </w:tcPr>
          <w:p w:rsidR="0006049C" w:rsidRPr="0006049C" w:rsidRDefault="0006049C" w:rsidP="0006049C">
            <w:pPr>
              <w:pStyle w:val="TableBodyText"/>
              <w:rPr>
                <w:sz w:val="18"/>
                <w:szCs w:val="18"/>
              </w:rPr>
            </w:pPr>
            <w:r w:rsidRPr="0006049C">
              <w:rPr>
                <w:sz w:val="18"/>
                <w:szCs w:val="18"/>
              </w:rPr>
              <w:t>138.7</w:t>
            </w:r>
          </w:p>
        </w:tc>
        <w:tc>
          <w:tcPr>
            <w:tcW w:w="465" w:type="pct"/>
            <w:vAlign w:val="bottom"/>
          </w:tcPr>
          <w:p w:rsidR="0006049C" w:rsidRPr="0006049C" w:rsidRDefault="0006049C" w:rsidP="0006049C">
            <w:pPr>
              <w:pStyle w:val="TableBodyText"/>
              <w:rPr>
                <w:sz w:val="18"/>
                <w:szCs w:val="18"/>
              </w:rPr>
            </w:pPr>
            <w:r w:rsidRPr="0006049C">
              <w:rPr>
                <w:sz w:val="18"/>
                <w:szCs w:val="18"/>
              </w:rPr>
              <w:t>100.0</w:t>
            </w:r>
          </w:p>
        </w:tc>
        <w:tc>
          <w:tcPr>
            <w:tcW w:w="423" w:type="pct"/>
            <w:vAlign w:val="bottom"/>
          </w:tcPr>
          <w:p w:rsidR="0006049C" w:rsidRPr="0006049C" w:rsidRDefault="0006049C" w:rsidP="0006049C">
            <w:pPr>
              <w:pStyle w:val="TableBodyText"/>
              <w:rPr>
                <w:sz w:val="18"/>
                <w:szCs w:val="18"/>
              </w:rPr>
            </w:pPr>
            <w:r w:rsidRPr="0006049C">
              <w:rPr>
                <w:sz w:val="18"/>
                <w:szCs w:val="18"/>
              </w:rPr>
              <w:t>64.5</w:t>
            </w:r>
          </w:p>
        </w:tc>
        <w:tc>
          <w:tcPr>
            <w:tcW w:w="423" w:type="pct"/>
            <w:vAlign w:val="bottom"/>
          </w:tcPr>
          <w:p w:rsidR="0006049C" w:rsidRPr="0006049C" w:rsidRDefault="00364D9A" w:rsidP="0006049C">
            <w:pPr>
              <w:pStyle w:val="TableBodyText"/>
              <w:rPr>
                <w:sz w:val="18"/>
                <w:szCs w:val="18"/>
              </w:rPr>
            </w:pPr>
            <w:r>
              <w:rPr>
                <w:sz w:val="18"/>
                <w:szCs w:val="18"/>
              </w:rPr>
              <w:t>144.4</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3" w:type="pct"/>
            <w:vAlign w:val="bottom"/>
          </w:tcPr>
          <w:p w:rsidR="0006049C" w:rsidRPr="0006049C" w:rsidRDefault="0006049C" w:rsidP="0006049C">
            <w:pPr>
              <w:pStyle w:val="TableBodyText"/>
              <w:rPr>
                <w:sz w:val="18"/>
                <w:szCs w:val="18"/>
              </w:rPr>
            </w:pPr>
            <w:r w:rsidRPr="0006049C">
              <w:rPr>
                <w:sz w:val="18"/>
                <w:szCs w:val="18"/>
              </w:rPr>
              <w:t>..</w:t>
            </w:r>
          </w:p>
        </w:tc>
        <w:tc>
          <w:tcPr>
            <w:tcW w:w="424" w:type="pct"/>
            <w:vAlign w:val="bottom"/>
          </w:tcPr>
          <w:p w:rsidR="0006049C" w:rsidRPr="0006049C" w:rsidRDefault="0006049C" w:rsidP="0006049C">
            <w:pPr>
              <w:pStyle w:val="TableBodyText"/>
              <w:rPr>
                <w:sz w:val="18"/>
                <w:szCs w:val="18"/>
              </w:rPr>
            </w:pPr>
            <w:r w:rsidRPr="0006049C">
              <w:rPr>
                <w:sz w:val="18"/>
                <w:szCs w:val="18"/>
              </w:rPr>
              <w:t>..</w:t>
            </w:r>
          </w:p>
        </w:tc>
      </w:tr>
      <w:tr w:rsidR="00013DF9" w:rsidRPr="00013DF9" w:rsidTr="00584FFF">
        <w:tc>
          <w:tcPr>
            <w:tcW w:w="5000" w:type="pct"/>
            <w:gridSpan w:val="10"/>
          </w:tcPr>
          <w:p w:rsidR="00013DF9" w:rsidRPr="00013DF9" w:rsidRDefault="00013DF9" w:rsidP="002D1BAB">
            <w:pPr>
              <w:pStyle w:val="TableBodyText"/>
              <w:jc w:val="left"/>
              <w:rPr>
                <w:rStyle w:val="NoteLabel"/>
              </w:rPr>
            </w:pPr>
            <w:r w:rsidRPr="00013DF9">
              <w:rPr>
                <w:b/>
              </w:rPr>
              <w:t>Magistrates’</w:t>
            </w:r>
          </w:p>
        </w:tc>
      </w:tr>
      <w:tr w:rsidR="00E11FC5" w:rsidRPr="00013DF9" w:rsidTr="005651BA">
        <w:tc>
          <w:tcPr>
            <w:tcW w:w="990" w:type="pct"/>
          </w:tcPr>
          <w:p w:rsidR="00E11FC5" w:rsidRPr="00013DF9" w:rsidRDefault="00E11FC5" w:rsidP="002D1BAB">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E11FC5" w:rsidRPr="00013DF9" w:rsidRDefault="00E11FC5" w:rsidP="002D1BAB">
            <w:pPr>
              <w:pStyle w:val="TableBodyText"/>
              <w:rPr>
                <w:szCs w:val="18"/>
              </w:rPr>
            </w:pPr>
            <w:r>
              <w:rPr>
                <w:szCs w:val="18"/>
              </w:rPr>
              <w:t>no.</w:t>
            </w:r>
          </w:p>
        </w:tc>
        <w:tc>
          <w:tcPr>
            <w:tcW w:w="580" w:type="pct"/>
            <w:vAlign w:val="bottom"/>
          </w:tcPr>
          <w:p w:rsidR="00E11FC5" w:rsidRPr="00E11FC5" w:rsidRDefault="00E11FC5" w:rsidP="00E11FC5">
            <w:pPr>
              <w:pStyle w:val="TableBodyText"/>
              <w:rPr>
                <w:sz w:val="18"/>
                <w:szCs w:val="18"/>
              </w:rPr>
            </w:pPr>
            <w:r w:rsidRPr="00E11FC5">
              <w:rPr>
                <w:sz w:val="18"/>
                <w:szCs w:val="18"/>
              </w:rPr>
              <w:t>274</w:t>
            </w:r>
          </w:p>
        </w:tc>
        <w:tc>
          <w:tcPr>
            <w:tcW w:w="537" w:type="pct"/>
            <w:vAlign w:val="bottom"/>
          </w:tcPr>
          <w:p w:rsidR="00E11FC5" w:rsidRPr="00E11FC5" w:rsidRDefault="00E11FC5" w:rsidP="00E11FC5">
            <w:pPr>
              <w:pStyle w:val="TableBodyText"/>
              <w:rPr>
                <w:sz w:val="18"/>
                <w:szCs w:val="18"/>
              </w:rPr>
            </w:pPr>
            <w:r w:rsidRPr="00E11FC5">
              <w:rPr>
                <w:sz w:val="18"/>
                <w:szCs w:val="18"/>
              </w:rPr>
              <w:t>144</w:t>
            </w:r>
          </w:p>
        </w:tc>
        <w:tc>
          <w:tcPr>
            <w:tcW w:w="465" w:type="pct"/>
            <w:vAlign w:val="bottom"/>
          </w:tcPr>
          <w:p w:rsidR="00E11FC5" w:rsidRPr="00E11FC5" w:rsidRDefault="00E11FC5" w:rsidP="00E11FC5">
            <w:pPr>
              <w:pStyle w:val="TableBodyText"/>
              <w:rPr>
                <w:sz w:val="18"/>
                <w:szCs w:val="18"/>
              </w:rPr>
            </w:pPr>
            <w:r w:rsidRPr="00E11FC5">
              <w:rPr>
                <w:sz w:val="18"/>
                <w:szCs w:val="18"/>
              </w:rPr>
              <w:t>108</w:t>
            </w:r>
          </w:p>
        </w:tc>
        <w:tc>
          <w:tcPr>
            <w:tcW w:w="423" w:type="pct"/>
            <w:vAlign w:val="bottom"/>
          </w:tcPr>
          <w:p w:rsidR="00E11FC5" w:rsidRPr="00E11FC5" w:rsidRDefault="00E11FC5" w:rsidP="00E11FC5">
            <w:pPr>
              <w:pStyle w:val="TableBodyText"/>
              <w:rPr>
                <w:sz w:val="18"/>
                <w:szCs w:val="18"/>
              </w:rPr>
            </w:pPr>
            <w:r w:rsidRPr="00E11FC5">
              <w:rPr>
                <w:sz w:val="18"/>
                <w:szCs w:val="18"/>
              </w:rPr>
              <w:t>98</w:t>
            </w:r>
          </w:p>
        </w:tc>
        <w:tc>
          <w:tcPr>
            <w:tcW w:w="423" w:type="pct"/>
            <w:vAlign w:val="bottom"/>
          </w:tcPr>
          <w:p w:rsidR="00E11FC5" w:rsidRPr="00E11FC5" w:rsidRDefault="00E11FC5" w:rsidP="00E11FC5">
            <w:pPr>
              <w:pStyle w:val="TableBodyText"/>
              <w:rPr>
                <w:sz w:val="18"/>
                <w:szCs w:val="18"/>
              </w:rPr>
            </w:pPr>
            <w:r w:rsidRPr="00E11FC5">
              <w:rPr>
                <w:sz w:val="18"/>
                <w:szCs w:val="18"/>
              </w:rPr>
              <w:t>77</w:t>
            </w:r>
          </w:p>
        </w:tc>
        <w:tc>
          <w:tcPr>
            <w:tcW w:w="423" w:type="pct"/>
            <w:vAlign w:val="bottom"/>
          </w:tcPr>
          <w:p w:rsidR="00E11FC5" w:rsidRPr="00E11FC5" w:rsidRDefault="00E11FC5" w:rsidP="00E11FC5">
            <w:pPr>
              <w:pStyle w:val="TableBodyText"/>
              <w:rPr>
                <w:sz w:val="18"/>
                <w:szCs w:val="18"/>
              </w:rPr>
            </w:pPr>
            <w:r w:rsidRPr="00E11FC5">
              <w:rPr>
                <w:sz w:val="18"/>
                <w:szCs w:val="18"/>
              </w:rPr>
              <w:t>8</w:t>
            </w:r>
          </w:p>
        </w:tc>
        <w:tc>
          <w:tcPr>
            <w:tcW w:w="423" w:type="pct"/>
            <w:vAlign w:val="bottom"/>
          </w:tcPr>
          <w:p w:rsidR="00E11FC5" w:rsidRPr="00E11FC5" w:rsidRDefault="00E11FC5" w:rsidP="00E11FC5">
            <w:pPr>
              <w:pStyle w:val="TableBodyText"/>
              <w:rPr>
                <w:sz w:val="18"/>
                <w:szCs w:val="18"/>
              </w:rPr>
            </w:pPr>
            <w:r w:rsidRPr="00E11FC5">
              <w:rPr>
                <w:sz w:val="18"/>
                <w:szCs w:val="18"/>
              </w:rPr>
              <w:t>16</w:t>
            </w:r>
          </w:p>
        </w:tc>
        <w:tc>
          <w:tcPr>
            <w:tcW w:w="424" w:type="pct"/>
            <w:vAlign w:val="bottom"/>
          </w:tcPr>
          <w:p w:rsidR="00E11FC5" w:rsidRPr="00E11FC5" w:rsidRDefault="00E11FC5" w:rsidP="00E11FC5">
            <w:pPr>
              <w:pStyle w:val="TableBodyText"/>
              <w:rPr>
                <w:sz w:val="18"/>
                <w:szCs w:val="18"/>
              </w:rPr>
            </w:pPr>
            <w:r w:rsidRPr="00E11FC5">
              <w:rPr>
                <w:sz w:val="18"/>
                <w:szCs w:val="18"/>
              </w:rPr>
              <w:t>27</w:t>
            </w:r>
          </w:p>
        </w:tc>
      </w:tr>
      <w:tr w:rsidR="00E11FC5" w:rsidRPr="00013DF9" w:rsidTr="005651BA">
        <w:tc>
          <w:tcPr>
            <w:tcW w:w="990" w:type="pct"/>
          </w:tcPr>
          <w:p w:rsidR="00E11FC5" w:rsidRPr="00013DF9" w:rsidRDefault="00E11FC5" w:rsidP="002D1BAB">
            <w:pPr>
              <w:pStyle w:val="TableBodyText"/>
              <w:jc w:val="left"/>
              <w:rPr>
                <w:szCs w:val="18"/>
              </w:rPr>
            </w:pPr>
            <w:r w:rsidRPr="00013DF9">
              <w:rPr>
                <w:szCs w:val="18"/>
              </w:rPr>
              <w:t xml:space="preserve"> Finalisations</w:t>
            </w:r>
          </w:p>
        </w:tc>
        <w:tc>
          <w:tcPr>
            <w:tcW w:w="312" w:type="pct"/>
          </w:tcPr>
          <w:p w:rsidR="00E11FC5" w:rsidRPr="00013DF9" w:rsidRDefault="00E11FC5" w:rsidP="002D1BAB">
            <w:pPr>
              <w:pStyle w:val="TableBodyText"/>
              <w:rPr>
                <w:szCs w:val="18"/>
              </w:rPr>
            </w:pPr>
            <w:r>
              <w:rPr>
                <w:szCs w:val="18"/>
              </w:rPr>
              <w:t>no.</w:t>
            </w:r>
          </w:p>
        </w:tc>
        <w:tc>
          <w:tcPr>
            <w:tcW w:w="580" w:type="pct"/>
            <w:vAlign w:val="bottom"/>
          </w:tcPr>
          <w:p w:rsidR="00E11FC5" w:rsidRPr="00E11FC5" w:rsidRDefault="00E11FC5" w:rsidP="00E11FC5">
            <w:pPr>
              <w:pStyle w:val="TableBodyText"/>
              <w:rPr>
                <w:sz w:val="18"/>
                <w:szCs w:val="18"/>
              </w:rPr>
            </w:pPr>
            <w:r w:rsidRPr="00E11FC5">
              <w:rPr>
                <w:sz w:val="18"/>
                <w:szCs w:val="18"/>
              </w:rPr>
              <w:t>384</w:t>
            </w:r>
          </w:p>
        </w:tc>
        <w:tc>
          <w:tcPr>
            <w:tcW w:w="537" w:type="pct"/>
            <w:vAlign w:val="bottom"/>
          </w:tcPr>
          <w:p w:rsidR="00E11FC5" w:rsidRPr="00E11FC5" w:rsidRDefault="00E11FC5" w:rsidP="00E11FC5">
            <w:pPr>
              <w:pStyle w:val="TableBodyText"/>
              <w:rPr>
                <w:sz w:val="18"/>
                <w:szCs w:val="18"/>
              </w:rPr>
            </w:pPr>
            <w:r w:rsidRPr="00E11FC5">
              <w:rPr>
                <w:sz w:val="18"/>
                <w:szCs w:val="18"/>
              </w:rPr>
              <w:t>155</w:t>
            </w:r>
          </w:p>
        </w:tc>
        <w:tc>
          <w:tcPr>
            <w:tcW w:w="465" w:type="pct"/>
            <w:vAlign w:val="bottom"/>
          </w:tcPr>
          <w:p w:rsidR="00E11FC5" w:rsidRPr="00E11FC5" w:rsidRDefault="00E11FC5" w:rsidP="00E11FC5">
            <w:pPr>
              <w:pStyle w:val="TableBodyText"/>
              <w:rPr>
                <w:sz w:val="18"/>
                <w:szCs w:val="18"/>
              </w:rPr>
            </w:pPr>
            <w:r w:rsidRPr="00E11FC5">
              <w:rPr>
                <w:sz w:val="18"/>
                <w:szCs w:val="18"/>
              </w:rPr>
              <w:t>93</w:t>
            </w:r>
          </w:p>
        </w:tc>
        <w:tc>
          <w:tcPr>
            <w:tcW w:w="423" w:type="pct"/>
            <w:vAlign w:val="bottom"/>
          </w:tcPr>
          <w:p w:rsidR="00E11FC5" w:rsidRPr="00E11FC5" w:rsidRDefault="00E11FC5" w:rsidP="00E11FC5">
            <w:pPr>
              <w:pStyle w:val="TableBodyText"/>
              <w:rPr>
                <w:sz w:val="18"/>
                <w:szCs w:val="18"/>
              </w:rPr>
            </w:pPr>
            <w:r w:rsidRPr="00E11FC5">
              <w:rPr>
                <w:sz w:val="18"/>
                <w:szCs w:val="18"/>
              </w:rPr>
              <w:t>94</w:t>
            </w:r>
          </w:p>
        </w:tc>
        <w:tc>
          <w:tcPr>
            <w:tcW w:w="423" w:type="pct"/>
            <w:vAlign w:val="bottom"/>
          </w:tcPr>
          <w:p w:rsidR="00E11FC5" w:rsidRPr="00E11FC5" w:rsidRDefault="00E11FC5" w:rsidP="00E11FC5">
            <w:pPr>
              <w:pStyle w:val="TableBodyText"/>
              <w:rPr>
                <w:sz w:val="18"/>
                <w:szCs w:val="18"/>
              </w:rPr>
            </w:pPr>
            <w:r w:rsidRPr="00E11FC5">
              <w:rPr>
                <w:sz w:val="18"/>
                <w:szCs w:val="18"/>
              </w:rPr>
              <w:t>69</w:t>
            </w:r>
          </w:p>
        </w:tc>
        <w:tc>
          <w:tcPr>
            <w:tcW w:w="423" w:type="pct"/>
            <w:vAlign w:val="bottom"/>
          </w:tcPr>
          <w:p w:rsidR="00E11FC5" w:rsidRPr="00E11FC5" w:rsidRDefault="00E11FC5" w:rsidP="00E11FC5">
            <w:pPr>
              <w:pStyle w:val="TableBodyText"/>
              <w:rPr>
                <w:sz w:val="18"/>
                <w:szCs w:val="18"/>
              </w:rPr>
            </w:pPr>
            <w:r w:rsidRPr="00E11FC5">
              <w:rPr>
                <w:sz w:val="18"/>
                <w:szCs w:val="18"/>
              </w:rPr>
              <w:t>6</w:t>
            </w:r>
          </w:p>
        </w:tc>
        <w:tc>
          <w:tcPr>
            <w:tcW w:w="423" w:type="pct"/>
            <w:vAlign w:val="bottom"/>
          </w:tcPr>
          <w:p w:rsidR="00E11FC5" w:rsidRPr="00E11FC5" w:rsidRDefault="00E11FC5" w:rsidP="00E11FC5">
            <w:pPr>
              <w:pStyle w:val="TableBodyText"/>
              <w:rPr>
                <w:sz w:val="18"/>
                <w:szCs w:val="18"/>
              </w:rPr>
            </w:pPr>
            <w:r w:rsidRPr="00E11FC5">
              <w:rPr>
                <w:sz w:val="18"/>
                <w:szCs w:val="18"/>
              </w:rPr>
              <w:t>15</w:t>
            </w:r>
          </w:p>
        </w:tc>
        <w:tc>
          <w:tcPr>
            <w:tcW w:w="424" w:type="pct"/>
            <w:vAlign w:val="bottom"/>
          </w:tcPr>
          <w:p w:rsidR="00E11FC5" w:rsidRPr="00E11FC5" w:rsidRDefault="00E11FC5" w:rsidP="00E11FC5">
            <w:pPr>
              <w:pStyle w:val="TableBodyText"/>
              <w:rPr>
                <w:sz w:val="18"/>
                <w:szCs w:val="18"/>
              </w:rPr>
            </w:pPr>
            <w:r w:rsidRPr="00E11FC5">
              <w:rPr>
                <w:sz w:val="18"/>
                <w:szCs w:val="18"/>
              </w:rPr>
              <w:t>19</w:t>
            </w:r>
          </w:p>
        </w:tc>
      </w:tr>
      <w:tr w:rsidR="00E11FC5" w:rsidRPr="00013DF9" w:rsidTr="005651BA">
        <w:tc>
          <w:tcPr>
            <w:tcW w:w="990" w:type="pct"/>
          </w:tcPr>
          <w:p w:rsidR="00E11FC5" w:rsidRPr="00046ACB" w:rsidRDefault="00E11FC5" w:rsidP="002D1BAB">
            <w:pPr>
              <w:pStyle w:val="TableBodyText"/>
              <w:jc w:val="left"/>
            </w:pPr>
            <w:r>
              <w:t xml:space="preserve"> Pending</w:t>
            </w:r>
          </w:p>
        </w:tc>
        <w:tc>
          <w:tcPr>
            <w:tcW w:w="312" w:type="pct"/>
          </w:tcPr>
          <w:p w:rsidR="00E11FC5" w:rsidRPr="00013DF9" w:rsidRDefault="00E11FC5" w:rsidP="002D1BAB">
            <w:pPr>
              <w:pStyle w:val="TableBodyText"/>
              <w:rPr>
                <w:i/>
                <w:szCs w:val="16"/>
              </w:rPr>
            </w:pPr>
            <w:r>
              <w:rPr>
                <w:i/>
                <w:szCs w:val="16"/>
              </w:rPr>
              <w:t>no.</w:t>
            </w:r>
          </w:p>
        </w:tc>
        <w:tc>
          <w:tcPr>
            <w:tcW w:w="580" w:type="pct"/>
            <w:vAlign w:val="bottom"/>
          </w:tcPr>
          <w:p w:rsidR="00E11FC5" w:rsidRPr="00E11FC5" w:rsidRDefault="00E11FC5" w:rsidP="00E11FC5">
            <w:pPr>
              <w:pStyle w:val="TableBodyText"/>
              <w:rPr>
                <w:sz w:val="18"/>
                <w:szCs w:val="18"/>
              </w:rPr>
            </w:pPr>
            <w:r w:rsidRPr="00E11FC5">
              <w:rPr>
                <w:sz w:val="18"/>
                <w:szCs w:val="18"/>
              </w:rPr>
              <w:t>183</w:t>
            </w:r>
          </w:p>
        </w:tc>
        <w:tc>
          <w:tcPr>
            <w:tcW w:w="537" w:type="pct"/>
            <w:vAlign w:val="bottom"/>
          </w:tcPr>
          <w:p w:rsidR="00E11FC5" w:rsidRPr="00E11FC5" w:rsidRDefault="00E11FC5" w:rsidP="00E11FC5">
            <w:pPr>
              <w:pStyle w:val="TableBodyText"/>
              <w:rPr>
                <w:sz w:val="18"/>
                <w:szCs w:val="18"/>
              </w:rPr>
            </w:pPr>
            <w:r w:rsidRPr="00E11FC5">
              <w:rPr>
                <w:sz w:val="18"/>
                <w:szCs w:val="18"/>
              </w:rPr>
              <w:t>81</w:t>
            </w:r>
          </w:p>
        </w:tc>
        <w:tc>
          <w:tcPr>
            <w:tcW w:w="465" w:type="pct"/>
            <w:vAlign w:val="bottom"/>
          </w:tcPr>
          <w:p w:rsidR="00E11FC5" w:rsidRPr="00E11FC5" w:rsidRDefault="00E11FC5" w:rsidP="00E11FC5">
            <w:pPr>
              <w:pStyle w:val="TableBodyText"/>
              <w:rPr>
                <w:sz w:val="18"/>
                <w:szCs w:val="18"/>
              </w:rPr>
            </w:pPr>
            <w:r w:rsidRPr="00E11FC5">
              <w:rPr>
                <w:sz w:val="18"/>
                <w:szCs w:val="18"/>
              </w:rPr>
              <w:t>117</w:t>
            </w:r>
          </w:p>
        </w:tc>
        <w:tc>
          <w:tcPr>
            <w:tcW w:w="423" w:type="pct"/>
            <w:vAlign w:val="bottom"/>
          </w:tcPr>
          <w:p w:rsidR="00E11FC5" w:rsidRPr="00E11FC5" w:rsidRDefault="00E11FC5" w:rsidP="00E11FC5">
            <w:pPr>
              <w:pStyle w:val="TableBodyText"/>
              <w:rPr>
                <w:sz w:val="18"/>
                <w:szCs w:val="18"/>
              </w:rPr>
            </w:pPr>
            <w:r w:rsidRPr="00E11FC5">
              <w:rPr>
                <w:sz w:val="18"/>
                <w:szCs w:val="18"/>
              </w:rPr>
              <w:t>53</w:t>
            </w:r>
          </w:p>
        </w:tc>
        <w:tc>
          <w:tcPr>
            <w:tcW w:w="423" w:type="pct"/>
            <w:vAlign w:val="bottom"/>
          </w:tcPr>
          <w:p w:rsidR="00E11FC5" w:rsidRPr="00E11FC5" w:rsidRDefault="00E11FC5" w:rsidP="00E11FC5">
            <w:pPr>
              <w:pStyle w:val="TableBodyText"/>
              <w:rPr>
                <w:sz w:val="18"/>
                <w:szCs w:val="18"/>
              </w:rPr>
            </w:pPr>
            <w:r w:rsidRPr="00E11FC5">
              <w:rPr>
                <w:sz w:val="18"/>
                <w:szCs w:val="18"/>
              </w:rPr>
              <w:t>39</w:t>
            </w:r>
          </w:p>
        </w:tc>
        <w:tc>
          <w:tcPr>
            <w:tcW w:w="423" w:type="pct"/>
            <w:vAlign w:val="bottom"/>
          </w:tcPr>
          <w:p w:rsidR="00E11FC5" w:rsidRPr="00E11FC5" w:rsidRDefault="00E11FC5" w:rsidP="00E11FC5">
            <w:pPr>
              <w:pStyle w:val="TableBodyText"/>
              <w:rPr>
                <w:sz w:val="18"/>
                <w:szCs w:val="18"/>
              </w:rPr>
            </w:pPr>
            <w:r w:rsidRPr="00E11FC5">
              <w:rPr>
                <w:sz w:val="18"/>
                <w:szCs w:val="18"/>
              </w:rPr>
              <w:t>3</w:t>
            </w:r>
          </w:p>
        </w:tc>
        <w:tc>
          <w:tcPr>
            <w:tcW w:w="423" w:type="pct"/>
            <w:vAlign w:val="bottom"/>
          </w:tcPr>
          <w:p w:rsidR="00E11FC5" w:rsidRPr="00E11FC5" w:rsidRDefault="00E11FC5" w:rsidP="00E11FC5">
            <w:pPr>
              <w:pStyle w:val="TableBodyText"/>
              <w:rPr>
                <w:sz w:val="18"/>
                <w:szCs w:val="18"/>
              </w:rPr>
            </w:pPr>
            <w:r w:rsidRPr="00E11FC5">
              <w:rPr>
                <w:sz w:val="18"/>
                <w:szCs w:val="18"/>
              </w:rPr>
              <w:t>9</w:t>
            </w:r>
          </w:p>
        </w:tc>
        <w:tc>
          <w:tcPr>
            <w:tcW w:w="424" w:type="pct"/>
            <w:vAlign w:val="bottom"/>
          </w:tcPr>
          <w:p w:rsidR="00E11FC5" w:rsidRPr="00E11FC5" w:rsidRDefault="00E11FC5" w:rsidP="00E11FC5">
            <w:pPr>
              <w:pStyle w:val="TableBodyText"/>
              <w:rPr>
                <w:sz w:val="18"/>
                <w:szCs w:val="18"/>
              </w:rPr>
            </w:pPr>
            <w:r w:rsidRPr="00E11FC5">
              <w:rPr>
                <w:sz w:val="18"/>
                <w:szCs w:val="18"/>
              </w:rPr>
              <w:t>22</w:t>
            </w:r>
          </w:p>
        </w:tc>
      </w:tr>
      <w:tr w:rsidR="00E11FC5" w:rsidRPr="00013DF9" w:rsidTr="005651BA">
        <w:tc>
          <w:tcPr>
            <w:tcW w:w="990" w:type="pct"/>
          </w:tcPr>
          <w:p w:rsidR="00E11FC5" w:rsidRPr="00013DF9" w:rsidRDefault="00E11FC5" w:rsidP="002D1BAB">
            <w:pPr>
              <w:pStyle w:val="TableBodyText"/>
              <w:jc w:val="left"/>
              <w:rPr>
                <w:szCs w:val="18"/>
              </w:rPr>
            </w:pPr>
            <w:r>
              <w:rPr>
                <w:szCs w:val="18"/>
              </w:rPr>
              <w:t xml:space="preserve"> Backlog &gt;6 </w:t>
            </w:r>
            <w:proofErr w:type="spellStart"/>
            <w:r>
              <w:rPr>
                <w:szCs w:val="18"/>
              </w:rPr>
              <w:t>mths</w:t>
            </w:r>
            <w:proofErr w:type="spellEnd"/>
          </w:p>
        </w:tc>
        <w:tc>
          <w:tcPr>
            <w:tcW w:w="312" w:type="pct"/>
          </w:tcPr>
          <w:p w:rsidR="00E11FC5" w:rsidRPr="00013DF9" w:rsidRDefault="00E11FC5" w:rsidP="002D1BAB">
            <w:pPr>
              <w:pStyle w:val="TableBodyText"/>
              <w:rPr>
                <w:szCs w:val="18"/>
              </w:rPr>
            </w:pPr>
            <w:r>
              <w:rPr>
                <w:szCs w:val="18"/>
              </w:rPr>
              <w:t>%</w:t>
            </w:r>
          </w:p>
        </w:tc>
        <w:tc>
          <w:tcPr>
            <w:tcW w:w="580" w:type="pct"/>
            <w:vAlign w:val="bottom"/>
          </w:tcPr>
          <w:p w:rsidR="00E11FC5" w:rsidRPr="00E11FC5" w:rsidRDefault="00E11FC5" w:rsidP="00E11FC5">
            <w:pPr>
              <w:pStyle w:val="TableBodyText"/>
              <w:rPr>
                <w:sz w:val="18"/>
                <w:szCs w:val="18"/>
              </w:rPr>
            </w:pPr>
            <w:r w:rsidRPr="00E11FC5">
              <w:rPr>
                <w:sz w:val="18"/>
                <w:szCs w:val="18"/>
              </w:rPr>
              <w:t>45.4</w:t>
            </w:r>
          </w:p>
        </w:tc>
        <w:tc>
          <w:tcPr>
            <w:tcW w:w="537" w:type="pct"/>
            <w:vAlign w:val="bottom"/>
          </w:tcPr>
          <w:p w:rsidR="00E11FC5" w:rsidRPr="00E11FC5" w:rsidRDefault="00E11FC5" w:rsidP="00E11FC5">
            <w:pPr>
              <w:pStyle w:val="TableBodyText"/>
              <w:rPr>
                <w:sz w:val="18"/>
                <w:szCs w:val="18"/>
              </w:rPr>
            </w:pPr>
            <w:r w:rsidRPr="00E11FC5">
              <w:rPr>
                <w:sz w:val="18"/>
                <w:szCs w:val="18"/>
              </w:rPr>
              <w:t>32.1</w:t>
            </w:r>
          </w:p>
        </w:tc>
        <w:tc>
          <w:tcPr>
            <w:tcW w:w="465" w:type="pct"/>
            <w:vAlign w:val="bottom"/>
          </w:tcPr>
          <w:p w:rsidR="00E11FC5" w:rsidRPr="00E11FC5" w:rsidRDefault="00E11FC5" w:rsidP="00E11FC5">
            <w:pPr>
              <w:pStyle w:val="TableBodyText"/>
              <w:rPr>
                <w:sz w:val="18"/>
                <w:szCs w:val="18"/>
              </w:rPr>
            </w:pPr>
            <w:r w:rsidRPr="00E11FC5">
              <w:rPr>
                <w:sz w:val="18"/>
                <w:szCs w:val="18"/>
              </w:rPr>
              <w:t>56.4</w:t>
            </w:r>
          </w:p>
        </w:tc>
        <w:tc>
          <w:tcPr>
            <w:tcW w:w="423" w:type="pct"/>
            <w:vAlign w:val="bottom"/>
          </w:tcPr>
          <w:p w:rsidR="00E11FC5" w:rsidRPr="00E11FC5" w:rsidRDefault="00E11FC5" w:rsidP="00E11FC5">
            <w:pPr>
              <w:pStyle w:val="TableBodyText"/>
              <w:rPr>
                <w:sz w:val="18"/>
                <w:szCs w:val="18"/>
              </w:rPr>
            </w:pPr>
            <w:r w:rsidRPr="00E11FC5">
              <w:rPr>
                <w:sz w:val="18"/>
                <w:szCs w:val="18"/>
              </w:rPr>
              <w:t>32.1</w:t>
            </w:r>
          </w:p>
        </w:tc>
        <w:tc>
          <w:tcPr>
            <w:tcW w:w="423" w:type="pct"/>
            <w:vAlign w:val="bottom"/>
          </w:tcPr>
          <w:p w:rsidR="00E11FC5" w:rsidRPr="00E11FC5" w:rsidRDefault="00E11FC5" w:rsidP="00E11FC5">
            <w:pPr>
              <w:pStyle w:val="TableBodyText"/>
              <w:rPr>
                <w:sz w:val="18"/>
                <w:szCs w:val="18"/>
              </w:rPr>
            </w:pPr>
            <w:r w:rsidRPr="00E11FC5">
              <w:rPr>
                <w:sz w:val="18"/>
                <w:szCs w:val="18"/>
              </w:rPr>
              <w:t>25.6</w:t>
            </w:r>
          </w:p>
        </w:tc>
        <w:tc>
          <w:tcPr>
            <w:tcW w:w="423" w:type="pct"/>
            <w:vAlign w:val="bottom"/>
          </w:tcPr>
          <w:p w:rsidR="00E11FC5" w:rsidRPr="00E11FC5" w:rsidRDefault="00E11FC5" w:rsidP="00E11FC5">
            <w:pPr>
              <w:pStyle w:val="TableBodyText"/>
              <w:rPr>
                <w:sz w:val="18"/>
                <w:szCs w:val="18"/>
              </w:rPr>
            </w:pPr>
            <w:r w:rsidRPr="00E11FC5">
              <w:rPr>
                <w:sz w:val="18"/>
                <w:szCs w:val="18"/>
              </w:rPr>
              <w:t>33.3</w:t>
            </w:r>
          </w:p>
        </w:tc>
        <w:tc>
          <w:tcPr>
            <w:tcW w:w="423" w:type="pct"/>
            <w:vAlign w:val="bottom"/>
          </w:tcPr>
          <w:p w:rsidR="00E11FC5" w:rsidRPr="00E11FC5" w:rsidRDefault="00E11FC5" w:rsidP="00E11FC5">
            <w:pPr>
              <w:pStyle w:val="TableBodyText"/>
              <w:rPr>
                <w:sz w:val="18"/>
                <w:szCs w:val="18"/>
              </w:rPr>
            </w:pPr>
            <w:r w:rsidRPr="00E11FC5">
              <w:rPr>
                <w:sz w:val="18"/>
                <w:szCs w:val="18"/>
              </w:rPr>
              <w:t>11.1</w:t>
            </w:r>
          </w:p>
        </w:tc>
        <w:tc>
          <w:tcPr>
            <w:tcW w:w="424" w:type="pct"/>
            <w:vAlign w:val="bottom"/>
          </w:tcPr>
          <w:p w:rsidR="00E11FC5" w:rsidRPr="00E11FC5" w:rsidRDefault="00E11FC5" w:rsidP="00E11FC5">
            <w:pPr>
              <w:pStyle w:val="TableBodyText"/>
              <w:rPr>
                <w:sz w:val="18"/>
                <w:szCs w:val="18"/>
              </w:rPr>
            </w:pPr>
            <w:r w:rsidRPr="00E11FC5">
              <w:rPr>
                <w:sz w:val="18"/>
                <w:szCs w:val="18"/>
              </w:rPr>
              <w:t>27.3</w:t>
            </w:r>
          </w:p>
        </w:tc>
      </w:tr>
      <w:tr w:rsidR="00E11FC5" w:rsidRPr="00013DF9" w:rsidTr="005651BA">
        <w:tc>
          <w:tcPr>
            <w:tcW w:w="990" w:type="pct"/>
          </w:tcPr>
          <w:p w:rsidR="00E11FC5" w:rsidRPr="00013DF9" w:rsidRDefault="00E11FC5" w:rsidP="002D1BAB">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E11FC5" w:rsidRPr="00013DF9" w:rsidRDefault="00E11FC5" w:rsidP="002D1BAB">
            <w:pPr>
              <w:pStyle w:val="TableBodyText"/>
              <w:rPr>
                <w:szCs w:val="18"/>
              </w:rPr>
            </w:pPr>
            <w:r>
              <w:rPr>
                <w:szCs w:val="18"/>
              </w:rPr>
              <w:t>%</w:t>
            </w:r>
          </w:p>
        </w:tc>
        <w:tc>
          <w:tcPr>
            <w:tcW w:w="580" w:type="pct"/>
            <w:vAlign w:val="bottom"/>
          </w:tcPr>
          <w:p w:rsidR="00E11FC5" w:rsidRPr="00E11FC5" w:rsidRDefault="00E11FC5" w:rsidP="00E11FC5">
            <w:pPr>
              <w:pStyle w:val="TableBodyText"/>
              <w:rPr>
                <w:sz w:val="18"/>
                <w:szCs w:val="18"/>
              </w:rPr>
            </w:pPr>
            <w:r w:rsidRPr="00E11FC5">
              <w:rPr>
                <w:sz w:val="18"/>
                <w:szCs w:val="18"/>
              </w:rPr>
              <w:t>14.2</w:t>
            </w:r>
          </w:p>
        </w:tc>
        <w:tc>
          <w:tcPr>
            <w:tcW w:w="537" w:type="pct"/>
            <w:vAlign w:val="bottom"/>
          </w:tcPr>
          <w:p w:rsidR="00E11FC5" w:rsidRPr="00E11FC5" w:rsidRDefault="00E11FC5" w:rsidP="00E11FC5">
            <w:pPr>
              <w:pStyle w:val="TableBodyText"/>
              <w:rPr>
                <w:sz w:val="18"/>
                <w:szCs w:val="18"/>
              </w:rPr>
            </w:pPr>
            <w:r w:rsidRPr="00E11FC5">
              <w:rPr>
                <w:sz w:val="18"/>
                <w:szCs w:val="18"/>
              </w:rPr>
              <w:t>9.9</w:t>
            </w:r>
          </w:p>
        </w:tc>
        <w:tc>
          <w:tcPr>
            <w:tcW w:w="465" w:type="pct"/>
            <w:vAlign w:val="bottom"/>
          </w:tcPr>
          <w:p w:rsidR="00E11FC5" w:rsidRPr="00E11FC5" w:rsidRDefault="00E11FC5" w:rsidP="00E11FC5">
            <w:pPr>
              <w:pStyle w:val="TableBodyText"/>
              <w:rPr>
                <w:sz w:val="18"/>
                <w:szCs w:val="18"/>
              </w:rPr>
            </w:pPr>
            <w:r w:rsidRPr="00E11FC5">
              <w:rPr>
                <w:sz w:val="18"/>
                <w:szCs w:val="18"/>
              </w:rPr>
              <w:t>25.6</w:t>
            </w:r>
          </w:p>
        </w:tc>
        <w:tc>
          <w:tcPr>
            <w:tcW w:w="423" w:type="pct"/>
            <w:vAlign w:val="bottom"/>
          </w:tcPr>
          <w:p w:rsidR="00E11FC5" w:rsidRPr="00E11FC5" w:rsidRDefault="00E11FC5" w:rsidP="00E11FC5">
            <w:pPr>
              <w:pStyle w:val="TableBodyText"/>
              <w:rPr>
                <w:sz w:val="18"/>
                <w:szCs w:val="18"/>
              </w:rPr>
            </w:pPr>
            <w:r w:rsidRPr="00E11FC5">
              <w:rPr>
                <w:sz w:val="18"/>
                <w:szCs w:val="18"/>
              </w:rPr>
              <w:t>5.7</w:t>
            </w:r>
          </w:p>
        </w:tc>
        <w:tc>
          <w:tcPr>
            <w:tcW w:w="423" w:type="pct"/>
            <w:vAlign w:val="bottom"/>
          </w:tcPr>
          <w:p w:rsidR="00E11FC5" w:rsidRPr="00E11FC5" w:rsidRDefault="00E11FC5" w:rsidP="00E11FC5">
            <w:pPr>
              <w:pStyle w:val="TableBodyText"/>
              <w:rPr>
                <w:sz w:val="18"/>
                <w:szCs w:val="18"/>
              </w:rPr>
            </w:pPr>
            <w:r>
              <w:rPr>
                <w:sz w:val="18"/>
                <w:szCs w:val="18"/>
              </w:rPr>
              <w:t>–</w:t>
            </w:r>
          </w:p>
        </w:tc>
        <w:tc>
          <w:tcPr>
            <w:tcW w:w="423" w:type="pct"/>
            <w:vAlign w:val="bottom"/>
          </w:tcPr>
          <w:p w:rsidR="00E11FC5" w:rsidRPr="00E11FC5" w:rsidRDefault="00E11FC5" w:rsidP="00E11FC5">
            <w:pPr>
              <w:pStyle w:val="TableBodyText"/>
              <w:rPr>
                <w:sz w:val="18"/>
                <w:szCs w:val="18"/>
              </w:rPr>
            </w:pPr>
            <w:r w:rsidRPr="00E11FC5">
              <w:rPr>
                <w:sz w:val="18"/>
                <w:szCs w:val="18"/>
              </w:rPr>
              <w:t>33.3</w:t>
            </w:r>
          </w:p>
        </w:tc>
        <w:tc>
          <w:tcPr>
            <w:tcW w:w="423" w:type="pct"/>
            <w:vAlign w:val="bottom"/>
          </w:tcPr>
          <w:p w:rsidR="00E11FC5" w:rsidRPr="00E11FC5" w:rsidRDefault="00E11FC5" w:rsidP="00E11FC5">
            <w:pPr>
              <w:pStyle w:val="TableBodyText"/>
              <w:rPr>
                <w:sz w:val="18"/>
                <w:szCs w:val="18"/>
              </w:rPr>
            </w:pPr>
            <w:r>
              <w:rPr>
                <w:sz w:val="18"/>
                <w:szCs w:val="18"/>
              </w:rPr>
              <w:t>–</w:t>
            </w:r>
          </w:p>
        </w:tc>
        <w:tc>
          <w:tcPr>
            <w:tcW w:w="424" w:type="pct"/>
            <w:vAlign w:val="bottom"/>
          </w:tcPr>
          <w:p w:rsidR="00E11FC5" w:rsidRPr="00E11FC5" w:rsidRDefault="00E11FC5" w:rsidP="00E11FC5">
            <w:pPr>
              <w:pStyle w:val="TableBodyText"/>
              <w:rPr>
                <w:sz w:val="18"/>
                <w:szCs w:val="18"/>
              </w:rPr>
            </w:pPr>
            <w:r w:rsidRPr="00E11FC5">
              <w:rPr>
                <w:sz w:val="18"/>
                <w:szCs w:val="18"/>
              </w:rPr>
              <w:t>13.6</w:t>
            </w:r>
          </w:p>
        </w:tc>
      </w:tr>
      <w:tr w:rsidR="00E11FC5" w:rsidRPr="00013DF9" w:rsidTr="005651BA">
        <w:tc>
          <w:tcPr>
            <w:tcW w:w="990" w:type="pct"/>
          </w:tcPr>
          <w:p w:rsidR="00E11FC5" w:rsidRPr="00046ACB" w:rsidRDefault="00E11FC5" w:rsidP="002D1BAB">
            <w:pPr>
              <w:pStyle w:val="TableBodyText"/>
              <w:jc w:val="left"/>
            </w:pPr>
            <w:r>
              <w:t xml:space="preserve"> </w:t>
            </w:r>
            <w:r w:rsidRPr="00046ACB">
              <w:t>Attendance</w:t>
            </w:r>
          </w:p>
        </w:tc>
        <w:tc>
          <w:tcPr>
            <w:tcW w:w="312" w:type="pct"/>
          </w:tcPr>
          <w:p w:rsidR="00E11FC5" w:rsidRPr="008A7DD0" w:rsidRDefault="00E11FC5" w:rsidP="002D1BAB">
            <w:pPr>
              <w:pStyle w:val="TableBodyText"/>
              <w:rPr>
                <w:szCs w:val="16"/>
              </w:rPr>
            </w:pPr>
            <w:r>
              <w:rPr>
                <w:szCs w:val="16"/>
              </w:rPr>
              <w:t>n</w:t>
            </w:r>
            <w:r w:rsidRPr="008A7DD0">
              <w:rPr>
                <w:szCs w:val="16"/>
              </w:rPr>
              <w:t>o.</w:t>
            </w:r>
          </w:p>
        </w:tc>
        <w:tc>
          <w:tcPr>
            <w:tcW w:w="580" w:type="pct"/>
            <w:vAlign w:val="bottom"/>
          </w:tcPr>
          <w:p w:rsidR="00E11FC5" w:rsidRPr="00E11FC5" w:rsidRDefault="00E11FC5" w:rsidP="00E11FC5">
            <w:pPr>
              <w:pStyle w:val="TableBodyText"/>
              <w:rPr>
                <w:sz w:val="18"/>
                <w:szCs w:val="18"/>
              </w:rPr>
            </w:pPr>
            <w:proofErr w:type="spellStart"/>
            <w:r w:rsidRPr="00E11FC5">
              <w:rPr>
                <w:sz w:val="18"/>
                <w:szCs w:val="18"/>
              </w:rPr>
              <w:t>na</w:t>
            </w:r>
            <w:proofErr w:type="spellEnd"/>
          </w:p>
        </w:tc>
        <w:tc>
          <w:tcPr>
            <w:tcW w:w="537" w:type="pct"/>
            <w:vAlign w:val="bottom"/>
          </w:tcPr>
          <w:p w:rsidR="00E11FC5" w:rsidRPr="00E11FC5" w:rsidRDefault="00E11FC5" w:rsidP="00E11FC5">
            <w:pPr>
              <w:pStyle w:val="TableBodyText"/>
              <w:rPr>
                <w:sz w:val="18"/>
                <w:szCs w:val="18"/>
              </w:rPr>
            </w:pPr>
            <w:r w:rsidRPr="00E11FC5">
              <w:rPr>
                <w:sz w:val="18"/>
                <w:szCs w:val="18"/>
              </w:rPr>
              <w:t>7.1</w:t>
            </w:r>
          </w:p>
        </w:tc>
        <w:tc>
          <w:tcPr>
            <w:tcW w:w="465" w:type="pct"/>
            <w:vAlign w:val="bottom"/>
          </w:tcPr>
          <w:p w:rsidR="00E11FC5" w:rsidRPr="00E11FC5" w:rsidRDefault="00E11FC5" w:rsidP="00E11FC5">
            <w:pPr>
              <w:pStyle w:val="TableBodyText"/>
              <w:rPr>
                <w:sz w:val="18"/>
                <w:szCs w:val="18"/>
              </w:rPr>
            </w:pPr>
            <w:r w:rsidRPr="00E11FC5">
              <w:rPr>
                <w:sz w:val="18"/>
                <w:szCs w:val="18"/>
              </w:rPr>
              <w:t>9.4</w:t>
            </w:r>
          </w:p>
        </w:tc>
        <w:tc>
          <w:tcPr>
            <w:tcW w:w="423" w:type="pct"/>
            <w:vAlign w:val="bottom"/>
          </w:tcPr>
          <w:p w:rsidR="00E11FC5" w:rsidRPr="00E11FC5" w:rsidRDefault="00E11FC5" w:rsidP="00E11FC5">
            <w:pPr>
              <w:pStyle w:val="TableBodyText"/>
              <w:rPr>
                <w:sz w:val="18"/>
                <w:szCs w:val="18"/>
              </w:rPr>
            </w:pPr>
            <w:r w:rsidRPr="00E11FC5">
              <w:rPr>
                <w:sz w:val="18"/>
                <w:szCs w:val="18"/>
              </w:rPr>
              <w:t>6.0</w:t>
            </w:r>
          </w:p>
        </w:tc>
        <w:tc>
          <w:tcPr>
            <w:tcW w:w="423" w:type="pct"/>
            <w:vAlign w:val="bottom"/>
          </w:tcPr>
          <w:p w:rsidR="00E11FC5" w:rsidRPr="00E11FC5" w:rsidRDefault="00E11FC5" w:rsidP="00E11FC5">
            <w:pPr>
              <w:pStyle w:val="TableBodyText"/>
              <w:rPr>
                <w:sz w:val="18"/>
                <w:szCs w:val="18"/>
              </w:rPr>
            </w:pPr>
            <w:r w:rsidRPr="00E11FC5">
              <w:rPr>
                <w:sz w:val="18"/>
                <w:szCs w:val="18"/>
              </w:rPr>
              <w:t>5.4</w:t>
            </w:r>
          </w:p>
        </w:tc>
        <w:tc>
          <w:tcPr>
            <w:tcW w:w="423" w:type="pct"/>
            <w:vAlign w:val="bottom"/>
          </w:tcPr>
          <w:p w:rsidR="00E11FC5" w:rsidRPr="00E11FC5" w:rsidRDefault="00E11FC5" w:rsidP="00E11FC5">
            <w:pPr>
              <w:pStyle w:val="TableBodyText"/>
              <w:rPr>
                <w:sz w:val="18"/>
                <w:szCs w:val="18"/>
              </w:rPr>
            </w:pPr>
            <w:r w:rsidRPr="00E11FC5">
              <w:rPr>
                <w:sz w:val="18"/>
                <w:szCs w:val="18"/>
              </w:rPr>
              <w:t>3.0</w:t>
            </w:r>
          </w:p>
        </w:tc>
        <w:tc>
          <w:tcPr>
            <w:tcW w:w="423" w:type="pct"/>
            <w:vAlign w:val="bottom"/>
          </w:tcPr>
          <w:p w:rsidR="00E11FC5" w:rsidRPr="00E11FC5" w:rsidRDefault="00E11FC5" w:rsidP="00E11FC5">
            <w:pPr>
              <w:pStyle w:val="TableBodyText"/>
              <w:rPr>
                <w:sz w:val="18"/>
                <w:szCs w:val="18"/>
              </w:rPr>
            </w:pPr>
            <w:r w:rsidRPr="00E11FC5">
              <w:rPr>
                <w:sz w:val="18"/>
                <w:szCs w:val="18"/>
              </w:rPr>
              <w:t>6.5</w:t>
            </w:r>
          </w:p>
        </w:tc>
        <w:tc>
          <w:tcPr>
            <w:tcW w:w="424" w:type="pct"/>
            <w:vAlign w:val="bottom"/>
          </w:tcPr>
          <w:p w:rsidR="00E11FC5" w:rsidRPr="00E11FC5" w:rsidRDefault="00E11FC5" w:rsidP="00E11FC5">
            <w:pPr>
              <w:pStyle w:val="TableBodyText"/>
              <w:rPr>
                <w:sz w:val="18"/>
                <w:szCs w:val="18"/>
              </w:rPr>
            </w:pPr>
            <w:r w:rsidRPr="00E11FC5">
              <w:rPr>
                <w:sz w:val="18"/>
                <w:szCs w:val="18"/>
              </w:rPr>
              <w:t>8.7</w:t>
            </w:r>
          </w:p>
        </w:tc>
      </w:tr>
      <w:tr w:rsidR="00E11FC5" w:rsidRPr="00013DF9" w:rsidTr="005651BA">
        <w:tc>
          <w:tcPr>
            <w:tcW w:w="990" w:type="pct"/>
          </w:tcPr>
          <w:p w:rsidR="00E11FC5" w:rsidRPr="00046ACB" w:rsidRDefault="00E11FC5" w:rsidP="002D1BAB">
            <w:pPr>
              <w:pStyle w:val="TableBodyText"/>
              <w:jc w:val="left"/>
            </w:pPr>
            <w:r>
              <w:t xml:space="preserve"> Clearance rate</w:t>
            </w:r>
          </w:p>
        </w:tc>
        <w:tc>
          <w:tcPr>
            <w:tcW w:w="312" w:type="pct"/>
          </w:tcPr>
          <w:p w:rsidR="00E11FC5" w:rsidRPr="00013DF9" w:rsidRDefault="00E11FC5" w:rsidP="002D1BAB">
            <w:pPr>
              <w:pStyle w:val="TableBodyText"/>
              <w:rPr>
                <w:i/>
                <w:szCs w:val="16"/>
              </w:rPr>
            </w:pPr>
            <w:r w:rsidRPr="00013DF9">
              <w:rPr>
                <w:i/>
                <w:szCs w:val="16"/>
              </w:rPr>
              <w:t>%</w:t>
            </w:r>
          </w:p>
        </w:tc>
        <w:tc>
          <w:tcPr>
            <w:tcW w:w="580" w:type="pct"/>
            <w:vAlign w:val="bottom"/>
          </w:tcPr>
          <w:p w:rsidR="00E11FC5" w:rsidRPr="00E11FC5" w:rsidRDefault="00E11FC5" w:rsidP="00E11FC5">
            <w:pPr>
              <w:pStyle w:val="TableBodyText"/>
              <w:rPr>
                <w:sz w:val="18"/>
                <w:szCs w:val="18"/>
              </w:rPr>
            </w:pPr>
            <w:r w:rsidRPr="00E11FC5">
              <w:rPr>
                <w:sz w:val="18"/>
                <w:szCs w:val="18"/>
              </w:rPr>
              <w:t>140.1</w:t>
            </w:r>
          </w:p>
        </w:tc>
        <w:tc>
          <w:tcPr>
            <w:tcW w:w="537" w:type="pct"/>
            <w:vAlign w:val="bottom"/>
          </w:tcPr>
          <w:p w:rsidR="00E11FC5" w:rsidRPr="00E11FC5" w:rsidRDefault="00E11FC5" w:rsidP="00E11FC5">
            <w:pPr>
              <w:pStyle w:val="TableBodyText"/>
              <w:rPr>
                <w:sz w:val="18"/>
                <w:szCs w:val="18"/>
              </w:rPr>
            </w:pPr>
            <w:r w:rsidRPr="00E11FC5">
              <w:rPr>
                <w:sz w:val="18"/>
                <w:szCs w:val="18"/>
              </w:rPr>
              <w:t>107.6</w:t>
            </w:r>
          </w:p>
        </w:tc>
        <w:tc>
          <w:tcPr>
            <w:tcW w:w="465" w:type="pct"/>
            <w:vAlign w:val="bottom"/>
          </w:tcPr>
          <w:p w:rsidR="00E11FC5" w:rsidRPr="00E11FC5" w:rsidRDefault="00E11FC5" w:rsidP="00E11FC5">
            <w:pPr>
              <w:pStyle w:val="TableBodyText"/>
              <w:rPr>
                <w:sz w:val="18"/>
                <w:szCs w:val="18"/>
              </w:rPr>
            </w:pPr>
            <w:r w:rsidRPr="00E11FC5">
              <w:rPr>
                <w:sz w:val="18"/>
                <w:szCs w:val="18"/>
              </w:rPr>
              <w:t>86.1</w:t>
            </w:r>
          </w:p>
        </w:tc>
        <w:tc>
          <w:tcPr>
            <w:tcW w:w="423" w:type="pct"/>
            <w:vAlign w:val="bottom"/>
          </w:tcPr>
          <w:p w:rsidR="00E11FC5" w:rsidRPr="00E11FC5" w:rsidRDefault="00E11FC5" w:rsidP="00E11FC5">
            <w:pPr>
              <w:pStyle w:val="TableBodyText"/>
              <w:rPr>
                <w:sz w:val="18"/>
                <w:szCs w:val="18"/>
              </w:rPr>
            </w:pPr>
            <w:r w:rsidRPr="00E11FC5">
              <w:rPr>
                <w:sz w:val="18"/>
                <w:szCs w:val="18"/>
              </w:rPr>
              <w:t>95.9</w:t>
            </w:r>
          </w:p>
        </w:tc>
        <w:tc>
          <w:tcPr>
            <w:tcW w:w="423" w:type="pct"/>
            <w:vAlign w:val="bottom"/>
          </w:tcPr>
          <w:p w:rsidR="00E11FC5" w:rsidRPr="00E11FC5" w:rsidRDefault="00E11FC5" w:rsidP="00E11FC5">
            <w:pPr>
              <w:pStyle w:val="TableBodyText"/>
              <w:rPr>
                <w:sz w:val="18"/>
                <w:szCs w:val="18"/>
              </w:rPr>
            </w:pPr>
            <w:r w:rsidRPr="00E11FC5">
              <w:rPr>
                <w:sz w:val="18"/>
                <w:szCs w:val="18"/>
              </w:rPr>
              <w:t>89.6</w:t>
            </w:r>
          </w:p>
        </w:tc>
        <w:tc>
          <w:tcPr>
            <w:tcW w:w="423" w:type="pct"/>
            <w:vAlign w:val="bottom"/>
          </w:tcPr>
          <w:p w:rsidR="00E11FC5" w:rsidRPr="00E11FC5" w:rsidRDefault="00E11FC5" w:rsidP="00E11FC5">
            <w:pPr>
              <w:pStyle w:val="TableBodyText"/>
              <w:rPr>
                <w:sz w:val="18"/>
                <w:szCs w:val="18"/>
              </w:rPr>
            </w:pPr>
            <w:r w:rsidRPr="00E11FC5">
              <w:rPr>
                <w:sz w:val="18"/>
                <w:szCs w:val="18"/>
              </w:rPr>
              <w:t>75.0</w:t>
            </w:r>
          </w:p>
        </w:tc>
        <w:tc>
          <w:tcPr>
            <w:tcW w:w="423" w:type="pct"/>
            <w:vAlign w:val="bottom"/>
          </w:tcPr>
          <w:p w:rsidR="00E11FC5" w:rsidRPr="00E11FC5" w:rsidRDefault="00E11FC5" w:rsidP="00E11FC5">
            <w:pPr>
              <w:pStyle w:val="TableBodyText"/>
              <w:rPr>
                <w:sz w:val="18"/>
                <w:szCs w:val="18"/>
              </w:rPr>
            </w:pPr>
            <w:r w:rsidRPr="00E11FC5">
              <w:rPr>
                <w:sz w:val="18"/>
                <w:szCs w:val="18"/>
              </w:rPr>
              <w:t>93.8</w:t>
            </w:r>
          </w:p>
        </w:tc>
        <w:tc>
          <w:tcPr>
            <w:tcW w:w="424" w:type="pct"/>
            <w:vAlign w:val="bottom"/>
          </w:tcPr>
          <w:p w:rsidR="00E11FC5" w:rsidRPr="00E11FC5" w:rsidRDefault="00E11FC5" w:rsidP="00E11FC5">
            <w:pPr>
              <w:pStyle w:val="TableBodyText"/>
              <w:rPr>
                <w:sz w:val="18"/>
                <w:szCs w:val="18"/>
              </w:rPr>
            </w:pPr>
            <w:r w:rsidRPr="00E11FC5">
              <w:rPr>
                <w:sz w:val="18"/>
                <w:szCs w:val="18"/>
              </w:rPr>
              <w:t>70.4</w:t>
            </w:r>
          </w:p>
        </w:tc>
      </w:tr>
      <w:tr w:rsidR="00013DF9" w:rsidRPr="00013DF9" w:rsidTr="00584FFF">
        <w:tc>
          <w:tcPr>
            <w:tcW w:w="5000" w:type="pct"/>
            <w:gridSpan w:val="10"/>
          </w:tcPr>
          <w:p w:rsidR="00013DF9" w:rsidRPr="00013DF9" w:rsidRDefault="00013DF9" w:rsidP="002D1BAB">
            <w:pPr>
              <w:pStyle w:val="TableBodyText"/>
              <w:jc w:val="left"/>
              <w:rPr>
                <w:rStyle w:val="NoteLabel"/>
              </w:rPr>
            </w:pPr>
            <w:r w:rsidRPr="00013DF9">
              <w:rPr>
                <w:b/>
              </w:rPr>
              <w:t>Children’s</w:t>
            </w:r>
          </w:p>
        </w:tc>
      </w:tr>
      <w:tr w:rsidR="006165C4" w:rsidRPr="00013DF9" w:rsidTr="00FB0642">
        <w:tc>
          <w:tcPr>
            <w:tcW w:w="990" w:type="pct"/>
          </w:tcPr>
          <w:p w:rsidR="006165C4" w:rsidRPr="00013DF9" w:rsidRDefault="006165C4" w:rsidP="002D1BAB">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rsidR="006165C4" w:rsidRPr="00013DF9" w:rsidRDefault="006165C4" w:rsidP="002D1BAB">
            <w:pPr>
              <w:pStyle w:val="TableBodyText"/>
              <w:rPr>
                <w:szCs w:val="18"/>
              </w:rPr>
            </w:pPr>
            <w:r>
              <w:rPr>
                <w:szCs w:val="18"/>
              </w:rPr>
              <w:t>no.</w:t>
            </w:r>
          </w:p>
        </w:tc>
        <w:tc>
          <w:tcPr>
            <w:tcW w:w="580" w:type="pct"/>
            <w:vAlign w:val="bottom"/>
          </w:tcPr>
          <w:p w:rsidR="006165C4" w:rsidRPr="006165C4" w:rsidRDefault="006165C4" w:rsidP="006165C4">
            <w:pPr>
              <w:pStyle w:val="TableBodyText"/>
              <w:rPr>
                <w:sz w:val="18"/>
                <w:szCs w:val="18"/>
              </w:rPr>
            </w:pPr>
            <w:r w:rsidRPr="006165C4">
              <w:rPr>
                <w:sz w:val="18"/>
                <w:szCs w:val="18"/>
              </w:rPr>
              <w:t>11</w:t>
            </w:r>
          </w:p>
        </w:tc>
        <w:tc>
          <w:tcPr>
            <w:tcW w:w="537" w:type="pct"/>
            <w:vAlign w:val="bottom"/>
          </w:tcPr>
          <w:p w:rsidR="006165C4" w:rsidRPr="006165C4" w:rsidRDefault="006165C4" w:rsidP="006165C4">
            <w:pPr>
              <w:pStyle w:val="TableBodyText"/>
              <w:rPr>
                <w:sz w:val="18"/>
                <w:szCs w:val="18"/>
              </w:rPr>
            </w:pPr>
            <w:r w:rsidRPr="006165C4">
              <w:rPr>
                <w:sz w:val="18"/>
                <w:szCs w:val="18"/>
              </w:rPr>
              <w:t>5</w:t>
            </w:r>
          </w:p>
        </w:tc>
        <w:tc>
          <w:tcPr>
            <w:tcW w:w="465" w:type="pct"/>
            <w:vAlign w:val="bottom"/>
          </w:tcPr>
          <w:p w:rsidR="006165C4" w:rsidRPr="006165C4" w:rsidRDefault="006165C4" w:rsidP="006165C4">
            <w:pPr>
              <w:pStyle w:val="TableBodyText"/>
              <w:rPr>
                <w:sz w:val="18"/>
                <w:szCs w:val="18"/>
              </w:rPr>
            </w:pPr>
            <w:r w:rsidRPr="006165C4">
              <w:rPr>
                <w:sz w:val="18"/>
                <w:szCs w:val="18"/>
              </w:rPr>
              <w:t>5</w:t>
            </w:r>
          </w:p>
        </w:tc>
        <w:tc>
          <w:tcPr>
            <w:tcW w:w="423" w:type="pct"/>
            <w:vAlign w:val="bottom"/>
          </w:tcPr>
          <w:p w:rsidR="006165C4" w:rsidRPr="006165C4" w:rsidRDefault="006165C4" w:rsidP="006165C4">
            <w:pPr>
              <w:pStyle w:val="TableBodyText"/>
              <w:rPr>
                <w:sz w:val="18"/>
                <w:szCs w:val="18"/>
              </w:rPr>
            </w:pPr>
            <w:r w:rsidRPr="006165C4">
              <w:rPr>
                <w:sz w:val="18"/>
                <w:szCs w:val="18"/>
              </w:rPr>
              <w:t>8</w:t>
            </w:r>
          </w:p>
        </w:tc>
        <w:tc>
          <w:tcPr>
            <w:tcW w:w="423" w:type="pct"/>
            <w:vAlign w:val="bottom"/>
          </w:tcPr>
          <w:p w:rsidR="006165C4" w:rsidRPr="006165C4" w:rsidRDefault="006165C4" w:rsidP="006165C4">
            <w:pPr>
              <w:pStyle w:val="TableBodyText"/>
              <w:rPr>
                <w:sz w:val="18"/>
                <w:szCs w:val="18"/>
              </w:rPr>
            </w:pPr>
            <w:r w:rsidRPr="006165C4">
              <w:rPr>
                <w:sz w:val="18"/>
                <w:szCs w:val="18"/>
              </w:rPr>
              <w:t>8</w:t>
            </w:r>
          </w:p>
        </w:tc>
        <w:tc>
          <w:tcPr>
            <w:tcW w:w="423" w:type="pct"/>
          </w:tcPr>
          <w:p w:rsidR="006165C4" w:rsidRDefault="006165C4" w:rsidP="006165C4">
            <w:pPr>
              <w:pStyle w:val="TableBodyText"/>
            </w:pPr>
            <w:r w:rsidRPr="005A7B4D">
              <w:t>–</w:t>
            </w:r>
          </w:p>
        </w:tc>
        <w:tc>
          <w:tcPr>
            <w:tcW w:w="423" w:type="pct"/>
          </w:tcPr>
          <w:p w:rsidR="006165C4" w:rsidRDefault="006165C4" w:rsidP="006165C4">
            <w:pPr>
              <w:pStyle w:val="TableBodyText"/>
            </w:pPr>
            <w:r w:rsidRPr="005A7B4D">
              <w:t>–</w:t>
            </w:r>
          </w:p>
        </w:tc>
        <w:tc>
          <w:tcPr>
            <w:tcW w:w="424" w:type="pct"/>
            <w:vAlign w:val="bottom"/>
          </w:tcPr>
          <w:p w:rsidR="006165C4" w:rsidRPr="006165C4" w:rsidRDefault="006165C4" w:rsidP="006165C4">
            <w:pPr>
              <w:pStyle w:val="TableBodyText"/>
              <w:rPr>
                <w:sz w:val="18"/>
                <w:szCs w:val="18"/>
              </w:rPr>
            </w:pPr>
            <w:r>
              <w:rPr>
                <w:sz w:val="18"/>
                <w:szCs w:val="18"/>
              </w:rPr>
              <w:t>–</w:t>
            </w:r>
          </w:p>
        </w:tc>
      </w:tr>
      <w:tr w:rsidR="006165C4" w:rsidRPr="00013DF9" w:rsidTr="00FB0642">
        <w:tc>
          <w:tcPr>
            <w:tcW w:w="990" w:type="pct"/>
          </w:tcPr>
          <w:p w:rsidR="006165C4" w:rsidRPr="00013DF9" w:rsidRDefault="006165C4" w:rsidP="002D1BAB">
            <w:pPr>
              <w:pStyle w:val="TableBodyText"/>
              <w:jc w:val="left"/>
              <w:rPr>
                <w:szCs w:val="18"/>
              </w:rPr>
            </w:pPr>
            <w:r w:rsidRPr="00013DF9">
              <w:rPr>
                <w:szCs w:val="18"/>
              </w:rPr>
              <w:t xml:space="preserve"> Finalisations</w:t>
            </w:r>
          </w:p>
        </w:tc>
        <w:tc>
          <w:tcPr>
            <w:tcW w:w="312" w:type="pct"/>
          </w:tcPr>
          <w:p w:rsidR="006165C4" w:rsidRPr="00013DF9" w:rsidRDefault="006165C4" w:rsidP="002D1BAB">
            <w:pPr>
              <w:pStyle w:val="TableBodyText"/>
              <w:rPr>
                <w:szCs w:val="18"/>
              </w:rPr>
            </w:pPr>
            <w:r>
              <w:rPr>
                <w:szCs w:val="18"/>
              </w:rPr>
              <w:t>no.</w:t>
            </w:r>
          </w:p>
        </w:tc>
        <w:tc>
          <w:tcPr>
            <w:tcW w:w="580" w:type="pct"/>
            <w:vAlign w:val="bottom"/>
          </w:tcPr>
          <w:p w:rsidR="006165C4" w:rsidRPr="006165C4" w:rsidRDefault="006165C4" w:rsidP="006165C4">
            <w:pPr>
              <w:pStyle w:val="TableBodyText"/>
              <w:rPr>
                <w:sz w:val="18"/>
                <w:szCs w:val="18"/>
              </w:rPr>
            </w:pPr>
            <w:r w:rsidRPr="006165C4">
              <w:rPr>
                <w:sz w:val="18"/>
                <w:szCs w:val="18"/>
              </w:rPr>
              <w:t>15</w:t>
            </w:r>
          </w:p>
        </w:tc>
        <w:tc>
          <w:tcPr>
            <w:tcW w:w="537" w:type="pct"/>
            <w:vAlign w:val="bottom"/>
          </w:tcPr>
          <w:p w:rsidR="006165C4" w:rsidRPr="006165C4" w:rsidRDefault="006165C4" w:rsidP="006165C4">
            <w:pPr>
              <w:pStyle w:val="TableBodyText"/>
              <w:rPr>
                <w:sz w:val="18"/>
                <w:szCs w:val="18"/>
              </w:rPr>
            </w:pPr>
            <w:r w:rsidRPr="006165C4">
              <w:rPr>
                <w:sz w:val="18"/>
                <w:szCs w:val="18"/>
              </w:rPr>
              <w:t>7</w:t>
            </w:r>
          </w:p>
        </w:tc>
        <w:tc>
          <w:tcPr>
            <w:tcW w:w="465" w:type="pct"/>
            <w:vAlign w:val="bottom"/>
          </w:tcPr>
          <w:p w:rsidR="006165C4" w:rsidRPr="006165C4" w:rsidRDefault="006165C4" w:rsidP="006165C4">
            <w:pPr>
              <w:pStyle w:val="TableBodyText"/>
              <w:rPr>
                <w:sz w:val="18"/>
                <w:szCs w:val="18"/>
              </w:rPr>
            </w:pPr>
            <w:r w:rsidRPr="006165C4">
              <w:rPr>
                <w:sz w:val="18"/>
                <w:szCs w:val="18"/>
              </w:rPr>
              <w:t>7</w:t>
            </w:r>
          </w:p>
        </w:tc>
        <w:tc>
          <w:tcPr>
            <w:tcW w:w="423" w:type="pct"/>
            <w:vAlign w:val="bottom"/>
          </w:tcPr>
          <w:p w:rsidR="006165C4" w:rsidRPr="006165C4" w:rsidRDefault="006165C4" w:rsidP="006165C4">
            <w:pPr>
              <w:pStyle w:val="TableBodyText"/>
              <w:rPr>
                <w:sz w:val="18"/>
                <w:szCs w:val="18"/>
              </w:rPr>
            </w:pPr>
            <w:r w:rsidRPr="006165C4">
              <w:rPr>
                <w:sz w:val="18"/>
                <w:szCs w:val="18"/>
              </w:rPr>
              <w:t>4</w:t>
            </w:r>
          </w:p>
        </w:tc>
        <w:tc>
          <w:tcPr>
            <w:tcW w:w="423" w:type="pct"/>
            <w:vAlign w:val="bottom"/>
          </w:tcPr>
          <w:p w:rsidR="006165C4" w:rsidRPr="006165C4" w:rsidRDefault="006165C4" w:rsidP="006165C4">
            <w:pPr>
              <w:pStyle w:val="TableBodyText"/>
              <w:rPr>
                <w:sz w:val="18"/>
                <w:szCs w:val="18"/>
              </w:rPr>
            </w:pPr>
            <w:r w:rsidRPr="006165C4">
              <w:rPr>
                <w:sz w:val="18"/>
                <w:szCs w:val="18"/>
              </w:rPr>
              <w:t>6</w:t>
            </w:r>
          </w:p>
        </w:tc>
        <w:tc>
          <w:tcPr>
            <w:tcW w:w="423" w:type="pct"/>
          </w:tcPr>
          <w:p w:rsidR="006165C4" w:rsidRDefault="006165C4" w:rsidP="006165C4">
            <w:pPr>
              <w:pStyle w:val="TableBodyText"/>
            </w:pPr>
            <w:r w:rsidRPr="005A7B4D">
              <w:t>–</w:t>
            </w:r>
          </w:p>
        </w:tc>
        <w:tc>
          <w:tcPr>
            <w:tcW w:w="423" w:type="pct"/>
          </w:tcPr>
          <w:p w:rsidR="006165C4" w:rsidRDefault="006165C4" w:rsidP="006165C4">
            <w:pPr>
              <w:pStyle w:val="TableBodyText"/>
            </w:pPr>
            <w:r w:rsidRPr="005A7B4D">
              <w:t>–</w:t>
            </w:r>
          </w:p>
        </w:tc>
        <w:tc>
          <w:tcPr>
            <w:tcW w:w="424" w:type="pct"/>
            <w:vAlign w:val="bottom"/>
          </w:tcPr>
          <w:p w:rsidR="006165C4" w:rsidRPr="006165C4" w:rsidRDefault="006165C4" w:rsidP="006165C4">
            <w:pPr>
              <w:pStyle w:val="TableBodyText"/>
              <w:rPr>
                <w:sz w:val="18"/>
                <w:szCs w:val="18"/>
              </w:rPr>
            </w:pPr>
            <w:r w:rsidRPr="006165C4">
              <w:rPr>
                <w:sz w:val="18"/>
                <w:szCs w:val="18"/>
              </w:rPr>
              <w:t>1</w:t>
            </w:r>
          </w:p>
        </w:tc>
      </w:tr>
      <w:tr w:rsidR="006165C4" w:rsidRPr="00013DF9" w:rsidTr="00FB0642">
        <w:tc>
          <w:tcPr>
            <w:tcW w:w="990" w:type="pct"/>
          </w:tcPr>
          <w:p w:rsidR="006165C4" w:rsidRPr="00046ACB" w:rsidRDefault="006165C4" w:rsidP="002D1BAB">
            <w:pPr>
              <w:pStyle w:val="TableBodyText"/>
              <w:jc w:val="left"/>
            </w:pPr>
            <w:r>
              <w:t xml:space="preserve"> Pending</w:t>
            </w:r>
          </w:p>
        </w:tc>
        <w:tc>
          <w:tcPr>
            <w:tcW w:w="312" w:type="pct"/>
          </w:tcPr>
          <w:p w:rsidR="006165C4" w:rsidRPr="00013DF9" w:rsidRDefault="006165C4" w:rsidP="002D1BAB">
            <w:pPr>
              <w:pStyle w:val="TableBodyText"/>
              <w:rPr>
                <w:i/>
                <w:szCs w:val="16"/>
              </w:rPr>
            </w:pPr>
            <w:r>
              <w:rPr>
                <w:i/>
                <w:szCs w:val="16"/>
              </w:rPr>
              <w:t>no.</w:t>
            </w:r>
          </w:p>
        </w:tc>
        <w:tc>
          <w:tcPr>
            <w:tcW w:w="580" w:type="pct"/>
            <w:vAlign w:val="bottom"/>
          </w:tcPr>
          <w:p w:rsidR="006165C4" w:rsidRPr="006165C4" w:rsidRDefault="006165C4" w:rsidP="006165C4">
            <w:pPr>
              <w:pStyle w:val="TableBodyText"/>
              <w:rPr>
                <w:sz w:val="18"/>
                <w:szCs w:val="18"/>
              </w:rPr>
            </w:pPr>
            <w:r w:rsidRPr="006165C4">
              <w:rPr>
                <w:sz w:val="18"/>
                <w:szCs w:val="18"/>
              </w:rPr>
              <w:t>10</w:t>
            </w:r>
          </w:p>
        </w:tc>
        <w:tc>
          <w:tcPr>
            <w:tcW w:w="537" w:type="pct"/>
            <w:vAlign w:val="bottom"/>
          </w:tcPr>
          <w:p w:rsidR="006165C4" w:rsidRPr="006165C4" w:rsidRDefault="006165C4" w:rsidP="006165C4">
            <w:pPr>
              <w:pStyle w:val="TableBodyText"/>
              <w:rPr>
                <w:sz w:val="18"/>
                <w:szCs w:val="18"/>
              </w:rPr>
            </w:pPr>
            <w:r w:rsidRPr="006165C4">
              <w:rPr>
                <w:sz w:val="18"/>
                <w:szCs w:val="18"/>
              </w:rPr>
              <w:t>1</w:t>
            </w:r>
          </w:p>
        </w:tc>
        <w:tc>
          <w:tcPr>
            <w:tcW w:w="465" w:type="pct"/>
            <w:vAlign w:val="bottom"/>
          </w:tcPr>
          <w:p w:rsidR="006165C4" w:rsidRPr="006165C4" w:rsidRDefault="006165C4" w:rsidP="006165C4">
            <w:pPr>
              <w:pStyle w:val="TableBodyText"/>
              <w:rPr>
                <w:sz w:val="18"/>
                <w:szCs w:val="18"/>
              </w:rPr>
            </w:pPr>
            <w:r w:rsidRPr="006165C4">
              <w:rPr>
                <w:sz w:val="18"/>
                <w:szCs w:val="18"/>
              </w:rPr>
              <w:t>1</w:t>
            </w:r>
          </w:p>
        </w:tc>
        <w:tc>
          <w:tcPr>
            <w:tcW w:w="423" w:type="pct"/>
            <w:vAlign w:val="bottom"/>
          </w:tcPr>
          <w:p w:rsidR="006165C4" w:rsidRPr="006165C4" w:rsidRDefault="006165C4" w:rsidP="006165C4">
            <w:pPr>
              <w:pStyle w:val="TableBodyText"/>
              <w:rPr>
                <w:sz w:val="18"/>
                <w:szCs w:val="18"/>
              </w:rPr>
            </w:pPr>
            <w:r w:rsidRPr="006165C4">
              <w:rPr>
                <w:sz w:val="18"/>
                <w:szCs w:val="18"/>
              </w:rPr>
              <w:t>7</w:t>
            </w:r>
          </w:p>
        </w:tc>
        <w:tc>
          <w:tcPr>
            <w:tcW w:w="423" w:type="pct"/>
            <w:vAlign w:val="bottom"/>
          </w:tcPr>
          <w:p w:rsidR="006165C4" w:rsidRPr="006165C4" w:rsidRDefault="006165C4" w:rsidP="006165C4">
            <w:pPr>
              <w:pStyle w:val="TableBodyText"/>
              <w:rPr>
                <w:sz w:val="18"/>
                <w:szCs w:val="18"/>
              </w:rPr>
            </w:pPr>
            <w:r w:rsidRPr="006165C4">
              <w:rPr>
                <w:sz w:val="18"/>
                <w:szCs w:val="18"/>
              </w:rPr>
              <w:t>5</w:t>
            </w:r>
          </w:p>
        </w:tc>
        <w:tc>
          <w:tcPr>
            <w:tcW w:w="423" w:type="pct"/>
          </w:tcPr>
          <w:p w:rsidR="006165C4" w:rsidRDefault="006165C4" w:rsidP="006165C4">
            <w:pPr>
              <w:pStyle w:val="TableBodyText"/>
            </w:pPr>
            <w:r w:rsidRPr="005A7B4D">
              <w:t>–</w:t>
            </w:r>
          </w:p>
        </w:tc>
        <w:tc>
          <w:tcPr>
            <w:tcW w:w="423" w:type="pct"/>
          </w:tcPr>
          <w:p w:rsidR="006165C4" w:rsidRDefault="006165C4" w:rsidP="006165C4">
            <w:pPr>
              <w:pStyle w:val="TableBodyText"/>
            </w:pPr>
            <w:r w:rsidRPr="005A7B4D">
              <w:t>–</w:t>
            </w:r>
          </w:p>
        </w:tc>
        <w:tc>
          <w:tcPr>
            <w:tcW w:w="424" w:type="pct"/>
          </w:tcPr>
          <w:p w:rsidR="006165C4" w:rsidRDefault="006165C4" w:rsidP="006165C4">
            <w:pPr>
              <w:pStyle w:val="TableBodyText"/>
            </w:pPr>
            <w:r w:rsidRPr="00152C32">
              <w:t>–</w:t>
            </w:r>
          </w:p>
        </w:tc>
      </w:tr>
      <w:tr w:rsidR="006165C4" w:rsidRPr="00013DF9" w:rsidTr="00FB0642">
        <w:tc>
          <w:tcPr>
            <w:tcW w:w="990" w:type="pct"/>
          </w:tcPr>
          <w:p w:rsidR="006165C4" w:rsidRPr="00013DF9" w:rsidRDefault="006165C4" w:rsidP="002D1BAB">
            <w:pPr>
              <w:pStyle w:val="TableBodyText"/>
              <w:jc w:val="left"/>
              <w:rPr>
                <w:szCs w:val="18"/>
              </w:rPr>
            </w:pPr>
            <w:r>
              <w:rPr>
                <w:szCs w:val="18"/>
              </w:rPr>
              <w:t xml:space="preserve"> Backlog &gt;6 </w:t>
            </w:r>
            <w:proofErr w:type="spellStart"/>
            <w:r>
              <w:rPr>
                <w:szCs w:val="18"/>
              </w:rPr>
              <w:t>mths</w:t>
            </w:r>
            <w:proofErr w:type="spellEnd"/>
          </w:p>
        </w:tc>
        <w:tc>
          <w:tcPr>
            <w:tcW w:w="312" w:type="pct"/>
          </w:tcPr>
          <w:p w:rsidR="006165C4" w:rsidRPr="00013DF9" w:rsidRDefault="006165C4" w:rsidP="002D1BAB">
            <w:pPr>
              <w:pStyle w:val="TableBodyText"/>
              <w:rPr>
                <w:szCs w:val="18"/>
              </w:rPr>
            </w:pPr>
            <w:r>
              <w:rPr>
                <w:szCs w:val="18"/>
              </w:rPr>
              <w:t>%</w:t>
            </w:r>
          </w:p>
        </w:tc>
        <w:tc>
          <w:tcPr>
            <w:tcW w:w="580" w:type="pct"/>
            <w:vAlign w:val="bottom"/>
          </w:tcPr>
          <w:p w:rsidR="006165C4" w:rsidRPr="006165C4" w:rsidRDefault="006165C4" w:rsidP="006165C4">
            <w:pPr>
              <w:pStyle w:val="TableBodyText"/>
              <w:rPr>
                <w:sz w:val="18"/>
                <w:szCs w:val="18"/>
              </w:rPr>
            </w:pPr>
            <w:r w:rsidRPr="006165C4">
              <w:rPr>
                <w:sz w:val="18"/>
                <w:szCs w:val="18"/>
              </w:rPr>
              <w:t>60.0</w:t>
            </w:r>
          </w:p>
        </w:tc>
        <w:tc>
          <w:tcPr>
            <w:tcW w:w="537" w:type="pct"/>
          </w:tcPr>
          <w:p w:rsidR="006165C4" w:rsidRDefault="006165C4" w:rsidP="006165C4">
            <w:pPr>
              <w:pStyle w:val="TableBodyText"/>
            </w:pPr>
            <w:r w:rsidRPr="006E3E3B">
              <w:t>–</w:t>
            </w:r>
          </w:p>
        </w:tc>
        <w:tc>
          <w:tcPr>
            <w:tcW w:w="465" w:type="pct"/>
            <w:vAlign w:val="bottom"/>
          </w:tcPr>
          <w:p w:rsidR="006165C4" w:rsidRPr="006165C4" w:rsidRDefault="006165C4" w:rsidP="006165C4">
            <w:pPr>
              <w:pStyle w:val="TableBodyText"/>
              <w:rPr>
                <w:sz w:val="18"/>
                <w:szCs w:val="18"/>
              </w:rPr>
            </w:pPr>
            <w:r w:rsidRPr="006165C4">
              <w:rPr>
                <w:sz w:val="18"/>
                <w:szCs w:val="18"/>
              </w:rPr>
              <w:t>100.0</w:t>
            </w:r>
          </w:p>
        </w:tc>
        <w:tc>
          <w:tcPr>
            <w:tcW w:w="423" w:type="pct"/>
            <w:vAlign w:val="bottom"/>
          </w:tcPr>
          <w:p w:rsidR="006165C4" w:rsidRPr="006165C4" w:rsidRDefault="006165C4" w:rsidP="006165C4">
            <w:pPr>
              <w:pStyle w:val="TableBodyText"/>
              <w:rPr>
                <w:sz w:val="18"/>
                <w:szCs w:val="18"/>
              </w:rPr>
            </w:pPr>
            <w:r w:rsidRPr="006165C4">
              <w:rPr>
                <w:sz w:val="18"/>
                <w:szCs w:val="18"/>
              </w:rPr>
              <w:t>14.3</w:t>
            </w:r>
          </w:p>
        </w:tc>
        <w:tc>
          <w:tcPr>
            <w:tcW w:w="423" w:type="pct"/>
            <w:vAlign w:val="bottom"/>
          </w:tcPr>
          <w:p w:rsidR="006165C4" w:rsidRPr="006165C4" w:rsidRDefault="006165C4" w:rsidP="006165C4">
            <w:pPr>
              <w:pStyle w:val="TableBodyText"/>
              <w:rPr>
                <w:sz w:val="18"/>
                <w:szCs w:val="18"/>
              </w:rPr>
            </w:pPr>
            <w:r w:rsidRPr="006165C4">
              <w:rPr>
                <w:sz w:val="18"/>
                <w:szCs w:val="18"/>
              </w:rPr>
              <w:t>100.0</w:t>
            </w:r>
          </w:p>
        </w:tc>
        <w:tc>
          <w:tcPr>
            <w:tcW w:w="423" w:type="pct"/>
          </w:tcPr>
          <w:p w:rsidR="006165C4" w:rsidRDefault="006165C4" w:rsidP="006165C4">
            <w:pPr>
              <w:pStyle w:val="TableBodyText"/>
            </w:pPr>
            <w:r w:rsidRPr="005A7B4D">
              <w:t>–</w:t>
            </w:r>
          </w:p>
        </w:tc>
        <w:tc>
          <w:tcPr>
            <w:tcW w:w="423" w:type="pct"/>
          </w:tcPr>
          <w:p w:rsidR="006165C4" w:rsidRDefault="006165C4" w:rsidP="006165C4">
            <w:pPr>
              <w:pStyle w:val="TableBodyText"/>
            </w:pPr>
            <w:r w:rsidRPr="005A7B4D">
              <w:t>–</w:t>
            </w:r>
          </w:p>
        </w:tc>
        <w:tc>
          <w:tcPr>
            <w:tcW w:w="424" w:type="pct"/>
          </w:tcPr>
          <w:p w:rsidR="006165C4" w:rsidRDefault="006165C4" w:rsidP="006165C4">
            <w:pPr>
              <w:pStyle w:val="TableBodyText"/>
            </w:pPr>
            <w:r w:rsidRPr="00152C32">
              <w:t>–</w:t>
            </w:r>
          </w:p>
        </w:tc>
      </w:tr>
      <w:tr w:rsidR="006165C4" w:rsidRPr="00013DF9" w:rsidTr="006165C4">
        <w:tc>
          <w:tcPr>
            <w:tcW w:w="990" w:type="pct"/>
          </w:tcPr>
          <w:p w:rsidR="006165C4" w:rsidRPr="00013DF9" w:rsidRDefault="006165C4" w:rsidP="002D1BAB">
            <w:pPr>
              <w:pStyle w:val="TableBodyText"/>
              <w:jc w:val="left"/>
              <w:rPr>
                <w:szCs w:val="18"/>
              </w:rPr>
            </w:pPr>
            <w:r>
              <w:rPr>
                <w:szCs w:val="18"/>
              </w:rPr>
              <w:t xml:space="preserve"> Backlog &gt;12 </w:t>
            </w:r>
            <w:proofErr w:type="spellStart"/>
            <w:r>
              <w:rPr>
                <w:szCs w:val="18"/>
              </w:rPr>
              <w:t>mths</w:t>
            </w:r>
            <w:proofErr w:type="spellEnd"/>
          </w:p>
        </w:tc>
        <w:tc>
          <w:tcPr>
            <w:tcW w:w="312" w:type="pct"/>
          </w:tcPr>
          <w:p w:rsidR="006165C4" w:rsidRPr="00013DF9" w:rsidRDefault="006165C4" w:rsidP="002D1BAB">
            <w:pPr>
              <w:pStyle w:val="TableBodyText"/>
              <w:rPr>
                <w:szCs w:val="18"/>
              </w:rPr>
            </w:pPr>
            <w:r>
              <w:rPr>
                <w:szCs w:val="18"/>
              </w:rPr>
              <w:t>%</w:t>
            </w:r>
          </w:p>
        </w:tc>
        <w:tc>
          <w:tcPr>
            <w:tcW w:w="580"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40.0</w:t>
            </w:r>
          </w:p>
        </w:tc>
        <w:tc>
          <w:tcPr>
            <w:tcW w:w="537"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w:t>
            </w:r>
          </w:p>
        </w:tc>
        <w:tc>
          <w:tcPr>
            <w:tcW w:w="465"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w:t>
            </w:r>
          </w:p>
        </w:tc>
        <w:tc>
          <w:tcPr>
            <w:tcW w:w="423"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w:t>
            </w:r>
          </w:p>
        </w:tc>
        <w:tc>
          <w:tcPr>
            <w:tcW w:w="423"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40.0</w:t>
            </w:r>
          </w:p>
        </w:tc>
        <w:tc>
          <w:tcPr>
            <w:tcW w:w="423"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w:t>
            </w:r>
          </w:p>
        </w:tc>
        <w:tc>
          <w:tcPr>
            <w:tcW w:w="423"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w:t>
            </w:r>
          </w:p>
        </w:tc>
        <w:tc>
          <w:tcPr>
            <w:tcW w:w="424" w:type="pct"/>
            <w:vAlign w:val="center"/>
          </w:tcPr>
          <w:p w:rsidR="006165C4" w:rsidRPr="00F701E8" w:rsidRDefault="006165C4" w:rsidP="006165C4">
            <w:pPr>
              <w:pStyle w:val="TableBodyText"/>
              <w:tabs>
                <w:tab w:val="right" w:pos="8789"/>
              </w:tabs>
              <w:ind w:hanging="737"/>
              <w:rPr>
                <w:sz w:val="18"/>
                <w:szCs w:val="18"/>
              </w:rPr>
            </w:pPr>
            <w:r w:rsidRPr="00F701E8">
              <w:rPr>
                <w:sz w:val="18"/>
                <w:szCs w:val="18"/>
              </w:rPr>
              <w:t>–</w:t>
            </w:r>
          </w:p>
        </w:tc>
      </w:tr>
      <w:tr w:rsidR="006165C4" w:rsidRPr="00013DF9" w:rsidTr="00FB0642">
        <w:tc>
          <w:tcPr>
            <w:tcW w:w="990" w:type="pct"/>
          </w:tcPr>
          <w:p w:rsidR="006165C4" w:rsidRPr="00046ACB" w:rsidRDefault="006165C4" w:rsidP="002D1BAB">
            <w:pPr>
              <w:pStyle w:val="TableBodyText"/>
              <w:jc w:val="left"/>
            </w:pPr>
            <w:r>
              <w:t xml:space="preserve"> </w:t>
            </w:r>
            <w:r w:rsidRPr="00046ACB">
              <w:t>Attendance</w:t>
            </w:r>
          </w:p>
        </w:tc>
        <w:tc>
          <w:tcPr>
            <w:tcW w:w="312" w:type="pct"/>
          </w:tcPr>
          <w:p w:rsidR="006165C4" w:rsidRPr="008A7DD0" w:rsidRDefault="006165C4" w:rsidP="002D1BAB">
            <w:pPr>
              <w:pStyle w:val="TableBodyText"/>
              <w:rPr>
                <w:szCs w:val="16"/>
              </w:rPr>
            </w:pPr>
            <w:r>
              <w:rPr>
                <w:szCs w:val="16"/>
              </w:rPr>
              <w:t>n</w:t>
            </w:r>
            <w:r w:rsidRPr="008A7DD0">
              <w:rPr>
                <w:szCs w:val="16"/>
              </w:rPr>
              <w:t>o.</w:t>
            </w:r>
          </w:p>
        </w:tc>
        <w:tc>
          <w:tcPr>
            <w:tcW w:w="580" w:type="pct"/>
            <w:vAlign w:val="bottom"/>
          </w:tcPr>
          <w:p w:rsidR="006165C4" w:rsidRPr="006165C4" w:rsidRDefault="006165C4" w:rsidP="006165C4">
            <w:pPr>
              <w:pStyle w:val="TableBodyText"/>
              <w:rPr>
                <w:sz w:val="18"/>
                <w:szCs w:val="18"/>
              </w:rPr>
            </w:pPr>
            <w:proofErr w:type="spellStart"/>
            <w:r w:rsidRPr="006165C4">
              <w:rPr>
                <w:sz w:val="18"/>
                <w:szCs w:val="18"/>
              </w:rPr>
              <w:t>na</w:t>
            </w:r>
            <w:proofErr w:type="spellEnd"/>
          </w:p>
        </w:tc>
        <w:tc>
          <w:tcPr>
            <w:tcW w:w="537" w:type="pct"/>
            <w:vAlign w:val="bottom"/>
          </w:tcPr>
          <w:p w:rsidR="006165C4" w:rsidRPr="006165C4" w:rsidRDefault="006165C4" w:rsidP="006165C4">
            <w:pPr>
              <w:pStyle w:val="TableBodyText"/>
              <w:rPr>
                <w:sz w:val="18"/>
                <w:szCs w:val="18"/>
              </w:rPr>
            </w:pPr>
            <w:r w:rsidRPr="006165C4">
              <w:rPr>
                <w:sz w:val="18"/>
                <w:szCs w:val="18"/>
              </w:rPr>
              <w:t>5.1</w:t>
            </w:r>
          </w:p>
        </w:tc>
        <w:tc>
          <w:tcPr>
            <w:tcW w:w="465" w:type="pct"/>
            <w:vAlign w:val="bottom"/>
          </w:tcPr>
          <w:p w:rsidR="006165C4" w:rsidRPr="006165C4" w:rsidRDefault="006165C4" w:rsidP="006165C4">
            <w:pPr>
              <w:pStyle w:val="TableBodyText"/>
              <w:rPr>
                <w:sz w:val="18"/>
                <w:szCs w:val="18"/>
              </w:rPr>
            </w:pPr>
            <w:r w:rsidRPr="006165C4">
              <w:rPr>
                <w:sz w:val="18"/>
                <w:szCs w:val="18"/>
              </w:rPr>
              <w:t>6.9</w:t>
            </w:r>
          </w:p>
        </w:tc>
        <w:tc>
          <w:tcPr>
            <w:tcW w:w="423" w:type="pct"/>
            <w:vAlign w:val="bottom"/>
          </w:tcPr>
          <w:p w:rsidR="006165C4" w:rsidRPr="006165C4" w:rsidRDefault="006165C4" w:rsidP="006165C4">
            <w:pPr>
              <w:pStyle w:val="TableBodyText"/>
              <w:rPr>
                <w:sz w:val="18"/>
                <w:szCs w:val="18"/>
              </w:rPr>
            </w:pPr>
            <w:r w:rsidRPr="006165C4">
              <w:rPr>
                <w:sz w:val="18"/>
                <w:szCs w:val="18"/>
              </w:rPr>
              <w:t>12.3</w:t>
            </w:r>
          </w:p>
        </w:tc>
        <w:tc>
          <w:tcPr>
            <w:tcW w:w="423" w:type="pct"/>
            <w:vAlign w:val="bottom"/>
          </w:tcPr>
          <w:p w:rsidR="006165C4" w:rsidRPr="006165C4" w:rsidRDefault="006165C4" w:rsidP="006165C4">
            <w:pPr>
              <w:pStyle w:val="TableBodyText"/>
              <w:rPr>
                <w:sz w:val="18"/>
                <w:szCs w:val="18"/>
              </w:rPr>
            </w:pPr>
            <w:r w:rsidRPr="006165C4">
              <w:rPr>
                <w:sz w:val="18"/>
                <w:szCs w:val="18"/>
              </w:rPr>
              <w:t>8.3</w:t>
            </w:r>
          </w:p>
        </w:tc>
        <w:tc>
          <w:tcPr>
            <w:tcW w:w="423" w:type="pct"/>
          </w:tcPr>
          <w:p w:rsidR="006165C4" w:rsidRDefault="006165C4" w:rsidP="006165C4">
            <w:pPr>
              <w:pStyle w:val="TableBodyText"/>
            </w:pPr>
            <w:r w:rsidRPr="005A7B4D">
              <w:t>–</w:t>
            </w:r>
          </w:p>
        </w:tc>
        <w:tc>
          <w:tcPr>
            <w:tcW w:w="423" w:type="pct"/>
          </w:tcPr>
          <w:p w:rsidR="006165C4" w:rsidRDefault="006165C4" w:rsidP="006165C4">
            <w:pPr>
              <w:pStyle w:val="TableBodyText"/>
            </w:pPr>
            <w:r w:rsidRPr="005A7B4D">
              <w:t>–</w:t>
            </w:r>
          </w:p>
        </w:tc>
        <w:tc>
          <w:tcPr>
            <w:tcW w:w="424" w:type="pct"/>
            <w:vAlign w:val="bottom"/>
          </w:tcPr>
          <w:p w:rsidR="006165C4" w:rsidRPr="006165C4" w:rsidRDefault="006165C4" w:rsidP="006165C4">
            <w:pPr>
              <w:pStyle w:val="TableBodyText"/>
              <w:rPr>
                <w:sz w:val="18"/>
                <w:szCs w:val="18"/>
              </w:rPr>
            </w:pPr>
            <w:r w:rsidRPr="006165C4">
              <w:rPr>
                <w:sz w:val="18"/>
                <w:szCs w:val="18"/>
              </w:rPr>
              <w:t>20.0</w:t>
            </w:r>
          </w:p>
        </w:tc>
      </w:tr>
      <w:tr w:rsidR="006165C4" w:rsidRPr="00013DF9" w:rsidTr="00FB0642">
        <w:tc>
          <w:tcPr>
            <w:tcW w:w="990" w:type="pct"/>
            <w:tcBorders>
              <w:bottom w:val="single" w:sz="4" w:space="0" w:color="auto"/>
            </w:tcBorders>
          </w:tcPr>
          <w:p w:rsidR="006165C4" w:rsidRPr="00046ACB" w:rsidRDefault="006165C4" w:rsidP="002D1BAB">
            <w:pPr>
              <w:pStyle w:val="TableBodyText"/>
              <w:jc w:val="left"/>
            </w:pPr>
            <w:r>
              <w:t xml:space="preserve"> Clearance rate</w:t>
            </w:r>
          </w:p>
        </w:tc>
        <w:tc>
          <w:tcPr>
            <w:tcW w:w="312" w:type="pct"/>
            <w:tcBorders>
              <w:bottom w:val="single" w:sz="4" w:space="0" w:color="auto"/>
            </w:tcBorders>
          </w:tcPr>
          <w:p w:rsidR="006165C4" w:rsidRPr="00013DF9" w:rsidRDefault="006165C4" w:rsidP="002D1BAB">
            <w:pPr>
              <w:pStyle w:val="TableBodyText"/>
              <w:rPr>
                <w:i/>
                <w:szCs w:val="16"/>
              </w:rPr>
            </w:pPr>
            <w:r w:rsidRPr="00013DF9">
              <w:rPr>
                <w:i/>
                <w:szCs w:val="16"/>
              </w:rPr>
              <w:t>%</w:t>
            </w:r>
          </w:p>
        </w:tc>
        <w:tc>
          <w:tcPr>
            <w:tcW w:w="580" w:type="pct"/>
            <w:tcBorders>
              <w:bottom w:val="single" w:sz="4" w:space="0" w:color="auto"/>
            </w:tcBorders>
            <w:vAlign w:val="bottom"/>
          </w:tcPr>
          <w:p w:rsidR="006165C4" w:rsidRPr="006165C4" w:rsidRDefault="006165C4" w:rsidP="006165C4">
            <w:pPr>
              <w:pStyle w:val="TableBodyText"/>
              <w:rPr>
                <w:sz w:val="18"/>
                <w:szCs w:val="18"/>
              </w:rPr>
            </w:pPr>
            <w:r w:rsidRPr="006165C4">
              <w:rPr>
                <w:sz w:val="18"/>
                <w:szCs w:val="18"/>
              </w:rPr>
              <w:t>136.4</w:t>
            </w:r>
          </w:p>
        </w:tc>
        <w:tc>
          <w:tcPr>
            <w:tcW w:w="537" w:type="pct"/>
            <w:tcBorders>
              <w:bottom w:val="single" w:sz="4" w:space="0" w:color="auto"/>
            </w:tcBorders>
            <w:vAlign w:val="bottom"/>
          </w:tcPr>
          <w:p w:rsidR="006165C4" w:rsidRPr="006165C4" w:rsidRDefault="006165C4" w:rsidP="006165C4">
            <w:pPr>
              <w:pStyle w:val="TableBodyText"/>
              <w:rPr>
                <w:sz w:val="18"/>
                <w:szCs w:val="18"/>
              </w:rPr>
            </w:pPr>
            <w:r w:rsidRPr="006165C4">
              <w:rPr>
                <w:sz w:val="18"/>
                <w:szCs w:val="18"/>
              </w:rPr>
              <w:t>140.0</w:t>
            </w:r>
          </w:p>
        </w:tc>
        <w:tc>
          <w:tcPr>
            <w:tcW w:w="465" w:type="pct"/>
            <w:tcBorders>
              <w:bottom w:val="single" w:sz="4" w:space="0" w:color="auto"/>
            </w:tcBorders>
            <w:vAlign w:val="bottom"/>
          </w:tcPr>
          <w:p w:rsidR="006165C4" w:rsidRPr="006165C4" w:rsidRDefault="006165C4" w:rsidP="006165C4">
            <w:pPr>
              <w:pStyle w:val="TableBodyText"/>
              <w:rPr>
                <w:sz w:val="18"/>
                <w:szCs w:val="18"/>
              </w:rPr>
            </w:pPr>
            <w:r w:rsidRPr="006165C4">
              <w:rPr>
                <w:sz w:val="18"/>
                <w:szCs w:val="18"/>
              </w:rPr>
              <w:t>140.0</w:t>
            </w:r>
          </w:p>
        </w:tc>
        <w:tc>
          <w:tcPr>
            <w:tcW w:w="423" w:type="pct"/>
            <w:tcBorders>
              <w:bottom w:val="single" w:sz="4" w:space="0" w:color="auto"/>
            </w:tcBorders>
            <w:vAlign w:val="bottom"/>
          </w:tcPr>
          <w:p w:rsidR="006165C4" w:rsidRPr="006165C4" w:rsidRDefault="006165C4" w:rsidP="006165C4">
            <w:pPr>
              <w:pStyle w:val="TableBodyText"/>
              <w:rPr>
                <w:sz w:val="18"/>
                <w:szCs w:val="18"/>
              </w:rPr>
            </w:pPr>
            <w:r w:rsidRPr="006165C4">
              <w:rPr>
                <w:sz w:val="18"/>
                <w:szCs w:val="18"/>
              </w:rPr>
              <w:t>50.0</w:t>
            </w:r>
          </w:p>
        </w:tc>
        <w:tc>
          <w:tcPr>
            <w:tcW w:w="423" w:type="pct"/>
            <w:tcBorders>
              <w:bottom w:val="single" w:sz="4" w:space="0" w:color="auto"/>
            </w:tcBorders>
            <w:vAlign w:val="bottom"/>
          </w:tcPr>
          <w:p w:rsidR="006165C4" w:rsidRPr="006165C4" w:rsidRDefault="006165C4" w:rsidP="006165C4">
            <w:pPr>
              <w:pStyle w:val="TableBodyText"/>
              <w:rPr>
                <w:sz w:val="18"/>
                <w:szCs w:val="18"/>
              </w:rPr>
            </w:pPr>
            <w:r w:rsidRPr="006165C4">
              <w:rPr>
                <w:sz w:val="18"/>
                <w:szCs w:val="18"/>
              </w:rPr>
              <w:t>75.0</w:t>
            </w:r>
          </w:p>
        </w:tc>
        <w:tc>
          <w:tcPr>
            <w:tcW w:w="423" w:type="pct"/>
            <w:tcBorders>
              <w:bottom w:val="single" w:sz="4" w:space="0" w:color="auto"/>
            </w:tcBorders>
          </w:tcPr>
          <w:p w:rsidR="006165C4" w:rsidRDefault="006165C4" w:rsidP="006165C4">
            <w:pPr>
              <w:pStyle w:val="TableBodyText"/>
            </w:pPr>
            <w:r w:rsidRPr="005A7B4D">
              <w:t>–</w:t>
            </w:r>
          </w:p>
        </w:tc>
        <w:tc>
          <w:tcPr>
            <w:tcW w:w="423" w:type="pct"/>
            <w:tcBorders>
              <w:bottom w:val="single" w:sz="4" w:space="0" w:color="auto"/>
            </w:tcBorders>
          </w:tcPr>
          <w:p w:rsidR="006165C4" w:rsidRDefault="006165C4" w:rsidP="006165C4">
            <w:pPr>
              <w:pStyle w:val="TableBodyText"/>
            </w:pPr>
            <w:r w:rsidRPr="005A7B4D">
              <w:t>–</w:t>
            </w:r>
          </w:p>
        </w:tc>
        <w:tc>
          <w:tcPr>
            <w:tcW w:w="424" w:type="pct"/>
            <w:tcBorders>
              <w:bottom w:val="single" w:sz="4" w:space="0" w:color="auto"/>
            </w:tcBorders>
            <w:vAlign w:val="bottom"/>
          </w:tcPr>
          <w:p w:rsidR="006165C4" w:rsidRPr="006165C4" w:rsidRDefault="006165C4" w:rsidP="006165C4">
            <w:pPr>
              <w:pStyle w:val="TableBodyText"/>
              <w:rPr>
                <w:sz w:val="18"/>
                <w:szCs w:val="18"/>
              </w:rPr>
            </w:pPr>
            <w:r>
              <w:rPr>
                <w:sz w:val="18"/>
                <w:szCs w:val="18"/>
              </w:rPr>
              <w:t>–</w:t>
            </w:r>
          </w:p>
        </w:tc>
      </w:tr>
    </w:tbl>
    <w:p w:rsidR="00B4409A" w:rsidRDefault="00B4409A" w:rsidP="00B94EEB">
      <w:pPr>
        <w:pStyle w:val="Source"/>
        <w:rPr>
          <w:i/>
        </w:rPr>
      </w:pPr>
      <w:r w:rsidRPr="007C1F92">
        <w:rPr>
          <w:rStyle w:val="NoteLabel"/>
        </w:rPr>
        <w:t>a</w:t>
      </w:r>
      <w:r>
        <w:rPr>
          <w:rStyle w:val="NoteLabel"/>
        </w:rPr>
        <w:t> </w:t>
      </w:r>
      <w:r w:rsidR="001A0BDF">
        <w:rPr>
          <w:rStyle w:val="NoteLabel"/>
        </w:rPr>
        <w:t>‘</w:t>
      </w:r>
      <w:r>
        <w:t>Homicide</w:t>
      </w:r>
      <w:r w:rsidR="001A0BDF">
        <w:t xml:space="preserve"> and related offences’</w:t>
      </w:r>
      <w:r>
        <w:t xml:space="preserve"> is defined according to</w:t>
      </w:r>
      <w:r w:rsidR="004344EB">
        <w:t xml:space="preserve"> the Australian and New Zealand Standard Offence Classification (</w:t>
      </w:r>
      <w:proofErr w:type="spellStart"/>
      <w:r>
        <w:t>ANZSOC</w:t>
      </w:r>
      <w:proofErr w:type="spellEnd"/>
      <w:r w:rsidR="004344EB">
        <w:t>)</w:t>
      </w:r>
      <w:r>
        <w:t xml:space="preserve"> coding and includes murder, attempted murder, manslaughter and driving causing death.</w:t>
      </w:r>
      <w:r w:rsidR="001A0BDF">
        <w:t xml:space="preserve"> A </w:t>
      </w:r>
      <w:proofErr w:type="spellStart"/>
      <w:r w:rsidR="001A0BDF">
        <w:t>lodgment</w:t>
      </w:r>
      <w:proofErr w:type="spellEnd"/>
      <w:r w:rsidR="001A0BDF">
        <w:t xml:space="preserve"> is counted where any criminal matter initiated, commenced, lodged or filed in a particular court level includes a charge of murder, attempted murder, manslaughter or driving causing death.</w:t>
      </w:r>
      <w:r w:rsidR="0084268E">
        <w:t xml:space="preserve"> </w:t>
      </w:r>
      <w:proofErr w:type="spellStart"/>
      <w:r w:rsidR="0084268E">
        <w:rPr>
          <w:b/>
        </w:rPr>
        <w:t>na</w:t>
      </w:r>
      <w:proofErr w:type="spellEnd"/>
      <w:r w:rsidR="0084268E">
        <w:rPr>
          <w:b/>
        </w:rPr>
        <w:t> </w:t>
      </w:r>
      <w:r w:rsidR="0084268E" w:rsidRPr="00E92ADD">
        <w:t>Not available</w:t>
      </w:r>
      <w:r w:rsidR="0084268E">
        <w:t xml:space="preserve">. </w:t>
      </w:r>
      <w:r w:rsidR="0084268E">
        <w:rPr>
          <w:b/>
        </w:rPr>
        <w:t>.. </w:t>
      </w:r>
      <w:r w:rsidR="0084268E" w:rsidRPr="00E92ADD">
        <w:t>Not</w:t>
      </w:r>
      <w:r w:rsidR="0084268E">
        <w:t> applicable</w:t>
      </w:r>
      <w:r w:rsidR="0084268E" w:rsidRPr="0074069E">
        <w:t>.</w:t>
      </w:r>
      <w:r w:rsidR="0084268E">
        <w:t xml:space="preserve"> – Nil or rounded to zero.</w:t>
      </w:r>
    </w:p>
    <w:p w:rsidR="00013DF9" w:rsidRPr="00013DF9" w:rsidRDefault="00B94EEB" w:rsidP="00B94EEB">
      <w:pPr>
        <w:pStyle w:val="Source"/>
      </w:pPr>
      <w:r>
        <w:rPr>
          <w:i/>
        </w:rPr>
        <w:t>Source</w:t>
      </w:r>
      <w:r>
        <w:t>: Australian, State and Territory court authorities and departments (unpublished)</w:t>
      </w:r>
      <w:r w:rsidR="00C35FEE">
        <w:t xml:space="preserve">; tables </w:t>
      </w:r>
      <w:proofErr w:type="spellStart"/>
      <w:r w:rsidR="00C35FEE">
        <w:t>7A.2</w:t>
      </w:r>
      <w:proofErr w:type="spellEnd"/>
      <w:r w:rsidR="00C35FEE">
        <w:t xml:space="preserve">, </w:t>
      </w:r>
      <w:proofErr w:type="spellStart"/>
      <w:r w:rsidR="00C35FEE">
        <w:t>7A.7</w:t>
      </w:r>
      <w:proofErr w:type="spellEnd"/>
      <w:r w:rsidR="00C35FEE">
        <w:t xml:space="preserve">, </w:t>
      </w:r>
      <w:proofErr w:type="spellStart"/>
      <w:r w:rsidR="00C35FEE">
        <w:t>7A.20</w:t>
      </w:r>
      <w:proofErr w:type="spellEnd"/>
      <w:r w:rsidR="00C35FEE">
        <w:t xml:space="preserve"> and </w:t>
      </w:r>
      <w:proofErr w:type="spellStart"/>
      <w:r w:rsidR="00C35FEE">
        <w:t>7A.25</w:t>
      </w:r>
      <w:proofErr w:type="spellEnd"/>
      <w:r w:rsidR="00C35FEE">
        <w:t>.</w:t>
      </w:r>
    </w:p>
    <w:p w:rsidR="009B583E" w:rsidRPr="00001C9F" w:rsidRDefault="00EA1007" w:rsidP="00FE3767">
      <w:pPr>
        <w:pStyle w:val="Heading4"/>
        <w:spacing w:before="240"/>
      </w:pPr>
      <w:r>
        <w:br w:type="page"/>
      </w:r>
      <w:r w:rsidR="009B583E" w:rsidRPr="00584FFF">
        <w:lastRenderedPageBreak/>
        <w:t>Efficiency — judicial officers per finalisation</w:t>
      </w:r>
    </w:p>
    <w:p w:rsidR="009B583E" w:rsidRDefault="009B583E" w:rsidP="009B583E">
      <w:pPr>
        <w:pStyle w:val="BodyText"/>
      </w:pPr>
      <w:r w:rsidRPr="00584FFF">
        <w:t>‘Judicial offic</w:t>
      </w:r>
      <w:r w:rsidR="00572B9F" w:rsidRPr="00584FFF">
        <w:t>ers per finalisation’ is a</w:t>
      </w:r>
      <w:r w:rsidR="0032403A" w:rsidRPr="00584FFF">
        <w:t xml:space="preserve"> second</w:t>
      </w:r>
      <w:r w:rsidRPr="00584FFF">
        <w:t xml:space="preserve"> indicator of governments’ achievement against the objective of providing court services in an efficient manner (box 7.14). </w:t>
      </w:r>
    </w:p>
    <w:p w:rsidR="008E68D8" w:rsidRPr="00001C9F" w:rsidRDefault="008E68D8" w:rsidP="00FE3767">
      <w:pPr>
        <w:pStyle w:val="BodyText"/>
        <w:spacing w:before="6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6634D" w:rsidRPr="00001C9F" w:rsidTr="00E91C20">
        <w:tc>
          <w:tcPr>
            <w:tcW w:w="8771" w:type="dxa"/>
            <w:tcBorders>
              <w:top w:val="single" w:sz="6" w:space="0" w:color="auto"/>
              <w:bottom w:val="nil"/>
            </w:tcBorders>
          </w:tcPr>
          <w:p w:rsidR="00F6634D" w:rsidRPr="00584FFF" w:rsidRDefault="00F6634D" w:rsidP="00E91C20">
            <w:pPr>
              <w:pStyle w:val="BoxTitle"/>
            </w:pPr>
            <w:r w:rsidRPr="00584FFF">
              <w:rPr>
                <w:b w:val="0"/>
              </w:rPr>
              <w:t>Box 7.</w:t>
            </w:r>
            <w:r w:rsidRPr="00584FFF">
              <w:rPr>
                <w:b w:val="0"/>
                <w:noProof/>
              </w:rPr>
              <w:t>14</w:t>
            </w:r>
            <w:r w:rsidRPr="00584FFF">
              <w:tab/>
              <w:t>Judicial officers per</w:t>
            </w:r>
            <w:r w:rsidR="00701D10" w:rsidRPr="00584FFF">
              <w:t xml:space="preserve"> 100</w:t>
            </w:r>
            <w:r w:rsidRPr="00584FFF">
              <w:t xml:space="preserve"> finalisation</w:t>
            </w:r>
            <w:r w:rsidR="00701D10" w:rsidRPr="00584FFF">
              <w:t>s</w:t>
            </w:r>
          </w:p>
        </w:tc>
      </w:tr>
      <w:tr w:rsidR="00F6634D" w:rsidTr="00E91C20">
        <w:trPr>
          <w:cantSplit/>
        </w:trPr>
        <w:tc>
          <w:tcPr>
            <w:tcW w:w="8771" w:type="dxa"/>
            <w:tcBorders>
              <w:top w:val="nil"/>
              <w:left w:val="single" w:sz="6" w:space="0" w:color="auto"/>
              <w:bottom w:val="nil"/>
              <w:right w:val="single" w:sz="6" w:space="0" w:color="auto"/>
            </w:tcBorders>
          </w:tcPr>
          <w:p w:rsidR="00F6634D" w:rsidRPr="00584FFF" w:rsidRDefault="00E91C20" w:rsidP="00E91C20">
            <w:pPr>
              <w:pStyle w:val="Box"/>
            </w:pPr>
            <w:r w:rsidRPr="00584FFF">
              <w:t>‘Judicial officers</w:t>
            </w:r>
            <w:r w:rsidR="00F6634D" w:rsidRPr="00584FFF">
              <w:t xml:space="preserve"> per finalisation’ </w:t>
            </w:r>
            <w:r w:rsidR="00E75996">
              <w:t>is an indicator tha</w:t>
            </w:r>
            <w:r w:rsidR="00B16A54">
              <w:t>t represents efficiency of judicial</w:t>
            </w:r>
            <w:r w:rsidR="00E75996">
              <w:t xml:space="preserve"> services. It </w:t>
            </w:r>
            <w:r w:rsidR="00F6634D" w:rsidRPr="00584FFF">
              <w:t xml:space="preserve">is measured by dividing the </w:t>
            </w:r>
            <w:r w:rsidRPr="00584FFF">
              <w:t>number of full time equivalent judicial officers</w:t>
            </w:r>
            <w:r w:rsidR="00F6634D" w:rsidRPr="00584FFF">
              <w:t xml:space="preserve"> within each court for the financial year by the total number of finalisations for the same period</w:t>
            </w:r>
            <w:r w:rsidR="00701D10" w:rsidRPr="00584FFF">
              <w:t xml:space="preserve"> and multiplying this number by 100</w:t>
            </w:r>
            <w:r w:rsidR="000F79B3" w:rsidRPr="00584FFF">
              <w:t>.</w:t>
            </w:r>
            <w:r w:rsidR="00F6634D" w:rsidRPr="00584FFF">
              <w:t xml:space="preserve"> </w:t>
            </w:r>
          </w:p>
          <w:p w:rsidR="00F6634D" w:rsidRPr="00584FFF" w:rsidRDefault="00F6634D" w:rsidP="00E91C20">
            <w:pPr>
              <w:pStyle w:val="Box"/>
            </w:pPr>
            <w:r w:rsidRPr="00584FFF">
              <w:t xml:space="preserve">The following points need to be considered in interpreting the </w:t>
            </w:r>
            <w:r w:rsidR="000F79B3" w:rsidRPr="00584FFF">
              <w:t>number of judicial officers</w:t>
            </w:r>
            <w:r w:rsidRPr="00584FFF">
              <w:t xml:space="preserve"> per finalisation indicator results:</w:t>
            </w:r>
          </w:p>
          <w:p w:rsidR="00F6634D" w:rsidRPr="00584FFF" w:rsidRDefault="00F6634D" w:rsidP="00E91C20">
            <w:pPr>
              <w:pStyle w:val="BoxListBullet"/>
            </w:pPr>
            <w:r w:rsidRPr="00584FFF">
              <w:t>some finalisations take only a short time and require few resources, whereas other finalisations may be resource intensive and involve complicated trials and interlocutory decisions</w:t>
            </w:r>
          </w:p>
          <w:p w:rsidR="000F79B3" w:rsidRPr="00584FFF" w:rsidRDefault="000F79B3" w:rsidP="00E91C20">
            <w:pPr>
              <w:pStyle w:val="BoxListBullet"/>
            </w:pPr>
            <w:r w:rsidRPr="00584FFF">
              <w:t>factors such as geographical dispersion, judicial workload and population density are important considerations when comparing figures on judicial officers</w:t>
            </w:r>
          </w:p>
          <w:p w:rsidR="00F6634D" w:rsidRPr="00584FFF" w:rsidRDefault="00F6634D" w:rsidP="00E91C20">
            <w:pPr>
              <w:pStyle w:val="BoxListBullet"/>
            </w:pPr>
            <w:r w:rsidRPr="00584FFF">
              <w:t>efficiency results need to be viewed in light of the performance indicator framework as a whole, because there can be trade-offs between efficiency on the one hand and equity, effectiveness and quality, on the other.</w:t>
            </w:r>
          </w:p>
          <w:p w:rsidR="00C72118" w:rsidRDefault="00C72118" w:rsidP="00C72118">
            <w:pPr>
              <w:pStyle w:val="Box"/>
            </w:pPr>
            <w:r>
              <w:t>Data reported for this indicator are:</w:t>
            </w:r>
          </w:p>
          <w:p w:rsidR="00C72118" w:rsidRDefault="00C72118" w:rsidP="00C72118">
            <w:pPr>
              <w:pStyle w:val="ListBullet"/>
              <w:rPr>
                <w:rFonts w:ascii="Arial" w:hAnsi="Arial" w:cs="Arial"/>
                <w:sz w:val="22"/>
                <w:szCs w:val="22"/>
              </w:rPr>
            </w:pPr>
            <w:r w:rsidRPr="00CE0563">
              <w:rPr>
                <w:rFonts w:ascii="Arial" w:hAnsi="Arial" w:cs="Arial"/>
                <w:sz w:val="22"/>
                <w:szCs w:val="22"/>
              </w:rPr>
              <w:t>comparable (subject to caveats) across jurisdictions and over time</w:t>
            </w:r>
          </w:p>
          <w:p w:rsidR="00C72118" w:rsidRPr="004F32AA" w:rsidRDefault="00C72118" w:rsidP="00C72118">
            <w:pPr>
              <w:pStyle w:val="ListBullet"/>
              <w:rPr>
                <w:rFonts w:ascii="Arial" w:hAnsi="Arial" w:cs="Arial"/>
                <w:sz w:val="22"/>
                <w:szCs w:val="22"/>
              </w:rPr>
            </w:pPr>
            <w:r w:rsidRPr="004F32AA">
              <w:rPr>
                <w:rFonts w:ascii="Arial" w:hAnsi="Arial" w:cs="Arial"/>
                <w:sz w:val="22"/>
                <w:szCs w:val="22"/>
              </w:rPr>
              <w:t>complete for the current reporting period (subject to caveats). All required 2012</w:t>
            </w:r>
            <w:r w:rsidR="00205BCF">
              <w:rPr>
                <w:rFonts w:ascii="Arial" w:hAnsi="Arial" w:cs="Arial"/>
                <w:sz w:val="22"/>
                <w:szCs w:val="22"/>
              </w:rPr>
              <w:noBreakHyphen/>
            </w:r>
            <w:r w:rsidRPr="004F32AA">
              <w:rPr>
                <w:rFonts w:ascii="Arial" w:hAnsi="Arial" w:cs="Arial"/>
                <w:sz w:val="22"/>
                <w:szCs w:val="22"/>
              </w:rPr>
              <w:t>13 data are available for all jurisdictions</w:t>
            </w:r>
            <w:r>
              <w:rPr>
                <w:rFonts w:ascii="Arial" w:hAnsi="Arial" w:cs="Arial"/>
                <w:sz w:val="22"/>
                <w:szCs w:val="22"/>
              </w:rPr>
              <w:t>.</w:t>
            </w:r>
          </w:p>
          <w:p w:rsidR="00F6634D" w:rsidRPr="009D5777" w:rsidRDefault="00F0375B" w:rsidP="00F0375B">
            <w:pPr>
              <w:pStyle w:val="BoxListBullet"/>
              <w:numPr>
                <w:ilvl w:val="0"/>
                <w:numId w:val="0"/>
              </w:numPr>
              <w:rPr>
                <w:szCs w:val="22"/>
              </w:rPr>
            </w:pPr>
            <w:r>
              <w:rPr>
                <w:szCs w:val="22"/>
              </w:rPr>
              <w:t>Information about d</w:t>
            </w:r>
            <w:r w:rsidR="00F6634D" w:rsidRPr="00584FFF">
              <w:rPr>
                <w:szCs w:val="22"/>
              </w:rPr>
              <w:t xml:space="preserve">ata quality for this indicator is at </w:t>
            </w:r>
            <w:proofErr w:type="spellStart"/>
            <w:r w:rsidR="00F6634D" w:rsidRPr="00584FFF">
              <w:rPr>
                <w:szCs w:val="22"/>
              </w:rPr>
              <w:t>www.pc.gov.au</w:t>
            </w:r>
            <w:proofErr w:type="spellEnd"/>
            <w:r w:rsidR="00F6634D" w:rsidRPr="00584FFF">
              <w:rPr>
                <w:szCs w:val="22"/>
              </w:rPr>
              <w:t>/</w:t>
            </w:r>
            <w:proofErr w:type="spellStart"/>
            <w:r w:rsidR="00F6634D" w:rsidRPr="00584FFF">
              <w:rPr>
                <w:szCs w:val="22"/>
              </w:rPr>
              <w:t>gsp</w:t>
            </w:r>
            <w:proofErr w:type="spellEnd"/>
            <w:r w:rsidR="00F6634D" w:rsidRPr="00584FFF">
              <w:rPr>
                <w:szCs w:val="22"/>
              </w:rPr>
              <w:t>/reports/</w:t>
            </w:r>
            <w:proofErr w:type="spellStart"/>
            <w:r w:rsidR="00F6634D" w:rsidRPr="00584FFF">
              <w:rPr>
                <w:szCs w:val="22"/>
              </w:rPr>
              <w:t>rogs</w:t>
            </w:r>
            <w:proofErr w:type="spellEnd"/>
            <w:r w:rsidR="00F6634D" w:rsidRPr="00584FFF">
              <w:rPr>
                <w:szCs w:val="22"/>
              </w:rPr>
              <w:t>/</w:t>
            </w:r>
            <w:r w:rsidR="00DE58F0" w:rsidRPr="00584FFF">
              <w:rPr>
                <w:szCs w:val="22"/>
              </w:rPr>
              <w:t>201</w:t>
            </w:r>
            <w:r w:rsidR="00B046A6">
              <w:rPr>
                <w:szCs w:val="22"/>
              </w:rPr>
              <w:t>4</w:t>
            </w:r>
            <w:r w:rsidR="00E75996">
              <w:rPr>
                <w:szCs w:val="22"/>
              </w:rPr>
              <w:t>.</w:t>
            </w:r>
          </w:p>
        </w:tc>
      </w:tr>
      <w:tr w:rsidR="00F6634D" w:rsidTr="00E91C20">
        <w:trPr>
          <w:cantSplit/>
        </w:trPr>
        <w:tc>
          <w:tcPr>
            <w:tcW w:w="8771" w:type="dxa"/>
            <w:tcBorders>
              <w:top w:val="nil"/>
              <w:left w:val="single" w:sz="6" w:space="0" w:color="auto"/>
              <w:bottom w:val="single" w:sz="6" w:space="0" w:color="auto"/>
              <w:right w:val="single" w:sz="6" w:space="0" w:color="auto"/>
            </w:tcBorders>
          </w:tcPr>
          <w:p w:rsidR="00F6634D" w:rsidRDefault="00F6634D" w:rsidP="00E91C20">
            <w:pPr>
              <w:pStyle w:val="Box"/>
              <w:spacing w:before="0" w:line="120" w:lineRule="exact"/>
            </w:pPr>
          </w:p>
        </w:tc>
      </w:tr>
      <w:tr w:rsidR="00F6634D" w:rsidTr="00E91C20">
        <w:tc>
          <w:tcPr>
            <w:tcW w:w="8771" w:type="dxa"/>
            <w:tcBorders>
              <w:top w:val="nil"/>
              <w:left w:val="nil"/>
              <w:bottom w:val="nil"/>
              <w:right w:val="nil"/>
            </w:tcBorders>
          </w:tcPr>
          <w:p w:rsidR="00F6634D" w:rsidRDefault="00F6634D" w:rsidP="00E91C20">
            <w:pPr>
              <w:pStyle w:val="Box"/>
              <w:keepNext w:val="0"/>
              <w:spacing w:before="60" w:after="60" w:line="80" w:lineRule="exact"/>
              <w:rPr>
                <w:b/>
                <w:color w:val="FF00FF"/>
                <w:sz w:val="14"/>
              </w:rPr>
            </w:pPr>
          </w:p>
        </w:tc>
      </w:tr>
    </w:tbl>
    <w:p w:rsidR="000D25E1" w:rsidRPr="00584FFF" w:rsidRDefault="000D25E1" w:rsidP="000D25E1">
      <w:pPr>
        <w:pStyle w:val="TableTitle"/>
      </w:pPr>
      <w:r w:rsidRPr="00584FFF">
        <w:rPr>
          <w:b w:val="0"/>
        </w:rPr>
        <w:lastRenderedPageBreak/>
        <w:t>Table 7.</w:t>
      </w:r>
      <w:r w:rsidR="00013DF9" w:rsidRPr="00584FFF">
        <w:rPr>
          <w:b w:val="0"/>
          <w:noProof/>
        </w:rPr>
        <w:t>20</w:t>
      </w:r>
      <w:r w:rsidRPr="00584FFF">
        <w:tab/>
        <w:t>Judicial officers per</w:t>
      </w:r>
      <w:r w:rsidR="00701D10" w:rsidRPr="00584FFF">
        <w:t xml:space="preserve"> 100</w:t>
      </w:r>
      <w:r w:rsidRPr="00584FFF">
        <w:t xml:space="preserve"> finalisation</w:t>
      </w:r>
      <w:r w:rsidR="00701D10" w:rsidRPr="00584FFF">
        <w:t>s</w:t>
      </w:r>
      <w:r w:rsidR="00B046A6">
        <w:t>, 2012</w:t>
      </w:r>
      <w:r w:rsidR="00B046A6">
        <w:noBreakHyphen/>
        <w:t>13</w:t>
      </w:r>
    </w:p>
    <w:tbl>
      <w:tblPr>
        <w:tblW w:w="0" w:type="auto"/>
        <w:tblLayout w:type="fixed"/>
        <w:tblCellMar>
          <w:left w:w="0" w:type="dxa"/>
          <w:right w:w="0" w:type="dxa"/>
        </w:tblCellMar>
        <w:tblLook w:val="0000" w:firstRow="0" w:lastRow="0" w:firstColumn="0" w:lastColumn="0" w:noHBand="0" w:noVBand="0"/>
      </w:tblPr>
      <w:tblGrid>
        <w:gridCol w:w="2155"/>
        <w:gridCol w:w="709"/>
        <w:gridCol w:w="567"/>
        <w:gridCol w:w="538"/>
        <w:gridCol w:w="661"/>
        <w:gridCol w:w="662"/>
        <w:gridCol w:w="661"/>
        <w:gridCol w:w="662"/>
        <w:gridCol w:w="661"/>
        <w:gridCol w:w="662"/>
        <w:gridCol w:w="851"/>
      </w:tblGrid>
      <w:tr w:rsidR="000D25E1" w:rsidRPr="00E75996" w:rsidTr="000D25E1">
        <w:tc>
          <w:tcPr>
            <w:tcW w:w="2155" w:type="dxa"/>
            <w:tcBorders>
              <w:top w:val="single" w:sz="6" w:space="0" w:color="auto"/>
              <w:bottom w:val="single" w:sz="6" w:space="0" w:color="auto"/>
            </w:tcBorders>
          </w:tcPr>
          <w:p w:rsidR="000D25E1" w:rsidRPr="00584FFF" w:rsidRDefault="000D25E1" w:rsidP="000D25E1">
            <w:pPr>
              <w:pStyle w:val="TableColumnHeading"/>
              <w:jc w:val="left"/>
            </w:pPr>
          </w:p>
        </w:tc>
        <w:tc>
          <w:tcPr>
            <w:tcW w:w="709" w:type="dxa"/>
            <w:tcBorders>
              <w:top w:val="single" w:sz="6" w:space="0" w:color="auto"/>
              <w:bottom w:val="single" w:sz="6" w:space="0" w:color="auto"/>
            </w:tcBorders>
          </w:tcPr>
          <w:p w:rsidR="000D25E1" w:rsidRPr="00584FFF" w:rsidRDefault="000D25E1" w:rsidP="000D25E1">
            <w:pPr>
              <w:pStyle w:val="TableColumnHeading"/>
            </w:pPr>
            <w:r w:rsidRPr="00584FFF">
              <w:t>NSW</w:t>
            </w:r>
          </w:p>
        </w:tc>
        <w:tc>
          <w:tcPr>
            <w:tcW w:w="567" w:type="dxa"/>
            <w:tcBorders>
              <w:top w:val="single" w:sz="6" w:space="0" w:color="auto"/>
              <w:bottom w:val="single" w:sz="6" w:space="0" w:color="auto"/>
            </w:tcBorders>
          </w:tcPr>
          <w:p w:rsidR="000D25E1" w:rsidRPr="00584FFF" w:rsidRDefault="000D25E1" w:rsidP="000D25E1">
            <w:pPr>
              <w:pStyle w:val="TableColumnHeading"/>
            </w:pPr>
            <w:r w:rsidRPr="00584FFF">
              <w:t>Vic</w:t>
            </w:r>
          </w:p>
        </w:tc>
        <w:tc>
          <w:tcPr>
            <w:tcW w:w="538" w:type="dxa"/>
            <w:tcBorders>
              <w:top w:val="single" w:sz="6" w:space="0" w:color="auto"/>
              <w:bottom w:val="single" w:sz="6" w:space="0" w:color="auto"/>
            </w:tcBorders>
          </w:tcPr>
          <w:p w:rsidR="000D25E1" w:rsidRPr="00584FFF" w:rsidRDefault="000D25E1" w:rsidP="000D25E1">
            <w:pPr>
              <w:pStyle w:val="TableColumnHeading"/>
            </w:pPr>
            <w:r w:rsidRPr="00584FFF">
              <w:t>Qld</w:t>
            </w:r>
          </w:p>
        </w:tc>
        <w:tc>
          <w:tcPr>
            <w:tcW w:w="661" w:type="dxa"/>
            <w:tcBorders>
              <w:top w:val="single" w:sz="6" w:space="0" w:color="auto"/>
              <w:bottom w:val="single" w:sz="6" w:space="0" w:color="auto"/>
            </w:tcBorders>
          </w:tcPr>
          <w:p w:rsidR="000D25E1" w:rsidRPr="00584FFF" w:rsidRDefault="000D25E1" w:rsidP="000D25E1">
            <w:pPr>
              <w:pStyle w:val="TableColumnHeading"/>
            </w:pPr>
            <w:r w:rsidRPr="00584FFF">
              <w:t>WA</w:t>
            </w:r>
          </w:p>
        </w:tc>
        <w:tc>
          <w:tcPr>
            <w:tcW w:w="662" w:type="dxa"/>
            <w:tcBorders>
              <w:top w:val="single" w:sz="6" w:space="0" w:color="auto"/>
              <w:bottom w:val="single" w:sz="6" w:space="0" w:color="auto"/>
            </w:tcBorders>
          </w:tcPr>
          <w:p w:rsidR="000D25E1" w:rsidRPr="00584FFF" w:rsidRDefault="000D25E1" w:rsidP="000D25E1">
            <w:pPr>
              <w:pStyle w:val="TableColumnHeading"/>
            </w:pPr>
            <w:r w:rsidRPr="00584FFF">
              <w:t>SA</w:t>
            </w:r>
          </w:p>
        </w:tc>
        <w:tc>
          <w:tcPr>
            <w:tcW w:w="661" w:type="dxa"/>
            <w:tcBorders>
              <w:top w:val="single" w:sz="6" w:space="0" w:color="auto"/>
              <w:bottom w:val="single" w:sz="6" w:space="0" w:color="auto"/>
            </w:tcBorders>
          </w:tcPr>
          <w:p w:rsidR="000D25E1" w:rsidRPr="00584FFF" w:rsidRDefault="000D25E1" w:rsidP="000D25E1">
            <w:pPr>
              <w:pStyle w:val="TableColumnHeading"/>
            </w:pPr>
            <w:proofErr w:type="spellStart"/>
            <w:r w:rsidRPr="00584FFF">
              <w:t>Tas</w:t>
            </w:r>
            <w:proofErr w:type="spellEnd"/>
          </w:p>
        </w:tc>
        <w:tc>
          <w:tcPr>
            <w:tcW w:w="662" w:type="dxa"/>
            <w:tcBorders>
              <w:top w:val="single" w:sz="6" w:space="0" w:color="auto"/>
              <w:bottom w:val="single" w:sz="6" w:space="0" w:color="auto"/>
            </w:tcBorders>
          </w:tcPr>
          <w:p w:rsidR="000D25E1" w:rsidRPr="00584FFF" w:rsidRDefault="000D25E1" w:rsidP="000D25E1">
            <w:pPr>
              <w:pStyle w:val="TableColumnHeading"/>
            </w:pPr>
            <w:r w:rsidRPr="00584FFF">
              <w:t>ACT</w:t>
            </w:r>
          </w:p>
        </w:tc>
        <w:tc>
          <w:tcPr>
            <w:tcW w:w="661" w:type="dxa"/>
            <w:tcBorders>
              <w:top w:val="single" w:sz="6" w:space="0" w:color="auto"/>
              <w:bottom w:val="single" w:sz="6" w:space="0" w:color="auto"/>
            </w:tcBorders>
          </w:tcPr>
          <w:p w:rsidR="000D25E1" w:rsidRPr="00584FFF" w:rsidRDefault="000D25E1" w:rsidP="000D25E1">
            <w:pPr>
              <w:pStyle w:val="TableColumnHeading"/>
            </w:pPr>
            <w:r w:rsidRPr="00584FFF">
              <w:t>NT</w:t>
            </w:r>
          </w:p>
        </w:tc>
        <w:tc>
          <w:tcPr>
            <w:tcW w:w="662" w:type="dxa"/>
            <w:tcBorders>
              <w:top w:val="single" w:sz="6" w:space="0" w:color="auto"/>
              <w:bottom w:val="single" w:sz="6" w:space="0" w:color="auto"/>
            </w:tcBorders>
          </w:tcPr>
          <w:p w:rsidR="000D25E1" w:rsidRPr="00584FFF" w:rsidRDefault="000D25E1" w:rsidP="000D25E1">
            <w:pPr>
              <w:pStyle w:val="TableColumnHeading"/>
              <w:rPr>
                <w:sz w:val="18"/>
                <w:szCs w:val="18"/>
              </w:rPr>
            </w:pPr>
            <w:proofErr w:type="spellStart"/>
            <w:r w:rsidRPr="00584FFF">
              <w:rPr>
                <w:sz w:val="18"/>
                <w:szCs w:val="18"/>
              </w:rPr>
              <w:t>Aust</w:t>
            </w:r>
            <w:proofErr w:type="spellEnd"/>
            <w:r w:rsidRPr="00584FFF">
              <w:rPr>
                <w:sz w:val="18"/>
                <w:szCs w:val="18"/>
              </w:rPr>
              <w:t xml:space="preserve"> courts</w:t>
            </w:r>
          </w:p>
        </w:tc>
        <w:tc>
          <w:tcPr>
            <w:tcW w:w="851" w:type="dxa"/>
            <w:tcBorders>
              <w:top w:val="single" w:sz="6" w:space="0" w:color="auto"/>
              <w:bottom w:val="single" w:sz="6" w:space="0" w:color="auto"/>
            </w:tcBorders>
          </w:tcPr>
          <w:p w:rsidR="000D25E1" w:rsidRPr="00584FFF" w:rsidRDefault="000D25E1" w:rsidP="000D25E1">
            <w:pPr>
              <w:pStyle w:val="TableColumnHeading"/>
              <w:ind w:right="28"/>
            </w:pPr>
            <w:r w:rsidRPr="00584FFF">
              <w:t xml:space="preserve">Total </w:t>
            </w:r>
          </w:p>
        </w:tc>
      </w:tr>
      <w:tr w:rsidR="00873DDC" w:rsidRPr="00E75996" w:rsidTr="000D25E1">
        <w:tc>
          <w:tcPr>
            <w:tcW w:w="2155" w:type="dxa"/>
          </w:tcPr>
          <w:p w:rsidR="00873DDC" w:rsidRPr="00584FFF" w:rsidRDefault="00873DDC" w:rsidP="000D25E1">
            <w:pPr>
              <w:pStyle w:val="TableBodyText"/>
              <w:jc w:val="left"/>
            </w:pPr>
            <w:r w:rsidRPr="00584FFF">
              <w:t>Supreme/Federal</w:t>
            </w:r>
            <w:r>
              <w:rPr>
                <w:rStyle w:val="NoteLabel"/>
              </w:rPr>
              <w:t>a</w:t>
            </w:r>
          </w:p>
        </w:tc>
        <w:tc>
          <w:tcPr>
            <w:tcW w:w="709" w:type="dxa"/>
            <w:vAlign w:val="bottom"/>
          </w:tcPr>
          <w:p w:rsidR="00873DDC" w:rsidRPr="00873DDC" w:rsidRDefault="00873DDC" w:rsidP="00873DDC">
            <w:pPr>
              <w:pStyle w:val="TableBodyText"/>
              <w:rPr>
                <w:sz w:val="18"/>
                <w:szCs w:val="18"/>
              </w:rPr>
            </w:pPr>
            <w:r w:rsidRPr="00873DDC">
              <w:rPr>
                <w:sz w:val="18"/>
                <w:szCs w:val="18"/>
              </w:rPr>
              <w:t>0.44</w:t>
            </w:r>
          </w:p>
        </w:tc>
        <w:tc>
          <w:tcPr>
            <w:tcW w:w="567" w:type="dxa"/>
            <w:vAlign w:val="bottom"/>
          </w:tcPr>
          <w:p w:rsidR="00873DDC" w:rsidRPr="00873DDC" w:rsidRDefault="00873DDC" w:rsidP="00873DDC">
            <w:pPr>
              <w:pStyle w:val="TableBodyText"/>
              <w:rPr>
                <w:sz w:val="18"/>
                <w:szCs w:val="18"/>
              </w:rPr>
            </w:pPr>
            <w:r w:rsidRPr="00873DDC">
              <w:rPr>
                <w:sz w:val="18"/>
                <w:szCs w:val="18"/>
              </w:rPr>
              <w:t>0.67</w:t>
            </w:r>
          </w:p>
        </w:tc>
        <w:tc>
          <w:tcPr>
            <w:tcW w:w="538" w:type="dxa"/>
            <w:vAlign w:val="bottom"/>
          </w:tcPr>
          <w:p w:rsidR="00873DDC" w:rsidRPr="00873DDC" w:rsidRDefault="00873DDC" w:rsidP="00873DDC">
            <w:pPr>
              <w:pStyle w:val="TableBodyText"/>
              <w:rPr>
                <w:sz w:val="18"/>
                <w:szCs w:val="18"/>
              </w:rPr>
            </w:pPr>
            <w:r w:rsidRPr="00873DDC">
              <w:rPr>
                <w:sz w:val="18"/>
                <w:szCs w:val="18"/>
              </w:rPr>
              <w:t>0.43</w:t>
            </w:r>
          </w:p>
        </w:tc>
        <w:tc>
          <w:tcPr>
            <w:tcW w:w="661" w:type="dxa"/>
            <w:vAlign w:val="bottom"/>
          </w:tcPr>
          <w:p w:rsidR="00873DDC" w:rsidRPr="00873DDC" w:rsidRDefault="00873DDC" w:rsidP="00873DDC">
            <w:pPr>
              <w:pStyle w:val="TableBodyText"/>
              <w:rPr>
                <w:sz w:val="18"/>
                <w:szCs w:val="18"/>
              </w:rPr>
            </w:pPr>
            <w:r w:rsidRPr="00873DDC">
              <w:rPr>
                <w:sz w:val="18"/>
                <w:szCs w:val="18"/>
              </w:rPr>
              <w:t>0.84</w:t>
            </w:r>
          </w:p>
        </w:tc>
        <w:tc>
          <w:tcPr>
            <w:tcW w:w="662" w:type="dxa"/>
            <w:vAlign w:val="bottom"/>
          </w:tcPr>
          <w:p w:rsidR="00873DDC" w:rsidRPr="00873DDC" w:rsidRDefault="00873DDC" w:rsidP="00873DDC">
            <w:pPr>
              <w:pStyle w:val="TableBodyText"/>
              <w:rPr>
                <w:sz w:val="18"/>
                <w:szCs w:val="18"/>
              </w:rPr>
            </w:pPr>
            <w:r w:rsidRPr="00873DDC">
              <w:rPr>
                <w:sz w:val="18"/>
                <w:szCs w:val="18"/>
              </w:rPr>
              <w:t>0.83</w:t>
            </w:r>
          </w:p>
        </w:tc>
        <w:tc>
          <w:tcPr>
            <w:tcW w:w="661" w:type="dxa"/>
            <w:vAlign w:val="bottom"/>
          </w:tcPr>
          <w:p w:rsidR="00873DDC" w:rsidRPr="00873DDC" w:rsidRDefault="00873DDC" w:rsidP="00873DDC">
            <w:pPr>
              <w:pStyle w:val="TableBodyText"/>
              <w:rPr>
                <w:sz w:val="18"/>
                <w:szCs w:val="18"/>
              </w:rPr>
            </w:pPr>
            <w:r w:rsidRPr="00873DDC">
              <w:rPr>
                <w:sz w:val="18"/>
                <w:szCs w:val="18"/>
              </w:rPr>
              <w:t>0.44</w:t>
            </w:r>
          </w:p>
        </w:tc>
        <w:tc>
          <w:tcPr>
            <w:tcW w:w="662" w:type="dxa"/>
            <w:vAlign w:val="bottom"/>
          </w:tcPr>
          <w:p w:rsidR="00873DDC" w:rsidRPr="00873DDC" w:rsidRDefault="00873DDC" w:rsidP="00873DDC">
            <w:pPr>
              <w:pStyle w:val="TableBodyText"/>
              <w:rPr>
                <w:sz w:val="18"/>
                <w:szCs w:val="18"/>
              </w:rPr>
            </w:pPr>
            <w:r w:rsidRPr="00873DDC">
              <w:rPr>
                <w:sz w:val="18"/>
                <w:szCs w:val="18"/>
              </w:rPr>
              <w:t>0.47</w:t>
            </w:r>
          </w:p>
        </w:tc>
        <w:tc>
          <w:tcPr>
            <w:tcW w:w="661" w:type="dxa"/>
            <w:vAlign w:val="bottom"/>
          </w:tcPr>
          <w:p w:rsidR="00873DDC" w:rsidRPr="00873DDC" w:rsidRDefault="00873DDC" w:rsidP="00873DDC">
            <w:pPr>
              <w:pStyle w:val="TableBodyText"/>
              <w:rPr>
                <w:sz w:val="18"/>
                <w:szCs w:val="18"/>
              </w:rPr>
            </w:pPr>
            <w:r w:rsidRPr="00873DDC">
              <w:rPr>
                <w:sz w:val="18"/>
                <w:szCs w:val="18"/>
              </w:rPr>
              <w:t>1.05</w:t>
            </w:r>
          </w:p>
        </w:tc>
        <w:tc>
          <w:tcPr>
            <w:tcW w:w="662" w:type="dxa"/>
            <w:vAlign w:val="bottom"/>
          </w:tcPr>
          <w:p w:rsidR="00873DDC" w:rsidRPr="00873DDC" w:rsidRDefault="00873DDC" w:rsidP="00873DDC">
            <w:pPr>
              <w:pStyle w:val="TableBodyText"/>
              <w:rPr>
                <w:sz w:val="18"/>
                <w:szCs w:val="18"/>
              </w:rPr>
            </w:pPr>
            <w:r w:rsidRPr="00873DDC">
              <w:rPr>
                <w:sz w:val="18"/>
                <w:szCs w:val="18"/>
              </w:rPr>
              <w:t>0.85</w:t>
            </w:r>
          </w:p>
        </w:tc>
        <w:tc>
          <w:tcPr>
            <w:tcW w:w="851" w:type="dxa"/>
            <w:vAlign w:val="bottom"/>
          </w:tcPr>
          <w:p w:rsidR="00873DDC" w:rsidRPr="00873DDC" w:rsidRDefault="00873DDC" w:rsidP="00873DDC">
            <w:pPr>
              <w:pStyle w:val="TableBodyText"/>
              <w:rPr>
                <w:sz w:val="18"/>
                <w:szCs w:val="18"/>
              </w:rPr>
            </w:pPr>
            <w:r w:rsidRPr="00873DDC">
              <w:rPr>
                <w:sz w:val="18"/>
                <w:szCs w:val="18"/>
              </w:rPr>
              <w:t>0.61</w:t>
            </w:r>
          </w:p>
        </w:tc>
      </w:tr>
      <w:tr w:rsidR="00873DDC" w:rsidRPr="00E75996" w:rsidTr="000D25E1">
        <w:tc>
          <w:tcPr>
            <w:tcW w:w="2155" w:type="dxa"/>
          </w:tcPr>
          <w:p w:rsidR="00873DDC" w:rsidRPr="00584FFF" w:rsidRDefault="00873DDC" w:rsidP="005B35E9">
            <w:pPr>
              <w:pStyle w:val="TableBodyText"/>
              <w:tabs>
                <w:tab w:val="right" w:pos="8789"/>
              </w:tabs>
              <w:ind w:hanging="6"/>
              <w:jc w:val="left"/>
            </w:pPr>
            <w:r w:rsidRPr="00584FFF">
              <w:t>District/County</w:t>
            </w:r>
          </w:p>
        </w:tc>
        <w:tc>
          <w:tcPr>
            <w:tcW w:w="709" w:type="dxa"/>
            <w:vAlign w:val="bottom"/>
          </w:tcPr>
          <w:p w:rsidR="00873DDC" w:rsidRPr="00873DDC" w:rsidRDefault="00873DDC" w:rsidP="00873DDC">
            <w:pPr>
              <w:pStyle w:val="TableBodyText"/>
              <w:rPr>
                <w:sz w:val="18"/>
                <w:szCs w:val="18"/>
              </w:rPr>
            </w:pPr>
            <w:r w:rsidRPr="00873DDC">
              <w:rPr>
                <w:sz w:val="18"/>
                <w:szCs w:val="18"/>
              </w:rPr>
              <w:t>0.36</w:t>
            </w:r>
          </w:p>
        </w:tc>
        <w:tc>
          <w:tcPr>
            <w:tcW w:w="567" w:type="dxa"/>
            <w:vAlign w:val="bottom"/>
          </w:tcPr>
          <w:p w:rsidR="00873DDC" w:rsidRPr="00873DDC" w:rsidRDefault="00873DDC" w:rsidP="00873DDC">
            <w:pPr>
              <w:pStyle w:val="TableBodyText"/>
              <w:rPr>
                <w:sz w:val="18"/>
                <w:szCs w:val="18"/>
              </w:rPr>
            </w:pPr>
            <w:r w:rsidRPr="00873DDC">
              <w:rPr>
                <w:sz w:val="18"/>
                <w:szCs w:val="18"/>
              </w:rPr>
              <w:t>0.54</w:t>
            </w:r>
          </w:p>
        </w:tc>
        <w:tc>
          <w:tcPr>
            <w:tcW w:w="538" w:type="dxa"/>
            <w:vAlign w:val="bottom"/>
          </w:tcPr>
          <w:p w:rsidR="00873DDC" w:rsidRPr="00873DDC" w:rsidRDefault="00873DDC" w:rsidP="00873DDC">
            <w:pPr>
              <w:pStyle w:val="TableBodyText"/>
              <w:rPr>
                <w:sz w:val="18"/>
                <w:szCs w:val="18"/>
              </w:rPr>
            </w:pPr>
            <w:r w:rsidRPr="00873DDC">
              <w:rPr>
                <w:sz w:val="18"/>
                <w:szCs w:val="18"/>
              </w:rPr>
              <w:t>0.28</w:t>
            </w:r>
          </w:p>
        </w:tc>
        <w:tc>
          <w:tcPr>
            <w:tcW w:w="661" w:type="dxa"/>
            <w:vAlign w:val="bottom"/>
          </w:tcPr>
          <w:p w:rsidR="00873DDC" w:rsidRPr="00873DDC" w:rsidRDefault="00873DDC" w:rsidP="00873DDC">
            <w:pPr>
              <w:pStyle w:val="TableBodyText"/>
              <w:rPr>
                <w:sz w:val="18"/>
                <w:szCs w:val="18"/>
              </w:rPr>
            </w:pPr>
            <w:r w:rsidRPr="00873DDC">
              <w:rPr>
                <w:sz w:val="18"/>
                <w:szCs w:val="18"/>
              </w:rPr>
              <w:t>0.43</w:t>
            </w:r>
          </w:p>
        </w:tc>
        <w:tc>
          <w:tcPr>
            <w:tcW w:w="662" w:type="dxa"/>
            <w:vAlign w:val="bottom"/>
          </w:tcPr>
          <w:p w:rsidR="00873DDC" w:rsidRPr="00873DDC" w:rsidRDefault="00873DDC" w:rsidP="00873DDC">
            <w:pPr>
              <w:pStyle w:val="TableBodyText"/>
              <w:rPr>
                <w:sz w:val="18"/>
                <w:szCs w:val="18"/>
              </w:rPr>
            </w:pPr>
            <w:r w:rsidRPr="00873DDC">
              <w:rPr>
                <w:sz w:val="18"/>
                <w:szCs w:val="18"/>
              </w:rPr>
              <w:t>0.41</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851" w:type="dxa"/>
            <w:vAlign w:val="bottom"/>
          </w:tcPr>
          <w:p w:rsidR="00873DDC" w:rsidRPr="00873DDC" w:rsidRDefault="00873DDC" w:rsidP="00873DDC">
            <w:pPr>
              <w:pStyle w:val="TableBodyText"/>
              <w:rPr>
                <w:sz w:val="18"/>
                <w:szCs w:val="18"/>
              </w:rPr>
            </w:pPr>
            <w:r w:rsidRPr="00873DDC">
              <w:rPr>
                <w:sz w:val="18"/>
                <w:szCs w:val="18"/>
              </w:rPr>
              <w:t>0.40</w:t>
            </w:r>
          </w:p>
        </w:tc>
      </w:tr>
      <w:tr w:rsidR="00873DDC" w:rsidRPr="00E75996" w:rsidTr="000D25E1">
        <w:tc>
          <w:tcPr>
            <w:tcW w:w="2155" w:type="dxa"/>
          </w:tcPr>
          <w:p w:rsidR="00873DDC" w:rsidRPr="00584FFF" w:rsidRDefault="00873DDC" w:rsidP="005B35E9">
            <w:pPr>
              <w:pStyle w:val="TableBodyText"/>
              <w:tabs>
                <w:tab w:val="right" w:pos="8789"/>
              </w:tabs>
              <w:ind w:hanging="6"/>
              <w:jc w:val="left"/>
            </w:pPr>
            <w:r w:rsidRPr="00584FFF">
              <w:t>Magistrates</w:t>
            </w:r>
          </w:p>
        </w:tc>
        <w:tc>
          <w:tcPr>
            <w:tcW w:w="709" w:type="dxa"/>
            <w:vAlign w:val="bottom"/>
          </w:tcPr>
          <w:p w:rsidR="00873DDC" w:rsidRPr="00873DDC" w:rsidRDefault="00873DDC" w:rsidP="00873DDC">
            <w:pPr>
              <w:pStyle w:val="TableBodyText"/>
              <w:rPr>
                <w:sz w:val="18"/>
                <w:szCs w:val="18"/>
              </w:rPr>
            </w:pPr>
            <w:r w:rsidRPr="00873DDC">
              <w:rPr>
                <w:sz w:val="18"/>
                <w:szCs w:val="18"/>
              </w:rPr>
              <w:t>0.04</w:t>
            </w:r>
          </w:p>
        </w:tc>
        <w:tc>
          <w:tcPr>
            <w:tcW w:w="567" w:type="dxa"/>
            <w:vAlign w:val="bottom"/>
          </w:tcPr>
          <w:p w:rsidR="00873DDC" w:rsidRPr="00873DDC" w:rsidRDefault="00873DDC" w:rsidP="00873DDC">
            <w:pPr>
              <w:pStyle w:val="TableBodyText"/>
              <w:rPr>
                <w:sz w:val="18"/>
                <w:szCs w:val="18"/>
              </w:rPr>
            </w:pPr>
            <w:r w:rsidRPr="00873DDC">
              <w:rPr>
                <w:sz w:val="18"/>
                <w:szCs w:val="18"/>
              </w:rPr>
              <w:t>0.04</w:t>
            </w:r>
          </w:p>
        </w:tc>
        <w:tc>
          <w:tcPr>
            <w:tcW w:w="538" w:type="dxa"/>
            <w:vAlign w:val="bottom"/>
          </w:tcPr>
          <w:p w:rsidR="00873DDC" w:rsidRPr="00873DDC" w:rsidRDefault="00873DDC" w:rsidP="00873DDC">
            <w:pPr>
              <w:pStyle w:val="TableBodyText"/>
              <w:rPr>
                <w:sz w:val="18"/>
                <w:szCs w:val="18"/>
              </w:rPr>
            </w:pPr>
            <w:r w:rsidRPr="00873DDC">
              <w:rPr>
                <w:sz w:val="18"/>
                <w:szCs w:val="18"/>
              </w:rPr>
              <w:t>0.03</w:t>
            </w:r>
          </w:p>
        </w:tc>
        <w:tc>
          <w:tcPr>
            <w:tcW w:w="661" w:type="dxa"/>
            <w:vAlign w:val="bottom"/>
          </w:tcPr>
          <w:p w:rsidR="00873DDC" w:rsidRPr="00873DDC" w:rsidRDefault="00873DDC" w:rsidP="00873DDC">
            <w:pPr>
              <w:pStyle w:val="TableBodyText"/>
              <w:rPr>
                <w:sz w:val="18"/>
                <w:szCs w:val="18"/>
              </w:rPr>
            </w:pPr>
            <w:r w:rsidRPr="00873DDC">
              <w:rPr>
                <w:sz w:val="18"/>
                <w:szCs w:val="18"/>
              </w:rPr>
              <w:t>0.04</w:t>
            </w:r>
          </w:p>
        </w:tc>
        <w:tc>
          <w:tcPr>
            <w:tcW w:w="662" w:type="dxa"/>
            <w:vAlign w:val="bottom"/>
          </w:tcPr>
          <w:p w:rsidR="00873DDC" w:rsidRPr="00873DDC" w:rsidRDefault="00873DDC" w:rsidP="00873DDC">
            <w:pPr>
              <w:pStyle w:val="TableBodyText"/>
              <w:rPr>
                <w:sz w:val="18"/>
                <w:szCs w:val="18"/>
              </w:rPr>
            </w:pPr>
            <w:r w:rsidRPr="00873DDC">
              <w:rPr>
                <w:sz w:val="18"/>
                <w:szCs w:val="18"/>
              </w:rPr>
              <w:t>0.04</w:t>
            </w:r>
          </w:p>
        </w:tc>
        <w:tc>
          <w:tcPr>
            <w:tcW w:w="661" w:type="dxa"/>
            <w:vAlign w:val="bottom"/>
          </w:tcPr>
          <w:p w:rsidR="00873DDC" w:rsidRPr="00873DDC" w:rsidRDefault="00873DDC" w:rsidP="00873DDC">
            <w:pPr>
              <w:pStyle w:val="TableBodyText"/>
              <w:rPr>
                <w:sz w:val="18"/>
                <w:szCs w:val="18"/>
              </w:rPr>
            </w:pPr>
            <w:r w:rsidRPr="00873DDC">
              <w:rPr>
                <w:sz w:val="18"/>
                <w:szCs w:val="18"/>
              </w:rPr>
              <w:t>0.05</w:t>
            </w:r>
          </w:p>
        </w:tc>
        <w:tc>
          <w:tcPr>
            <w:tcW w:w="662" w:type="dxa"/>
            <w:vAlign w:val="bottom"/>
          </w:tcPr>
          <w:p w:rsidR="00873DDC" w:rsidRPr="00873DDC" w:rsidRDefault="00873DDC" w:rsidP="00873DDC">
            <w:pPr>
              <w:pStyle w:val="TableBodyText"/>
              <w:rPr>
                <w:sz w:val="18"/>
                <w:szCs w:val="18"/>
              </w:rPr>
            </w:pPr>
            <w:r w:rsidRPr="00873DDC">
              <w:rPr>
                <w:sz w:val="18"/>
                <w:szCs w:val="18"/>
              </w:rPr>
              <w:t>0.07</w:t>
            </w:r>
          </w:p>
        </w:tc>
        <w:tc>
          <w:tcPr>
            <w:tcW w:w="661" w:type="dxa"/>
            <w:vAlign w:val="bottom"/>
          </w:tcPr>
          <w:p w:rsidR="00873DDC" w:rsidRPr="00873DDC" w:rsidRDefault="00873DDC" w:rsidP="00873DDC">
            <w:pPr>
              <w:pStyle w:val="TableBodyText"/>
              <w:rPr>
                <w:sz w:val="18"/>
                <w:szCs w:val="18"/>
              </w:rPr>
            </w:pPr>
            <w:r w:rsidRPr="00873DDC">
              <w:rPr>
                <w:sz w:val="18"/>
                <w:szCs w:val="18"/>
              </w:rPr>
              <w:t>0.06</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851" w:type="dxa"/>
            <w:vAlign w:val="bottom"/>
          </w:tcPr>
          <w:p w:rsidR="00873DDC" w:rsidRPr="00873DDC" w:rsidRDefault="00873DDC" w:rsidP="00873DDC">
            <w:pPr>
              <w:pStyle w:val="TableBodyText"/>
              <w:rPr>
                <w:sz w:val="18"/>
                <w:szCs w:val="18"/>
              </w:rPr>
            </w:pPr>
            <w:r w:rsidRPr="00873DDC">
              <w:rPr>
                <w:sz w:val="18"/>
                <w:szCs w:val="18"/>
              </w:rPr>
              <w:t>0.04</w:t>
            </w:r>
          </w:p>
        </w:tc>
      </w:tr>
      <w:tr w:rsidR="00873DDC" w:rsidRPr="00E75996" w:rsidTr="000D25E1">
        <w:tc>
          <w:tcPr>
            <w:tcW w:w="2155" w:type="dxa"/>
          </w:tcPr>
          <w:p w:rsidR="00873DDC" w:rsidRPr="00584FFF" w:rsidRDefault="00873DDC" w:rsidP="005B35E9">
            <w:pPr>
              <w:pStyle w:val="TableBodyText"/>
              <w:tabs>
                <w:tab w:val="right" w:pos="8789"/>
              </w:tabs>
              <w:ind w:hanging="6"/>
              <w:jc w:val="left"/>
            </w:pPr>
            <w:r w:rsidRPr="00584FFF">
              <w:t>Children’s</w:t>
            </w:r>
          </w:p>
        </w:tc>
        <w:tc>
          <w:tcPr>
            <w:tcW w:w="709" w:type="dxa"/>
            <w:vAlign w:val="bottom"/>
          </w:tcPr>
          <w:p w:rsidR="00873DDC" w:rsidRPr="00873DDC" w:rsidRDefault="00873DDC" w:rsidP="00873DDC">
            <w:pPr>
              <w:pStyle w:val="TableBodyText"/>
              <w:rPr>
                <w:sz w:val="18"/>
                <w:szCs w:val="18"/>
              </w:rPr>
            </w:pPr>
            <w:r w:rsidRPr="00873DDC">
              <w:rPr>
                <w:sz w:val="18"/>
                <w:szCs w:val="18"/>
              </w:rPr>
              <w:t>0.13</w:t>
            </w:r>
          </w:p>
        </w:tc>
        <w:tc>
          <w:tcPr>
            <w:tcW w:w="567" w:type="dxa"/>
            <w:vAlign w:val="bottom"/>
          </w:tcPr>
          <w:p w:rsidR="00873DDC" w:rsidRPr="00873DDC" w:rsidRDefault="00873DDC" w:rsidP="00873DDC">
            <w:pPr>
              <w:pStyle w:val="TableBodyText"/>
              <w:rPr>
                <w:sz w:val="18"/>
                <w:szCs w:val="18"/>
              </w:rPr>
            </w:pPr>
            <w:r w:rsidRPr="00873DDC">
              <w:rPr>
                <w:sz w:val="18"/>
                <w:szCs w:val="18"/>
              </w:rPr>
              <w:t>0.04</w:t>
            </w:r>
          </w:p>
        </w:tc>
        <w:tc>
          <w:tcPr>
            <w:tcW w:w="538" w:type="dxa"/>
            <w:vAlign w:val="bottom"/>
          </w:tcPr>
          <w:p w:rsidR="00873DDC" w:rsidRPr="00873DDC" w:rsidRDefault="00873DDC" w:rsidP="00873DDC">
            <w:pPr>
              <w:pStyle w:val="TableBodyText"/>
              <w:rPr>
                <w:sz w:val="18"/>
                <w:szCs w:val="18"/>
              </w:rPr>
            </w:pPr>
            <w:r w:rsidRPr="00873DDC">
              <w:rPr>
                <w:sz w:val="18"/>
                <w:szCs w:val="18"/>
              </w:rPr>
              <w:t>0.05</w:t>
            </w:r>
          </w:p>
        </w:tc>
        <w:tc>
          <w:tcPr>
            <w:tcW w:w="661" w:type="dxa"/>
            <w:vAlign w:val="bottom"/>
          </w:tcPr>
          <w:p w:rsidR="00873DDC" w:rsidRPr="00873DDC" w:rsidRDefault="00873DDC" w:rsidP="00873DDC">
            <w:pPr>
              <w:pStyle w:val="TableBodyText"/>
              <w:rPr>
                <w:sz w:val="18"/>
                <w:szCs w:val="18"/>
              </w:rPr>
            </w:pPr>
            <w:r w:rsidRPr="00873DDC">
              <w:rPr>
                <w:sz w:val="18"/>
                <w:szCs w:val="18"/>
              </w:rPr>
              <w:t>0.05</w:t>
            </w:r>
          </w:p>
        </w:tc>
        <w:tc>
          <w:tcPr>
            <w:tcW w:w="662" w:type="dxa"/>
            <w:vAlign w:val="bottom"/>
          </w:tcPr>
          <w:p w:rsidR="00873DDC" w:rsidRPr="00873DDC" w:rsidRDefault="00873DDC" w:rsidP="00873DDC">
            <w:pPr>
              <w:pStyle w:val="TableBodyText"/>
              <w:rPr>
                <w:sz w:val="18"/>
                <w:szCs w:val="18"/>
              </w:rPr>
            </w:pPr>
            <w:r w:rsidRPr="00873DDC">
              <w:rPr>
                <w:sz w:val="18"/>
                <w:szCs w:val="18"/>
              </w:rPr>
              <w:t>0.07</w:t>
            </w:r>
          </w:p>
        </w:tc>
        <w:tc>
          <w:tcPr>
            <w:tcW w:w="661" w:type="dxa"/>
            <w:vAlign w:val="bottom"/>
          </w:tcPr>
          <w:p w:rsidR="00873DDC" w:rsidRPr="00873DDC" w:rsidRDefault="00873DDC" w:rsidP="00873DDC">
            <w:pPr>
              <w:pStyle w:val="TableBodyText"/>
              <w:rPr>
                <w:sz w:val="18"/>
                <w:szCs w:val="18"/>
              </w:rPr>
            </w:pPr>
            <w:r w:rsidRPr="00873DDC">
              <w:rPr>
                <w:sz w:val="18"/>
                <w:szCs w:val="18"/>
              </w:rPr>
              <w:t>0.08</w:t>
            </w:r>
          </w:p>
        </w:tc>
        <w:tc>
          <w:tcPr>
            <w:tcW w:w="662" w:type="dxa"/>
            <w:vAlign w:val="bottom"/>
          </w:tcPr>
          <w:p w:rsidR="00873DDC" w:rsidRPr="00873DDC" w:rsidRDefault="00873DDC" w:rsidP="00873DDC">
            <w:pPr>
              <w:pStyle w:val="TableBodyText"/>
              <w:rPr>
                <w:sz w:val="18"/>
                <w:szCs w:val="18"/>
              </w:rPr>
            </w:pPr>
            <w:r w:rsidRPr="00873DDC">
              <w:rPr>
                <w:sz w:val="18"/>
                <w:szCs w:val="18"/>
              </w:rPr>
              <w:t>0.08</w:t>
            </w:r>
          </w:p>
        </w:tc>
        <w:tc>
          <w:tcPr>
            <w:tcW w:w="661" w:type="dxa"/>
            <w:vAlign w:val="bottom"/>
          </w:tcPr>
          <w:p w:rsidR="00873DDC" w:rsidRPr="00873DDC" w:rsidRDefault="00873DDC" w:rsidP="00873DDC">
            <w:pPr>
              <w:pStyle w:val="TableBodyText"/>
              <w:rPr>
                <w:sz w:val="18"/>
                <w:szCs w:val="18"/>
              </w:rPr>
            </w:pPr>
            <w:r w:rsidRPr="00873DDC">
              <w:rPr>
                <w:sz w:val="18"/>
                <w:szCs w:val="18"/>
              </w:rPr>
              <w:t>0.06</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851" w:type="dxa"/>
            <w:vAlign w:val="bottom"/>
          </w:tcPr>
          <w:p w:rsidR="00873DDC" w:rsidRPr="00873DDC" w:rsidRDefault="00873DDC" w:rsidP="00873DDC">
            <w:pPr>
              <w:pStyle w:val="TableBodyText"/>
              <w:rPr>
                <w:sz w:val="18"/>
                <w:szCs w:val="18"/>
              </w:rPr>
            </w:pPr>
            <w:r w:rsidRPr="00873DDC">
              <w:rPr>
                <w:sz w:val="18"/>
                <w:szCs w:val="18"/>
              </w:rPr>
              <w:t>0.07</w:t>
            </w:r>
          </w:p>
        </w:tc>
      </w:tr>
      <w:tr w:rsidR="00873DDC" w:rsidRPr="00E75996" w:rsidTr="000D25E1">
        <w:tc>
          <w:tcPr>
            <w:tcW w:w="2155" w:type="dxa"/>
          </w:tcPr>
          <w:p w:rsidR="00873DDC" w:rsidRPr="00584FFF" w:rsidRDefault="00873DDC" w:rsidP="005B35E9">
            <w:pPr>
              <w:pStyle w:val="TableBodyText"/>
              <w:tabs>
                <w:tab w:val="right" w:pos="8789"/>
              </w:tabs>
              <w:ind w:hanging="6"/>
              <w:jc w:val="left"/>
            </w:pPr>
            <w:r w:rsidRPr="00584FFF">
              <w:t>Family</w:t>
            </w:r>
            <w:r>
              <w:rPr>
                <w:rStyle w:val="NoteLabel"/>
              </w:rPr>
              <w:t>b</w:t>
            </w:r>
          </w:p>
        </w:tc>
        <w:tc>
          <w:tcPr>
            <w:tcW w:w="709" w:type="dxa"/>
            <w:vAlign w:val="bottom"/>
          </w:tcPr>
          <w:p w:rsidR="00873DDC" w:rsidRPr="00873DDC" w:rsidRDefault="00873DDC" w:rsidP="00873DDC">
            <w:pPr>
              <w:pStyle w:val="TableBodyText"/>
              <w:rPr>
                <w:sz w:val="18"/>
                <w:szCs w:val="18"/>
              </w:rPr>
            </w:pPr>
            <w:r w:rsidRPr="00873DDC">
              <w:rPr>
                <w:sz w:val="18"/>
                <w:szCs w:val="18"/>
              </w:rPr>
              <w:t>..</w:t>
            </w:r>
          </w:p>
        </w:tc>
        <w:tc>
          <w:tcPr>
            <w:tcW w:w="567" w:type="dxa"/>
            <w:vAlign w:val="bottom"/>
          </w:tcPr>
          <w:p w:rsidR="00873DDC" w:rsidRPr="00873DDC" w:rsidRDefault="00873DDC" w:rsidP="00873DDC">
            <w:pPr>
              <w:pStyle w:val="TableBodyText"/>
              <w:rPr>
                <w:sz w:val="18"/>
                <w:szCs w:val="18"/>
              </w:rPr>
            </w:pPr>
            <w:r w:rsidRPr="00873DDC">
              <w:rPr>
                <w:sz w:val="18"/>
                <w:szCs w:val="18"/>
              </w:rPr>
              <w:t>..</w:t>
            </w:r>
          </w:p>
        </w:tc>
        <w:tc>
          <w:tcPr>
            <w:tcW w:w="538"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0.10</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0.17</w:t>
            </w:r>
          </w:p>
        </w:tc>
        <w:tc>
          <w:tcPr>
            <w:tcW w:w="851" w:type="dxa"/>
            <w:vAlign w:val="bottom"/>
          </w:tcPr>
          <w:p w:rsidR="00873DDC" w:rsidRPr="00873DDC" w:rsidRDefault="00873DDC" w:rsidP="00873DDC">
            <w:pPr>
              <w:pStyle w:val="TableBodyText"/>
              <w:rPr>
                <w:sz w:val="18"/>
                <w:szCs w:val="18"/>
              </w:rPr>
            </w:pPr>
            <w:r w:rsidRPr="00873DDC">
              <w:rPr>
                <w:sz w:val="18"/>
                <w:szCs w:val="18"/>
              </w:rPr>
              <w:t>0.14</w:t>
            </w:r>
          </w:p>
        </w:tc>
      </w:tr>
      <w:tr w:rsidR="00873DDC" w:rsidRPr="00E75996" w:rsidTr="000D25E1">
        <w:tc>
          <w:tcPr>
            <w:tcW w:w="2155" w:type="dxa"/>
          </w:tcPr>
          <w:p w:rsidR="00873DDC" w:rsidRPr="00584FFF" w:rsidRDefault="00873DDC" w:rsidP="005B35E9">
            <w:pPr>
              <w:pStyle w:val="TableBodyText"/>
              <w:tabs>
                <w:tab w:val="right" w:pos="8789"/>
              </w:tabs>
              <w:ind w:hanging="6"/>
              <w:jc w:val="left"/>
            </w:pPr>
            <w:r w:rsidRPr="00584FFF">
              <w:t xml:space="preserve">Federal </w:t>
            </w:r>
            <w:r>
              <w:t>Circuit</w:t>
            </w:r>
            <w:r>
              <w:rPr>
                <w:rStyle w:val="NoteLabel"/>
              </w:rPr>
              <w:t>c</w:t>
            </w:r>
          </w:p>
        </w:tc>
        <w:tc>
          <w:tcPr>
            <w:tcW w:w="709" w:type="dxa"/>
            <w:vAlign w:val="bottom"/>
          </w:tcPr>
          <w:p w:rsidR="00873DDC" w:rsidRPr="00873DDC" w:rsidRDefault="00873DDC" w:rsidP="00873DDC">
            <w:pPr>
              <w:pStyle w:val="TableBodyText"/>
              <w:rPr>
                <w:sz w:val="18"/>
                <w:szCs w:val="18"/>
              </w:rPr>
            </w:pPr>
            <w:r w:rsidRPr="00873DDC">
              <w:rPr>
                <w:sz w:val="18"/>
                <w:szCs w:val="18"/>
              </w:rPr>
              <w:t>..</w:t>
            </w:r>
          </w:p>
        </w:tc>
        <w:tc>
          <w:tcPr>
            <w:tcW w:w="567" w:type="dxa"/>
            <w:vAlign w:val="bottom"/>
          </w:tcPr>
          <w:p w:rsidR="00873DDC" w:rsidRPr="00873DDC" w:rsidRDefault="00873DDC" w:rsidP="00873DDC">
            <w:pPr>
              <w:pStyle w:val="TableBodyText"/>
              <w:rPr>
                <w:sz w:val="18"/>
                <w:szCs w:val="18"/>
              </w:rPr>
            </w:pPr>
            <w:r w:rsidRPr="00873DDC">
              <w:rPr>
                <w:sz w:val="18"/>
                <w:szCs w:val="18"/>
              </w:rPr>
              <w:t>..</w:t>
            </w:r>
          </w:p>
        </w:tc>
        <w:tc>
          <w:tcPr>
            <w:tcW w:w="538"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661" w:type="dxa"/>
            <w:vAlign w:val="bottom"/>
          </w:tcPr>
          <w:p w:rsidR="00873DDC" w:rsidRPr="00873DDC" w:rsidRDefault="00873DDC" w:rsidP="00873DDC">
            <w:pPr>
              <w:pStyle w:val="TableBodyText"/>
              <w:rPr>
                <w:sz w:val="18"/>
                <w:szCs w:val="18"/>
              </w:rPr>
            </w:pPr>
            <w:r w:rsidRPr="00873DDC">
              <w:rPr>
                <w:sz w:val="18"/>
                <w:szCs w:val="18"/>
              </w:rPr>
              <w:t>..</w:t>
            </w:r>
          </w:p>
        </w:tc>
        <w:tc>
          <w:tcPr>
            <w:tcW w:w="662" w:type="dxa"/>
            <w:vAlign w:val="bottom"/>
          </w:tcPr>
          <w:p w:rsidR="00873DDC" w:rsidRPr="00873DDC" w:rsidRDefault="00873DDC" w:rsidP="00873DDC">
            <w:pPr>
              <w:pStyle w:val="TableBodyText"/>
              <w:rPr>
                <w:sz w:val="18"/>
                <w:szCs w:val="18"/>
              </w:rPr>
            </w:pPr>
            <w:r w:rsidRPr="00873DDC">
              <w:rPr>
                <w:sz w:val="18"/>
                <w:szCs w:val="18"/>
              </w:rPr>
              <w:t>0.07</w:t>
            </w:r>
          </w:p>
        </w:tc>
        <w:tc>
          <w:tcPr>
            <w:tcW w:w="851" w:type="dxa"/>
            <w:vAlign w:val="bottom"/>
          </w:tcPr>
          <w:p w:rsidR="00873DDC" w:rsidRPr="00873DDC" w:rsidRDefault="00873DDC" w:rsidP="00873DDC">
            <w:pPr>
              <w:pStyle w:val="TableBodyText"/>
              <w:rPr>
                <w:sz w:val="18"/>
                <w:szCs w:val="18"/>
              </w:rPr>
            </w:pPr>
            <w:r w:rsidRPr="00873DDC">
              <w:rPr>
                <w:sz w:val="18"/>
                <w:szCs w:val="18"/>
              </w:rPr>
              <w:t>0.07</w:t>
            </w:r>
          </w:p>
        </w:tc>
      </w:tr>
      <w:tr w:rsidR="00873DDC" w:rsidRPr="00E75996" w:rsidTr="000D25E1">
        <w:tc>
          <w:tcPr>
            <w:tcW w:w="2155" w:type="dxa"/>
          </w:tcPr>
          <w:p w:rsidR="00873DDC" w:rsidRPr="00584FFF" w:rsidRDefault="00873DDC" w:rsidP="005B35E9">
            <w:pPr>
              <w:pStyle w:val="TableBodyText"/>
              <w:tabs>
                <w:tab w:val="right" w:pos="8789"/>
              </w:tabs>
              <w:ind w:hanging="6"/>
              <w:jc w:val="left"/>
            </w:pPr>
            <w:r w:rsidRPr="00584FFF">
              <w:t>Coroners</w:t>
            </w:r>
          </w:p>
        </w:tc>
        <w:tc>
          <w:tcPr>
            <w:tcW w:w="709" w:type="dxa"/>
            <w:vAlign w:val="bottom"/>
          </w:tcPr>
          <w:p w:rsidR="00873DDC" w:rsidRPr="00873DDC" w:rsidRDefault="00873DDC" w:rsidP="00873DDC">
            <w:pPr>
              <w:pStyle w:val="TableBodyText"/>
              <w:rPr>
                <w:sz w:val="18"/>
                <w:szCs w:val="18"/>
              </w:rPr>
            </w:pPr>
            <w:r w:rsidRPr="00873DDC">
              <w:rPr>
                <w:sz w:val="18"/>
                <w:szCs w:val="18"/>
              </w:rPr>
              <w:t>0.08</w:t>
            </w:r>
          </w:p>
        </w:tc>
        <w:tc>
          <w:tcPr>
            <w:tcW w:w="567" w:type="dxa"/>
            <w:vAlign w:val="bottom"/>
          </w:tcPr>
          <w:p w:rsidR="00873DDC" w:rsidRPr="00873DDC" w:rsidRDefault="00873DDC" w:rsidP="00873DDC">
            <w:pPr>
              <w:pStyle w:val="TableBodyText"/>
              <w:rPr>
                <w:sz w:val="18"/>
                <w:szCs w:val="18"/>
              </w:rPr>
            </w:pPr>
            <w:r w:rsidRPr="00873DDC">
              <w:rPr>
                <w:sz w:val="18"/>
                <w:szCs w:val="18"/>
              </w:rPr>
              <w:t>0.17</w:t>
            </w:r>
          </w:p>
        </w:tc>
        <w:tc>
          <w:tcPr>
            <w:tcW w:w="538" w:type="dxa"/>
            <w:vAlign w:val="bottom"/>
          </w:tcPr>
          <w:p w:rsidR="00873DDC" w:rsidRPr="00873DDC" w:rsidRDefault="00873DDC" w:rsidP="00873DDC">
            <w:pPr>
              <w:pStyle w:val="TableBodyText"/>
              <w:rPr>
                <w:sz w:val="18"/>
                <w:szCs w:val="18"/>
              </w:rPr>
            </w:pPr>
            <w:r w:rsidRPr="00873DDC">
              <w:rPr>
                <w:sz w:val="18"/>
                <w:szCs w:val="18"/>
              </w:rPr>
              <w:t>0.19</w:t>
            </w:r>
          </w:p>
        </w:tc>
        <w:tc>
          <w:tcPr>
            <w:tcW w:w="661" w:type="dxa"/>
            <w:vAlign w:val="bottom"/>
          </w:tcPr>
          <w:p w:rsidR="00873DDC" w:rsidRPr="00873DDC" w:rsidRDefault="00873DDC" w:rsidP="00873DDC">
            <w:pPr>
              <w:pStyle w:val="TableBodyText"/>
              <w:rPr>
                <w:sz w:val="18"/>
                <w:szCs w:val="18"/>
              </w:rPr>
            </w:pPr>
            <w:r w:rsidRPr="00873DDC">
              <w:rPr>
                <w:sz w:val="18"/>
                <w:szCs w:val="18"/>
              </w:rPr>
              <w:t>0.18</w:t>
            </w:r>
          </w:p>
        </w:tc>
        <w:tc>
          <w:tcPr>
            <w:tcW w:w="662" w:type="dxa"/>
            <w:vAlign w:val="bottom"/>
          </w:tcPr>
          <w:p w:rsidR="00873DDC" w:rsidRPr="00873DDC" w:rsidRDefault="00873DDC" w:rsidP="00873DDC">
            <w:pPr>
              <w:pStyle w:val="TableBodyText"/>
              <w:rPr>
                <w:sz w:val="18"/>
                <w:szCs w:val="18"/>
              </w:rPr>
            </w:pPr>
            <w:r w:rsidRPr="00873DDC">
              <w:rPr>
                <w:sz w:val="18"/>
                <w:szCs w:val="18"/>
              </w:rPr>
              <w:t>0.11</w:t>
            </w:r>
          </w:p>
        </w:tc>
        <w:tc>
          <w:tcPr>
            <w:tcW w:w="661" w:type="dxa"/>
            <w:vAlign w:val="bottom"/>
          </w:tcPr>
          <w:p w:rsidR="00873DDC" w:rsidRPr="00873DDC" w:rsidRDefault="00873DDC" w:rsidP="00873DDC">
            <w:pPr>
              <w:pStyle w:val="TableBodyText"/>
              <w:rPr>
                <w:sz w:val="18"/>
                <w:szCs w:val="18"/>
              </w:rPr>
            </w:pPr>
            <w:r w:rsidRPr="00873DDC">
              <w:rPr>
                <w:sz w:val="18"/>
                <w:szCs w:val="18"/>
              </w:rPr>
              <w:t>0.09</w:t>
            </w:r>
          </w:p>
        </w:tc>
        <w:tc>
          <w:tcPr>
            <w:tcW w:w="662" w:type="dxa"/>
            <w:vAlign w:val="bottom"/>
          </w:tcPr>
          <w:p w:rsidR="00873DDC" w:rsidRPr="00873DDC" w:rsidRDefault="00873DDC" w:rsidP="00873DDC">
            <w:pPr>
              <w:pStyle w:val="TableBodyText"/>
              <w:rPr>
                <w:sz w:val="18"/>
                <w:szCs w:val="18"/>
              </w:rPr>
            </w:pPr>
            <w:r w:rsidRPr="00873DDC">
              <w:rPr>
                <w:sz w:val="18"/>
                <w:szCs w:val="18"/>
              </w:rPr>
              <w:t>0.06</w:t>
            </w:r>
          </w:p>
        </w:tc>
        <w:tc>
          <w:tcPr>
            <w:tcW w:w="661" w:type="dxa"/>
            <w:vAlign w:val="bottom"/>
          </w:tcPr>
          <w:p w:rsidR="00873DDC" w:rsidRPr="00873DDC" w:rsidRDefault="00873DDC" w:rsidP="00873DDC">
            <w:pPr>
              <w:pStyle w:val="TableBodyText"/>
              <w:rPr>
                <w:sz w:val="18"/>
                <w:szCs w:val="18"/>
              </w:rPr>
            </w:pPr>
            <w:r w:rsidRPr="00873DDC">
              <w:rPr>
                <w:sz w:val="18"/>
                <w:szCs w:val="18"/>
              </w:rPr>
              <w:t>0.50</w:t>
            </w:r>
          </w:p>
        </w:tc>
        <w:tc>
          <w:tcPr>
            <w:tcW w:w="662" w:type="dxa"/>
            <w:vAlign w:val="bottom"/>
          </w:tcPr>
          <w:p w:rsidR="00873DDC" w:rsidRPr="00873DDC" w:rsidRDefault="00873DDC" w:rsidP="00873DDC">
            <w:pPr>
              <w:pStyle w:val="TableBodyText"/>
              <w:rPr>
                <w:sz w:val="18"/>
                <w:szCs w:val="18"/>
              </w:rPr>
            </w:pPr>
            <w:r w:rsidRPr="00873DDC">
              <w:rPr>
                <w:sz w:val="18"/>
                <w:szCs w:val="18"/>
              </w:rPr>
              <w:t>..</w:t>
            </w:r>
          </w:p>
        </w:tc>
        <w:tc>
          <w:tcPr>
            <w:tcW w:w="851" w:type="dxa"/>
            <w:vAlign w:val="bottom"/>
          </w:tcPr>
          <w:p w:rsidR="00873DDC" w:rsidRPr="00873DDC" w:rsidRDefault="00873DDC" w:rsidP="00873DDC">
            <w:pPr>
              <w:pStyle w:val="TableBodyText"/>
              <w:rPr>
                <w:sz w:val="18"/>
                <w:szCs w:val="18"/>
              </w:rPr>
            </w:pPr>
            <w:r w:rsidRPr="00873DDC">
              <w:rPr>
                <w:sz w:val="18"/>
                <w:szCs w:val="18"/>
              </w:rPr>
              <w:t>0.14</w:t>
            </w:r>
          </w:p>
        </w:tc>
      </w:tr>
      <w:tr w:rsidR="00873DDC" w:rsidRPr="00E75996" w:rsidTr="00401025">
        <w:tc>
          <w:tcPr>
            <w:tcW w:w="2155" w:type="dxa"/>
            <w:tcBorders>
              <w:bottom w:val="single" w:sz="6" w:space="0" w:color="auto"/>
            </w:tcBorders>
          </w:tcPr>
          <w:p w:rsidR="00873DDC" w:rsidRPr="00584FFF" w:rsidRDefault="00873DDC" w:rsidP="00FE3767">
            <w:pPr>
              <w:pStyle w:val="TableBodyText"/>
              <w:tabs>
                <w:tab w:val="right" w:pos="2042"/>
              </w:tabs>
              <w:ind w:hanging="737"/>
              <w:jc w:val="left"/>
              <w:rPr>
                <w:rStyle w:val="NoteLabel"/>
              </w:rPr>
            </w:pPr>
            <w:proofErr w:type="spellStart"/>
            <w:r w:rsidRPr="00584FFF">
              <w:rPr>
                <w:b/>
              </w:rPr>
              <w:t>Total</w:t>
            </w:r>
            <w:r>
              <w:rPr>
                <w:b/>
              </w:rPr>
              <w:t>f</w:t>
            </w:r>
            <w:proofErr w:type="spellEnd"/>
            <w:r>
              <w:rPr>
                <w:b/>
              </w:rPr>
              <w:tab/>
              <w:t>Total</w:t>
            </w:r>
          </w:p>
        </w:tc>
        <w:tc>
          <w:tcPr>
            <w:tcW w:w="709"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0.07</w:t>
            </w:r>
          </w:p>
        </w:tc>
        <w:tc>
          <w:tcPr>
            <w:tcW w:w="567"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0.07</w:t>
            </w:r>
          </w:p>
        </w:tc>
        <w:tc>
          <w:tcPr>
            <w:tcW w:w="538"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0.06</w:t>
            </w:r>
          </w:p>
        </w:tc>
        <w:tc>
          <w:tcPr>
            <w:tcW w:w="661"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0.08</w:t>
            </w:r>
          </w:p>
        </w:tc>
        <w:tc>
          <w:tcPr>
            <w:tcW w:w="662"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0.08</w:t>
            </w:r>
          </w:p>
        </w:tc>
        <w:tc>
          <w:tcPr>
            <w:tcW w:w="661"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0.07</w:t>
            </w:r>
          </w:p>
        </w:tc>
        <w:tc>
          <w:tcPr>
            <w:tcW w:w="662"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0.11</w:t>
            </w:r>
          </w:p>
        </w:tc>
        <w:tc>
          <w:tcPr>
            <w:tcW w:w="661"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0.09</w:t>
            </w:r>
          </w:p>
        </w:tc>
        <w:tc>
          <w:tcPr>
            <w:tcW w:w="662"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0.13</w:t>
            </w:r>
          </w:p>
        </w:tc>
        <w:tc>
          <w:tcPr>
            <w:tcW w:w="851" w:type="dxa"/>
            <w:tcBorders>
              <w:bottom w:val="single" w:sz="6" w:space="0" w:color="auto"/>
            </w:tcBorders>
            <w:vAlign w:val="bottom"/>
          </w:tcPr>
          <w:p w:rsidR="00873DDC" w:rsidRPr="00873DDC" w:rsidRDefault="00873DDC" w:rsidP="00873DDC">
            <w:pPr>
              <w:pStyle w:val="TableBodyText"/>
              <w:rPr>
                <w:b/>
                <w:bCs/>
                <w:sz w:val="18"/>
                <w:szCs w:val="18"/>
              </w:rPr>
            </w:pPr>
            <w:r w:rsidRPr="00873DDC">
              <w:rPr>
                <w:b/>
                <w:bCs/>
                <w:sz w:val="18"/>
                <w:szCs w:val="18"/>
              </w:rPr>
              <w:t>0.08</w:t>
            </w:r>
          </w:p>
        </w:tc>
      </w:tr>
    </w:tbl>
    <w:p w:rsidR="000D25E1" w:rsidRPr="00584FFF" w:rsidRDefault="000D25E1" w:rsidP="000D25E1">
      <w:pPr>
        <w:pStyle w:val="Note"/>
      </w:pPr>
      <w:r w:rsidRPr="006313AD">
        <w:rPr>
          <w:rStyle w:val="NoteLabel"/>
        </w:rPr>
        <w:t>a</w:t>
      </w:r>
      <w:r w:rsidRPr="006313AD">
        <w:t> WA Supreme Court judicial FTE includes both General Division and Court of Appeal judicial officers</w:t>
      </w:r>
      <w:r w:rsidR="00452BCB">
        <w:t>.</w:t>
      </w:r>
      <w:r w:rsidRPr="006313AD">
        <w:t xml:space="preserve"> </w:t>
      </w:r>
      <w:r w:rsidR="008D5F01" w:rsidRPr="006313AD">
        <w:rPr>
          <w:rStyle w:val="NoteLabel"/>
        </w:rPr>
        <w:t>b</w:t>
      </w:r>
      <w:r w:rsidRPr="006313AD">
        <w:t> Family Court</w:t>
      </w:r>
      <w:r w:rsidRPr="00584FFF">
        <w:t xml:space="preserve"> of Australia figures include Family Court of Australia judges assigned to the Full Court Appeals division. </w:t>
      </w:r>
      <w:r w:rsidR="008D5F01">
        <w:rPr>
          <w:rStyle w:val="NoteLabel"/>
        </w:rPr>
        <w:t>c</w:t>
      </w:r>
      <w:r w:rsidRPr="00584FFF">
        <w:t xml:space="preserve"> Includes Family Court of Australia services provided free of charge. </w:t>
      </w:r>
      <w:r w:rsidRPr="00584FFF">
        <w:rPr>
          <w:b/>
        </w:rPr>
        <w:t>.. </w:t>
      </w:r>
      <w:r w:rsidRPr="00584FFF">
        <w:t>Not applicable.</w:t>
      </w:r>
    </w:p>
    <w:p w:rsidR="000D25E1" w:rsidRPr="00E75996" w:rsidRDefault="000D25E1" w:rsidP="000D25E1">
      <w:pPr>
        <w:pStyle w:val="Source"/>
      </w:pPr>
      <w:r w:rsidRPr="00584FFF">
        <w:rPr>
          <w:i/>
        </w:rPr>
        <w:t>Source</w:t>
      </w:r>
      <w:r w:rsidRPr="00584FFF">
        <w:t>: Australian, State an</w:t>
      </w:r>
      <w:r w:rsidR="008963DB" w:rsidRPr="00584FFF">
        <w:t>d Territory court</w:t>
      </w:r>
      <w:r w:rsidRPr="00584FFF">
        <w:t xml:space="preserve"> authorities and departments (unpublished); table </w:t>
      </w:r>
      <w:proofErr w:type="spellStart"/>
      <w:r w:rsidRPr="00584FFF">
        <w:t>7A.</w:t>
      </w:r>
      <w:r w:rsidR="00183C30" w:rsidRPr="00584FFF">
        <w:t>2</w:t>
      </w:r>
      <w:r w:rsidR="00E54163">
        <w:t>8</w:t>
      </w:r>
      <w:proofErr w:type="spellEnd"/>
      <w:r w:rsidRPr="00584FFF">
        <w:t>.</w:t>
      </w:r>
    </w:p>
    <w:p w:rsidR="00974087" w:rsidRPr="00E75996" w:rsidRDefault="00974087" w:rsidP="00974087">
      <w:pPr>
        <w:pStyle w:val="Heading4"/>
      </w:pPr>
      <w:r w:rsidRPr="00584FFF">
        <w:t>Efficiency —</w:t>
      </w:r>
      <w:r w:rsidR="00205BCF">
        <w:t xml:space="preserve"> </w:t>
      </w:r>
      <w:r w:rsidRPr="00584FFF">
        <w:t>full time equivalent staff (FTE) per</w:t>
      </w:r>
      <w:r w:rsidR="0032403A" w:rsidRPr="00584FFF">
        <w:t xml:space="preserve"> 100</w:t>
      </w:r>
      <w:r w:rsidRPr="00584FFF">
        <w:t xml:space="preserve"> finalisation</w:t>
      </w:r>
      <w:r w:rsidR="0032403A" w:rsidRPr="00E75996">
        <w:t>s</w:t>
      </w:r>
    </w:p>
    <w:p w:rsidR="00974087" w:rsidRDefault="00974087" w:rsidP="00974087">
      <w:pPr>
        <w:pStyle w:val="BodyText"/>
      </w:pPr>
      <w:r w:rsidRPr="00584FFF">
        <w:t>‘Full time equivalent staff per</w:t>
      </w:r>
      <w:r w:rsidR="0032403A" w:rsidRPr="00584FFF">
        <w:t xml:space="preserve"> 100</w:t>
      </w:r>
      <w:r w:rsidRPr="00584FFF">
        <w:t xml:space="preserve"> finalisation</w:t>
      </w:r>
      <w:r w:rsidR="0032403A" w:rsidRPr="00584FFF">
        <w:t>s</w:t>
      </w:r>
      <w:r w:rsidRPr="00584FFF">
        <w:t>’ is</w:t>
      </w:r>
      <w:r w:rsidR="00572B9F" w:rsidRPr="00584FFF">
        <w:t xml:space="preserve"> a third</w:t>
      </w:r>
      <w:r w:rsidRPr="00584FFF">
        <w:t xml:space="preserve"> indicator of governments’ achievement against the objective of providing court services in an efficient manner (box 7.15). </w:t>
      </w:r>
      <w:r w:rsidR="0020350A" w:rsidRPr="00584FFF">
        <w:t xml:space="preserve">Full time equivalent staff per judicial </w:t>
      </w:r>
      <w:r w:rsidR="0020350A" w:rsidRPr="00872EAA">
        <w:t>officer</w:t>
      </w:r>
      <w:r w:rsidR="00BF667B" w:rsidRPr="00872EAA">
        <w:t xml:space="preserve"> employed</w:t>
      </w:r>
      <w:r w:rsidR="0020350A" w:rsidRPr="00584FFF">
        <w:t xml:space="preserve"> are provided in the attachment (table </w:t>
      </w:r>
      <w:proofErr w:type="spellStart"/>
      <w:r w:rsidR="0020350A" w:rsidRPr="00584FFF">
        <w:t>7A.</w:t>
      </w:r>
      <w:r w:rsidR="00E54163">
        <w:t>30</w:t>
      </w:r>
      <w:proofErr w:type="spellEnd"/>
      <w:r w:rsidR="0020350A" w:rsidRPr="00584FFF">
        <w:t>).</w:t>
      </w:r>
    </w:p>
    <w:p w:rsidR="00974087" w:rsidRDefault="00974087" w:rsidP="00974087">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4087" w:rsidRPr="00B16A54" w:rsidTr="003015BE">
        <w:tc>
          <w:tcPr>
            <w:tcW w:w="8771" w:type="dxa"/>
            <w:tcBorders>
              <w:top w:val="single" w:sz="6" w:space="0" w:color="auto"/>
              <w:bottom w:val="nil"/>
            </w:tcBorders>
          </w:tcPr>
          <w:p w:rsidR="00974087" w:rsidRPr="00584FFF" w:rsidRDefault="00974087" w:rsidP="00C23917">
            <w:pPr>
              <w:pStyle w:val="BoxTitle"/>
            </w:pPr>
            <w:r w:rsidRPr="00584FFF">
              <w:rPr>
                <w:b w:val="0"/>
              </w:rPr>
              <w:lastRenderedPageBreak/>
              <w:t>Box 7.</w:t>
            </w:r>
            <w:r w:rsidRPr="00584FFF">
              <w:rPr>
                <w:b w:val="0"/>
                <w:noProof/>
              </w:rPr>
              <w:t>1</w:t>
            </w:r>
            <w:r w:rsidR="00C23917" w:rsidRPr="00584FFF">
              <w:rPr>
                <w:b w:val="0"/>
                <w:noProof/>
              </w:rPr>
              <w:t>5</w:t>
            </w:r>
            <w:r w:rsidRPr="00584FFF">
              <w:tab/>
            </w:r>
            <w:r w:rsidR="00C23917" w:rsidRPr="00584FFF">
              <w:t>Full time equivalent staff</w:t>
            </w:r>
            <w:r w:rsidRPr="00584FFF">
              <w:t xml:space="preserve"> per</w:t>
            </w:r>
            <w:r w:rsidR="0032403A" w:rsidRPr="00584FFF">
              <w:t xml:space="preserve"> 100</w:t>
            </w:r>
            <w:r w:rsidRPr="00584FFF">
              <w:t xml:space="preserve"> finalisation</w:t>
            </w:r>
            <w:r w:rsidR="0032403A" w:rsidRPr="00584FFF">
              <w:t>s</w:t>
            </w:r>
          </w:p>
        </w:tc>
      </w:tr>
      <w:tr w:rsidR="00974087" w:rsidRPr="00B16A54" w:rsidTr="003015BE">
        <w:trPr>
          <w:cantSplit/>
        </w:trPr>
        <w:tc>
          <w:tcPr>
            <w:tcW w:w="8771" w:type="dxa"/>
            <w:tcBorders>
              <w:top w:val="nil"/>
              <w:left w:val="single" w:sz="6" w:space="0" w:color="auto"/>
              <w:bottom w:val="nil"/>
              <w:right w:val="single" w:sz="6" w:space="0" w:color="auto"/>
            </w:tcBorders>
          </w:tcPr>
          <w:p w:rsidR="00974087" w:rsidRPr="00584FFF" w:rsidRDefault="00C23917" w:rsidP="003015BE">
            <w:pPr>
              <w:pStyle w:val="Box"/>
            </w:pPr>
            <w:r w:rsidRPr="00584FFF">
              <w:t>‘Full time equivalent staff</w:t>
            </w:r>
            <w:r w:rsidR="00974087" w:rsidRPr="00584FFF">
              <w:t xml:space="preserve"> per </w:t>
            </w:r>
            <w:r w:rsidR="00B16A54">
              <w:t xml:space="preserve">100 </w:t>
            </w:r>
            <w:r w:rsidR="00974087" w:rsidRPr="00584FFF">
              <w:t>finalisation</w:t>
            </w:r>
            <w:r w:rsidR="00B16A54">
              <w:t>s</w:t>
            </w:r>
            <w:r w:rsidR="00974087" w:rsidRPr="00584FFF">
              <w:t>’ is</w:t>
            </w:r>
            <w:r w:rsidR="00B16A54">
              <w:t xml:space="preserve"> an indicator that represents efficiency of court services.</w:t>
            </w:r>
            <w:r w:rsidR="00974087" w:rsidRPr="00584FFF">
              <w:t xml:space="preserve"> </w:t>
            </w:r>
            <w:r w:rsidR="00B16A54">
              <w:t xml:space="preserve">It is </w:t>
            </w:r>
            <w:r w:rsidR="00974087" w:rsidRPr="00584FFF">
              <w:t>measured by dividing the</w:t>
            </w:r>
            <w:r w:rsidRPr="00584FFF">
              <w:t xml:space="preserve"> total</w:t>
            </w:r>
            <w:r w:rsidR="00974087" w:rsidRPr="00584FFF">
              <w:t xml:space="preserve"> number of full time equivalent </w:t>
            </w:r>
            <w:r w:rsidRPr="00584FFF">
              <w:t>staff</w:t>
            </w:r>
            <w:r w:rsidR="00974087" w:rsidRPr="00584FFF">
              <w:t xml:space="preserve"> </w:t>
            </w:r>
            <w:r w:rsidRPr="00584FFF">
              <w:t xml:space="preserve">employed by courts for </w:t>
            </w:r>
            <w:r w:rsidR="00974087" w:rsidRPr="00584FFF">
              <w:t>the financial year by the total number of finalisations for the same period</w:t>
            </w:r>
            <w:r w:rsidR="008963DB" w:rsidRPr="00584FFF">
              <w:t xml:space="preserve"> and multiplying this by 100</w:t>
            </w:r>
            <w:r w:rsidR="00974087" w:rsidRPr="00584FFF">
              <w:t xml:space="preserve">. </w:t>
            </w:r>
          </w:p>
          <w:p w:rsidR="00974087" w:rsidRPr="00584FFF" w:rsidRDefault="003015BE" w:rsidP="003015BE">
            <w:pPr>
              <w:pStyle w:val="Box"/>
            </w:pPr>
            <w:r w:rsidRPr="00584FFF">
              <w:t>FTE staff comprise the following categories of staff employed directly by court authorities or by umbrella and other departments:</w:t>
            </w:r>
          </w:p>
          <w:p w:rsidR="003015BE" w:rsidRPr="00584FFF" w:rsidRDefault="003015BE" w:rsidP="003015BE">
            <w:pPr>
              <w:pStyle w:val="BoxListBullet"/>
            </w:pPr>
            <w:r w:rsidRPr="00584FFF">
              <w:t>Judicial officers, judicial support staff and registry court staff</w:t>
            </w:r>
          </w:p>
          <w:p w:rsidR="003015BE" w:rsidRPr="00584FFF" w:rsidRDefault="003015BE" w:rsidP="003015BE">
            <w:pPr>
              <w:pStyle w:val="BoxListBullet"/>
            </w:pPr>
            <w:r w:rsidRPr="00584FFF">
              <w:t>Court security and sheriff type staff</w:t>
            </w:r>
          </w:p>
          <w:p w:rsidR="003015BE" w:rsidRPr="00584FFF" w:rsidRDefault="003015BE" w:rsidP="003015BE">
            <w:pPr>
              <w:pStyle w:val="BoxListBullet"/>
            </w:pPr>
            <w:r w:rsidRPr="00584FFF">
              <w:t>Court reporters</w:t>
            </w:r>
          </w:p>
          <w:p w:rsidR="003015BE" w:rsidRPr="00584FFF" w:rsidRDefault="003015BE" w:rsidP="003015BE">
            <w:pPr>
              <w:pStyle w:val="BoxListBullet"/>
            </w:pPr>
            <w:r w:rsidRPr="00584FFF">
              <w:t>Library and information technology staff</w:t>
            </w:r>
          </w:p>
          <w:p w:rsidR="003015BE" w:rsidRPr="00584FFF" w:rsidRDefault="003015BE" w:rsidP="003015BE">
            <w:pPr>
              <w:pStyle w:val="BoxListBullet"/>
            </w:pPr>
            <w:r w:rsidRPr="00584FFF">
              <w:t>Counsellors, mediators and interpreters</w:t>
            </w:r>
          </w:p>
          <w:p w:rsidR="003015BE" w:rsidRPr="00584FFF" w:rsidRDefault="003015BE" w:rsidP="003015BE">
            <w:pPr>
              <w:pStyle w:val="BoxListBullet"/>
            </w:pPr>
            <w:r w:rsidRPr="00584FFF">
              <w:t>Cleaning, gardening and maintenance staff</w:t>
            </w:r>
          </w:p>
          <w:p w:rsidR="003015BE" w:rsidRPr="00584FFF" w:rsidRDefault="003015BE" w:rsidP="003015BE">
            <w:pPr>
              <w:pStyle w:val="BoxListBullet"/>
            </w:pPr>
            <w:r w:rsidRPr="00584FFF">
              <w:t>First line support staff and probate staff</w:t>
            </w:r>
          </w:p>
          <w:p w:rsidR="003015BE" w:rsidRPr="00584FFF" w:rsidRDefault="003015BE" w:rsidP="003015BE">
            <w:pPr>
              <w:pStyle w:val="BoxListBullet"/>
            </w:pPr>
            <w:r w:rsidRPr="00584FFF">
              <w:t>Corporate administration staff</w:t>
            </w:r>
          </w:p>
          <w:p w:rsidR="003015BE" w:rsidRDefault="003015BE" w:rsidP="003015BE">
            <w:pPr>
              <w:pStyle w:val="BoxListBullet"/>
            </w:pPr>
            <w:r w:rsidRPr="00584FFF">
              <w:t>Umbrella department staff</w:t>
            </w:r>
          </w:p>
          <w:p w:rsidR="002F0369" w:rsidRPr="00AD4587" w:rsidRDefault="002F0369" w:rsidP="00872EAA">
            <w:pPr>
              <w:pStyle w:val="Box"/>
            </w:pPr>
            <w:r w:rsidRPr="00AD4587">
              <w:t>The following points need to be considered in interpreting the number of full time staff per finalisation indicator results:</w:t>
            </w:r>
          </w:p>
          <w:p w:rsidR="002F0369" w:rsidRPr="00730BC8" w:rsidRDefault="002F0369" w:rsidP="00872EAA">
            <w:pPr>
              <w:pStyle w:val="BoxListBullet"/>
            </w:pPr>
            <w:r w:rsidRPr="00AD4587">
              <w:t>some finalisations take only a short time and require few resources, whereas other finalisations may be resource intensive and involve complicated trials and interlocutory decisions</w:t>
            </w:r>
          </w:p>
          <w:p w:rsidR="002F0369" w:rsidRPr="00730BC8" w:rsidRDefault="002F0369" w:rsidP="00872EAA">
            <w:pPr>
              <w:pStyle w:val="BoxListBullet"/>
            </w:pPr>
            <w:r w:rsidRPr="00AD4587">
              <w:t>factors such as geographical dispersion, court workload and population density are important considerations when comparing figures on FTE staff</w:t>
            </w:r>
          </w:p>
          <w:p w:rsidR="002F0369" w:rsidRPr="00730BC8" w:rsidRDefault="002F0369" w:rsidP="00872EAA">
            <w:pPr>
              <w:pStyle w:val="BoxListBullet"/>
            </w:pPr>
            <w:r w:rsidRPr="00AD4587">
              <w:t>efficiency results need to be viewed in light of the performance indicator framework as a whole, because there can be trade-offs between efficiency on the one hand and equity, effectiveness and quality, on the other.</w:t>
            </w:r>
          </w:p>
          <w:p w:rsidR="00440BBA" w:rsidRDefault="00440BBA" w:rsidP="00440BBA">
            <w:pPr>
              <w:pStyle w:val="Box"/>
            </w:pPr>
            <w:r>
              <w:t>Data reported for this indicator are:</w:t>
            </w:r>
          </w:p>
          <w:p w:rsidR="00440BBA" w:rsidRDefault="00440BBA" w:rsidP="00440BBA">
            <w:pPr>
              <w:pStyle w:val="ListBullet"/>
              <w:rPr>
                <w:rFonts w:ascii="Arial" w:hAnsi="Arial" w:cs="Arial"/>
                <w:sz w:val="22"/>
                <w:szCs w:val="22"/>
              </w:rPr>
            </w:pPr>
            <w:r w:rsidRPr="00CE0563">
              <w:rPr>
                <w:rFonts w:ascii="Arial" w:hAnsi="Arial" w:cs="Arial"/>
                <w:sz w:val="22"/>
                <w:szCs w:val="22"/>
              </w:rPr>
              <w:t>comparable (subject to caveats) across jurisdictions and over time</w:t>
            </w:r>
          </w:p>
          <w:p w:rsidR="00440BBA" w:rsidRPr="004F32AA" w:rsidRDefault="00440BBA" w:rsidP="00440BBA">
            <w:pPr>
              <w:pStyle w:val="ListBullet"/>
              <w:rPr>
                <w:rFonts w:ascii="Arial" w:hAnsi="Arial" w:cs="Arial"/>
                <w:sz w:val="22"/>
                <w:szCs w:val="22"/>
              </w:rPr>
            </w:pPr>
            <w:r w:rsidRPr="004F32AA">
              <w:rPr>
                <w:rFonts w:ascii="Arial" w:hAnsi="Arial" w:cs="Arial"/>
                <w:sz w:val="22"/>
                <w:szCs w:val="22"/>
              </w:rPr>
              <w:t>complete for the current reporting period (subject to caveats). All required 2012</w:t>
            </w:r>
            <w:r w:rsidR="00205BCF">
              <w:rPr>
                <w:rFonts w:ascii="Arial" w:hAnsi="Arial" w:cs="Arial"/>
                <w:sz w:val="22"/>
                <w:szCs w:val="22"/>
              </w:rPr>
              <w:noBreakHyphen/>
            </w:r>
            <w:r w:rsidRPr="004F32AA">
              <w:rPr>
                <w:rFonts w:ascii="Arial" w:hAnsi="Arial" w:cs="Arial"/>
                <w:sz w:val="22"/>
                <w:szCs w:val="22"/>
              </w:rPr>
              <w:t>13 data are available for all jurisdictions</w:t>
            </w:r>
            <w:r>
              <w:rPr>
                <w:rFonts w:ascii="Arial" w:hAnsi="Arial" w:cs="Arial"/>
                <w:sz w:val="22"/>
                <w:szCs w:val="22"/>
              </w:rPr>
              <w:t>.</w:t>
            </w:r>
          </w:p>
          <w:p w:rsidR="00974087" w:rsidRPr="00584FFF" w:rsidRDefault="005F0579" w:rsidP="005F0579">
            <w:pPr>
              <w:pStyle w:val="BoxListBullet"/>
              <w:numPr>
                <w:ilvl w:val="0"/>
                <w:numId w:val="0"/>
              </w:numPr>
            </w:pPr>
            <w:r>
              <w:t>Information about d</w:t>
            </w:r>
            <w:r w:rsidR="00974087" w:rsidRPr="00584FFF">
              <w:t xml:space="preserve">ata quality for this indicator is at </w:t>
            </w:r>
            <w:proofErr w:type="spellStart"/>
            <w:r w:rsidR="009C151A" w:rsidRPr="004C526F">
              <w:t>www.pc.gov.au</w:t>
            </w:r>
            <w:proofErr w:type="spellEnd"/>
            <w:r w:rsidR="009C151A" w:rsidRPr="004C526F">
              <w:t>/</w:t>
            </w:r>
            <w:r w:rsidR="009C151A">
              <w:t xml:space="preserve"> </w:t>
            </w:r>
            <w:proofErr w:type="spellStart"/>
            <w:r w:rsidR="00974087" w:rsidRPr="00584FFF">
              <w:t>gsp</w:t>
            </w:r>
            <w:proofErr w:type="spellEnd"/>
            <w:r w:rsidR="00974087" w:rsidRPr="00584FFF">
              <w:t>/reports/</w:t>
            </w:r>
            <w:proofErr w:type="spellStart"/>
            <w:r w:rsidR="00974087" w:rsidRPr="00584FFF">
              <w:t>rogs</w:t>
            </w:r>
            <w:proofErr w:type="spellEnd"/>
            <w:r w:rsidR="00974087" w:rsidRPr="00584FFF">
              <w:t>/201</w:t>
            </w:r>
            <w:r w:rsidR="00FF48A9">
              <w:t>4</w:t>
            </w:r>
            <w:r w:rsidR="009920B1">
              <w:t>.</w:t>
            </w:r>
          </w:p>
        </w:tc>
      </w:tr>
      <w:tr w:rsidR="00974087" w:rsidRPr="00B16A54" w:rsidTr="003015BE">
        <w:trPr>
          <w:cantSplit/>
        </w:trPr>
        <w:tc>
          <w:tcPr>
            <w:tcW w:w="8771" w:type="dxa"/>
            <w:tcBorders>
              <w:top w:val="nil"/>
              <w:left w:val="single" w:sz="6" w:space="0" w:color="auto"/>
              <w:bottom w:val="single" w:sz="6" w:space="0" w:color="auto"/>
              <w:right w:val="single" w:sz="6" w:space="0" w:color="auto"/>
            </w:tcBorders>
          </w:tcPr>
          <w:p w:rsidR="00974087" w:rsidRPr="00B16A54" w:rsidRDefault="00974087" w:rsidP="00FE3767">
            <w:pPr>
              <w:pStyle w:val="Box"/>
              <w:keepNext w:val="0"/>
              <w:spacing w:before="0" w:line="120" w:lineRule="exact"/>
              <w:rPr>
                <w:szCs w:val="24"/>
              </w:rPr>
            </w:pPr>
          </w:p>
        </w:tc>
      </w:tr>
    </w:tbl>
    <w:p w:rsidR="008963DB" w:rsidRPr="00584FFF" w:rsidRDefault="008963DB" w:rsidP="005E07AE">
      <w:pPr>
        <w:pStyle w:val="TableTitle"/>
      </w:pPr>
      <w:r w:rsidRPr="00584FFF">
        <w:rPr>
          <w:b w:val="0"/>
        </w:rPr>
        <w:lastRenderedPageBreak/>
        <w:t>Table 7.</w:t>
      </w:r>
      <w:r w:rsidRPr="00584FFF">
        <w:rPr>
          <w:b w:val="0"/>
          <w:noProof/>
        </w:rPr>
        <w:t>2</w:t>
      </w:r>
      <w:r w:rsidR="00013DF9" w:rsidRPr="00584FFF">
        <w:rPr>
          <w:b w:val="0"/>
          <w:noProof/>
        </w:rPr>
        <w:t>1</w:t>
      </w:r>
      <w:r w:rsidRPr="00584FFF">
        <w:tab/>
        <w:t>Full time equivalent s</w:t>
      </w:r>
      <w:r w:rsidR="00FF48A9">
        <w:t>taff per 100 finalisations, 2012</w:t>
      </w:r>
      <w:r w:rsidR="00FF48A9">
        <w:noBreakHyphen/>
        <w:t>13</w:t>
      </w:r>
    </w:p>
    <w:tbl>
      <w:tblPr>
        <w:tblW w:w="0" w:type="auto"/>
        <w:tblLayout w:type="fixed"/>
        <w:tblCellMar>
          <w:left w:w="0" w:type="dxa"/>
          <w:right w:w="0" w:type="dxa"/>
        </w:tblCellMar>
        <w:tblLook w:val="0000" w:firstRow="0" w:lastRow="0" w:firstColumn="0" w:lastColumn="0" w:noHBand="0" w:noVBand="0"/>
      </w:tblPr>
      <w:tblGrid>
        <w:gridCol w:w="2155"/>
        <w:gridCol w:w="709"/>
        <w:gridCol w:w="567"/>
        <w:gridCol w:w="538"/>
        <w:gridCol w:w="661"/>
        <w:gridCol w:w="662"/>
        <w:gridCol w:w="661"/>
        <w:gridCol w:w="662"/>
        <w:gridCol w:w="661"/>
        <w:gridCol w:w="662"/>
        <w:gridCol w:w="851"/>
      </w:tblGrid>
      <w:tr w:rsidR="008963DB" w:rsidRPr="00B16A54" w:rsidTr="00A92BCC">
        <w:tc>
          <w:tcPr>
            <w:tcW w:w="2155" w:type="dxa"/>
            <w:tcBorders>
              <w:top w:val="single" w:sz="6" w:space="0" w:color="auto"/>
              <w:bottom w:val="single" w:sz="6" w:space="0" w:color="auto"/>
            </w:tcBorders>
          </w:tcPr>
          <w:p w:rsidR="008963DB" w:rsidRPr="00584FFF" w:rsidRDefault="008963DB">
            <w:pPr>
              <w:pStyle w:val="TableColumnHeading"/>
              <w:jc w:val="left"/>
            </w:pPr>
          </w:p>
        </w:tc>
        <w:tc>
          <w:tcPr>
            <w:tcW w:w="709" w:type="dxa"/>
            <w:tcBorders>
              <w:top w:val="single" w:sz="6" w:space="0" w:color="auto"/>
              <w:bottom w:val="single" w:sz="6" w:space="0" w:color="auto"/>
            </w:tcBorders>
          </w:tcPr>
          <w:p w:rsidR="008963DB" w:rsidRPr="00584FFF" w:rsidRDefault="008963DB">
            <w:pPr>
              <w:pStyle w:val="TableColumnHeading"/>
            </w:pPr>
            <w:r w:rsidRPr="00584FFF">
              <w:t>NSW</w:t>
            </w:r>
          </w:p>
        </w:tc>
        <w:tc>
          <w:tcPr>
            <w:tcW w:w="567" w:type="dxa"/>
            <w:tcBorders>
              <w:top w:val="single" w:sz="6" w:space="0" w:color="auto"/>
              <w:bottom w:val="single" w:sz="6" w:space="0" w:color="auto"/>
            </w:tcBorders>
          </w:tcPr>
          <w:p w:rsidR="008963DB" w:rsidRPr="00584FFF" w:rsidRDefault="008963DB">
            <w:pPr>
              <w:pStyle w:val="TableColumnHeading"/>
            </w:pPr>
            <w:r w:rsidRPr="00584FFF">
              <w:t>Vic</w:t>
            </w:r>
          </w:p>
        </w:tc>
        <w:tc>
          <w:tcPr>
            <w:tcW w:w="538" w:type="dxa"/>
            <w:tcBorders>
              <w:top w:val="single" w:sz="6" w:space="0" w:color="auto"/>
              <w:bottom w:val="single" w:sz="6" w:space="0" w:color="auto"/>
            </w:tcBorders>
          </w:tcPr>
          <w:p w:rsidR="008963DB" w:rsidRPr="00584FFF" w:rsidRDefault="008963DB">
            <w:pPr>
              <w:pStyle w:val="TableColumnHeading"/>
            </w:pPr>
            <w:r w:rsidRPr="00584FFF">
              <w:t>Qld</w:t>
            </w:r>
          </w:p>
        </w:tc>
        <w:tc>
          <w:tcPr>
            <w:tcW w:w="661" w:type="dxa"/>
            <w:tcBorders>
              <w:top w:val="single" w:sz="6" w:space="0" w:color="auto"/>
              <w:bottom w:val="single" w:sz="6" w:space="0" w:color="auto"/>
            </w:tcBorders>
          </w:tcPr>
          <w:p w:rsidR="008963DB" w:rsidRPr="00584FFF" w:rsidRDefault="008963DB">
            <w:pPr>
              <w:pStyle w:val="TableColumnHeading"/>
            </w:pPr>
            <w:r w:rsidRPr="00584FFF">
              <w:t>WA</w:t>
            </w:r>
          </w:p>
        </w:tc>
        <w:tc>
          <w:tcPr>
            <w:tcW w:w="662" w:type="dxa"/>
            <w:tcBorders>
              <w:top w:val="single" w:sz="6" w:space="0" w:color="auto"/>
              <w:bottom w:val="single" w:sz="6" w:space="0" w:color="auto"/>
            </w:tcBorders>
          </w:tcPr>
          <w:p w:rsidR="008963DB" w:rsidRPr="00584FFF" w:rsidRDefault="008963DB">
            <w:pPr>
              <w:pStyle w:val="TableColumnHeading"/>
            </w:pPr>
            <w:r w:rsidRPr="00584FFF">
              <w:t>SA</w:t>
            </w:r>
          </w:p>
        </w:tc>
        <w:tc>
          <w:tcPr>
            <w:tcW w:w="661" w:type="dxa"/>
            <w:tcBorders>
              <w:top w:val="single" w:sz="6" w:space="0" w:color="auto"/>
              <w:bottom w:val="single" w:sz="6" w:space="0" w:color="auto"/>
            </w:tcBorders>
          </w:tcPr>
          <w:p w:rsidR="008963DB" w:rsidRPr="00584FFF" w:rsidRDefault="008963DB">
            <w:pPr>
              <w:pStyle w:val="TableColumnHeading"/>
            </w:pPr>
            <w:proofErr w:type="spellStart"/>
            <w:r w:rsidRPr="00584FFF">
              <w:t>Tas</w:t>
            </w:r>
            <w:proofErr w:type="spellEnd"/>
          </w:p>
        </w:tc>
        <w:tc>
          <w:tcPr>
            <w:tcW w:w="662" w:type="dxa"/>
            <w:tcBorders>
              <w:top w:val="single" w:sz="6" w:space="0" w:color="auto"/>
              <w:bottom w:val="single" w:sz="6" w:space="0" w:color="auto"/>
            </w:tcBorders>
          </w:tcPr>
          <w:p w:rsidR="008963DB" w:rsidRPr="00584FFF" w:rsidRDefault="008963DB">
            <w:pPr>
              <w:pStyle w:val="TableColumnHeading"/>
            </w:pPr>
            <w:r w:rsidRPr="00584FFF">
              <w:t>ACT</w:t>
            </w:r>
          </w:p>
        </w:tc>
        <w:tc>
          <w:tcPr>
            <w:tcW w:w="661" w:type="dxa"/>
            <w:tcBorders>
              <w:top w:val="single" w:sz="6" w:space="0" w:color="auto"/>
              <w:bottom w:val="single" w:sz="6" w:space="0" w:color="auto"/>
            </w:tcBorders>
          </w:tcPr>
          <w:p w:rsidR="008963DB" w:rsidRPr="00584FFF" w:rsidRDefault="008963DB">
            <w:pPr>
              <w:pStyle w:val="TableColumnHeading"/>
            </w:pPr>
            <w:r w:rsidRPr="00584FFF">
              <w:t>NT</w:t>
            </w:r>
          </w:p>
        </w:tc>
        <w:tc>
          <w:tcPr>
            <w:tcW w:w="662" w:type="dxa"/>
            <w:tcBorders>
              <w:top w:val="single" w:sz="6" w:space="0" w:color="auto"/>
              <w:bottom w:val="single" w:sz="6" w:space="0" w:color="auto"/>
            </w:tcBorders>
          </w:tcPr>
          <w:p w:rsidR="008963DB" w:rsidRPr="00584FFF" w:rsidRDefault="008963DB">
            <w:pPr>
              <w:pStyle w:val="TableColumnHeading"/>
              <w:rPr>
                <w:sz w:val="18"/>
                <w:szCs w:val="18"/>
              </w:rPr>
            </w:pPr>
            <w:proofErr w:type="spellStart"/>
            <w:r w:rsidRPr="00584FFF">
              <w:rPr>
                <w:sz w:val="18"/>
                <w:szCs w:val="18"/>
              </w:rPr>
              <w:t>Aust</w:t>
            </w:r>
            <w:proofErr w:type="spellEnd"/>
            <w:r w:rsidRPr="00584FFF">
              <w:rPr>
                <w:sz w:val="18"/>
                <w:szCs w:val="18"/>
              </w:rPr>
              <w:t xml:space="preserve"> courts</w:t>
            </w:r>
          </w:p>
        </w:tc>
        <w:tc>
          <w:tcPr>
            <w:tcW w:w="851" w:type="dxa"/>
            <w:tcBorders>
              <w:top w:val="single" w:sz="6" w:space="0" w:color="auto"/>
              <w:bottom w:val="single" w:sz="6" w:space="0" w:color="auto"/>
            </w:tcBorders>
          </w:tcPr>
          <w:p w:rsidR="008963DB" w:rsidRPr="00584FFF" w:rsidRDefault="008963DB">
            <w:pPr>
              <w:pStyle w:val="TableColumnHeading"/>
              <w:ind w:right="28"/>
            </w:pPr>
            <w:r w:rsidRPr="00584FFF">
              <w:t xml:space="preserve">Total </w:t>
            </w:r>
          </w:p>
        </w:tc>
      </w:tr>
      <w:tr w:rsidR="00157F23" w:rsidRPr="00B16A54" w:rsidTr="00A92BCC">
        <w:tc>
          <w:tcPr>
            <w:tcW w:w="2155" w:type="dxa"/>
          </w:tcPr>
          <w:p w:rsidR="00157F23" w:rsidRPr="00584FFF" w:rsidRDefault="00157F23" w:rsidP="005E07AE">
            <w:pPr>
              <w:pStyle w:val="TableBodyText"/>
              <w:jc w:val="left"/>
            </w:pPr>
            <w:r w:rsidRPr="00584FFF">
              <w:t>Criminal courts</w:t>
            </w:r>
          </w:p>
        </w:tc>
        <w:tc>
          <w:tcPr>
            <w:tcW w:w="709" w:type="dxa"/>
            <w:vAlign w:val="bottom"/>
          </w:tcPr>
          <w:p w:rsidR="00157F23" w:rsidRPr="00157F23" w:rsidRDefault="00157F23" w:rsidP="00157F23">
            <w:pPr>
              <w:pStyle w:val="TableBodyText"/>
              <w:rPr>
                <w:sz w:val="18"/>
                <w:szCs w:val="18"/>
              </w:rPr>
            </w:pPr>
            <w:r w:rsidRPr="00157F23">
              <w:rPr>
                <w:sz w:val="18"/>
                <w:szCs w:val="18"/>
              </w:rPr>
              <w:t xml:space="preserve"> 0.7</w:t>
            </w:r>
          </w:p>
        </w:tc>
        <w:tc>
          <w:tcPr>
            <w:tcW w:w="567" w:type="dxa"/>
            <w:vAlign w:val="bottom"/>
          </w:tcPr>
          <w:p w:rsidR="00157F23" w:rsidRPr="00157F23" w:rsidRDefault="00157F23" w:rsidP="00157F23">
            <w:pPr>
              <w:pStyle w:val="TableBodyText"/>
              <w:rPr>
                <w:sz w:val="18"/>
                <w:szCs w:val="18"/>
              </w:rPr>
            </w:pPr>
            <w:r w:rsidRPr="00157F23">
              <w:rPr>
                <w:sz w:val="18"/>
                <w:szCs w:val="18"/>
              </w:rPr>
              <w:t xml:space="preserve"> 0.4</w:t>
            </w:r>
          </w:p>
        </w:tc>
        <w:tc>
          <w:tcPr>
            <w:tcW w:w="538" w:type="dxa"/>
            <w:vAlign w:val="bottom"/>
          </w:tcPr>
          <w:p w:rsidR="00157F23" w:rsidRPr="00157F23" w:rsidRDefault="00157F23" w:rsidP="00157F23">
            <w:pPr>
              <w:pStyle w:val="TableBodyText"/>
              <w:rPr>
                <w:sz w:val="18"/>
                <w:szCs w:val="18"/>
              </w:rPr>
            </w:pPr>
            <w:r w:rsidRPr="00157F23">
              <w:rPr>
                <w:sz w:val="18"/>
                <w:szCs w:val="18"/>
              </w:rPr>
              <w:t xml:space="preserve"> 0.4</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0.6</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0.7</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0.5</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0.9</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0.4</w:t>
            </w:r>
          </w:p>
        </w:tc>
        <w:tc>
          <w:tcPr>
            <w:tcW w:w="662" w:type="dxa"/>
            <w:vAlign w:val="bottom"/>
          </w:tcPr>
          <w:p w:rsidR="00157F23" w:rsidRPr="00157F23" w:rsidRDefault="00157F23" w:rsidP="00157F23">
            <w:pPr>
              <w:pStyle w:val="TableBodyText"/>
              <w:rPr>
                <w:sz w:val="18"/>
                <w:szCs w:val="18"/>
              </w:rPr>
            </w:pPr>
            <w:r w:rsidRPr="00157F23">
              <w:rPr>
                <w:sz w:val="18"/>
                <w:szCs w:val="18"/>
              </w:rPr>
              <w:t>..</w:t>
            </w:r>
          </w:p>
        </w:tc>
        <w:tc>
          <w:tcPr>
            <w:tcW w:w="851" w:type="dxa"/>
            <w:vAlign w:val="bottom"/>
          </w:tcPr>
          <w:p w:rsidR="00157F23" w:rsidRPr="00157F23" w:rsidRDefault="00157F23" w:rsidP="00157F23">
            <w:pPr>
              <w:pStyle w:val="TableBodyText"/>
              <w:rPr>
                <w:sz w:val="18"/>
                <w:szCs w:val="18"/>
              </w:rPr>
            </w:pPr>
            <w:r w:rsidRPr="00157F23">
              <w:rPr>
                <w:sz w:val="18"/>
                <w:szCs w:val="18"/>
              </w:rPr>
              <w:t xml:space="preserve"> 0.5</w:t>
            </w:r>
          </w:p>
        </w:tc>
      </w:tr>
      <w:tr w:rsidR="00157F23" w:rsidRPr="00B16A54" w:rsidTr="00A92BCC">
        <w:tc>
          <w:tcPr>
            <w:tcW w:w="2155" w:type="dxa"/>
          </w:tcPr>
          <w:p w:rsidR="00157F23" w:rsidRPr="00584FFF" w:rsidRDefault="00157F23" w:rsidP="005E07AE">
            <w:pPr>
              <w:pStyle w:val="TableBodyText"/>
              <w:tabs>
                <w:tab w:val="right" w:pos="8789"/>
              </w:tabs>
              <w:ind w:hanging="6"/>
              <w:jc w:val="left"/>
            </w:pPr>
            <w:r w:rsidRPr="00584FFF">
              <w:t>Civil courts</w:t>
            </w:r>
          </w:p>
        </w:tc>
        <w:tc>
          <w:tcPr>
            <w:tcW w:w="709" w:type="dxa"/>
            <w:vAlign w:val="bottom"/>
          </w:tcPr>
          <w:p w:rsidR="00157F23" w:rsidRPr="00157F23" w:rsidRDefault="00157F23" w:rsidP="00157F23">
            <w:pPr>
              <w:pStyle w:val="TableBodyText"/>
              <w:rPr>
                <w:sz w:val="18"/>
                <w:szCs w:val="18"/>
              </w:rPr>
            </w:pPr>
            <w:r w:rsidRPr="00157F23">
              <w:rPr>
                <w:sz w:val="18"/>
                <w:szCs w:val="18"/>
              </w:rPr>
              <w:t xml:space="preserve"> 0.6</w:t>
            </w:r>
          </w:p>
        </w:tc>
        <w:tc>
          <w:tcPr>
            <w:tcW w:w="567" w:type="dxa"/>
            <w:vAlign w:val="bottom"/>
          </w:tcPr>
          <w:p w:rsidR="00157F23" w:rsidRPr="00157F23" w:rsidRDefault="00157F23" w:rsidP="00157F23">
            <w:pPr>
              <w:pStyle w:val="TableBodyText"/>
              <w:rPr>
                <w:sz w:val="18"/>
                <w:szCs w:val="18"/>
              </w:rPr>
            </w:pPr>
            <w:r w:rsidRPr="00157F23">
              <w:rPr>
                <w:sz w:val="18"/>
                <w:szCs w:val="18"/>
              </w:rPr>
              <w:t xml:space="preserve"> 0.5</w:t>
            </w:r>
          </w:p>
        </w:tc>
        <w:tc>
          <w:tcPr>
            <w:tcW w:w="538" w:type="dxa"/>
            <w:vAlign w:val="bottom"/>
          </w:tcPr>
          <w:p w:rsidR="00157F23" w:rsidRPr="00157F23" w:rsidRDefault="00157F23" w:rsidP="00157F23">
            <w:pPr>
              <w:pStyle w:val="TableBodyText"/>
              <w:rPr>
                <w:sz w:val="18"/>
                <w:szCs w:val="18"/>
              </w:rPr>
            </w:pPr>
            <w:r w:rsidRPr="00157F23">
              <w:rPr>
                <w:sz w:val="18"/>
                <w:szCs w:val="18"/>
              </w:rPr>
              <w:t xml:space="preserve"> 0.5</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0.4</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0.6</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0.4</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1.1</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0.7</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4.6</w:t>
            </w:r>
          </w:p>
        </w:tc>
        <w:tc>
          <w:tcPr>
            <w:tcW w:w="851" w:type="dxa"/>
            <w:vAlign w:val="bottom"/>
          </w:tcPr>
          <w:p w:rsidR="00157F23" w:rsidRPr="00157F23" w:rsidRDefault="00157F23" w:rsidP="00157F23">
            <w:pPr>
              <w:pStyle w:val="TableBodyText"/>
              <w:rPr>
                <w:sz w:val="18"/>
                <w:szCs w:val="18"/>
              </w:rPr>
            </w:pPr>
            <w:r w:rsidRPr="00157F23">
              <w:rPr>
                <w:sz w:val="18"/>
                <w:szCs w:val="18"/>
              </w:rPr>
              <w:t xml:space="preserve"> 0.6</w:t>
            </w:r>
          </w:p>
        </w:tc>
      </w:tr>
      <w:tr w:rsidR="00157F23" w:rsidRPr="00B16A54" w:rsidTr="00A92BCC">
        <w:tc>
          <w:tcPr>
            <w:tcW w:w="2155" w:type="dxa"/>
          </w:tcPr>
          <w:p w:rsidR="00157F23" w:rsidRPr="00584FFF" w:rsidRDefault="00157F23" w:rsidP="005E07AE">
            <w:pPr>
              <w:pStyle w:val="TableBodyText"/>
              <w:tabs>
                <w:tab w:val="right" w:pos="8789"/>
              </w:tabs>
              <w:ind w:hanging="6"/>
              <w:jc w:val="left"/>
            </w:pPr>
            <w:r w:rsidRPr="00584FFF">
              <w:t>Family</w:t>
            </w:r>
          </w:p>
        </w:tc>
        <w:tc>
          <w:tcPr>
            <w:tcW w:w="709" w:type="dxa"/>
            <w:vAlign w:val="bottom"/>
          </w:tcPr>
          <w:p w:rsidR="00157F23" w:rsidRPr="00157F23" w:rsidRDefault="00157F23" w:rsidP="00157F23">
            <w:pPr>
              <w:pStyle w:val="TableBodyText"/>
              <w:rPr>
                <w:sz w:val="18"/>
                <w:szCs w:val="18"/>
              </w:rPr>
            </w:pPr>
            <w:r w:rsidRPr="00157F23">
              <w:rPr>
                <w:sz w:val="18"/>
                <w:szCs w:val="18"/>
              </w:rPr>
              <w:t>..</w:t>
            </w:r>
          </w:p>
        </w:tc>
        <w:tc>
          <w:tcPr>
            <w:tcW w:w="567" w:type="dxa"/>
            <w:vAlign w:val="bottom"/>
          </w:tcPr>
          <w:p w:rsidR="00157F23" w:rsidRPr="00157F23" w:rsidRDefault="00157F23" w:rsidP="00157F23">
            <w:pPr>
              <w:pStyle w:val="TableBodyText"/>
              <w:rPr>
                <w:sz w:val="18"/>
                <w:szCs w:val="18"/>
              </w:rPr>
            </w:pPr>
            <w:r w:rsidRPr="00157F23">
              <w:rPr>
                <w:sz w:val="18"/>
                <w:szCs w:val="18"/>
              </w:rPr>
              <w:t>..</w:t>
            </w:r>
          </w:p>
        </w:tc>
        <w:tc>
          <w:tcPr>
            <w:tcW w:w="538" w:type="dxa"/>
            <w:vAlign w:val="bottom"/>
          </w:tcPr>
          <w:p w:rsidR="00157F23" w:rsidRPr="00157F23" w:rsidRDefault="00157F23" w:rsidP="00157F23">
            <w:pPr>
              <w:pStyle w:val="TableBodyText"/>
              <w:rPr>
                <w:sz w:val="18"/>
                <w:szCs w:val="18"/>
              </w:rPr>
            </w:pPr>
            <w:r w:rsidRPr="00157F23">
              <w:rPr>
                <w:sz w:val="18"/>
                <w:szCs w:val="18"/>
              </w:rPr>
              <w:t>..</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0.9</w:t>
            </w:r>
          </w:p>
        </w:tc>
        <w:tc>
          <w:tcPr>
            <w:tcW w:w="662" w:type="dxa"/>
            <w:vAlign w:val="bottom"/>
          </w:tcPr>
          <w:p w:rsidR="00157F23" w:rsidRPr="00157F23" w:rsidRDefault="00157F23" w:rsidP="00157F23">
            <w:pPr>
              <w:pStyle w:val="TableBodyText"/>
              <w:rPr>
                <w:sz w:val="18"/>
                <w:szCs w:val="18"/>
              </w:rPr>
            </w:pPr>
            <w:r w:rsidRPr="00157F23">
              <w:rPr>
                <w:sz w:val="18"/>
                <w:szCs w:val="18"/>
              </w:rPr>
              <w:t>..</w:t>
            </w:r>
          </w:p>
        </w:tc>
        <w:tc>
          <w:tcPr>
            <w:tcW w:w="661" w:type="dxa"/>
            <w:vAlign w:val="bottom"/>
          </w:tcPr>
          <w:p w:rsidR="00157F23" w:rsidRPr="00157F23" w:rsidRDefault="00157F23" w:rsidP="00157F23">
            <w:pPr>
              <w:pStyle w:val="TableBodyText"/>
              <w:rPr>
                <w:sz w:val="18"/>
                <w:szCs w:val="18"/>
              </w:rPr>
            </w:pPr>
            <w:r w:rsidRPr="00157F23">
              <w:rPr>
                <w:sz w:val="18"/>
                <w:szCs w:val="18"/>
              </w:rPr>
              <w:t>..</w:t>
            </w:r>
          </w:p>
        </w:tc>
        <w:tc>
          <w:tcPr>
            <w:tcW w:w="662" w:type="dxa"/>
            <w:vAlign w:val="bottom"/>
          </w:tcPr>
          <w:p w:rsidR="00157F23" w:rsidRPr="00157F23" w:rsidRDefault="00157F23" w:rsidP="00157F23">
            <w:pPr>
              <w:pStyle w:val="TableBodyText"/>
              <w:rPr>
                <w:sz w:val="18"/>
                <w:szCs w:val="18"/>
              </w:rPr>
            </w:pPr>
            <w:r w:rsidRPr="00157F23">
              <w:rPr>
                <w:sz w:val="18"/>
                <w:szCs w:val="18"/>
              </w:rPr>
              <w:t>..</w:t>
            </w:r>
          </w:p>
        </w:tc>
        <w:tc>
          <w:tcPr>
            <w:tcW w:w="661" w:type="dxa"/>
            <w:vAlign w:val="bottom"/>
          </w:tcPr>
          <w:p w:rsidR="00157F23" w:rsidRPr="00157F23" w:rsidRDefault="00157F23" w:rsidP="00157F23">
            <w:pPr>
              <w:pStyle w:val="TableBodyText"/>
              <w:rPr>
                <w:sz w:val="18"/>
                <w:szCs w:val="18"/>
              </w:rPr>
            </w:pPr>
            <w:r w:rsidRPr="00157F23">
              <w:rPr>
                <w:sz w:val="18"/>
                <w:szCs w:val="18"/>
              </w:rPr>
              <w:t>..</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1.9</w:t>
            </w:r>
          </w:p>
        </w:tc>
        <w:tc>
          <w:tcPr>
            <w:tcW w:w="851" w:type="dxa"/>
            <w:vAlign w:val="bottom"/>
          </w:tcPr>
          <w:p w:rsidR="00157F23" w:rsidRPr="00157F23" w:rsidRDefault="00157F23" w:rsidP="00157F23">
            <w:pPr>
              <w:pStyle w:val="TableBodyText"/>
              <w:rPr>
                <w:sz w:val="18"/>
                <w:szCs w:val="18"/>
              </w:rPr>
            </w:pPr>
            <w:r w:rsidRPr="00157F23">
              <w:rPr>
                <w:sz w:val="18"/>
                <w:szCs w:val="18"/>
              </w:rPr>
              <w:t xml:space="preserve"> 1.4</w:t>
            </w:r>
          </w:p>
        </w:tc>
      </w:tr>
      <w:tr w:rsidR="00157F23" w:rsidRPr="00B16A54" w:rsidTr="00A92BCC">
        <w:tc>
          <w:tcPr>
            <w:tcW w:w="2155" w:type="dxa"/>
          </w:tcPr>
          <w:p w:rsidR="00157F23" w:rsidRPr="00584FFF" w:rsidRDefault="00157F23" w:rsidP="005E07AE">
            <w:pPr>
              <w:pStyle w:val="TableBodyText"/>
              <w:tabs>
                <w:tab w:val="right" w:pos="8789"/>
              </w:tabs>
              <w:ind w:hanging="6"/>
              <w:jc w:val="left"/>
            </w:pPr>
            <w:r w:rsidRPr="00584FFF">
              <w:t xml:space="preserve">Federal </w:t>
            </w:r>
            <w:r>
              <w:t>Circuit</w:t>
            </w:r>
          </w:p>
        </w:tc>
        <w:tc>
          <w:tcPr>
            <w:tcW w:w="709" w:type="dxa"/>
            <w:vAlign w:val="bottom"/>
          </w:tcPr>
          <w:p w:rsidR="00157F23" w:rsidRPr="00157F23" w:rsidRDefault="00157F23" w:rsidP="00157F23">
            <w:pPr>
              <w:pStyle w:val="TableBodyText"/>
              <w:rPr>
                <w:sz w:val="18"/>
                <w:szCs w:val="18"/>
              </w:rPr>
            </w:pPr>
            <w:r w:rsidRPr="00157F23">
              <w:rPr>
                <w:sz w:val="18"/>
                <w:szCs w:val="18"/>
              </w:rPr>
              <w:t>..</w:t>
            </w:r>
          </w:p>
        </w:tc>
        <w:tc>
          <w:tcPr>
            <w:tcW w:w="567" w:type="dxa"/>
            <w:vAlign w:val="bottom"/>
          </w:tcPr>
          <w:p w:rsidR="00157F23" w:rsidRPr="00157F23" w:rsidRDefault="00157F23" w:rsidP="00157F23">
            <w:pPr>
              <w:pStyle w:val="TableBodyText"/>
              <w:rPr>
                <w:sz w:val="18"/>
                <w:szCs w:val="18"/>
              </w:rPr>
            </w:pPr>
            <w:r w:rsidRPr="00157F23">
              <w:rPr>
                <w:sz w:val="18"/>
                <w:szCs w:val="18"/>
              </w:rPr>
              <w:t>..</w:t>
            </w:r>
          </w:p>
        </w:tc>
        <w:tc>
          <w:tcPr>
            <w:tcW w:w="538" w:type="dxa"/>
            <w:vAlign w:val="bottom"/>
          </w:tcPr>
          <w:p w:rsidR="00157F23" w:rsidRPr="00157F23" w:rsidRDefault="00157F23" w:rsidP="00157F23">
            <w:pPr>
              <w:pStyle w:val="TableBodyText"/>
              <w:rPr>
                <w:sz w:val="18"/>
                <w:szCs w:val="18"/>
              </w:rPr>
            </w:pPr>
            <w:r w:rsidRPr="00157F23">
              <w:rPr>
                <w:sz w:val="18"/>
                <w:szCs w:val="18"/>
              </w:rPr>
              <w:t>..</w:t>
            </w:r>
          </w:p>
        </w:tc>
        <w:tc>
          <w:tcPr>
            <w:tcW w:w="661" w:type="dxa"/>
            <w:vAlign w:val="bottom"/>
          </w:tcPr>
          <w:p w:rsidR="00157F23" w:rsidRPr="00157F23" w:rsidRDefault="00157F23" w:rsidP="00157F23">
            <w:pPr>
              <w:pStyle w:val="TableBodyText"/>
              <w:rPr>
                <w:sz w:val="18"/>
                <w:szCs w:val="18"/>
              </w:rPr>
            </w:pPr>
            <w:r w:rsidRPr="00157F23">
              <w:rPr>
                <w:sz w:val="18"/>
                <w:szCs w:val="18"/>
              </w:rPr>
              <w:t>..</w:t>
            </w:r>
          </w:p>
        </w:tc>
        <w:tc>
          <w:tcPr>
            <w:tcW w:w="662" w:type="dxa"/>
            <w:vAlign w:val="bottom"/>
          </w:tcPr>
          <w:p w:rsidR="00157F23" w:rsidRPr="00157F23" w:rsidRDefault="00157F23" w:rsidP="00157F23">
            <w:pPr>
              <w:pStyle w:val="TableBodyText"/>
              <w:rPr>
                <w:sz w:val="18"/>
                <w:szCs w:val="18"/>
              </w:rPr>
            </w:pPr>
            <w:r w:rsidRPr="00157F23">
              <w:rPr>
                <w:sz w:val="18"/>
                <w:szCs w:val="18"/>
              </w:rPr>
              <w:t>..</w:t>
            </w:r>
          </w:p>
        </w:tc>
        <w:tc>
          <w:tcPr>
            <w:tcW w:w="661" w:type="dxa"/>
            <w:vAlign w:val="bottom"/>
          </w:tcPr>
          <w:p w:rsidR="00157F23" w:rsidRPr="00157F23" w:rsidRDefault="00157F23" w:rsidP="00157F23">
            <w:pPr>
              <w:pStyle w:val="TableBodyText"/>
              <w:rPr>
                <w:sz w:val="18"/>
                <w:szCs w:val="18"/>
              </w:rPr>
            </w:pPr>
            <w:r w:rsidRPr="00157F23">
              <w:rPr>
                <w:sz w:val="18"/>
                <w:szCs w:val="18"/>
              </w:rPr>
              <w:t>..</w:t>
            </w:r>
          </w:p>
        </w:tc>
        <w:tc>
          <w:tcPr>
            <w:tcW w:w="662" w:type="dxa"/>
            <w:vAlign w:val="bottom"/>
          </w:tcPr>
          <w:p w:rsidR="00157F23" w:rsidRPr="00157F23" w:rsidRDefault="00157F23" w:rsidP="00157F23">
            <w:pPr>
              <w:pStyle w:val="TableBodyText"/>
              <w:rPr>
                <w:sz w:val="18"/>
                <w:szCs w:val="18"/>
              </w:rPr>
            </w:pPr>
            <w:r w:rsidRPr="00157F23">
              <w:rPr>
                <w:sz w:val="18"/>
                <w:szCs w:val="18"/>
              </w:rPr>
              <w:t>..</w:t>
            </w:r>
          </w:p>
        </w:tc>
        <w:tc>
          <w:tcPr>
            <w:tcW w:w="661" w:type="dxa"/>
            <w:vAlign w:val="bottom"/>
          </w:tcPr>
          <w:p w:rsidR="00157F23" w:rsidRPr="00157F23" w:rsidRDefault="00157F23" w:rsidP="00157F23">
            <w:pPr>
              <w:pStyle w:val="TableBodyText"/>
              <w:rPr>
                <w:sz w:val="18"/>
                <w:szCs w:val="18"/>
              </w:rPr>
            </w:pPr>
            <w:r w:rsidRPr="00157F23">
              <w:rPr>
                <w:sz w:val="18"/>
                <w:szCs w:val="18"/>
              </w:rPr>
              <w:t>..</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0.5</w:t>
            </w:r>
          </w:p>
        </w:tc>
        <w:tc>
          <w:tcPr>
            <w:tcW w:w="851" w:type="dxa"/>
            <w:vAlign w:val="bottom"/>
          </w:tcPr>
          <w:p w:rsidR="00157F23" w:rsidRPr="00157F23" w:rsidRDefault="00157F23" w:rsidP="00157F23">
            <w:pPr>
              <w:pStyle w:val="TableBodyText"/>
              <w:rPr>
                <w:sz w:val="18"/>
                <w:szCs w:val="18"/>
              </w:rPr>
            </w:pPr>
            <w:r w:rsidRPr="00157F23">
              <w:rPr>
                <w:sz w:val="18"/>
                <w:szCs w:val="18"/>
              </w:rPr>
              <w:t xml:space="preserve"> 0.5</w:t>
            </w:r>
          </w:p>
        </w:tc>
      </w:tr>
      <w:tr w:rsidR="00157F23" w:rsidRPr="00B16A54" w:rsidTr="00A92BCC">
        <w:tc>
          <w:tcPr>
            <w:tcW w:w="2155" w:type="dxa"/>
          </w:tcPr>
          <w:p w:rsidR="00157F23" w:rsidRPr="00584FFF" w:rsidRDefault="00157F23" w:rsidP="005E07AE">
            <w:pPr>
              <w:pStyle w:val="TableBodyText"/>
              <w:tabs>
                <w:tab w:val="right" w:pos="8789"/>
              </w:tabs>
              <w:ind w:hanging="6"/>
              <w:jc w:val="left"/>
            </w:pPr>
            <w:r w:rsidRPr="00584FFF">
              <w:t>Coroners’ courts</w:t>
            </w:r>
          </w:p>
        </w:tc>
        <w:tc>
          <w:tcPr>
            <w:tcW w:w="709" w:type="dxa"/>
            <w:vAlign w:val="bottom"/>
          </w:tcPr>
          <w:p w:rsidR="00157F23" w:rsidRPr="00157F23" w:rsidRDefault="00157F23" w:rsidP="00157F23">
            <w:pPr>
              <w:pStyle w:val="TableBodyText"/>
              <w:rPr>
                <w:sz w:val="18"/>
                <w:szCs w:val="18"/>
              </w:rPr>
            </w:pPr>
            <w:r w:rsidRPr="00157F23">
              <w:rPr>
                <w:sz w:val="18"/>
                <w:szCs w:val="18"/>
              </w:rPr>
              <w:t xml:space="preserve"> 0.7</w:t>
            </w:r>
          </w:p>
        </w:tc>
        <w:tc>
          <w:tcPr>
            <w:tcW w:w="567" w:type="dxa"/>
            <w:vAlign w:val="bottom"/>
          </w:tcPr>
          <w:p w:rsidR="00157F23" w:rsidRPr="00157F23" w:rsidRDefault="00157F23" w:rsidP="00157F23">
            <w:pPr>
              <w:pStyle w:val="TableBodyText"/>
              <w:rPr>
                <w:sz w:val="18"/>
                <w:szCs w:val="18"/>
              </w:rPr>
            </w:pPr>
            <w:r w:rsidRPr="00157F23">
              <w:rPr>
                <w:sz w:val="18"/>
                <w:szCs w:val="18"/>
              </w:rPr>
              <w:t xml:space="preserve"> 1.5</w:t>
            </w:r>
          </w:p>
        </w:tc>
        <w:tc>
          <w:tcPr>
            <w:tcW w:w="538" w:type="dxa"/>
            <w:vAlign w:val="bottom"/>
          </w:tcPr>
          <w:p w:rsidR="00157F23" w:rsidRPr="00157F23" w:rsidRDefault="00157F23" w:rsidP="00157F23">
            <w:pPr>
              <w:pStyle w:val="TableBodyText"/>
              <w:rPr>
                <w:sz w:val="18"/>
                <w:szCs w:val="18"/>
              </w:rPr>
            </w:pPr>
            <w:r w:rsidRPr="00157F23">
              <w:rPr>
                <w:sz w:val="18"/>
                <w:szCs w:val="18"/>
              </w:rPr>
              <w:t xml:space="preserve"> 1.4</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1.4</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1.2</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0.5</w:t>
            </w:r>
          </w:p>
        </w:tc>
        <w:tc>
          <w:tcPr>
            <w:tcW w:w="662" w:type="dxa"/>
            <w:vAlign w:val="bottom"/>
          </w:tcPr>
          <w:p w:rsidR="00157F23" w:rsidRPr="00157F23" w:rsidRDefault="00157F23" w:rsidP="00157F23">
            <w:pPr>
              <w:pStyle w:val="TableBodyText"/>
              <w:rPr>
                <w:sz w:val="18"/>
                <w:szCs w:val="18"/>
              </w:rPr>
            </w:pPr>
            <w:r w:rsidRPr="00157F23">
              <w:rPr>
                <w:sz w:val="18"/>
                <w:szCs w:val="18"/>
              </w:rPr>
              <w:t xml:space="preserve"> 0.4</w:t>
            </w:r>
          </w:p>
        </w:tc>
        <w:tc>
          <w:tcPr>
            <w:tcW w:w="661" w:type="dxa"/>
            <w:vAlign w:val="bottom"/>
          </w:tcPr>
          <w:p w:rsidR="00157F23" w:rsidRPr="00157F23" w:rsidRDefault="00157F23" w:rsidP="00157F23">
            <w:pPr>
              <w:pStyle w:val="TableBodyText"/>
              <w:rPr>
                <w:sz w:val="18"/>
                <w:szCs w:val="18"/>
              </w:rPr>
            </w:pPr>
            <w:r w:rsidRPr="00157F23">
              <w:rPr>
                <w:sz w:val="18"/>
                <w:szCs w:val="18"/>
              </w:rPr>
              <w:t xml:space="preserve"> 1.3</w:t>
            </w:r>
          </w:p>
        </w:tc>
        <w:tc>
          <w:tcPr>
            <w:tcW w:w="662" w:type="dxa"/>
            <w:vAlign w:val="bottom"/>
          </w:tcPr>
          <w:p w:rsidR="00157F23" w:rsidRPr="00157F23" w:rsidRDefault="00157F23" w:rsidP="00157F23">
            <w:pPr>
              <w:pStyle w:val="TableBodyText"/>
              <w:rPr>
                <w:sz w:val="18"/>
                <w:szCs w:val="18"/>
              </w:rPr>
            </w:pPr>
            <w:r w:rsidRPr="00157F23">
              <w:rPr>
                <w:sz w:val="18"/>
                <w:szCs w:val="18"/>
              </w:rPr>
              <w:t>..</w:t>
            </w:r>
          </w:p>
        </w:tc>
        <w:tc>
          <w:tcPr>
            <w:tcW w:w="851" w:type="dxa"/>
            <w:vAlign w:val="bottom"/>
          </w:tcPr>
          <w:p w:rsidR="00157F23" w:rsidRPr="00157F23" w:rsidRDefault="00157F23" w:rsidP="00157F23">
            <w:pPr>
              <w:pStyle w:val="TableBodyText"/>
              <w:rPr>
                <w:sz w:val="18"/>
                <w:szCs w:val="18"/>
              </w:rPr>
            </w:pPr>
            <w:r w:rsidRPr="00157F23">
              <w:rPr>
                <w:sz w:val="18"/>
                <w:szCs w:val="18"/>
              </w:rPr>
              <w:t xml:space="preserve"> 1.2</w:t>
            </w:r>
          </w:p>
        </w:tc>
      </w:tr>
      <w:tr w:rsidR="00157F23" w:rsidRPr="00255DBC" w:rsidTr="00401025">
        <w:tc>
          <w:tcPr>
            <w:tcW w:w="2155" w:type="dxa"/>
            <w:tcBorders>
              <w:bottom w:val="single" w:sz="6" w:space="0" w:color="auto"/>
            </w:tcBorders>
          </w:tcPr>
          <w:p w:rsidR="00157F23" w:rsidRPr="00584FFF" w:rsidRDefault="00157F23" w:rsidP="005E07AE">
            <w:pPr>
              <w:pStyle w:val="TableBodyText"/>
              <w:tabs>
                <w:tab w:val="right" w:pos="8789"/>
              </w:tabs>
              <w:ind w:hanging="6"/>
              <w:jc w:val="left"/>
              <w:rPr>
                <w:rStyle w:val="NoteLabel"/>
              </w:rPr>
            </w:pPr>
            <w:r w:rsidRPr="00584FFF">
              <w:rPr>
                <w:b/>
              </w:rPr>
              <w:t>Total</w:t>
            </w:r>
          </w:p>
        </w:tc>
        <w:tc>
          <w:tcPr>
            <w:tcW w:w="709"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0.7</w:t>
            </w:r>
          </w:p>
        </w:tc>
        <w:tc>
          <w:tcPr>
            <w:tcW w:w="567"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0.5</w:t>
            </w:r>
          </w:p>
        </w:tc>
        <w:tc>
          <w:tcPr>
            <w:tcW w:w="538"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0.4</w:t>
            </w:r>
          </w:p>
        </w:tc>
        <w:tc>
          <w:tcPr>
            <w:tcW w:w="661"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0.6</w:t>
            </w:r>
          </w:p>
        </w:tc>
        <w:tc>
          <w:tcPr>
            <w:tcW w:w="662"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0.7</w:t>
            </w:r>
          </w:p>
        </w:tc>
        <w:tc>
          <w:tcPr>
            <w:tcW w:w="661"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0.4</w:t>
            </w:r>
          </w:p>
        </w:tc>
        <w:tc>
          <w:tcPr>
            <w:tcW w:w="662"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0.9</w:t>
            </w:r>
          </w:p>
        </w:tc>
        <w:tc>
          <w:tcPr>
            <w:tcW w:w="661"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0.5</w:t>
            </w:r>
          </w:p>
        </w:tc>
        <w:tc>
          <w:tcPr>
            <w:tcW w:w="662"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1.0</w:t>
            </w:r>
          </w:p>
        </w:tc>
        <w:tc>
          <w:tcPr>
            <w:tcW w:w="851" w:type="dxa"/>
            <w:tcBorders>
              <w:bottom w:val="single" w:sz="6" w:space="0" w:color="auto"/>
            </w:tcBorders>
            <w:vAlign w:val="bottom"/>
          </w:tcPr>
          <w:p w:rsidR="00157F23" w:rsidRPr="00157F23" w:rsidRDefault="00157F23" w:rsidP="00157F23">
            <w:pPr>
              <w:pStyle w:val="TableBodyText"/>
              <w:rPr>
                <w:b/>
                <w:bCs/>
                <w:sz w:val="18"/>
                <w:szCs w:val="18"/>
              </w:rPr>
            </w:pPr>
            <w:r w:rsidRPr="00157F23">
              <w:rPr>
                <w:b/>
                <w:bCs/>
                <w:sz w:val="18"/>
                <w:szCs w:val="18"/>
              </w:rPr>
              <w:t xml:space="preserve"> 0.6</w:t>
            </w:r>
          </w:p>
        </w:tc>
      </w:tr>
    </w:tbl>
    <w:p w:rsidR="00F36779" w:rsidRDefault="00F36779" w:rsidP="00FE3767">
      <w:pPr>
        <w:pStyle w:val="Source"/>
        <w:keepNext/>
        <w:rPr>
          <w:i/>
        </w:rPr>
      </w:pPr>
      <w:r w:rsidRPr="00B91268">
        <w:t xml:space="preserve">. </w:t>
      </w:r>
      <w:r w:rsidRPr="00B91268">
        <w:rPr>
          <w:b/>
        </w:rPr>
        <w:t>.. </w:t>
      </w:r>
      <w:r w:rsidRPr="00B91268">
        <w:t>Not applicable.</w:t>
      </w:r>
    </w:p>
    <w:p w:rsidR="00837D5C" w:rsidRDefault="00837D5C" w:rsidP="00837D5C">
      <w:pPr>
        <w:pStyle w:val="Source"/>
      </w:pPr>
      <w:r w:rsidRPr="00584FFF">
        <w:rPr>
          <w:i/>
        </w:rPr>
        <w:t>Source</w:t>
      </w:r>
      <w:r w:rsidRPr="00584FFF">
        <w:t>: Australian, State and Territory court authorities and departments (unpublished); table </w:t>
      </w:r>
      <w:proofErr w:type="spellStart"/>
      <w:r w:rsidRPr="00584FFF">
        <w:t>7A.</w:t>
      </w:r>
      <w:r w:rsidR="00C200A4" w:rsidRPr="00584FFF">
        <w:t>2</w:t>
      </w:r>
      <w:r w:rsidR="00E54163">
        <w:t>9</w:t>
      </w:r>
      <w:proofErr w:type="spellEnd"/>
      <w:r w:rsidRPr="00584FFF">
        <w:t>.</w:t>
      </w:r>
    </w:p>
    <w:p w:rsidR="00B61C2A" w:rsidRDefault="00B61C2A" w:rsidP="00B61C2A">
      <w:pPr>
        <w:pStyle w:val="Heading4"/>
      </w:pPr>
      <w:r>
        <w:t>Efficiency</w:t>
      </w:r>
      <w:r w:rsidR="00505751">
        <w:t xml:space="preserve"> — </w:t>
      </w:r>
      <w:r>
        <w:t>cost per finalisation</w:t>
      </w:r>
    </w:p>
    <w:p w:rsidR="00D85B36" w:rsidRDefault="00B468FA" w:rsidP="00622974">
      <w:pPr>
        <w:pStyle w:val="BodyText"/>
      </w:pPr>
      <w:r w:rsidRPr="00F36779">
        <w:t>‘</w:t>
      </w:r>
      <w:r w:rsidR="00B61C2A" w:rsidRPr="00F36779">
        <w:t>Cost per finalisation</w:t>
      </w:r>
      <w:r w:rsidRPr="00F36779">
        <w:t>’ is a</w:t>
      </w:r>
      <w:r w:rsidR="00340CB9" w:rsidRPr="00F36779">
        <w:t xml:space="preserve"> </w:t>
      </w:r>
      <w:r w:rsidR="00DE3600" w:rsidRPr="00584FFF">
        <w:t>fourth</w:t>
      </w:r>
      <w:r w:rsidRPr="00F36779">
        <w:t xml:space="preserve"> indicator of governments’</w:t>
      </w:r>
      <w:r w:rsidR="00340CB9" w:rsidRPr="00F36779">
        <w:t xml:space="preserve"> achievement against the</w:t>
      </w:r>
      <w:r w:rsidRPr="00F36779">
        <w:t xml:space="preserve"> objective </w:t>
      </w:r>
      <w:r w:rsidR="00340CB9" w:rsidRPr="00F36779">
        <w:t xml:space="preserve">of </w:t>
      </w:r>
      <w:r w:rsidRPr="00F36779">
        <w:t>provid</w:t>
      </w:r>
      <w:r w:rsidR="00340CB9" w:rsidRPr="00F36779">
        <w:t>ing</w:t>
      </w:r>
      <w:r w:rsidRPr="00F36779">
        <w:t xml:space="preserve"> court services in an efficient</w:t>
      </w:r>
      <w:r w:rsidR="00B61C2A" w:rsidRPr="00F36779">
        <w:t xml:space="preserve"> </w:t>
      </w:r>
      <w:r w:rsidRPr="00F36779">
        <w:t>manner</w:t>
      </w:r>
      <w:r w:rsidR="00B61C2A" w:rsidRPr="00F36779">
        <w:t xml:space="preserve"> (</w:t>
      </w:r>
      <w:r w:rsidR="00A76A9C" w:rsidRPr="00F36779">
        <w:t>box 7</w:t>
      </w:r>
      <w:r w:rsidR="00572B9F" w:rsidRPr="00F36779">
        <w:t>.16</w:t>
      </w:r>
      <w:r w:rsidR="00B61C2A" w:rsidRPr="00F36779">
        <w:t xml:space="preserve">). Cost is taken as the total recurrent annual expenditure, excluding payroll tax. </w:t>
      </w:r>
      <w:r w:rsidR="00DE3600" w:rsidRPr="00584FFF">
        <w:t xml:space="preserve">Both gross and net expenditure per finalisation are reported. </w:t>
      </w:r>
      <w:r w:rsidR="00B61C2A" w:rsidRPr="00F36779">
        <w:t>Net expenditure</w:t>
      </w:r>
      <w:r w:rsidR="00B61C2A">
        <w:t xml:space="preserve"> refers to expenditure minus income (where income is derived from court fees and other revenue but excludes </w:t>
      </w:r>
      <w:r w:rsidR="003064D6">
        <w:t xml:space="preserve">revenue from </w:t>
      </w:r>
      <w:r w:rsidR="00B61C2A">
        <w:t>fines).</w:t>
      </w:r>
      <w:r w:rsidR="00EF703F">
        <w:t xml:space="preserve"> </w:t>
      </w:r>
    </w:p>
    <w:p w:rsidR="00916E0D" w:rsidRPr="00205BCF" w:rsidRDefault="00916E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16E0D">
        <w:tc>
          <w:tcPr>
            <w:tcW w:w="8771" w:type="dxa"/>
            <w:tcBorders>
              <w:top w:val="single" w:sz="6" w:space="0" w:color="auto"/>
              <w:bottom w:val="nil"/>
            </w:tcBorders>
          </w:tcPr>
          <w:p w:rsidR="00916E0D" w:rsidRDefault="00916E0D">
            <w:pPr>
              <w:pStyle w:val="BoxTitle"/>
            </w:pPr>
            <w:r>
              <w:rPr>
                <w:b w:val="0"/>
              </w:rPr>
              <w:t>Box 7.</w:t>
            </w:r>
            <w:r w:rsidR="00E75B12">
              <w:rPr>
                <w:b w:val="0"/>
                <w:noProof/>
              </w:rPr>
              <w:t>1</w:t>
            </w:r>
            <w:r w:rsidR="00572B9F">
              <w:rPr>
                <w:b w:val="0"/>
                <w:noProof/>
              </w:rPr>
              <w:t>6</w:t>
            </w:r>
            <w:r>
              <w:tab/>
            </w:r>
            <w:r w:rsidRPr="00916E0D">
              <w:t>Cost per finalisation</w:t>
            </w:r>
          </w:p>
        </w:tc>
      </w:tr>
      <w:tr w:rsidR="00916E0D">
        <w:trPr>
          <w:cantSplit/>
        </w:trPr>
        <w:tc>
          <w:tcPr>
            <w:tcW w:w="8771" w:type="dxa"/>
            <w:tcBorders>
              <w:top w:val="nil"/>
              <w:left w:val="single" w:sz="6" w:space="0" w:color="auto"/>
              <w:bottom w:val="nil"/>
              <w:right w:val="single" w:sz="6" w:space="0" w:color="auto"/>
            </w:tcBorders>
          </w:tcPr>
          <w:p w:rsidR="00916E0D" w:rsidRPr="00F36779" w:rsidRDefault="00916E0D" w:rsidP="00916E0D">
            <w:pPr>
              <w:pStyle w:val="Box"/>
            </w:pPr>
            <w:r w:rsidRPr="00F36779">
              <w:t>‘Cost per finalisation’</w:t>
            </w:r>
            <w:r w:rsidR="00560BF4" w:rsidRPr="00584FFF">
              <w:t xml:space="preserve"> is measured by dividing the total recurrent expenditure</w:t>
            </w:r>
            <w:r w:rsidR="008D12EC" w:rsidRPr="00584FFF">
              <w:t xml:space="preserve"> (gross and net)</w:t>
            </w:r>
            <w:r w:rsidR="00560BF4" w:rsidRPr="00F36779">
              <w:t xml:space="preserve"> within each court for the financial year by the total number of finalisations for the same period.</w:t>
            </w:r>
            <w:r w:rsidRPr="00F36779">
              <w:t xml:space="preserve"> This indicator is not a measure of the actual cost per case. </w:t>
            </w:r>
          </w:p>
          <w:p w:rsidR="00916E0D" w:rsidRPr="007E5F31" w:rsidRDefault="00916E0D" w:rsidP="00916E0D">
            <w:pPr>
              <w:pStyle w:val="Box"/>
            </w:pPr>
            <w:r w:rsidRPr="00F36779">
              <w:t>The following points need to be considered in interpreting the cost per finalisation indicator results:</w:t>
            </w:r>
          </w:p>
          <w:p w:rsidR="00916E0D" w:rsidRPr="007E5F31" w:rsidRDefault="00916E0D" w:rsidP="00916E0D">
            <w:pPr>
              <w:pStyle w:val="BoxListBullet"/>
            </w:pPr>
            <w:r w:rsidRPr="00F36779">
              <w:t>some finalisations take only a short time and require few resources, whereas other finalisations may be resource intensive and involve complicated trials and interlocutory decisions</w:t>
            </w:r>
          </w:p>
          <w:p w:rsidR="00916E0D" w:rsidRPr="007E5F31" w:rsidRDefault="00916E0D" w:rsidP="001273F2">
            <w:pPr>
              <w:pStyle w:val="BoxListBullet"/>
            </w:pPr>
            <w:r w:rsidRPr="00F36779">
              <w:t>cases in the civil jurisdiction that have not</w:t>
            </w:r>
            <w:r w:rsidR="00641DE7" w:rsidRPr="00F36779">
              <w:t xml:space="preserve"> been acted upon in the last 12 </w:t>
            </w:r>
            <w:r w:rsidRPr="00F36779">
              <w:t>months are counted (deemed) as finalised (</w:t>
            </w:r>
            <w:r w:rsidR="00641DE7" w:rsidRPr="00F36779">
              <w:t>although</w:t>
            </w:r>
            <w:r w:rsidR="001273F2" w:rsidRPr="00F36779">
              <w:t xml:space="preserve"> </w:t>
            </w:r>
            <w:r w:rsidRPr="00F36779">
              <w:t xml:space="preserve">some jurisdictions are unable to comply with this deeming rule) </w:t>
            </w:r>
          </w:p>
          <w:p w:rsidR="00916E0D" w:rsidRPr="007E5F31" w:rsidRDefault="00916E0D" w:rsidP="00916E0D">
            <w:pPr>
              <w:pStyle w:val="BoxListBullet"/>
            </w:pPr>
            <w:r w:rsidRPr="00F36779">
              <w:t xml:space="preserve">expenditure data may include arbitrary </w:t>
            </w:r>
            <w:r w:rsidR="00436C23" w:rsidRPr="00F36779">
              <w:t>allocation</w:t>
            </w:r>
            <w:r w:rsidRPr="00F36779">
              <w:t xml:space="preserve"> between criminal and civil jurisdictions</w:t>
            </w:r>
          </w:p>
          <w:p w:rsidR="00916E0D" w:rsidRPr="007E5F31" w:rsidRDefault="00916E0D" w:rsidP="00916E0D">
            <w:pPr>
              <w:pStyle w:val="BoxListBullet"/>
            </w:pPr>
            <w:r w:rsidRPr="00F36779">
              <w:t>net expenditure is calculated by deducting income (court fees) from total expenditure, noting that in some jurisdictions court fees are set by government rather than by court administrators</w:t>
            </w:r>
          </w:p>
          <w:p w:rsidR="00916E0D" w:rsidRPr="007E5F31" w:rsidRDefault="00916E0D" w:rsidP="00916E0D">
            <w:pPr>
              <w:pStyle w:val="BoxListBullet"/>
            </w:pPr>
            <w:r w:rsidRPr="00F36779">
              <w:t>a number of factors are beyond the control of jurisdictions, such as geographic dispersion, economies of scale and socioeconomic factors</w:t>
            </w:r>
          </w:p>
          <w:p w:rsidR="00916E0D" w:rsidRPr="007E5F31" w:rsidRDefault="00916E0D" w:rsidP="00916E0D">
            <w:pPr>
              <w:pStyle w:val="BoxListBullet"/>
            </w:pPr>
            <w:r w:rsidRPr="00F36779">
              <w:t>efficiency results need to be viewed in light of the performance indicator framework as a whole, because there can be trade-offs between efficiency on the one hand and equity, effectiveness and quality, on the other.</w:t>
            </w:r>
          </w:p>
          <w:p w:rsidR="00772154" w:rsidRDefault="00772154" w:rsidP="00772154">
            <w:pPr>
              <w:pStyle w:val="BoxListBullet"/>
              <w:numPr>
                <w:ilvl w:val="0"/>
                <w:numId w:val="0"/>
              </w:numPr>
            </w:pPr>
            <w:r w:rsidRPr="00F36779">
              <w:t>Data reported for this indicator are</w:t>
            </w:r>
            <w:r w:rsidR="009E37DA">
              <w:t>:</w:t>
            </w:r>
            <w:r w:rsidRPr="00F36779">
              <w:t xml:space="preserve"> </w:t>
            </w:r>
          </w:p>
          <w:p w:rsidR="009E37DA" w:rsidRPr="009E37DA" w:rsidRDefault="009E37DA" w:rsidP="00666053">
            <w:pPr>
              <w:pStyle w:val="ListBullet"/>
            </w:pPr>
            <w:r>
              <w:rPr>
                <w:rFonts w:ascii="Arial" w:hAnsi="Arial" w:cs="Arial"/>
                <w:sz w:val="22"/>
                <w:szCs w:val="22"/>
              </w:rPr>
              <w:t>comparable (subject to caveats) within jurisdictions over time but are not comparable across jurisdictions</w:t>
            </w:r>
          </w:p>
          <w:p w:rsidR="009E37DA" w:rsidRPr="00666053" w:rsidRDefault="009E37DA" w:rsidP="00666053">
            <w:pPr>
              <w:pStyle w:val="ListBullet"/>
              <w:rPr>
                <w:rFonts w:ascii="Arial" w:hAnsi="Arial" w:cs="Arial"/>
                <w:sz w:val="22"/>
                <w:szCs w:val="22"/>
              </w:rPr>
            </w:pPr>
            <w:r w:rsidRPr="00666053">
              <w:rPr>
                <w:rFonts w:ascii="Arial" w:hAnsi="Arial" w:cs="Arial"/>
                <w:sz w:val="22"/>
                <w:szCs w:val="22"/>
              </w:rPr>
              <w:t>complete for the current reporting period</w:t>
            </w:r>
            <w:r>
              <w:rPr>
                <w:rFonts w:ascii="Arial" w:hAnsi="Arial" w:cs="Arial"/>
                <w:sz w:val="22"/>
                <w:szCs w:val="22"/>
              </w:rPr>
              <w:t xml:space="preserve"> (subject to caveats). All required 2012</w:t>
            </w:r>
            <w:r w:rsidR="00205BCF">
              <w:rPr>
                <w:rFonts w:ascii="Arial" w:hAnsi="Arial" w:cs="Arial"/>
                <w:sz w:val="22"/>
                <w:szCs w:val="22"/>
              </w:rPr>
              <w:noBreakHyphen/>
            </w:r>
            <w:r>
              <w:rPr>
                <w:rFonts w:ascii="Arial" w:hAnsi="Arial" w:cs="Arial"/>
                <w:sz w:val="22"/>
                <w:szCs w:val="22"/>
              </w:rPr>
              <w:t>13 data are available for all jurisdictions.</w:t>
            </w:r>
          </w:p>
          <w:p w:rsidR="009D5777" w:rsidRPr="009D5777" w:rsidRDefault="00D3250D" w:rsidP="00D3250D">
            <w:pPr>
              <w:pStyle w:val="BoxListBullet"/>
              <w:numPr>
                <w:ilvl w:val="0"/>
                <w:numId w:val="0"/>
              </w:numPr>
              <w:rPr>
                <w:szCs w:val="22"/>
              </w:rPr>
            </w:pPr>
            <w:r>
              <w:rPr>
                <w:szCs w:val="22"/>
              </w:rPr>
              <w:t>Information about d</w:t>
            </w:r>
            <w:r w:rsidR="00A87DCF" w:rsidRPr="00F36779">
              <w:rPr>
                <w:szCs w:val="22"/>
              </w:rPr>
              <w:t xml:space="preserve">ata quality for this indicator is at </w:t>
            </w:r>
            <w:proofErr w:type="spellStart"/>
            <w:r w:rsidR="009C151A" w:rsidRPr="004C526F">
              <w:rPr>
                <w:szCs w:val="22"/>
              </w:rPr>
              <w:t>www.pc.gov.au</w:t>
            </w:r>
            <w:proofErr w:type="spellEnd"/>
            <w:r w:rsidR="009C151A" w:rsidRPr="004C526F">
              <w:rPr>
                <w:szCs w:val="22"/>
              </w:rPr>
              <w:t>/</w:t>
            </w:r>
            <w:r w:rsidR="009C151A">
              <w:rPr>
                <w:szCs w:val="22"/>
              </w:rPr>
              <w:t xml:space="preserve"> </w:t>
            </w:r>
            <w:proofErr w:type="spellStart"/>
            <w:r w:rsidR="008D12EC" w:rsidRPr="00F36779">
              <w:rPr>
                <w:szCs w:val="22"/>
              </w:rPr>
              <w:t>gsp</w:t>
            </w:r>
            <w:proofErr w:type="spellEnd"/>
            <w:r w:rsidR="008D12EC" w:rsidRPr="00F36779">
              <w:rPr>
                <w:szCs w:val="22"/>
              </w:rPr>
              <w:t>/reports/</w:t>
            </w:r>
            <w:proofErr w:type="spellStart"/>
            <w:r w:rsidR="008D12EC" w:rsidRPr="00F36779">
              <w:rPr>
                <w:szCs w:val="22"/>
              </w:rPr>
              <w:t>rogs</w:t>
            </w:r>
            <w:proofErr w:type="spellEnd"/>
            <w:r w:rsidR="008D12EC" w:rsidRPr="00F36779">
              <w:rPr>
                <w:szCs w:val="22"/>
              </w:rPr>
              <w:t>/201</w:t>
            </w:r>
            <w:r w:rsidR="00FC3777">
              <w:rPr>
                <w:szCs w:val="22"/>
              </w:rPr>
              <w:t>4</w:t>
            </w:r>
            <w:r w:rsidR="00D32905">
              <w:rPr>
                <w:szCs w:val="22"/>
              </w:rPr>
              <w:t>.</w:t>
            </w:r>
          </w:p>
        </w:tc>
      </w:tr>
      <w:tr w:rsidR="00916E0D">
        <w:trPr>
          <w:cantSplit/>
        </w:trPr>
        <w:tc>
          <w:tcPr>
            <w:tcW w:w="8771" w:type="dxa"/>
            <w:tcBorders>
              <w:top w:val="nil"/>
              <w:left w:val="single" w:sz="6" w:space="0" w:color="auto"/>
              <w:bottom w:val="single" w:sz="6" w:space="0" w:color="auto"/>
              <w:right w:val="single" w:sz="6" w:space="0" w:color="auto"/>
            </w:tcBorders>
          </w:tcPr>
          <w:p w:rsidR="00916E0D" w:rsidRDefault="00916E0D">
            <w:pPr>
              <w:pStyle w:val="Box"/>
              <w:spacing w:before="0" w:line="120" w:lineRule="exact"/>
            </w:pPr>
          </w:p>
        </w:tc>
      </w:tr>
      <w:tr w:rsidR="00916E0D">
        <w:tc>
          <w:tcPr>
            <w:tcW w:w="8771" w:type="dxa"/>
            <w:tcBorders>
              <w:top w:val="nil"/>
              <w:left w:val="nil"/>
              <w:bottom w:val="nil"/>
              <w:right w:val="nil"/>
            </w:tcBorders>
          </w:tcPr>
          <w:p w:rsidR="00916E0D" w:rsidRDefault="00916E0D">
            <w:pPr>
              <w:pStyle w:val="Box"/>
              <w:keepNext w:val="0"/>
              <w:spacing w:before="60" w:after="60" w:line="80" w:lineRule="exact"/>
              <w:rPr>
                <w:b/>
                <w:color w:val="FF00FF"/>
                <w:sz w:val="14"/>
              </w:rPr>
            </w:pPr>
          </w:p>
        </w:tc>
      </w:tr>
    </w:tbl>
    <w:p w:rsidR="004F27B0" w:rsidRDefault="00B56B49" w:rsidP="004F27B0">
      <w:pPr>
        <w:pStyle w:val="BodyText"/>
      </w:pPr>
      <w:r>
        <w:t>In general, the net</w:t>
      </w:r>
      <w:r w:rsidR="00B433D6">
        <w:t xml:space="preserve"> recurrent expenditure</w:t>
      </w:r>
      <w:r w:rsidR="004F27B0">
        <w:t xml:space="preserve"> per finalisation for civil courts will be lower than criminal courts because</w:t>
      </w:r>
      <w:r w:rsidR="00627105">
        <w:t xml:space="preserve"> </w:t>
      </w:r>
      <w:r w:rsidR="001273F2">
        <w:t>relatively little</w:t>
      </w:r>
      <w:r w:rsidR="004F27B0">
        <w:t xml:space="preserve"> income is generated by the criminal court system (</w:t>
      </w:r>
      <w:r w:rsidR="00A76A9C">
        <w:t>table</w:t>
      </w:r>
      <w:r w:rsidR="009668DF">
        <w:t>s</w:t>
      </w:r>
      <w:r w:rsidR="00A76A9C">
        <w:t> </w:t>
      </w:r>
      <w:proofErr w:type="spellStart"/>
      <w:r w:rsidR="00A76A9C">
        <w:t>7</w:t>
      </w:r>
      <w:r w:rsidR="004F27B0">
        <w:t>A.</w:t>
      </w:r>
      <w:r w:rsidR="009668DF">
        <w:t>31</w:t>
      </w:r>
      <w:proofErr w:type="spellEnd"/>
      <w:r w:rsidR="009668DF">
        <w:t>–33</w:t>
      </w:r>
      <w:r w:rsidR="004F27B0">
        <w:t xml:space="preserve">). </w:t>
      </w:r>
      <w:r w:rsidR="00807E2C">
        <w:t xml:space="preserve">Civil court fee structures </w:t>
      </w:r>
      <w:r w:rsidR="00EA5255">
        <w:t>can</w:t>
      </w:r>
      <w:r w:rsidR="00EA1007">
        <w:t xml:space="preserve"> </w:t>
      </w:r>
      <w:r w:rsidR="00807E2C">
        <w:t>also impact on cost per finalisation results</w:t>
      </w:r>
      <w:r w:rsidR="009668DF">
        <w:t>.</w:t>
      </w:r>
      <w:r w:rsidR="00BC5923">
        <w:t xml:space="preserve"> </w:t>
      </w:r>
    </w:p>
    <w:p w:rsidR="007C1F92" w:rsidRDefault="00CF21A8" w:rsidP="007C1F92">
      <w:pPr>
        <w:pStyle w:val="Heading5"/>
      </w:pPr>
      <w:r>
        <w:t>E</w:t>
      </w:r>
      <w:r w:rsidR="007C1F92">
        <w:t xml:space="preserve">xpenditure per finalisation for the </w:t>
      </w:r>
      <w:r w:rsidR="001273F2">
        <w:t>supreme c</w:t>
      </w:r>
      <w:r w:rsidR="00BC62E9">
        <w:t>ourt</w:t>
      </w:r>
      <w:r w:rsidR="007C1F92">
        <w:t>s and the Federal Court of Australia</w:t>
      </w:r>
    </w:p>
    <w:p w:rsidR="007C1F92" w:rsidRDefault="00550957" w:rsidP="00A160D7">
      <w:pPr>
        <w:pStyle w:val="BodyText"/>
      </w:pPr>
      <w:r w:rsidRPr="00CB2E7A">
        <w:t>Nationally</w:t>
      </w:r>
      <w:r w:rsidR="009732DD">
        <w:t xml:space="preserve"> and across all jurisdictions</w:t>
      </w:r>
      <w:r w:rsidRPr="00CB2E7A">
        <w:t xml:space="preserve"> i</w:t>
      </w:r>
      <w:r w:rsidR="007C1F92" w:rsidRPr="00CB2E7A">
        <w:t xml:space="preserve">n </w:t>
      </w:r>
      <w:r w:rsidR="002A5592">
        <w:t>2012</w:t>
      </w:r>
      <w:r w:rsidR="00205BCF">
        <w:noBreakHyphen/>
      </w:r>
      <w:r w:rsidR="006C3715">
        <w:t>1</w:t>
      </w:r>
      <w:r w:rsidR="002A5592">
        <w:t>3</w:t>
      </w:r>
      <w:r w:rsidR="007C1F92" w:rsidRPr="00CB2E7A">
        <w:t xml:space="preserve">, </w:t>
      </w:r>
      <w:r w:rsidR="007606DE" w:rsidRPr="00ED5F06">
        <w:t xml:space="preserve">total </w:t>
      </w:r>
      <w:r w:rsidR="007C1F92" w:rsidRPr="00ED5F06">
        <w:t xml:space="preserve">net expenditure per finalisation in the criminal jurisdiction of </w:t>
      </w:r>
      <w:r w:rsidR="0036187A" w:rsidRPr="00ED5F06">
        <w:t>supreme c</w:t>
      </w:r>
      <w:r w:rsidR="00BC62E9" w:rsidRPr="00ED5F06">
        <w:t>ourt</w:t>
      </w:r>
      <w:r w:rsidR="007C1F92" w:rsidRPr="00ED5F06">
        <w:t>s</w:t>
      </w:r>
      <w:r w:rsidR="00CE180F" w:rsidRPr="00ED5F06">
        <w:t xml:space="preserve"> </w:t>
      </w:r>
      <w:r w:rsidR="007C1F92" w:rsidRPr="00ED5F06">
        <w:t xml:space="preserve">was </w:t>
      </w:r>
      <w:r w:rsidR="00DD3465">
        <w:t>generally</w:t>
      </w:r>
      <w:r w:rsidR="007C1F92" w:rsidRPr="00ED5F06">
        <w:t xml:space="preserve"> greater than </w:t>
      </w:r>
      <w:r w:rsidR="007C1F92" w:rsidRPr="00ED5F06">
        <w:lastRenderedPageBreak/>
        <w:t xml:space="preserve">the </w:t>
      </w:r>
      <w:r w:rsidRPr="00ED5F06">
        <w:t xml:space="preserve">total </w:t>
      </w:r>
      <w:r w:rsidR="007C1F92" w:rsidRPr="00ED5F06">
        <w:t xml:space="preserve">net expenditure per finalisation </w:t>
      </w:r>
      <w:r w:rsidR="001E3A2E" w:rsidRPr="00ED5F06">
        <w:t>for</w:t>
      </w:r>
      <w:r w:rsidR="007C1F92" w:rsidRPr="00ED5F06">
        <w:t xml:space="preserve"> the civil jurisdiction</w:t>
      </w:r>
      <w:r w:rsidR="00413DAF">
        <w:t xml:space="preserve"> (figure  7.4</w:t>
      </w:r>
      <w:r w:rsidR="00413DAF" w:rsidRPr="00A160D7">
        <w:t>). The Federal Court has criminal jurisdiction but the summary criminal cases are included in the civil case totals and as yet there are no indictable criminal cases</w:t>
      </w:r>
      <w:r w:rsidR="001E3A2E" w:rsidRPr="00A160D7">
        <w:t xml:space="preserve"> </w:t>
      </w:r>
      <w:r w:rsidR="007C1F92" w:rsidRPr="00A160D7">
        <w:t>(</w:t>
      </w:r>
      <w:r w:rsidR="004166CE" w:rsidRPr="00A160D7">
        <w:t>see p</w:t>
      </w:r>
      <w:r w:rsidR="00D0442F" w:rsidRPr="00A160D7">
        <w:t>.</w:t>
      </w:r>
      <w:r w:rsidR="00205BCF">
        <w:t> </w:t>
      </w:r>
      <w:r w:rsidR="004166CE" w:rsidRPr="00A160D7">
        <w:t>7.8</w:t>
      </w:r>
      <w:r w:rsidR="007C1F92" w:rsidRPr="00A160D7">
        <w:t>).</w:t>
      </w:r>
      <w:r w:rsidR="007C1F92">
        <w:t xml:space="preserve"> </w:t>
      </w:r>
    </w:p>
    <w:p w:rsidR="00D64A33" w:rsidRDefault="00D64A33" w:rsidP="00D64A33">
      <w:pPr>
        <w:pStyle w:val="BodyText"/>
      </w:pPr>
      <w:r>
        <w:t>Tasmania, the ACT and the NT have a broader range of matters that are heard in their supreme courts as none of these jurisdictions have district/county courts. The difference in scope of supreme court work (box 7.1) should be considered when making comparisons between states and territories.</w:t>
      </w:r>
    </w:p>
    <w:p w:rsidR="006F15E6" w:rsidRPr="00584FFF" w:rsidRDefault="006F15E6" w:rsidP="006F15E6">
      <w:pPr>
        <w:pStyle w:val="FigureTitle"/>
      </w:pPr>
      <w:r w:rsidRPr="00584FFF">
        <w:rPr>
          <w:b w:val="0"/>
        </w:rPr>
        <w:lastRenderedPageBreak/>
        <w:t>Figure 7.</w:t>
      </w:r>
      <w:r w:rsidRPr="00584FFF">
        <w:rPr>
          <w:b w:val="0"/>
          <w:noProof/>
        </w:rPr>
        <w:t>4</w:t>
      </w:r>
      <w:r w:rsidRPr="00584FFF">
        <w:tab/>
        <w:t>Recurrent expenditure per finalisation, supreme courts and the Federal Court of Australia</w:t>
      </w:r>
      <w:r w:rsidR="004148EC">
        <w:t>, 2012</w:t>
      </w:r>
      <w:r w:rsidRPr="00584FFF">
        <w:t>-1</w:t>
      </w:r>
      <w:r w:rsidR="004148EC">
        <w:t>3</w:t>
      </w:r>
      <w:r w:rsidRPr="00584FFF">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F15E6" w:rsidTr="0063601A">
        <w:tc>
          <w:tcPr>
            <w:tcW w:w="8777" w:type="dxa"/>
          </w:tcPr>
          <w:p w:rsidR="006F15E6" w:rsidRDefault="0063601A" w:rsidP="00F701E8">
            <w:pPr>
              <w:pStyle w:val="Figure"/>
              <w:numPr>
                <w:ilvl w:val="0"/>
                <w:numId w:val="17"/>
              </w:numPr>
              <w:rPr>
                <w:rFonts w:ascii="Arial" w:hAnsi="Arial"/>
                <w:b/>
                <w:bCs/>
                <w:sz w:val="20"/>
              </w:rPr>
            </w:pPr>
            <w:r w:rsidRPr="0063601A">
              <w:rPr>
                <w:rFonts w:ascii="Arial" w:hAnsi="Arial"/>
                <w:b/>
                <w:bCs/>
                <w:sz w:val="20"/>
              </w:rPr>
              <w:t>Gross recurrent expenditure</w:t>
            </w:r>
          </w:p>
          <w:p w:rsidR="0063601A" w:rsidRPr="0063601A" w:rsidRDefault="0063601A" w:rsidP="0063601A">
            <w:pPr>
              <w:pStyle w:val="Figure"/>
            </w:pPr>
            <w:r>
              <w:rPr>
                <w:noProof/>
              </w:rPr>
              <w:drawing>
                <wp:inline distT="0" distB="0" distL="0" distR="0" wp14:anchorId="3BD261CC" wp14:editId="10FEB491">
                  <wp:extent cx="5400000" cy="2700000"/>
                  <wp:effectExtent l="0" t="0" r="0" b="5715"/>
                  <wp:docPr id="3" name="Chart 3" descr="Figure 7.4 Recurrent expenditure per finalisation, supreme courts and the Federal Court of Australia, 2012-13&#10;&#10;(a) Gross recurrent expenditure&#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3601A" w:rsidRDefault="0063601A" w:rsidP="00F701E8">
            <w:pPr>
              <w:pStyle w:val="Figure"/>
              <w:numPr>
                <w:ilvl w:val="0"/>
                <w:numId w:val="17"/>
              </w:numPr>
              <w:rPr>
                <w:rFonts w:ascii="Arial" w:hAnsi="Arial"/>
                <w:b/>
                <w:bCs/>
                <w:sz w:val="20"/>
                <w:szCs w:val="24"/>
              </w:rPr>
            </w:pPr>
            <w:r>
              <w:rPr>
                <w:rFonts w:ascii="Arial" w:hAnsi="Arial"/>
                <w:b/>
                <w:bCs/>
                <w:sz w:val="20"/>
              </w:rPr>
              <w:t xml:space="preserve"> Net recurrent expenditure</w:t>
            </w:r>
          </w:p>
          <w:p w:rsidR="0063601A" w:rsidRPr="0063601A" w:rsidRDefault="0063601A" w:rsidP="0063601A">
            <w:pPr>
              <w:pStyle w:val="Figure"/>
            </w:pPr>
            <w:r>
              <w:rPr>
                <w:noProof/>
              </w:rPr>
              <w:drawing>
                <wp:inline distT="0" distB="0" distL="0" distR="0" wp14:anchorId="1661CFE8" wp14:editId="4171B7B8">
                  <wp:extent cx="5400000" cy="2700000"/>
                  <wp:effectExtent l="0" t="0" r="0" b="5715"/>
                  <wp:docPr id="6" name="Chart 6" descr="Figure 7.4 Recurrent expenditure per finalisation, supreme courts and the Federal Court of Australia, 2012-13&#10;&#10;(b) Net recurrent expenditure&#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4509DF" w:rsidRPr="004509DF" w:rsidRDefault="004509DF" w:rsidP="00E93649">
      <w:pPr>
        <w:pStyle w:val="Note"/>
        <w:rPr>
          <w:rStyle w:val="NoteLabel"/>
          <w:b w:val="0"/>
        </w:rPr>
      </w:pPr>
      <w:proofErr w:type="spellStart"/>
      <w:r w:rsidRPr="004509DF">
        <w:rPr>
          <w:rStyle w:val="NoteLabel"/>
          <w:b w:val="0"/>
        </w:rPr>
        <w:t>FCA</w:t>
      </w:r>
      <w:proofErr w:type="spellEnd"/>
      <w:r>
        <w:rPr>
          <w:rStyle w:val="NoteLabel"/>
          <w:b w:val="0"/>
        </w:rPr>
        <w:t xml:space="preserve"> = Federal Court of Australia</w:t>
      </w:r>
    </w:p>
    <w:p w:rsidR="00272E43" w:rsidRPr="00FE3767" w:rsidRDefault="00AF26C2" w:rsidP="00872EAA">
      <w:pPr>
        <w:pStyle w:val="Note"/>
      </w:pPr>
      <w:proofErr w:type="spellStart"/>
      <w:r>
        <w:rPr>
          <w:rStyle w:val="NoteLabel"/>
        </w:rPr>
        <w:t>a</w:t>
      </w:r>
      <w:proofErr w:type="spellEnd"/>
      <w:r w:rsidR="00EA5255">
        <w:t> E</w:t>
      </w:r>
      <w:r>
        <w:t>xcludes payroll tax.</w:t>
      </w:r>
      <w:r w:rsidR="00A35DAD" w:rsidRPr="00A35DAD">
        <w:rPr>
          <w:rStyle w:val="NoteLabel"/>
        </w:rPr>
        <w:t xml:space="preserve"> </w:t>
      </w:r>
      <w:r w:rsidR="00A35DAD">
        <w:rPr>
          <w:rStyle w:val="NoteLabel"/>
        </w:rPr>
        <w:t>b </w:t>
      </w:r>
      <w:r w:rsidR="00A35DAD">
        <w:t>Supreme court</w:t>
      </w:r>
      <w:r w:rsidR="00314E33">
        <w:t>s</w:t>
      </w:r>
      <w:r w:rsidR="00A35DAD">
        <w:t xml:space="preserve"> data for the civil jurisdiction exclude </w:t>
      </w:r>
      <w:r w:rsidR="00C64F7F">
        <w:t xml:space="preserve">uncontested </w:t>
      </w:r>
      <w:r w:rsidR="00A35DAD">
        <w:t xml:space="preserve">probate </w:t>
      </w:r>
      <w:r w:rsidR="00C64F7F">
        <w:t>matters.</w:t>
      </w:r>
      <w:r w:rsidR="00464055">
        <w:t xml:space="preserve"> </w:t>
      </w:r>
      <w:r w:rsidR="00464055" w:rsidRPr="00FE3767">
        <w:rPr>
          <w:rStyle w:val="NoteLabel"/>
        </w:rPr>
        <w:t>c</w:t>
      </w:r>
      <w:r w:rsidR="00464055" w:rsidRPr="00FE3767">
        <w:t> </w:t>
      </w:r>
      <w:r w:rsidRPr="00FE3767">
        <w:t xml:space="preserve">The Federal Court does </w:t>
      </w:r>
      <w:r w:rsidR="00E240B0" w:rsidRPr="00FE3767">
        <w:t xml:space="preserve">not have </w:t>
      </w:r>
      <w:r w:rsidR="000A0843" w:rsidRPr="00FE3767">
        <w:t xml:space="preserve">criminal </w:t>
      </w:r>
      <w:r w:rsidR="00E240B0" w:rsidRPr="00FE3767">
        <w:t xml:space="preserve">cases to include in the </w:t>
      </w:r>
      <w:r w:rsidR="00320DBA" w:rsidRPr="00FE3767">
        <w:t>figure</w:t>
      </w:r>
      <w:r w:rsidRPr="00FE3767">
        <w:t xml:space="preserve">. </w:t>
      </w:r>
    </w:p>
    <w:p w:rsidR="00272E43" w:rsidRDefault="006F088C" w:rsidP="00872EAA">
      <w:pPr>
        <w:pStyle w:val="Source"/>
        <w:keepLines w:val="0"/>
      </w:pPr>
      <w:r w:rsidRPr="00FE3767">
        <w:rPr>
          <w:i/>
        </w:rPr>
        <w:t>S</w:t>
      </w:r>
      <w:r w:rsidR="00272E43" w:rsidRPr="00FE3767">
        <w:rPr>
          <w:i/>
        </w:rPr>
        <w:t>ource</w:t>
      </w:r>
      <w:r w:rsidR="00272E43" w:rsidRPr="00FE3767">
        <w:t>:</w:t>
      </w:r>
      <w:r w:rsidR="001A60B8" w:rsidRPr="00FE3767">
        <w:t xml:space="preserve"> </w:t>
      </w:r>
      <w:r w:rsidR="00AF26C2" w:rsidRPr="00FE3767">
        <w:t>State</w:t>
      </w:r>
      <w:r w:rsidR="00AF26C2">
        <w:t xml:space="preserve"> and Territory court authorities and departments</w:t>
      </w:r>
      <w:r w:rsidR="001A60B8">
        <w:t xml:space="preserve"> and the Federal Court of Australia </w:t>
      </w:r>
      <w:r w:rsidR="00AF26C2">
        <w:t>(unpublished); tables</w:t>
      </w:r>
      <w:r w:rsidR="00C23564">
        <w:t> </w:t>
      </w:r>
      <w:proofErr w:type="spellStart"/>
      <w:r w:rsidR="00AF26C2">
        <w:t>7A.</w:t>
      </w:r>
      <w:r w:rsidR="00ED43E6">
        <w:t>31</w:t>
      </w:r>
      <w:proofErr w:type="spellEnd"/>
      <w:r w:rsidR="00AF26C2">
        <w:t>–</w:t>
      </w:r>
      <w:r w:rsidR="008A3F05">
        <w:t>3</w:t>
      </w:r>
      <w:r w:rsidR="00ED43E6">
        <w:t>5</w:t>
      </w:r>
      <w:r w:rsidR="00AF26C2">
        <w:t>.</w:t>
      </w:r>
    </w:p>
    <w:p w:rsidR="00642206" w:rsidRDefault="0041394C" w:rsidP="00FE3767">
      <w:pPr>
        <w:pStyle w:val="Heading5"/>
        <w:keepLines/>
      </w:pPr>
      <w:r>
        <w:lastRenderedPageBreak/>
        <w:t>E</w:t>
      </w:r>
      <w:r w:rsidR="00642206">
        <w:t xml:space="preserve">xpenditure per finalisation for </w:t>
      </w:r>
      <w:r w:rsidR="003162B3">
        <w:t>district/county c</w:t>
      </w:r>
      <w:r w:rsidR="00BC62E9">
        <w:t>ourt</w:t>
      </w:r>
      <w:r w:rsidR="00642206">
        <w:t>s</w:t>
      </w:r>
    </w:p>
    <w:p w:rsidR="00642206" w:rsidRDefault="00642206" w:rsidP="00FE3767">
      <w:pPr>
        <w:pStyle w:val="BodyText"/>
        <w:keepNext/>
        <w:keepLines/>
      </w:pPr>
      <w:r w:rsidRPr="00CB2E7A">
        <w:t xml:space="preserve">In </w:t>
      </w:r>
      <w:r w:rsidR="00624CD3">
        <w:t>2012</w:t>
      </w:r>
      <w:r w:rsidR="00205BCF">
        <w:noBreakHyphen/>
      </w:r>
      <w:r w:rsidR="00624CD3">
        <w:t>13</w:t>
      </w:r>
      <w:r w:rsidRPr="00CB2E7A">
        <w:t xml:space="preserve">, </w:t>
      </w:r>
      <w:r w:rsidR="007606DE" w:rsidRPr="00896F23">
        <w:t xml:space="preserve">total </w:t>
      </w:r>
      <w:r w:rsidRPr="00896F23">
        <w:t xml:space="preserve">net expenditure per finalisation in the criminal jurisdiction of </w:t>
      </w:r>
      <w:r w:rsidR="003162B3" w:rsidRPr="00896F23">
        <w:t>district/county c</w:t>
      </w:r>
      <w:r w:rsidR="00BC62E9" w:rsidRPr="00896F23">
        <w:t>ourt</w:t>
      </w:r>
      <w:r w:rsidRPr="00896F23">
        <w:t>s was</w:t>
      </w:r>
      <w:r w:rsidR="00294405">
        <w:t xml:space="preserve"> about</w:t>
      </w:r>
      <w:r w:rsidRPr="00896F23">
        <w:t xml:space="preserve"> </w:t>
      </w:r>
      <w:r w:rsidR="001008B2">
        <w:t>four</w:t>
      </w:r>
      <w:r w:rsidR="00896F23" w:rsidRPr="00896F23">
        <w:t xml:space="preserve"> times</w:t>
      </w:r>
      <w:r w:rsidRPr="00896F23">
        <w:t xml:space="preserve"> that in </w:t>
      </w:r>
      <w:r w:rsidR="00AE6CC7" w:rsidRPr="00896F23">
        <w:t>the civil jurisdiction (</w:t>
      </w:r>
      <w:r w:rsidR="00A76A9C" w:rsidRPr="00896F23">
        <w:t>figure 7</w:t>
      </w:r>
      <w:r w:rsidRPr="00896F23">
        <w:t>.5). This trend was similar across all states and territories, and i</w:t>
      </w:r>
      <w:r w:rsidR="008A4F4E" w:rsidRPr="00896F23">
        <w:t>s con</w:t>
      </w:r>
      <w:r w:rsidR="00C32C7A" w:rsidRPr="00896F23">
        <w:t>sistent over time (tables </w:t>
      </w:r>
      <w:proofErr w:type="spellStart"/>
      <w:r w:rsidR="00C32C7A" w:rsidRPr="00896F23">
        <w:t>7A.</w:t>
      </w:r>
      <w:r w:rsidR="00E2434D">
        <w:t>31</w:t>
      </w:r>
      <w:proofErr w:type="spellEnd"/>
      <w:r w:rsidR="00C32C7A" w:rsidRPr="00896F23">
        <w:t>–</w:t>
      </w:r>
      <w:r w:rsidR="00046D7F">
        <w:t>3</w:t>
      </w:r>
      <w:r w:rsidR="00E2434D">
        <w:t>5</w:t>
      </w:r>
      <w:r w:rsidRPr="00896F23">
        <w:t>).</w:t>
      </w:r>
      <w:r>
        <w:t xml:space="preserve"> </w:t>
      </w:r>
    </w:p>
    <w:p w:rsidR="00272E43" w:rsidRDefault="00642206" w:rsidP="00FE3767">
      <w:pPr>
        <w:pStyle w:val="BodyText"/>
        <w:keepLines/>
      </w:pPr>
      <w:r>
        <w:t xml:space="preserve">Tasmania, the ACT, the NT and the Australian Government do not operate </w:t>
      </w:r>
      <w:r w:rsidR="003162B3">
        <w:t>district/county c</w:t>
      </w:r>
      <w:r w:rsidR="00BC62E9">
        <w:t>ourt</w:t>
      </w:r>
      <w:r>
        <w:t>s.</w:t>
      </w:r>
    </w:p>
    <w:p w:rsidR="00B11277" w:rsidRPr="00584FFF" w:rsidRDefault="00B11277">
      <w:pPr>
        <w:pStyle w:val="FigureTitle"/>
      </w:pPr>
      <w:r w:rsidRPr="00584FFF">
        <w:rPr>
          <w:b w:val="0"/>
        </w:rPr>
        <w:lastRenderedPageBreak/>
        <w:t>Figure 7.</w:t>
      </w:r>
      <w:r w:rsidR="00E75B12" w:rsidRPr="00584FFF">
        <w:rPr>
          <w:b w:val="0"/>
          <w:noProof/>
        </w:rPr>
        <w:t>5</w:t>
      </w:r>
      <w:r w:rsidRPr="00584FFF">
        <w:tab/>
      </w:r>
      <w:r w:rsidR="00A04565" w:rsidRPr="00584FFF">
        <w:t>R</w:t>
      </w:r>
      <w:r w:rsidR="00074DD4" w:rsidRPr="00584FFF">
        <w:t>ecurrent expenditure</w:t>
      </w:r>
      <w:r w:rsidRPr="00584FFF">
        <w:t xml:space="preserve"> per finalisation, </w:t>
      </w:r>
      <w:r w:rsidR="003162B3" w:rsidRPr="00584FFF">
        <w:t>district/county c</w:t>
      </w:r>
      <w:r w:rsidR="00BC62E9" w:rsidRPr="00584FFF">
        <w:t>ourt</w:t>
      </w:r>
      <w:r w:rsidRPr="00584FFF">
        <w:t xml:space="preserve">s, </w:t>
      </w:r>
      <w:r w:rsidR="00624CD3">
        <w:t>2012</w:t>
      </w:r>
      <w:r w:rsidR="00944904" w:rsidRPr="00584FFF">
        <w:noBreakHyphen/>
      </w:r>
      <w:r w:rsidR="0008759F" w:rsidRPr="00584FFF">
        <w:t>1</w:t>
      </w:r>
      <w:r w:rsidR="00624CD3">
        <w:t>3</w:t>
      </w:r>
      <w:r w:rsidR="00496B4E" w:rsidRPr="00584FFF">
        <w:rPr>
          <w:rStyle w:val="NoteLabel"/>
          <w:b/>
        </w:rPr>
        <w:t>a, b</w:t>
      </w:r>
      <w:r w:rsidR="004E31AE" w:rsidRPr="00584FFF">
        <w:rPr>
          <w:rStyle w:val="NoteLabel"/>
          <w:b/>
        </w:rPr>
        <w:t>, c</w:t>
      </w:r>
      <w:r w:rsidR="00C73F55" w:rsidRPr="00584FFF">
        <w:rPr>
          <w:rStyle w:val="NoteLabel"/>
          <w:b/>
        </w:rPr>
        <w:t>,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401"/>
      </w:tblGrid>
      <w:tr w:rsidR="00B11277" w:rsidTr="00BC1D5E">
        <w:trPr>
          <w:trHeight w:val="9068"/>
        </w:trPr>
        <w:tc>
          <w:tcPr>
            <w:tcW w:w="8401" w:type="dxa"/>
          </w:tcPr>
          <w:p w:rsidR="00BC1D5E" w:rsidRPr="00A2237F" w:rsidRDefault="00A2237F" w:rsidP="00F701E8">
            <w:pPr>
              <w:pStyle w:val="FigureTitle"/>
              <w:numPr>
                <w:ilvl w:val="0"/>
                <w:numId w:val="21"/>
              </w:numPr>
              <w:jc w:val="center"/>
              <w:rPr>
                <w:noProof/>
                <w:sz w:val="20"/>
                <w:szCs w:val="20"/>
              </w:rPr>
            </w:pPr>
            <w:r w:rsidRPr="00A2237F">
              <w:rPr>
                <w:noProof/>
                <w:sz w:val="20"/>
                <w:szCs w:val="20"/>
              </w:rPr>
              <w:t>Gross recurrent expenditure</w:t>
            </w:r>
          </w:p>
          <w:p w:rsidR="00BC1D5E" w:rsidRDefault="009646F0" w:rsidP="00BC1D5E">
            <w:pPr>
              <w:pStyle w:val="Figure"/>
              <w:rPr>
                <w:noProof/>
              </w:rPr>
            </w:pPr>
            <w:r>
              <w:rPr>
                <w:noProof/>
              </w:rPr>
              <w:drawing>
                <wp:inline distT="0" distB="0" distL="0" distR="0">
                  <wp:extent cx="5391150" cy="2695575"/>
                  <wp:effectExtent l="0" t="0" r="0" b="9525"/>
                  <wp:docPr id="9" name="Picture 9" descr="Figure 7.5 Recurrent expenditure per finalisation, district/county courts, 2012-13&#10;&#10;(a) Gross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p w:rsidR="00A2237F" w:rsidRPr="00A2237F" w:rsidRDefault="00B602FA" w:rsidP="00F701E8">
            <w:pPr>
              <w:pStyle w:val="FigureTitle"/>
              <w:numPr>
                <w:ilvl w:val="0"/>
                <w:numId w:val="21"/>
              </w:numPr>
              <w:jc w:val="center"/>
              <w:rPr>
                <w:noProof/>
                <w:sz w:val="20"/>
                <w:szCs w:val="20"/>
              </w:rPr>
            </w:pPr>
            <w:r>
              <w:rPr>
                <w:noProof/>
                <w:sz w:val="20"/>
                <w:szCs w:val="20"/>
              </w:rPr>
              <w:t>Net</w:t>
            </w:r>
            <w:r w:rsidR="00A2237F" w:rsidRPr="00A2237F">
              <w:rPr>
                <w:noProof/>
                <w:sz w:val="20"/>
                <w:szCs w:val="20"/>
              </w:rPr>
              <w:t xml:space="preserve"> recurrent expenditure</w:t>
            </w:r>
          </w:p>
          <w:p w:rsidR="00FB0642" w:rsidRPr="00BC1D5E" w:rsidRDefault="009646F0" w:rsidP="00BC1D5E">
            <w:pPr>
              <w:pStyle w:val="Figure"/>
            </w:pPr>
            <w:r>
              <w:rPr>
                <w:noProof/>
              </w:rPr>
              <w:drawing>
                <wp:inline distT="0" distB="0" distL="0" distR="0">
                  <wp:extent cx="5391150" cy="2695575"/>
                  <wp:effectExtent l="0" t="0" r="0" b="9525"/>
                  <wp:docPr id="10" name="Picture 10" descr="Figure 7.5 Recurrent expenditure per finalisation, district/county courts, 2012-13&#10;&#10;(b) Net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3C3ED2" w:rsidRDefault="00B11277" w:rsidP="003C3ED2">
      <w:pPr>
        <w:pStyle w:val="Note"/>
      </w:pPr>
      <w:proofErr w:type="spellStart"/>
      <w:r>
        <w:rPr>
          <w:rStyle w:val="NoteLabel"/>
        </w:rPr>
        <w:t>a</w:t>
      </w:r>
      <w:proofErr w:type="spellEnd"/>
      <w:r>
        <w:sym w:font="Symbol" w:char="F020"/>
      </w:r>
      <w:r w:rsidR="00B1359F">
        <w:t> </w:t>
      </w:r>
      <w:r w:rsidR="00512341">
        <w:t>E</w:t>
      </w:r>
      <w:r w:rsidR="007319E0">
        <w:t xml:space="preserve">xcludes payroll tax. </w:t>
      </w:r>
      <w:r w:rsidR="007319E0">
        <w:rPr>
          <w:rStyle w:val="NoteLabel"/>
        </w:rPr>
        <w:t>b</w:t>
      </w:r>
      <w:r w:rsidR="00B1359F">
        <w:t> </w:t>
      </w:r>
      <w:r w:rsidR="007319E0">
        <w:t>In Queensland</w:t>
      </w:r>
      <w:r w:rsidR="00A71FCA">
        <w:t>,</w:t>
      </w:r>
      <w:r w:rsidR="003162B3">
        <w:t xml:space="preserve"> some children’s c</w:t>
      </w:r>
      <w:r w:rsidR="007319E0">
        <w:t>ourt</w:t>
      </w:r>
      <w:r w:rsidR="003162B3">
        <w:t>s</w:t>
      </w:r>
      <w:r w:rsidR="007319E0">
        <w:t xml:space="preserve"> criminal matters are heard in </w:t>
      </w:r>
      <w:r w:rsidR="00766C1D">
        <w:t>the D</w:t>
      </w:r>
      <w:r w:rsidR="007319E0">
        <w:t xml:space="preserve">istrict </w:t>
      </w:r>
      <w:r w:rsidR="00766C1D">
        <w:t>C</w:t>
      </w:r>
      <w:r w:rsidR="007319E0">
        <w:t xml:space="preserve">ourt </w:t>
      </w:r>
      <w:r w:rsidR="00B1359F">
        <w:t xml:space="preserve">but </w:t>
      </w:r>
      <w:r w:rsidR="00766C1D">
        <w:t>in</w:t>
      </w:r>
      <w:r w:rsidR="00B1359F">
        <w:t xml:space="preserve"> this Report</w:t>
      </w:r>
      <w:r w:rsidR="00766C1D">
        <w:t xml:space="preserve"> are</w:t>
      </w:r>
      <w:r w:rsidR="007319E0">
        <w:t xml:space="preserve"> included </w:t>
      </w:r>
      <w:r w:rsidR="003162B3">
        <w:t>with children’s c</w:t>
      </w:r>
      <w:r w:rsidR="00496B4E">
        <w:t>ourt</w:t>
      </w:r>
      <w:r w:rsidR="00766C1D">
        <w:t>s</w:t>
      </w:r>
      <w:r w:rsidR="003162B3">
        <w:t xml:space="preserve"> data</w:t>
      </w:r>
      <w:r w:rsidR="00496B4E">
        <w:t>.</w:t>
      </w:r>
      <w:r w:rsidR="004E31AE">
        <w:t xml:space="preserve"> </w:t>
      </w:r>
      <w:r w:rsidR="001245F5">
        <w:rPr>
          <w:rStyle w:val="NoteLabel"/>
        </w:rPr>
        <w:t>c</w:t>
      </w:r>
      <w:r w:rsidR="00C73F55" w:rsidRPr="00A160D7">
        <w:rPr>
          <w:rStyle w:val="NoteLabel"/>
        </w:rPr>
        <w:t> </w:t>
      </w:r>
      <w:r w:rsidR="00C73F55" w:rsidRPr="00A160D7">
        <w:t>County Court civil and criminal data include the Public Private Partnership rental and associated costs for the Victorian County Court building.</w:t>
      </w:r>
      <w:r w:rsidR="009C25FB">
        <w:t xml:space="preserve"> </w:t>
      </w:r>
      <w:r w:rsidR="009C25FB">
        <w:rPr>
          <w:rStyle w:val="NoteLabel"/>
        </w:rPr>
        <w:t>d</w:t>
      </w:r>
      <w:r w:rsidR="009C25FB">
        <w:t> WA civil and criminal data include associated costs relating to the Public Private Partnership for the District Court building.</w:t>
      </w:r>
    </w:p>
    <w:p w:rsidR="00B11277" w:rsidRDefault="003F2209" w:rsidP="003C3ED2">
      <w:pPr>
        <w:pStyle w:val="Note"/>
      </w:pPr>
      <w:r>
        <w:rPr>
          <w:i/>
        </w:rPr>
        <w:t>S</w:t>
      </w:r>
      <w:r w:rsidR="00B11277">
        <w:rPr>
          <w:i/>
        </w:rPr>
        <w:t>ource</w:t>
      </w:r>
      <w:r w:rsidR="00B11277" w:rsidRPr="003F2209">
        <w:t>:</w:t>
      </w:r>
      <w:r w:rsidR="00B11277">
        <w:t xml:space="preserve"> </w:t>
      </w:r>
      <w:r w:rsidR="007319E0">
        <w:t xml:space="preserve">State and Territory court authorities and departments (unpublished); </w:t>
      </w:r>
      <w:r w:rsidR="004465CF">
        <w:t>tables </w:t>
      </w:r>
      <w:proofErr w:type="spellStart"/>
      <w:r w:rsidR="004465CF">
        <w:t>7A.</w:t>
      </w:r>
      <w:r w:rsidR="00EE4578">
        <w:t>31</w:t>
      </w:r>
      <w:proofErr w:type="spellEnd"/>
      <w:r w:rsidR="004465CF">
        <w:t>-</w:t>
      </w:r>
      <w:r w:rsidR="00CC4DC2">
        <w:t>3</w:t>
      </w:r>
      <w:r w:rsidR="00EE4578">
        <w:t>5</w:t>
      </w:r>
      <w:r w:rsidR="008817E1">
        <w:t>.</w:t>
      </w:r>
    </w:p>
    <w:p w:rsidR="003251F9" w:rsidRDefault="00A749BE" w:rsidP="003251F9">
      <w:pPr>
        <w:pStyle w:val="Heading5"/>
      </w:pPr>
      <w:r>
        <w:br w:type="page"/>
      </w:r>
      <w:r w:rsidR="00746C54">
        <w:t>E</w:t>
      </w:r>
      <w:r w:rsidR="003251F9">
        <w:t xml:space="preserve">xpenditure per finalisation for </w:t>
      </w:r>
      <w:r w:rsidR="003162B3">
        <w:t>magistrates’ c</w:t>
      </w:r>
      <w:r w:rsidR="00BC62E9">
        <w:t>ourt</w:t>
      </w:r>
      <w:r w:rsidR="003251F9">
        <w:t xml:space="preserve">s (including </w:t>
      </w:r>
      <w:r w:rsidR="003162B3">
        <w:t>c</w:t>
      </w:r>
      <w:r w:rsidR="00BC62E9">
        <w:t xml:space="preserve">hildren’s </w:t>
      </w:r>
      <w:r w:rsidR="003162B3">
        <w:t>c</w:t>
      </w:r>
      <w:r w:rsidR="00BC62E9">
        <w:t>ourt</w:t>
      </w:r>
      <w:r w:rsidR="003251F9">
        <w:t>s)</w:t>
      </w:r>
    </w:p>
    <w:p w:rsidR="00B61C2A" w:rsidRDefault="003251F9" w:rsidP="00163274">
      <w:pPr>
        <w:pStyle w:val="BodyText"/>
        <w:spacing w:before="120"/>
      </w:pPr>
      <w:r w:rsidRPr="00EA12F6">
        <w:t>Nationally</w:t>
      </w:r>
      <w:r w:rsidR="003162B3" w:rsidRPr="00EA12F6">
        <w:t xml:space="preserve"> for magistrates’ courts</w:t>
      </w:r>
      <w:r w:rsidRPr="00EA12F6">
        <w:t xml:space="preserve">, net expenditure per criminal finalisation was greater than net expenditure per civil finalisation. This was </w:t>
      </w:r>
      <w:r w:rsidR="00A02AA8" w:rsidRPr="00EA12F6">
        <w:t xml:space="preserve">also </w:t>
      </w:r>
      <w:r w:rsidR="00177B40" w:rsidRPr="00EA12F6">
        <w:t xml:space="preserve">the case across </w:t>
      </w:r>
      <w:r w:rsidR="007B5883">
        <w:t>most</w:t>
      </w:r>
      <w:r w:rsidRPr="00EA12F6">
        <w:t xml:space="preserve"> states and territories</w:t>
      </w:r>
      <w:r>
        <w:t xml:space="preserve"> </w:t>
      </w:r>
      <w:r w:rsidR="007E0660">
        <w:t>(</w:t>
      </w:r>
      <w:r w:rsidR="00A76A9C">
        <w:t>figure 7</w:t>
      </w:r>
      <w:r>
        <w:t>.6).</w:t>
      </w:r>
    </w:p>
    <w:p w:rsidR="001045B2" w:rsidRPr="00584FFF" w:rsidRDefault="001045B2">
      <w:pPr>
        <w:pStyle w:val="FigureTitle"/>
        <w:rPr>
          <w:rStyle w:val="NoteLabel"/>
          <w:b/>
          <w:position w:val="0"/>
          <w:sz w:val="26"/>
        </w:rPr>
      </w:pPr>
      <w:r w:rsidRPr="00584FFF">
        <w:rPr>
          <w:b w:val="0"/>
        </w:rPr>
        <w:t>Figure 7.</w:t>
      </w:r>
      <w:r w:rsidR="00E75B12" w:rsidRPr="00584FFF">
        <w:rPr>
          <w:b w:val="0"/>
          <w:noProof/>
        </w:rPr>
        <w:t>6</w:t>
      </w:r>
      <w:r w:rsidRPr="00584FFF">
        <w:tab/>
      </w:r>
      <w:r w:rsidR="00690F43" w:rsidRPr="00584FFF">
        <w:t>R</w:t>
      </w:r>
      <w:r w:rsidR="00074DD4" w:rsidRPr="00584FFF">
        <w:t>ecurrent expenditure</w:t>
      </w:r>
      <w:r w:rsidRPr="00584FFF">
        <w:t xml:space="preserve"> per finalisation, total </w:t>
      </w:r>
      <w:r w:rsidR="003162B3" w:rsidRPr="00584FFF">
        <w:t>magistrates’ c</w:t>
      </w:r>
      <w:r w:rsidR="00BC62E9" w:rsidRPr="00584FFF">
        <w:t>ourt</w:t>
      </w:r>
      <w:r w:rsidRPr="00584FFF">
        <w:t xml:space="preserve">s (including magistrates’ and </w:t>
      </w:r>
      <w:r w:rsidR="003162B3" w:rsidRPr="00584FFF">
        <w:t>children’s c</w:t>
      </w:r>
      <w:r w:rsidR="00BC62E9" w:rsidRPr="00584FFF">
        <w:t>ourt</w:t>
      </w:r>
      <w:r w:rsidRPr="00584FFF">
        <w:t xml:space="preserve">s), </w:t>
      </w:r>
      <w:r w:rsidR="00CF53E5">
        <w:t>2012</w:t>
      </w:r>
      <w:r w:rsidR="006D326B" w:rsidRPr="00584FFF">
        <w:noBreakHyphen/>
      </w:r>
      <w:r w:rsidR="006C3715" w:rsidRPr="00584FFF">
        <w:t>1</w:t>
      </w:r>
      <w:r w:rsidR="00CF53E5">
        <w:t>3</w:t>
      </w:r>
      <w:r w:rsidRPr="00584FFF">
        <w:rPr>
          <w:rStyle w:val="NoteLabel"/>
          <w:b/>
        </w:rPr>
        <w:t>a,</w:t>
      </w:r>
      <w:r w:rsidR="00A55256" w:rsidRPr="00584FFF">
        <w:rPr>
          <w:rStyle w:val="NoteLabel"/>
          <w:b/>
        </w:rPr>
        <w:t xml:space="preserve">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045B2" w:rsidTr="009F61F0">
        <w:tc>
          <w:tcPr>
            <w:tcW w:w="8777" w:type="dxa"/>
          </w:tcPr>
          <w:p w:rsidR="00690F43" w:rsidRDefault="00BF2ADA" w:rsidP="00F02F80">
            <w:pPr>
              <w:pStyle w:val="Figure"/>
              <w:numPr>
                <w:ilvl w:val="0"/>
                <w:numId w:val="22"/>
              </w:numPr>
              <w:rPr>
                <w:rFonts w:ascii="Arial" w:hAnsi="Arial" w:cs="Arial"/>
                <w:b/>
                <w:sz w:val="20"/>
              </w:rPr>
            </w:pPr>
            <w:r>
              <w:rPr>
                <w:rFonts w:ascii="Arial" w:hAnsi="Arial" w:cs="Arial"/>
                <w:b/>
                <w:sz w:val="20"/>
              </w:rPr>
              <w:t>Gross recurrent expenditure</w:t>
            </w:r>
          </w:p>
          <w:p w:rsidR="00BF2ADA" w:rsidRDefault="009646F0">
            <w:pPr>
              <w:pStyle w:val="Figure"/>
              <w:rPr>
                <w:rFonts w:ascii="Arial" w:hAnsi="Arial" w:cs="Arial"/>
                <w:b/>
                <w:sz w:val="20"/>
              </w:rPr>
            </w:pPr>
            <w:r>
              <w:rPr>
                <w:rFonts w:ascii="Arial" w:hAnsi="Arial" w:cs="Arial"/>
                <w:b/>
                <w:noProof/>
                <w:sz w:val="20"/>
              </w:rPr>
              <w:drawing>
                <wp:inline distT="0" distB="0" distL="0" distR="0">
                  <wp:extent cx="5391150" cy="2695575"/>
                  <wp:effectExtent l="0" t="0" r="0" b="9525"/>
                  <wp:docPr id="11" name="Picture 11" descr="Figure 7.6 Recurrent expenditure per finalisation, total magistrates’ courts (including magistrates’ and children’s courts), 2012-13&#10;&#10;(a) Gross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p w:rsidR="00BF2ADA" w:rsidRDefault="00585FEB" w:rsidP="00F02F80">
            <w:pPr>
              <w:pStyle w:val="Figure"/>
              <w:numPr>
                <w:ilvl w:val="0"/>
                <w:numId w:val="22"/>
              </w:numPr>
              <w:rPr>
                <w:rFonts w:ascii="Arial" w:hAnsi="Arial" w:cs="Arial"/>
                <w:b/>
                <w:sz w:val="20"/>
              </w:rPr>
            </w:pPr>
            <w:r>
              <w:rPr>
                <w:rFonts w:ascii="Arial" w:hAnsi="Arial" w:cs="Arial"/>
                <w:b/>
                <w:sz w:val="20"/>
              </w:rPr>
              <w:t>Net recurrent expenditure</w:t>
            </w:r>
          </w:p>
          <w:p w:rsidR="00BF2ADA" w:rsidRPr="00690F43" w:rsidRDefault="009646F0">
            <w:pPr>
              <w:pStyle w:val="Figure"/>
              <w:rPr>
                <w:rFonts w:ascii="Arial" w:hAnsi="Arial" w:cs="Arial"/>
                <w:b/>
                <w:sz w:val="20"/>
              </w:rPr>
            </w:pPr>
            <w:r>
              <w:rPr>
                <w:rFonts w:ascii="Arial" w:hAnsi="Arial" w:cs="Arial"/>
                <w:b/>
                <w:noProof/>
                <w:sz w:val="20"/>
              </w:rPr>
              <w:drawing>
                <wp:inline distT="0" distB="0" distL="0" distR="0">
                  <wp:extent cx="5391150" cy="2695575"/>
                  <wp:effectExtent l="0" t="0" r="0" b="9525"/>
                  <wp:docPr id="12" name="Picture 12" descr="Figure 7.6 Recurrent expenditure per finalisation, total magistrates’ courts (including magistrates’ and children’s courts), 2012-13&#10;&#10;(b) Net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045B2" w:rsidRPr="009E26F4" w:rsidRDefault="001045B2" w:rsidP="00454D6B">
      <w:pPr>
        <w:pStyle w:val="Note"/>
      </w:pPr>
      <w:proofErr w:type="spellStart"/>
      <w:r w:rsidRPr="00D905F7">
        <w:rPr>
          <w:rStyle w:val="NoteLabel"/>
        </w:rPr>
        <w:t>a</w:t>
      </w:r>
      <w:proofErr w:type="spellEnd"/>
      <w:r w:rsidR="004465CF" w:rsidRPr="00D905F7">
        <w:t> E</w:t>
      </w:r>
      <w:r w:rsidR="00C61040" w:rsidRPr="00D905F7">
        <w:t xml:space="preserve">xcludes payroll tax. </w:t>
      </w:r>
      <w:r w:rsidR="003F7288" w:rsidRPr="00D905F7">
        <w:rPr>
          <w:rStyle w:val="NoteLabel"/>
        </w:rPr>
        <w:t>b</w:t>
      </w:r>
      <w:r w:rsidR="001245F5" w:rsidRPr="00D905F7">
        <w:rPr>
          <w:rStyle w:val="NoteLabel"/>
        </w:rPr>
        <w:t> </w:t>
      </w:r>
      <w:r w:rsidR="00DC2363" w:rsidRPr="00D905F7">
        <w:t xml:space="preserve">Queensland </w:t>
      </w:r>
      <w:r w:rsidR="00DF4BDD" w:rsidRPr="00D905F7">
        <w:t>c</w:t>
      </w:r>
      <w:r w:rsidR="00C24CA4" w:rsidRPr="00D905F7">
        <w:t>hildren’s</w:t>
      </w:r>
      <w:r w:rsidR="00DF4BDD" w:rsidRPr="00D905F7">
        <w:t xml:space="preserve"> c</w:t>
      </w:r>
      <w:r w:rsidR="00DC2363" w:rsidRPr="00D905F7">
        <w:t>ourt</w:t>
      </w:r>
      <w:r w:rsidR="00DF4BDD" w:rsidRPr="00D905F7">
        <w:t>s</w:t>
      </w:r>
      <w:r w:rsidR="00DC2363" w:rsidRPr="00D905F7">
        <w:t xml:space="preserve"> data for civil cases </w:t>
      </w:r>
      <w:r w:rsidR="00DF4BDD" w:rsidRPr="00D905F7">
        <w:t>are</w:t>
      </w:r>
      <w:r w:rsidR="00DC2363" w:rsidRPr="00D905F7">
        <w:t xml:space="preserve"> based on a count of cases, not the number of children involved</w:t>
      </w:r>
      <w:r w:rsidR="00DC2363" w:rsidRPr="00DC2363">
        <w:t xml:space="preserve"> in </w:t>
      </w:r>
      <w:r w:rsidR="00DF4BDD">
        <w:t>each</w:t>
      </w:r>
      <w:r w:rsidR="00DC2363" w:rsidRPr="00DC2363">
        <w:t xml:space="preserve"> care and protection case.</w:t>
      </w:r>
    </w:p>
    <w:p w:rsidR="001045B2" w:rsidRDefault="003F2209">
      <w:pPr>
        <w:pStyle w:val="Source"/>
      </w:pPr>
      <w:r>
        <w:rPr>
          <w:i/>
        </w:rPr>
        <w:t>S</w:t>
      </w:r>
      <w:r w:rsidR="001045B2">
        <w:rPr>
          <w:i/>
        </w:rPr>
        <w:t>ource</w:t>
      </w:r>
      <w:r w:rsidR="001045B2" w:rsidRPr="003F2209">
        <w:t>:</w:t>
      </w:r>
      <w:r w:rsidR="001045B2">
        <w:t xml:space="preserve"> </w:t>
      </w:r>
      <w:r w:rsidR="00FA28F2">
        <w:t xml:space="preserve">State and Territory court </w:t>
      </w:r>
      <w:r w:rsidR="005446A7">
        <w:t xml:space="preserve">authorities and </w:t>
      </w:r>
      <w:r w:rsidR="00FA28F2">
        <w:t xml:space="preserve">departments (unpublished); </w:t>
      </w:r>
      <w:r w:rsidR="004465CF">
        <w:t>tables </w:t>
      </w:r>
      <w:proofErr w:type="spellStart"/>
      <w:r w:rsidR="004465CF">
        <w:t>7A.</w:t>
      </w:r>
      <w:r w:rsidR="00EE4578">
        <w:t>31</w:t>
      </w:r>
      <w:proofErr w:type="spellEnd"/>
      <w:r w:rsidR="004465CF">
        <w:t>-</w:t>
      </w:r>
      <w:r w:rsidR="00CC4DC2">
        <w:t>3</w:t>
      </w:r>
      <w:r w:rsidR="00EE4578">
        <w:t>5</w:t>
      </w:r>
      <w:r w:rsidR="008817E1">
        <w:t>.</w:t>
      </w:r>
    </w:p>
    <w:p w:rsidR="00E7286E" w:rsidRDefault="00C563E1" w:rsidP="00FE3767">
      <w:pPr>
        <w:pStyle w:val="Heading5"/>
        <w:pageBreakBefore/>
      </w:pPr>
      <w:r>
        <w:t>E</w:t>
      </w:r>
      <w:r w:rsidR="00E7286E">
        <w:t xml:space="preserve">xpenditure per finalisation for </w:t>
      </w:r>
      <w:r w:rsidR="0047275C">
        <w:t>children’s c</w:t>
      </w:r>
      <w:r w:rsidR="00BC62E9">
        <w:t>ourt</w:t>
      </w:r>
      <w:r w:rsidR="00E7286E">
        <w:t>s</w:t>
      </w:r>
    </w:p>
    <w:p w:rsidR="007606DE" w:rsidRPr="007606DE" w:rsidRDefault="00C563E1" w:rsidP="00FE3767">
      <w:pPr>
        <w:pStyle w:val="BodyText"/>
        <w:keepNext/>
      </w:pPr>
      <w:r>
        <w:t>E</w:t>
      </w:r>
      <w:r w:rsidR="00E7286E">
        <w:t xml:space="preserve">xpenditure per finalisation </w:t>
      </w:r>
      <w:r w:rsidR="0047275C">
        <w:t>for</w:t>
      </w:r>
      <w:r w:rsidR="00E7286E">
        <w:t xml:space="preserve"> </w:t>
      </w:r>
      <w:r w:rsidR="0047275C">
        <w:t>children’s c</w:t>
      </w:r>
      <w:r w:rsidR="00BC62E9">
        <w:t>ourt</w:t>
      </w:r>
      <w:r w:rsidR="00E7286E">
        <w:t>s varies across states and territories, particularly for civil matters, but also for criminal matters (</w:t>
      </w:r>
      <w:r w:rsidR="00A76A9C">
        <w:t>figure 7</w:t>
      </w:r>
      <w:r w:rsidR="004E13AC">
        <w:t>.7). The majority of matters heard</w:t>
      </w:r>
      <w:r w:rsidR="00E7286E">
        <w:t xml:space="preserve"> in the civil jurisdiction of </w:t>
      </w:r>
      <w:r w:rsidR="0047275C">
        <w:t>children’s c</w:t>
      </w:r>
      <w:r w:rsidR="00BC62E9">
        <w:t>ourt</w:t>
      </w:r>
      <w:r w:rsidR="00E7286E">
        <w:t>s</w:t>
      </w:r>
      <w:r w:rsidR="00B01C04">
        <w:t xml:space="preserve"> are care and protection orders. H</w:t>
      </w:r>
      <w:r w:rsidR="00E7286E">
        <w:t>owever</w:t>
      </w:r>
      <w:r w:rsidR="00AE3A2D">
        <w:t>,</w:t>
      </w:r>
      <w:r w:rsidR="00E7286E">
        <w:t xml:space="preserve"> some jurisdictions will also hear matters such as applications for intervention orders. </w:t>
      </w:r>
      <w:r w:rsidR="007606DE">
        <w:t>In Tasmania</w:t>
      </w:r>
      <w:r w:rsidR="00B01C04">
        <w:t>,</w:t>
      </w:r>
      <w:r w:rsidR="007606DE">
        <w:t xml:space="preserve"> </w:t>
      </w:r>
      <w:r w:rsidR="007606DE" w:rsidRPr="007606DE">
        <w:t>child protec</w:t>
      </w:r>
      <w:r w:rsidR="0047275C">
        <w:t>tion matters are lodged in the criminal r</w:t>
      </w:r>
      <w:r w:rsidR="007606DE" w:rsidRPr="007606DE">
        <w:t>egistry as urgent</w:t>
      </w:r>
      <w:r w:rsidR="007606DE">
        <w:t>.</w:t>
      </w:r>
    </w:p>
    <w:p w:rsidR="00E7286E" w:rsidRDefault="0062442E" w:rsidP="00E7286E">
      <w:pPr>
        <w:pStyle w:val="BodyText"/>
      </w:pPr>
      <w:r>
        <w:t>N</w:t>
      </w:r>
      <w:r w:rsidR="0047275C" w:rsidRPr="00EA12F6">
        <w:t>ationally,</w:t>
      </w:r>
      <w:r w:rsidR="001D5A72">
        <w:t xml:space="preserve"> and in most</w:t>
      </w:r>
      <w:r>
        <w:t xml:space="preserve"> states and territories,</w:t>
      </w:r>
      <w:r w:rsidR="0047275C" w:rsidRPr="00EA12F6">
        <w:t xml:space="preserve"> </w:t>
      </w:r>
      <w:r w:rsidR="00E7286E" w:rsidRPr="00EA12F6">
        <w:t>net</w:t>
      </w:r>
      <w:r>
        <w:t xml:space="preserve"> recurrent</w:t>
      </w:r>
      <w:r w:rsidR="00E7286E" w:rsidRPr="00EA12F6">
        <w:t xml:space="preserve"> expenditure per finalisation </w:t>
      </w:r>
      <w:r w:rsidR="00404C61">
        <w:t>is</w:t>
      </w:r>
      <w:r w:rsidR="00177B40" w:rsidRPr="00EA12F6">
        <w:t xml:space="preserve"> </w:t>
      </w:r>
      <w:r w:rsidR="00E7286E" w:rsidRPr="00EA12F6">
        <w:t>higher in the civil jurisdiction</w:t>
      </w:r>
      <w:r w:rsidR="00E7286E">
        <w:t>.</w:t>
      </w:r>
    </w:p>
    <w:p w:rsidR="00E7286E" w:rsidRPr="00584FFF" w:rsidRDefault="00E7286E" w:rsidP="00E7286E">
      <w:pPr>
        <w:pStyle w:val="FigureTitle"/>
        <w:rPr>
          <w:rStyle w:val="NoteLabel"/>
        </w:rPr>
      </w:pPr>
      <w:r w:rsidRPr="00584FFF">
        <w:rPr>
          <w:b w:val="0"/>
        </w:rPr>
        <w:t>Figure 7.</w:t>
      </w:r>
      <w:r w:rsidR="00E75B12" w:rsidRPr="00584FFF">
        <w:rPr>
          <w:b w:val="0"/>
          <w:noProof/>
        </w:rPr>
        <w:t>7</w:t>
      </w:r>
      <w:r w:rsidRPr="00584FFF">
        <w:tab/>
      </w:r>
      <w:r w:rsidR="0048046F" w:rsidRPr="00584FFF">
        <w:t>R</w:t>
      </w:r>
      <w:r w:rsidR="00074DD4" w:rsidRPr="00584FFF">
        <w:t xml:space="preserve">ecurrent expenditure </w:t>
      </w:r>
      <w:r w:rsidRPr="00584FFF">
        <w:t xml:space="preserve">per finalisation, </w:t>
      </w:r>
      <w:r w:rsidR="001273F2" w:rsidRPr="00584FFF">
        <w:t>children’s c</w:t>
      </w:r>
      <w:r w:rsidR="00BC62E9" w:rsidRPr="00584FFF">
        <w:t>ourt</w:t>
      </w:r>
      <w:r w:rsidRPr="00584FFF">
        <w:t xml:space="preserve">s, </w:t>
      </w:r>
      <w:r w:rsidR="00CF53E5">
        <w:t>2012</w:t>
      </w:r>
      <w:r w:rsidR="002C7B11">
        <w:noBreakHyphen/>
      </w:r>
      <w:r w:rsidR="006C3715" w:rsidRPr="00584FFF">
        <w:t>1</w:t>
      </w:r>
      <w:r w:rsidR="00CF53E5">
        <w:t>3</w:t>
      </w:r>
      <w:r w:rsidR="00DD6C46" w:rsidRPr="00584FFF">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7286E" w:rsidTr="0053289C">
        <w:tc>
          <w:tcPr>
            <w:tcW w:w="8777" w:type="dxa"/>
          </w:tcPr>
          <w:p w:rsidR="0048046F" w:rsidRDefault="006D0410" w:rsidP="00F02F80">
            <w:pPr>
              <w:pStyle w:val="Figure"/>
              <w:numPr>
                <w:ilvl w:val="0"/>
                <w:numId w:val="23"/>
              </w:numPr>
              <w:rPr>
                <w:rFonts w:ascii="Arial" w:hAnsi="Arial" w:cs="Arial"/>
                <w:b/>
                <w:sz w:val="20"/>
              </w:rPr>
            </w:pPr>
            <w:r>
              <w:rPr>
                <w:rFonts w:ascii="Arial" w:hAnsi="Arial" w:cs="Arial"/>
                <w:b/>
                <w:sz w:val="20"/>
              </w:rPr>
              <w:t>Gross recurrent expenditure</w:t>
            </w:r>
          </w:p>
          <w:p w:rsidR="006D0410" w:rsidRDefault="009646F0" w:rsidP="00E7286E">
            <w:pPr>
              <w:pStyle w:val="Figure"/>
              <w:rPr>
                <w:rFonts w:ascii="Arial" w:hAnsi="Arial" w:cs="Arial"/>
                <w:b/>
                <w:sz w:val="20"/>
              </w:rPr>
            </w:pPr>
            <w:r>
              <w:rPr>
                <w:rFonts w:ascii="Arial" w:hAnsi="Arial" w:cs="Arial"/>
                <w:b/>
                <w:noProof/>
                <w:sz w:val="20"/>
              </w:rPr>
              <w:drawing>
                <wp:inline distT="0" distB="0" distL="0" distR="0">
                  <wp:extent cx="5391150" cy="2876550"/>
                  <wp:effectExtent l="0" t="0" r="0" b="0"/>
                  <wp:docPr id="13" name="Picture 13" descr="Figure 7.7 Recurrent expenditure per finalisation, children’s courts, 2012-13&#10;&#10;(a) Gross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p w:rsidR="006D0410" w:rsidRDefault="004337F0" w:rsidP="00F02F80">
            <w:pPr>
              <w:pStyle w:val="Figure"/>
              <w:numPr>
                <w:ilvl w:val="0"/>
                <w:numId w:val="23"/>
              </w:numPr>
              <w:rPr>
                <w:rFonts w:ascii="Arial" w:hAnsi="Arial" w:cs="Arial"/>
                <w:b/>
                <w:sz w:val="20"/>
              </w:rPr>
            </w:pPr>
            <w:r>
              <w:rPr>
                <w:rFonts w:ascii="Arial" w:hAnsi="Arial" w:cs="Arial"/>
                <w:b/>
                <w:sz w:val="20"/>
              </w:rPr>
              <w:t>Net recurrent expenditure</w:t>
            </w:r>
          </w:p>
          <w:p w:rsidR="004337F0" w:rsidRPr="0048046F" w:rsidRDefault="009646F0" w:rsidP="004337F0">
            <w:pPr>
              <w:pStyle w:val="Figure"/>
            </w:pPr>
            <w:r>
              <w:rPr>
                <w:noProof/>
              </w:rPr>
              <w:drawing>
                <wp:inline distT="0" distB="0" distL="0" distR="0">
                  <wp:extent cx="5391150" cy="2876550"/>
                  <wp:effectExtent l="0" t="0" r="0" b="0"/>
                  <wp:docPr id="14" name="Picture 14" descr="Figure 7.7 Recurrent expenditure per finalisation, children’s courts, 2012-13&#10;&#10;(b) Net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E7286E" w:rsidRPr="00CB2E7A" w:rsidRDefault="00E7286E" w:rsidP="00CC6C02">
      <w:pPr>
        <w:pStyle w:val="Note"/>
      </w:pPr>
      <w:proofErr w:type="spellStart"/>
      <w:r w:rsidRPr="00D905F7">
        <w:rPr>
          <w:rStyle w:val="NoteLabel"/>
        </w:rPr>
        <w:t>a</w:t>
      </w:r>
      <w:proofErr w:type="spellEnd"/>
      <w:r w:rsidRPr="00D905F7">
        <w:sym w:font="Symbol" w:char="F020"/>
      </w:r>
      <w:r w:rsidR="004A3668" w:rsidRPr="00D905F7">
        <w:rPr>
          <w:szCs w:val="18"/>
        </w:rPr>
        <w:t> </w:t>
      </w:r>
      <w:r w:rsidR="00977858" w:rsidRPr="00D905F7">
        <w:t>E</w:t>
      </w:r>
      <w:r w:rsidRPr="00D905F7">
        <w:t xml:space="preserve">xcludes payroll tax. </w:t>
      </w:r>
      <w:r w:rsidR="00DD6C46" w:rsidRPr="00D905F7">
        <w:rPr>
          <w:rStyle w:val="NoteLabel"/>
        </w:rPr>
        <w:t>b</w:t>
      </w:r>
      <w:r w:rsidR="00DD6C46" w:rsidRPr="00D905F7">
        <w:t> </w:t>
      </w:r>
      <w:r w:rsidRPr="00D905F7">
        <w:rPr>
          <w:szCs w:val="18"/>
        </w:rPr>
        <w:t xml:space="preserve">In Victoria, </w:t>
      </w:r>
      <w:r w:rsidRPr="00D905F7">
        <w:rPr>
          <w:rFonts w:cs="Arial"/>
          <w:szCs w:val="18"/>
        </w:rPr>
        <w:t xml:space="preserve">children’s </w:t>
      </w:r>
      <w:r w:rsidR="006B5D7C" w:rsidRPr="00D905F7">
        <w:rPr>
          <w:rFonts w:cs="Arial"/>
          <w:szCs w:val="18"/>
        </w:rPr>
        <w:t>cases</w:t>
      </w:r>
      <w:r w:rsidR="006B5D7C">
        <w:rPr>
          <w:rFonts w:cs="Arial"/>
          <w:szCs w:val="18"/>
        </w:rPr>
        <w:t xml:space="preserve"> that are</w:t>
      </w:r>
      <w:r w:rsidR="006B5D7C" w:rsidRPr="00411A4F">
        <w:rPr>
          <w:rFonts w:cs="Arial"/>
          <w:szCs w:val="18"/>
        </w:rPr>
        <w:t xml:space="preserve"> </w:t>
      </w:r>
      <w:r w:rsidRPr="00411A4F">
        <w:rPr>
          <w:rFonts w:cs="Arial"/>
          <w:szCs w:val="18"/>
        </w:rPr>
        <w:t>not heard in the Melbourne Children’s Court a</w:t>
      </w:r>
      <w:r w:rsidR="0047275C">
        <w:rPr>
          <w:rFonts w:cs="Arial"/>
          <w:szCs w:val="18"/>
        </w:rPr>
        <w:t xml:space="preserve">re heard in </w:t>
      </w:r>
      <w:r w:rsidR="006B5D7C">
        <w:rPr>
          <w:rFonts w:cs="Arial"/>
          <w:szCs w:val="18"/>
        </w:rPr>
        <w:t xml:space="preserve">the </w:t>
      </w:r>
      <w:r w:rsidR="0047275C">
        <w:rPr>
          <w:rFonts w:cs="Arial"/>
          <w:szCs w:val="18"/>
        </w:rPr>
        <w:t>magistrates’ c</w:t>
      </w:r>
      <w:r w:rsidRPr="00411A4F">
        <w:rPr>
          <w:rFonts w:cs="Arial"/>
          <w:szCs w:val="18"/>
        </w:rPr>
        <w:t>ourt in regional areas.</w:t>
      </w:r>
      <w:r w:rsidR="006B5D7C">
        <w:rPr>
          <w:rFonts w:cs="Arial"/>
          <w:szCs w:val="18"/>
        </w:rPr>
        <w:t xml:space="preserve"> The expenditure related to those cases cannot be separately identified, and is included with the expenditure for the magistrates’ court. However, the quantity of those cases is known, and the finalisations are included with children’s court data.</w:t>
      </w:r>
      <w:r w:rsidRPr="00411A4F">
        <w:rPr>
          <w:rFonts w:cs="Arial"/>
          <w:szCs w:val="18"/>
        </w:rPr>
        <w:t xml:space="preserve"> </w:t>
      </w:r>
      <w:r w:rsidR="00663D5A">
        <w:rPr>
          <w:rStyle w:val="NoteLabel"/>
        </w:rPr>
        <w:t>c</w:t>
      </w:r>
      <w:r w:rsidR="004A3668">
        <w:t> </w:t>
      </w:r>
      <w:r w:rsidR="00266186" w:rsidRPr="00266186">
        <w:t>Qu</w:t>
      </w:r>
      <w:r w:rsidR="00AE6290">
        <w:t>eensland children’s c</w:t>
      </w:r>
      <w:r w:rsidR="00266186" w:rsidRPr="00266186">
        <w:t>ourt</w:t>
      </w:r>
      <w:r w:rsidR="00AE6290">
        <w:t>s data for civil cases are</w:t>
      </w:r>
      <w:r w:rsidR="00266186" w:rsidRPr="00266186">
        <w:t xml:space="preserve"> based on a count of cases, not the number of children involved in the care and protection case.</w:t>
      </w:r>
      <w:r w:rsidR="00444A4F">
        <w:t xml:space="preserve"> </w:t>
      </w:r>
    </w:p>
    <w:p w:rsidR="00E7286E" w:rsidRDefault="00E7286E" w:rsidP="00E7286E">
      <w:pPr>
        <w:pStyle w:val="Source"/>
      </w:pPr>
      <w:r>
        <w:rPr>
          <w:i/>
        </w:rPr>
        <w:t>Source</w:t>
      </w:r>
      <w:r w:rsidRPr="003F2209">
        <w:t>:</w:t>
      </w:r>
      <w:r>
        <w:t xml:space="preserve"> State and Territory court authorities and departme</w:t>
      </w:r>
      <w:r w:rsidR="00404C61">
        <w:t>nts (unpublished); tables </w:t>
      </w:r>
      <w:proofErr w:type="spellStart"/>
      <w:r w:rsidR="00404C61">
        <w:t>7A.</w:t>
      </w:r>
      <w:r w:rsidR="0006337C">
        <w:t>31</w:t>
      </w:r>
      <w:proofErr w:type="spellEnd"/>
      <w:r w:rsidR="00404C61">
        <w:t>-</w:t>
      </w:r>
      <w:r w:rsidR="00CC4DC2">
        <w:t>3</w:t>
      </w:r>
      <w:r w:rsidR="0006337C">
        <w:t>5</w:t>
      </w:r>
      <w:r>
        <w:t>.</w:t>
      </w:r>
    </w:p>
    <w:p w:rsidR="008233EE" w:rsidRPr="008233EE" w:rsidRDefault="005E3175" w:rsidP="00E7286E">
      <w:pPr>
        <w:pStyle w:val="Heading5"/>
      </w:pPr>
      <w:r>
        <w:t>E</w:t>
      </w:r>
      <w:r w:rsidR="008233EE" w:rsidRPr="008233EE">
        <w:t xml:space="preserve">xpenditure per finalisation for </w:t>
      </w:r>
      <w:r w:rsidR="00107161">
        <w:t>magistrates’ c</w:t>
      </w:r>
      <w:r w:rsidR="00BC62E9">
        <w:t>ourt</w:t>
      </w:r>
      <w:r w:rsidR="008233EE" w:rsidRPr="008233EE">
        <w:t>s only</w:t>
      </w:r>
    </w:p>
    <w:p w:rsidR="00486252" w:rsidRPr="008233EE" w:rsidRDefault="005E3175" w:rsidP="00454D6B">
      <w:pPr>
        <w:pStyle w:val="BodyText"/>
      </w:pPr>
      <w:r>
        <w:t>E</w:t>
      </w:r>
      <w:r w:rsidR="008233EE" w:rsidRPr="008233EE">
        <w:t xml:space="preserve">xpenditure per criminal and civil finalisation for </w:t>
      </w:r>
      <w:r w:rsidR="00107161">
        <w:t>magistrates’ c</w:t>
      </w:r>
      <w:r w:rsidR="00BC62E9">
        <w:t>ourt</w:t>
      </w:r>
      <w:r w:rsidR="00E7286E">
        <w:t xml:space="preserve">s only, </w:t>
      </w:r>
      <w:r w:rsidR="008233EE" w:rsidRPr="008233EE">
        <w:t xml:space="preserve">excluding </w:t>
      </w:r>
      <w:r w:rsidR="00107161">
        <w:t>children’s c</w:t>
      </w:r>
      <w:r w:rsidR="00BC62E9">
        <w:t>ourt</w:t>
      </w:r>
      <w:r w:rsidR="008233EE" w:rsidRPr="008233EE">
        <w:t>s</w:t>
      </w:r>
      <w:r w:rsidR="00E7286E" w:rsidRPr="00E7286E">
        <w:t xml:space="preserve"> </w:t>
      </w:r>
      <w:r w:rsidR="003B5A56">
        <w:t>for 2012</w:t>
      </w:r>
      <w:r w:rsidR="00205BCF">
        <w:noBreakHyphen/>
      </w:r>
      <w:r w:rsidR="003B5A56">
        <w:t>13</w:t>
      </w:r>
      <w:r w:rsidR="00E7286E">
        <w:t>,</w:t>
      </w:r>
      <w:r w:rsidR="008233EE" w:rsidRPr="008233EE">
        <w:t xml:space="preserve"> is presented in </w:t>
      </w:r>
      <w:r w:rsidR="00A76A9C">
        <w:t>figure 7</w:t>
      </w:r>
      <w:r w:rsidR="008233EE" w:rsidRPr="008233EE">
        <w:t>.</w:t>
      </w:r>
      <w:r w:rsidR="00E7286E">
        <w:t>8</w:t>
      </w:r>
      <w:r w:rsidR="008233EE" w:rsidRPr="008233EE">
        <w:t>.</w:t>
      </w:r>
      <w:r w:rsidR="00944A9B">
        <w:t xml:space="preserve"> </w:t>
      </w:r>
      <w:r w:rsidR="00944A9B" w:rsidRPr="007333AF">
        <w:t>Nationally, and in</w:t>
      </w:r>
      <w:r w:rsidR="00930697">
        <w:t xml:space="preserve"> most</w:t>
      </w:r>
      <w:r w:rsidR="00944A9B" w:rsidRPr="007333AF">
        <w:t xml:space="preserve"> states and territories, net recurrent expenditure per finalisation is higher in the criminal jurisdi</w:t>
      </w:r>
      <w:r w:rsidR="00C36375" w:rsidRPr="007333AF">
        <w:t>ction.</w:t>
      </w:r>
      <w:r w:rsidR="00C36375">
        <w:t xml:space="preserve"> </w:t>
      </w:r>
    </w:p>
    <w:p w:rsidR="00486252" w:rsidRPr="00584FFF" w:rsidRDefault="00486252">
      <w:pPr>
        <w:pStyle w:val="FigureTitle"/>
      </w:pPr>
      <w:r w:rsidRPr="00584FFF">
        <w:rPr>
          <w:b w:val="0"/>
        </w:rPr>
        <w:t>Figure 7.</w:t>
      </w:r>
      <w:r w:rsidR="00E75B12" w:rsidRPr="00584FFF">
        <w:rPr>
          <w:b w:val="0"/>
          <w:noProof/>
        </w:rPr>
        <w:t>8</w:t>
      </w:r>
      <w:r w:rsidRPr="00584FFF">
        <w:tab/>
      </w:r>
      <w:r w:rsidR="00531E8C" w:rsidRPr="00584FFF">
        <w:t>R</w:t>
      </w:r>
      <w:r w:rsidR="00074DD4" w:rsidRPr="00584FFF">
        <w:t>ecurrent expenditure</w:t>
      </w:r>
      <w:r w:rsidR="001A5993" w:rsidRPr="00584FFF">
        <w:t xml:space="preserve"> per finalisation, </w:t>
      </w:r>
      <w:r w:rsidR="00107161" w:rsidRPr="00584FFF">
        <w:t>magistrates’ c</w:t>
      </w:r>
      <w:r w:rsidR="00BC62E9" w:rsidRPr="00584FFF">
        <w:t>ourt</w:t>
      </w:r>
      <w:r w:rsidR="001A5993" w:rsidRPr="00584FFF">
        <w:t xml:space="preserve">s only (excluding </w:t>
      </w:r>
      <w:r w:rsidR="00107161" w:rsidRPr="00584FFF">
        <w:t>children’s c</w:t>
      </w:r>
      <w:r w:rsidR="00BC62E9" w:rsidRPr="00584FFF">
        <w:t>ourt</w:t>
      </w:r>
      <w:r w:rsidR="001A5993" w:rsidRPr="00584FFF">
        <w:t xml:space="preserve">s), </w:t>
      </w:r>
      <w:r w:rsidR="003B5A56">
        <w:t>2012</w:t>
      </w:r>
      <w:r w:rsidR="00BE4BA0" w:rsidRPr="00584FFF">
        <w:t>-</w:t>
      </w:r>
      <w:r w:rsidR="006C3715" w:rsidRPr="00584FFF">
        <w:t>1</w:t>
      </w:r>
      <w:r w:rsidR="003B5A56">
        <w:t>3</w:t>
      </w:r>
      <w:r w:rsidR="001A5993" w:rsidRPr="00584FFF">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86252" w:rsidTr="00D61A31">
        <w:tc>
          <w:tcPr>
            <w:tcW w:w="8777" w:type="dxa"/>
          </w:tcPr>
          <w:p w:rsidR="00531E8C" w:rsidRDefault="00861A32" w:rsidP="00CF062F">
            <w:pPr>
              <w:pStyle w:val="Figure"/>
              <w:numPr>
                <w:ilvl w:val="0"/>
                <w:numId w:val="24"/>
              </w:numPr>
              <w:rPr>
                <w:rFonts w:ascii="Arial" w:hAnsi="Arial" w:cs="Arial"/>
                <w:b/>
                <w:sz w:val="20"/>
              </w:rPr>
            </w:pPr>
            <w:r>
              <w:rPr>
                <w:rFonts w:ascii="Arial" w:hAnsi="Arial" w:cs="Arial"/>
                <w:b/>
                <w:sz w:val="20"/>
              </w:rPr>
              <w:t>Gross recurrent expenditure</w:t>
            </w:r>
          </w:p>
          <w:p w:rsidR="00861A32" w:rsidRDefault="009646F0" w:rsidP="00861A32">
            <w:pPr>
              <w:pStyle w:val="Figure"/>
              <w:rPr>
                <w:rFonts w:ascii="Arial" w:hAnsi="Arial" w:cs="Arial"/>
                <w:b/>
                <w:sz w:val="20"/>
              </w:rPr>
            </w:pPr>
            <w:r>
              <w:rPr>
                <w:rFonts w:ascii="Arial" w:hAnsi="Arial" w:cs="Arial"/>
                <w:b/>
                <w:noProof/>
                <w:sz w:val="20"/>
              </w:rPr>
              <w:drawing>
                <wp:inline distT="0" distB="0" distL="0" distR="0">
                  <wp:extent cx="5391150" cy="2695575"/>
                  <wp:effectExtent l="0" t="0" r="0" b="9525"/>
                  <wp:docPr id="15" name="Picture 15" descr="Figure 7.8 Recurrent expenditure per finalisation, magistrates’ courts only (excluding children’s courts), 2012-13&#10;&#10;(a) Gross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p w:rsidR="00861A32" w:rsidRPr="00861A32" w:rsidRDefault="00861A32" w:rsidP="00CF062F">
            <w:pPr>
              <w:pStyle w:val="Figure"/>
              <w:numPr>
                <w:ilvl w:val="0"/>
                <w:numId w:val="24"/>
              </w:numPr>
              <w:rPr>
                <w:rFonts w:ascii="Arial" w:hAnsi="Arial" w:cs="Arial"/>
                <w:b/>
                <w:sz w:val="20"/>
              </w:rPr>
            </w:pPr>
            <w:r>
              <w:rPr>
                <w:rFonts w:ascii="Arial" w:hAnsi="Arial" w:cs="Arial"/>
                <w:b/>
                <w:sz w:val="20"/>
              </w:rPr>
              <w:t>Net recurrent expenditure</w:t>
            </w:r>
          </w:p>
          <w:p w:rsidR="00861A32" w:rsidRDefault="009646F0" w:rsidP="00861A32">
            <w:pPr>
              <w:pStyle w:val="Figure"/>
              <w:rPr>
                <w:rFonts w:ascii="Arial" w:hAnsi="Arial" w:cs="Arial"/>
                <w:b/>
                <w:sz w:val="20"/>
              </w:rPr>
            </w:pPr>
            <w:r>
              <w:rPr>
                <w:rFonts w:ascii="Arial" w:hAnsi="Arial" w:cs="Arial"/>
                <w:b/>
                <w:noProof/>
                <w:sz w:val="20"/>
              </w:rPr>
              <w:drawing>
                <wp:inline distT="0" distB="0" distL="0" distR="0">
                  <wp:extent cx="5391150" cy="2695575"/>
                  <wp:effectExtent l="0" t="0" r="0" b="9525"/>
                  <wp:docPr id="16" name="Picture 16" descr="Figure 7.8 Recurrent expenditure per finalisation, magistrates’ courts only (excluding children’s courts), 2012-13&#10;&#10;(b) Net recurrent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p w:rsidR="00861A32" w:rsidRPr="00531E8C" w:rsidRDefault="00861A32" w:rsidP="00861A32">
            <w:pPr>
              <w:pStyle w:val="Figure"/>
              <w:ind w:left="720"/>
              <w:rPr>
                <w:rFonts w:ascii="Arial" w:hAnsi="Arial" w:cs="Arial"/>
                <w:b/>
                <w:sz w:val="20"/>
              </w:rPr>
            </w:pPr>
          </w:p>
        </w:tc>
      </w:tr>
    </w:tbl>
    <w:p w:rsidR="00486252" w:rsidRPr="00205BCF" w:rsidRDefault="00486252" w:rsidP="00454D6B">
      <w:pPr>
        <w:pStyle w:val="Note"/>
      </w:pPr>
      <w:proofErr w:type="spellStart"/>
      <w:r w:rsidRPr="007C47BB">
        <w:rPr>
          <w:rStyle w:val="NoteLabel"/>
        </w:rPr>
        <w:t>a</w:t>
      </w:r>
      <w:proofErr w:type="spellEnd"/>
      <w:r w:rsidR="00A55256" w:rsidRPr="007C47BB">
        <w:t> </w:t>
      </w:r>
      <w:r w:rsidR="000F5304" w:rsidRPr="007C47BB">
        <w:t>E</w:t>
      </w:r>
      <w:r w:rsidR="0048013C" w:rsidRPr="007C47BB">
        <w:t xml:space="preserve">xcludes payroll tax. </w:t>
      </w:r>
      <w:r w:rsidR="008520D6" w:rsidRPr="007C47BB">
        <w:rPr>
          <w:rStyle w:val="NoteLabel"/>
        </w:rPr>
        <w:t>b</w:t>
      </w:r>
      <w:r w:rsidR="008520D6" w:rsidRPr="007C47BB">
        <w:t> </w:t>
      </w:r>
      <w:r w:rsidR="000D39CD" w:rsidRPr="007C47BB">
        <w:rPr>
          <w:szCs w:val="18"/>
        </w:rPr>
        <w:t>In Victoria</w:t>
      </w:r>
      <w:r w:rsidR="000D39CD" w:rsidRPr="00411A4F">
        <w:rPr>
          <w:szCs w:val="18"/>
        </w:rPr>
        <w:t xml:space="preserve">, </w:t>
      </w:r>
      <w:r w:rsidR="000D39CD" w:rsidRPr="00411A4F">
        <w:rPr>
          <w:rFonts w:cs="Arial"/>
          <w:szCs w:val="18"/>
        </w:rPr>
        <w:t xml:space="preserve">children’s criminal </w:t>
      </w:r>
      <w:r w:rsidR="000D39CD">
        <w:rPr>
          <w:rFonts w:cs="Arial"/>
          <w:szCs w:val="18"/>
        </w:rPr>
        <w:t>cases that are</w:t>
      </w:r>
      <w:r w:rsidR="000D39CD" w:rsidRPr="00411A4F">
        <w:rPr>
          <w:rFonts w:cs="Arial"/>
          <w:szCs w:val="18"/>
        </w:rPr>
        <w:t xml:space="preserve"> not heard in the Melbourne Children’s Court a</w:t>
      </w:r>
      <w:r w:rsidR="000D39CD">
        <w:rPr>
          <w:rFonts w:cs="Arial"/>
          <w:szCs w:val="18"/>
        </w:rPr>
        <w:t>re heard in the magistrates’ c</w:t>
      </w:r>
      <w:r w:rsidR="000D39CD" w:rsidRPr="00411A4F">
        <w:rPr>
          <w:rFonts w:cs="Arial"/>
          <w:szCs w:val="18"/>
        </w:rPr>
        <w:t>ourt in regional areas.</w:t>
      </w:r>
      <w:r w:rsidR="000D39CD">
        <w:rPr>
          <w:rFonts w:cs="Arial"/>
          <w:szCs w:val="18"/>
        </w:rPr>
        <w:t xml:space="preserve"> The expenditure related to those cases cannot be separately identified, and is included with the expenditure for the magistrates’ </w:t>
      </w:r>
      <w:r w:rsidR="000D39CD" w:rsidRPr="007C47BB">
        <w:rPr>
          <w:rFonts w:cs="Arial"/>
          <w:szCs w:val="18"/>
        </w:rPr>
        <w:t>court. However, the quantity of those cases is known, and the finalisations are included with children’s court data.</w:t>
      </w:r>
      <w:r w:rsidR="000D39CD" w:rsidRPr="00205BCF">
        <w:rPr>
          <w:rFonts w:cs="Arial"/>
          <w:szCs w:val="18"/>
        </w:rPr>
        <w:t xml:space="preserve"> </w:t>
      </w:r>
    </w:p>
    <w:p w:rsidR="00486252" w:rsidRPr="0048013C" w:rsidRDefault="003F2209">
      <w:pPr>
        <w:pStyle w:val="Source"/>
      </w:pPr>
      <w:r w:rsidRPr="007C47BB">
        <w:rPr>
          <w:i/>
        </w:rPr>
        <w:t>S</w:t>
      </w:r>
      <w:r w:rsidR="00486252" w:rsidRPr="007C47BB">
        <w:rPr>
          <w:i/>
        </w:rPr>
        <w:t>ource</w:t>
      </w:r>
      <w:r w:rsidR="00486252" w:rsidRPr="007C47BB">
        <w:t xml:space="preserve">: </w:t>
      </w:r>
      <w:r w:rsidR="0048013C" w:rsidRPr="007C47BB">
        <w:t>State</w:t>
      </w:r>
      <w:r w:rsidR="0048013C" w:rsidRPr="0048013C">
        <w:t xml:space="preserve"> and Territory court dep</w:t>
      </w:r>
      <w:r w:rsidR="0048013C">
        <w:t xml:space="preserve">artments (unpublished); tables </w:t>
      </w:r>
      <w:proofErr w:type="spellStart"/>
      <w:r w:rsidR="0048013C">
        <w:t>7</w:t>
      </w:r>
      <w:r w:rsidR="000F5304">
        <w:t>A.</w:t>
      </w:r>
      <w:r w:rsidR="0006337C">
        <w:t>31</w:t>
      </w:r>
      <w:proofErr w:type="spellEnd"/>
      <w:r w:rsidR="000F5304">
        <w:t>-</w:t>
      </w:r>
      <w:r w:rsidR="00CC4DC2">
        <w:t>3</w:t>
      </w:r>
      <w:r w:rsidR="0006337C">
        <w:t>5</w:t>
      </w:r>
      <w:r w:rsidR="0048013C" w:rsidRPr="0048013C">
        <w:t>.</w:t>
      </w:r>
    </w:p>
    <w:p w:rsidR="001D65E9" w:rsidRDefault="003170C0" w:rsidP="001D65E9">
      <w:pPr>
        <w:pStyle w:val="Heading5"/>
      </w:pPr>
      <w:r>
        <w:t>E</w:t>
      </w:r>
      <w:r w:rsidR="001D65E9">
        <w:t>xpenditure per finalisation for family courts and the Federal</w:t>
      </w:r>
      <w:r w:rsidR="00B56F35">
        <w:t xml:space="preserve"> Circuit</w:t>
      </w:r>
      <w:r w:rsidR="001D65E9">
        <w:t xml:space="preserve">  Court of Australia</w:t>
      </w:r>
    </w:p>
    <w:p w:rsidR="00D379EC" w:rsidRDefault="000852C8" w:rsidP="00454D6B">
      <w:pPr>
        <w:pStyle w:val="BodyText"/>
      </w:pPr>
      <w:r w:rsidRPr="000852C8">
        <w:t xml:space="preserve">The Family Court of Australia, Family Court of WA and the Federal </w:t>
      </w:r>
      <w:r w:rsidR="00B56F35">
        <w:t>Circuit</w:t>
      </w:r>
      <w:r w:rsidRPr="000852C8">
        <w:t xml:space="preserve"> Court are responsible for determining matters related to family law and child support, but each court has a different focus, breadth and complexity of work, which contr</w:t>
      </w:r>
      <w:r w:rsidR="003170C0">
        <w:t xml:space="preserve">ibute to the differences in </w:t>
      </w:r>
      <w:r w:rsidRPr="000852C8">
        <w:t>recurrent expenditure per fin</w:t>
      </w:r>
      <w:r>
        <w:t>alisation results presented in f</w:t>
      </w:r>
      <w:r w:rsidR="00242A3B">
        <w:t>igure 7.9</w:t>
      </w:r>
      <w:r w:rsidR="0029767D">
        <w:t>.</w:t>
      </w:r>
    </w:p>
    <w:p w:rsidR="001D65E9" w:rsidRPr="00584FFF" w:rsidRDefault="001D65E9">
      <w:pPr>
        <w:pStyle w:val="FigureTitle"/>
      </w:pPr>
      <w:r w:rsidRPr="00584FFF">
        <w:rPr>
          <w:b w:val="0"/>
        </w:rPr>
        <w:t xml:space="preserve">Figure </w:t>
      </w:r>
      <w:r w:rsidR="00E114EB" w:rsidRPr="00584FFF">
        <w:rPr>
          <w:b w:val="0"/>
        </w:rPr>
        <w:t>7.</w:t>
      </w:r>
      <w:r w:rsidR="00242A3B" w:rsidRPr="00584FFF">
        <w:rPr>
          <w:b w:val="0"/>
          <w:noProof/>
        </w:rPr>
        <w:t>9</w:t>
      </w:r>
      <w:r w:rsidRPr="00584FFF">
        <w:tab/>
      </w:r>
      <w:r w:rsidR="003170C0" w:rsidRPr="00584FFF">
        <w:t>R</w:t>
      </w:r>
      <w:r w:rsidR="00074DD4" w:rsidRPr="00584FFF">
        <w:t xml:space="preserve">ecurrent </w:t>
      </w:r>
      <w:r w:rsidRPr="00584FFF">
        <w:t xml:space="preserve">expenditure per finalisation, family courts and the Federal </w:t>
      </w:r>
      <w:r w:rsidR="00B56F35">
        <w:t xml:space="preserve">Circuit </w:t>
      </w:r>
      <w:r w:rsidRPr="00584FFF">
        <w:t xml:space="preserve">Court of Australia, </w:t>
      </w:r>
      <w:r w:rsidR="004454D7" w:rsidRPr="00584FFF">
        <w:t>201</w:t>
      </w:r>
      <w:r w:rsidR="00B56F35">
        <w:t>2</w:t>
      </w:r>
      <w:r w:rsidR="0019721F" w:rsidRPr="00584FFF">
        <w:t>-</w:t>
      </w:r>
      <w:r w:rsidR="00FA359D" w:rsidRPr="00584FFF">
        <w:t>1</w:t>
      </w:r>
      <w:r w:rsidR="00B56F35">
        <w:t>3</w:t>
      </w:r>
      <w:r w:rsidRPr="00584FFF">
        <w:rPr>
          <w:rStyle w:val="NoteLabel"/>
          <w:b/>
        </w:rPr>
        <w:t>a</w:t>
      </w:r>
      <w:r w:rsidR="00944F0E" w:rsidRPr="00584FFF">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D65E9" w:rsidTr="006E7A70">
        <w:tc>
          <w:tcPr>
            <w:tcW w:w="8777" w:type="dxa"/>
          </w:tcPr>
          <w:p w:rsidR="00B73D77" w:rsidRPr="003170C0" w:rsidRDefault="006E7A70">
            <w:pPr>
              <w:pStyle w:val="Figure"/>
              <w:rPr>
                <w:rFonts w:ascii="Arial" w:hAnsi="Arial" w:cs="Arial"/>
                <w:b/>
                <w:sz w:val="20"/>
              </w:rPr>
            </w:pPr>
            <w:r>
              <w:rPr>
                <w:noProof/>
              </w:rPr>
              <w:drawing>
                <wp:inline distT="0" distB="0" distL="0" distR="0" wp14:anchorId="42A1EFC6" wp14:editId="59786847">
                  <wp:extent cx="5400000" cy="2700000"/>
                  <wp:effectExtent l="0" t="0" r="0" b="5715"/>
                  <wp:docPr id="2" name="Chart 2" descr="Figure 7.9 Recurrent expenditure per finalisation, family courts and the Federal Circuit Court of Australia,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1D65E9" w:rsidRDefault="001D65E9" w:rsidP="00454D6B">
      <w:pPr>
        <w:pStyle w:val="Note"/>
      </w:pPr>
      <w:proofErr w:type="spellStart"/>
      <w:r>
        <w:rPr>
          <w:rStyle w:val="NoteLabel"/>
        </w:rPr>
        <w:t>a</w:t>
      </w:r>
      <w:proofErr w:type="spellEnd"/>
      <w:r w:rsidR="005346F8">
        <w:t> E</w:t>
      </w:r>
      <w:r w:rsidR="00AE6337" w:rsidRPr="005E28A2">
        <w:t xml:space="preserve">xpenditure per finalisation for the </w:t>
      </w:r>
      <w:r w:rsidR="00B56F35">
        <w:t>Federal Circuit</w:t>
      </w:r>
      <w:r w:rsidR="00AE6337">
        <w:t xml:space="preserve"> Court</w:t>
      </w:r>
      <w:r w:rsidR="00AE6337" w:rsidRPr="005E28A2">
        <w:t xml:space="preserve"> is based on the total net expenditure and all finalisations for that court; it does not isolat</w:t>
      </w:r>
      <w:r w:rsidR="009538B0">
        <w:t>e family law work from general f</w:t>
      </w:r>
      <w:r w:rsidR="00AE6337" w:rsidRPr="005E28A2">
        <w:t>ederal law work and is therefore not strictly comparable wit</w:t>
      </w:r>
      <w:r w:rsidR="00AE6337">
        <w:t xml:space="preserve">h the results for either the </w:t>
      </w:r>
      <w:r w:rsidR="00AE6337" w:rsidRPr="005E28A2">
        <w:t>Family Court of Australia</w:t>
      </w:r>
      <w:r w:rsidR="00AE6337" w:rsidRPr="00580B25">
        <w:t xml:space="preserve"> </w:t>
      </w:r>
      <w:r w:rsidR="00AE6337" w:rsidRPr="005E28A2">
        <w:t>or the</w:t>
      </w:r>
      <w:r w:rsidR="00AE6337">
        <w:t xml:space="preserve"> </w:t>
      </w:r>
      <w:r w:rsidR="00AE6337" w:rsidRPr="005E28A2">
        <w:t xml:space="preserve">Family Court </w:t>
      </w:r>
      <w:r w:rsidR="00AE6337">
        <w:t>of WA.</w:t>
      </w:r>
      <w:r w:rsidR="00244C65">
        <w:t xml:space="preserve"> </w:t>
      </w:r>
      <w:r w:rsidR="003D3A9A">
        <w:t>Some bankruptcy and i</w:t>
      </w:r>
      <w:r w:rsidR="00244C65" w:rsidRPr="00244C65">
        <w:t>mmigr</w:t>
      </w:r>
      <w:r w:rsidR="00244C65">
        <w:t>ation matters fi</w:t>
      </w:r>
      <w:r w:rsidR="00B56F35">
        <w:t>led with the Federal Circuit</w:t>
      </w:r>
      <w:r w:rsidR="00244C65">
        <w:t xml:space="preserve"> Court</w:t>
      </w:r>
      <w:r w:rsidR="00244C65" w:rsidRPr="00244C65">
        <w:t xml:space="preserve"> are delegated to be dealt with by F</w:t>
      </w:r>
      <w:r w:rsidR="00244C65">
        <w:t>ederal Court reg</w:t>
      </w:r>
      <w:r w:rsidR="00B56F35">
        <w:t>istrars. The Federal Circuit</w:t>
      </w:r>
      <w:r w:rsidR="00244C65">
        <w:t xml:space="preserve"> Court</w:t>
      </w:r>
      <w:r w:rsidR="00244C65" w:rsidRPr="00244C65">
        <w:t xml:space="preserve"> fully funds the Federal Court, through cash payments, t</w:t>
      </w:r>
      <w:r w:rsidR="00244C65">
        <w:t>o undertake this work on its be</w:t>
      </w:r>
      <w:r w:rsidR="00244C65" w:rsidRPr="00244C65">
        <w:t>half</w:t>
      </w:r>
      <w:r w:rsidR="00244C65">
        <w:t>. Those matters finalised by the F</w:t>
      </w:r>
      <w:r w:rsidR="00FB41FA">
        <w:t xml:space="preserve">ederal Court </w:t>
      </w:r>
      <w:r w:rsidR="00244C65" w:rsidRPr="00244C65">
        <w:t>regist</w:t>
      </w:r>
      <w:r w:rsidR="00FB41FA">
        <w:t>rars are appropriately counted as</w:t>
      </w:r>
      <w:r w:rsidR="00B56F35">
        <w:t xml:space="preserve"> part of the Federal Circuit</w:t>
      </w:r>
      <w:r w:rsidR="00FB41FA">
        <w:t xml:space="preserve"> Court</w:t>
      </w:r>
      <w:r w:rsidR="00244C65" w:rsidRPr="00244C65">
        <w:t xml:space="preserve"> matt</w:t>
      </w:r>
      <w:r w:rsidR="00FB41FA">
        <w:t>ers as they form</w:t>
      </w:r>
      <w:r w:rsidR="00B56F35">
        <w:t xml:space="preserve"> part of the Federal Circuit</w:t>
      </w:r>
      <w:r w:rsidR="00FB41FA">
        <w:t xml:space="preserve"> Court’</w:t>
      </w:r>
      <w:r w:rsidR="00244C65" w:rsidRPr="00244C65">
        <w:t>s filings and expenditure and theref</w:t>
      </w:r>
      <w:r w:rsidR="00750520">
        <w:t xml:space="preserve">ore contribute to the </w:t>
      </w:r>
      <w:r w:rsidR="00244C65" w:rsidRPr="00244C65">
        <w:t>cost per finalisation</w:t>
      </w:r>
      <w:r w:rsidR="00244C65" w:rsidRPr="007C47BB">
        <w:t>.</w:t>
      </w:r>
      <w:r w:rsidR="00944F0E" w:rsidRPr="007C47BB">
        <w:rPr>
          <w:rStyle w:val="NoteLabel"/>
        </w:rPr>
        <w:t xml:space="preserve"> b</w:t>
      </w:r>
      <w:r w:rsidR="00944F0E" w:rsidRPr="007C47BB">
        <w:t> </w:t>
      </w:r>
      <w:r w:rsidR="00966C3E" w:rsidRPr="007C47BB">
        <w:t>Discounted (estimate</w:t>
      </w:r>
      <w:r w:rsidR="001E6F5A" w:rsidRPr="007C47BB">
        <w:t>) for resources and services (work of</w:t>
      </w:r>
      <w:r w:rsidR="00966C3E" w:rsidRPr="007C47BB">
        <w:t xml:space="preserve"> c</w:t>
      </w:r>
      <w:r w:rsidR="001E6F5A" w:rsidRPr="007C47BB">
        <w:t>ourt staff and accommodation) provided free of c</w:t>
      </w:r>
      <w:r w:rsidR="00B56F35">
        <w:t>harge to the Federal Circuit</w:t>
      </w:r>
      <w:r w:rsidR="001E6F5A" w:rsidRPr="007C47BB">
        <w:t xml:space="preserve"> Court in accordance with the Federal Magistrates Act 1999</w:t>
      </w:r>
      <w:r w:rsidR="00DE44F9">
        <w:t xml:space="preserve"> and the Federal Circuit Court of Australia Legislation Amendment Act 2012</w:t>
      </w:r>
      <w:r w:rsidR="00BB4D07" w:rsidRPr="007C47BB">
        <w:t>.</w:t>
      </w:r>
      <w:r w:rsidR="00966C3E" w:rsidRPr="007C47BB">
        <w:t xml:space="preserve"> </w:t>
      </w:r>
      <w:r w:rsidR="001E6F5A" w:rsidRPr="007C47BB">
        <w:t>In addition</w:t>
      </w:r>
      <w:r w:rsidR="00AE3A2D" w:rsidRPr="007C47BB">
        <w:t>,</w:t>
      </w:r>
      <w:r w:rsidR="001E6F5A" w:rsidRPr="007C47BB">
        <w:t xml:space="preserve"> the Family Court of Australia p</w:t>
      </w:r>
      <w:r w:rsidR="001E6F5A">
        <w:t>rovide</w:t>
      </w:r>
      <w:r w:rsidR="00AE3A2D">
        <w:t>s</w:t>
      </w:r>
      <w:r w:rsidR="001E6F5A">
        <w:t xml:space="preserve"> further shared services, including IT services, accommodation,</w:t>
      </w:r>
      <w:r w:rsidR="00966C3E">
        <w:t xml:space="preserve"> work of c</w:t>
      </w:r>
      <w:r w:rsidR="001E6F5A">
        <w:t>ourt staff and depre</w:t>
      </w:r>
      <w:r w:rsidR="00AE3A2D">
        <w:t>c</w:t>
      </w:r>
      <w:r w:rsidR="00966C3E">
        <w:t>iation and amortisation that cannot be</w:t>
      </w:r>
      <w:r w:rsidR="001E6F5A">
        <w:t xml:space="preserve"> quantified and as such no additional discount could be applied. This will cause an overestimate</w:t>
      </w:r>
      <w:r w:rsidR="004B1D6A">
        <w:t xml:space="preserve"> for </w:t>
      </w:r>
      <w:r w:rsidR="001E6F5A">
        <w:t xml:space="preserve">the </w:t>
      </w:r>
      <w:r w:rsidR="00224488">
        <w:t>Family Court of Australia data</w:t>
      </w:r>
      <w:r w:rsidR="001E6F5A">
        <w:t xml:space="preserve"> (and an underestimate for</w:t>
      </w:r>
      <w:r w:rsidR="00224488">
        <w:t xml:space="preserve"> the</w:t>
      </w:r>
      <w:r w:rsidR="00257944">
        <w:t xml:space="preserve"> Federal Circuit</w:t>
      </w:r>
      <w:r w:rsidR="001E6F5A">
        <w:t xml:space="preserve"> Court</w:t>
      </w:r>
      <w:r w:rsidR="007B5883">
        <w:t xml:space="preserve"> data</w:t>
      </w:r>
      <w:r w:rsidR="001E6F5A">
        <w:t>)</w:t>
      </w:r>
      <w:r w:rsidR="00E2019A">
        <w:t>.</w:t>
      </w:r>
      <w:r w:rsidR="004E31AE">
        <w:t xml:space="preserve"> </w:t>
      </w:r>
    </w:p>
    <w:p w:rsidR="001D65E9" w:rsidRPr="00AE6337" w:rsidRDefault="00A957F6">
      <w:pPr>
        <w:pStyle w:val="Source"/>
      </w:pPr>
      <w:r>
        <w:rPr>
          <w:i/>
        </w:rPr>
        <w:t>S</w:t>
      </w:r>
      <w:r w:rsidR="001D65E9">
        <w:rPr>
          <w:i/>
        </w:rPr>
        <w:t>ource</w:t>
      </w:r>
      <w:r w:rsidR="001D65E9" w:rsidRPr="00A957F6">
        <w:t>:</w:t>
      </w:r>
      <w:r w:rsidR="001D65E9">
        <w:t xml:space="preserve"> </w:t>
      </w:r>
      <w:r w:rsidR="00AE6337" w:rsidRPr="00AE6337">
        <w:t>Australian</w:t>
      </w:r>
      <w:r w:rsidR="00224488">
        <w:t xml:space="preserve"> and </w:t>
      </w:r>
      <w:r w:rsidR="006D67B1">
        <w:t>S</w:t>
      </w:r>
      <w:r w:rsidR="00224488">
        <w:t>tate</w:t>
      </w:r>
      <w:r w:rsidR="00AE6337" w:rsidRPr="00AE6337">
        <w:t xml:space="preserve"> court authorities</w:t>
      </w:r>
      <w:r w:rsidR="00224488">
        <w:t xml:space="preserve"> and departments</w:t>
      </w:r>
      <w:r w:rsidR="00AE6337" w:rsidRPr="00AE6337">
        <w:t xml:space="preserve"> </w:t>
      </w:r>
      <w:r w:rsidR="00AE6337">
        <w:t xml:space="preserve">(unpublished); </w:t>
      </w:r>
      <w:r w:rsidR="00A76A9C">
        <w:t>table</w:t>
      </w:r>
      <w:r w:rsidR="0044615F">
        <w:t>s</w:t>
      </w:r>
      <w:r w:rsidR="00A76A9C">
        <w:t> </w:t>
      </w:r>
      <w:proofErr w:type="spellStart"/>
      <w:r w:rsidR="00A76A9C">
        <w:t>7</w:t>
      </w:r>
      <w:r w:rsidR="00AE6337" w:rsidRPr="00AE6337">
        <w:t>A.</w:t>
      </w:r>
      <w:r w:rsidR="0006337C">
        <w:t>31</w:t>
      </w:r>
      <w:proofErr w:type="spellEnd"/>
      <w:r w:rsidR="0044615F">
        <w:t xml:space="preserve">, </w:t>
      </w:r>
      <w:proofErr w:type="spellStart"/>
      <w:r w:rsidR="0044615F">
        <w:t>7A.3</w:t>
      </w:r>
      <w:r w:rsidR="0006337C">
        <w:t>5</w:t>
      </w:r>
      <w:proofErr w:type="spellEnd"/>
      <w:r w:rsidR="00AE6337" w:rsidRPr="00AE6337">
        <w:t>.</w:t>
      </w:r>
    </w:p>
    <w:p w:rsidR="00182033" w:rsidRDefault="00182033" w:rsidP="00CE001C">
      <w:pPr>
        <w:pStyle w:val="BodyText"/>
      </w:pPr>
      <w:r w:rsidRPr="00182033">
        <w:t>The establis</w:t>
      </w:r>
      <w:r w:rsidR="00FA5C02">
        <w:t>hment of the Federal Circuit</w:t>
      </w:r>
      <w:r w:rsidRPr="00182033">
        <w:t xml:space="preserve"> Court in 2000 has had implications for the finalisations and expenditure reported for </w:t>
      </w:r>
      <w:r w:rsidR="002119DD">
        <w:t xml:space="preserve">the </w:t>
      </w:r>
      <w:r w:rsidRPr="00182033">
        <w:t>Family Court of Australia</w:t>
      </w:r>
      <w:r w:rsidR="000D48FC">
        <w:t>,</w:t>
      </w:r>
      <w:r w:rsidR="00213DF2">
        <w:t xml:space="preserve"> because the Federal Circuit</w:t>
      </w:r>
      <w:r w:rsidRPr="00182033">
        <w:t xml:space="preserve"> Court now deals with some of the </w:t>
      </w:r>
      <w:r w:rsidR="00E15ADA">
        <w:t>matters</w:t>
      </w:r>
      <w:r w:rsidRPr="00182033">
        <w:t xml:space="preserve"> previously managed by the Family Court of Australia. For example, before the establis</w:t>
      </w:r>
      <w:r w:rsidR="00213DF2">
        <w:t>hment of the Federal Circuit</w:t>
      </w:r>
      <w:r w:rsidRPr="00182033">
        <w:t xml:space="preserve"> Court</w:t>
      </w:r>
      <w:r w:rsidR="000D48FC">
        <w:t>,</w:t>
      </w:r>
      <w:r w:rsidRPr="00182033">
        <w:t xml:space="preserve"> all divorce applications (other than those lodged in the Family Court of WA) were lodged in the Family Court of Australia; now (aside from those lodged in the Family Court of WA) almost all divorce applications are l</w:t>
      </w:r>
      <w:r w:rsidR="005F3D66">
        <w:t>odged in the Federal Circuit</w:t>
      </w:r>
      <w:r w:rsidRPr="00182033">
        <w:t xml:space="preserve"> Court. In general</w:t>
      </w:r>
      <w:r w:rsidR="009538B0">
        <w:t xml:space="preserve"> f</w:t>
      </w:r>
      <w:r w:rsidRPr="00182033">
        <w:t>ede</w:t>
      </w:r>
      <w:r w:rsidR="005F3D66">
        <w:t>ral law, the Federal Circuit</w:t>
      </w:r>
      <w:r w:rsidRPr="00182033">
        <w:t xml:space="preserve"> Court also deals with the less complex administrative law, bankruptcy law, discrimination, workplace relations and consumer protection law matters that were previously dealt with in the Federal Court of Australia.</w:t>
      </w:r>
    </w:p>
    <w:p w:rsidR="00F166F5" w:rsidRDefault="00E61C91" w:rsidP="00F166F5">
      <w:pPr>
        <w:pStyle w:val="Heading5"/>
      </w:pPr>
      <w:r>
        <w:t>E</w:t>
      </w:r>
      <w:r w:rsidR="00F166F5">
        <w:t xml:space="preserve">xpenditure per reported death and fire for </w:t>
      </w:r>
      <w:r w:rsidR="00061B48">
        <w:t>coroners’ c</w:t>
      </w:r>
      <w:r w:rsidR="00BC62E9">
        <w:t>ourt</w:t>
      </w:r>
      <w:r w:rsidR="00F166F5">
        <w:t>s</w:t>
      </w:r>
    </w:p>
    <w:p w:rsidR="00F166F5" w:rsidRDefault="00F166F5" w:rsidP="00F166F5">
      <w:pPr>
        <w:pStyle w:val="BodyText"/>
      </w:pPr>
      <w:r>
        <w:t xml:space="preserve">Nationally, </w:t>
      </w:r>
      <w:r w:rsidR="00344AE4">
        <w:t xml:space="preserve">net </w:t>
      </w:r>
      <w:r>
        <w:t xml:space="preserve">expenditure per reported death and fire in </w:t>
      </w:r>
      <w:r w:rsidR="00061B48">
        <w:t>coroners’ c</w:t>
      </w:r>
      <w:r w:rsidR="00BC62E9">
        <w:t>ourt</w:t>
      </w:r>
      <w:r>
        <w:t>s</w:t>
      </w:r>
      <w:r w:rsidR="0026694E">
        <w:t xml:space="preserve"> (excluding costs associated with autopsy, forensic science, pathology tests and body </w:t>
      </w:r>
      <w:proofErr w:type="spellStart"/>
      <w:r w:rsidR="0026694E">
        <w:t>conveyancing</w:t>
      </w:r>
      <w:proofErr w:type="spellEnd"/>
      <w:r w:rsidR="0026694E">
        <w:t xml:space="preserve"> fees)</w:t>
      </w:r>
      <w:r>
        <w:t xml:space="preserve"> was </w:t>
      </w:r>
      <w:r w:rsidRPr="00BE3121">
        <w:t xml:space="preserve">approximately </w:t>
      </w:r>
      <w:r w:rsidR="00A7281B" w:rsidRPr="00A7281B">
        <w:t>$</w:t>
      </w:r>
      <w:r w:rsidR="008D5463">
        <w:t>1873</w:t>
      </w:r>
      <w:r w:rsidRPr="00D720A3">
        <w:t xml:space="preserve"> </w:t>
      </w:r>
      <w:r w:rsidRPr="00B11966">
        <w:t>in</w:t>
      </w:r>
      <w:r w:rsidRPr="00BE3121">
        <w:t xml:space="preserve"> </w:t>
      </w:r>
      <w:r w:rsidR="00F64976">
        <w:t>2012</w:t>
      </w:r>
      <w:r w:rsidR="00205BCF">
        <w:noBreakHyphen/>
      </w:r>
      <w:r w:rsidR="00F64976">
        <w:t>13</w:t>
      </w:r>
      <w:r w:rsidRPr="00BE3121">
        <w:t xml:space="preserve"> (</w:t>
      </w:r>
      <w:r w:rsidR="00A76A9C" w:rsidRPr="00BE3121">
        <w:t>figure 7</w:t>
      </w:r>
      <w:r w:rsidR="00242A3B">
        <w:t>.10</w:t>
      </w:r>
      <w:r w:rsidRPr="00BE3121">
        <w:t xml:space="preserve">). </w:t>
      </w:r>
    </w:p>
    <w:p w:rsidR="00F166F5" w:rsidRPr="00584FFF" w:rsidRDefault="00F166F5">
      <w:pPr>
        <w:pStyle w:val="FigureTitle"/>
      </w:pPr>
      <w:r w:rsidRPr="00584FFF">
        <w:rPr>
          <w:b w:val="0"/>
        </w:rPr>
        <w:t xml:space="preserve">Figure </w:t>
      </w:r>
      <w:r w:rsidR="00E114EB" w:rsidRPr="00584FFF">
        <w:rPr>
          <w:b w:val="0"/>
        </w:rPr>
        <w:t>7.</w:t>
      </w:r>
      <w:r w:rsidR="00242A3B" w:rsidRPr="00584FFF">
        <w:rPr>
          <w:b w:val="0"/>
          <w:noProof/>
        </w:rPr>
        <w:t>10</w:t>
      </w:r>
      <w:r w:rsidRPr="00584FFF">
        <w:tab/>
      </w:r>
      <w:r w:rsidR="00E61C91" w:rsidRPr="00584FFF">
        <w:t>R</w:t>
      </w:r>
      <w:r w:rsidR="00074DD4" w:rsidRPr="00584FFF">
        <w:t>ecurrent expenditure</w:t>
      </w:r>
      <w:r w:rsidRPr="00584FFF">
        <w:t xml:space="preserve"> per finalisation, </w:t>
      </w:r>
      <w:r w:rsidR="00216040" w:rsidRPr="00584FFF">
        <w:t>coroners’ c</w:t>
      </w:r>
      <w:r w:rsidR="00BC62E9" w:rsidRPr="00584FFF">
        <w:t>ourt</w:t>
      </w:r>
      <w:r w:rsidRPr="00584FFF">
        <w:t xml:space="preserve">s, </w:t>
      </w:r>
      <w:r w:rsidR="00F64976">
        <w:t>2012</w:t>
      </w:r>
      <w:r w:rsidR="004A6807">
        <w:noBreakHyphen/>
      </w:r>
      <w:r w:rsidR="00640CED" w:rsidRPr="00584FFF">
        <w:t>1</w:t>
      </w:r>
      <w:r w:rsidR="00F64976">
        <w:t>3</w:t>
      </w:r>
      <w:r w:rsidRPr="00584FFF">
        <w:rPr>
          <w:rStyle w:val="NoteLabel"/>
          <w:b/>
        </w:rPr>
        <w:t>a, b, c</w:t>
      </w:r>
      <w:r w:rsidR="0032177C" w:rsidRPr="00584FFF">
        <w:rPr>
          <w:rStyle w:val="NoteLabel"/>
          <w:b/>
        </w:rPr>
        <w:t>,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166F5" w:rsidTr="00F06687">
        <w:tc>
          <w:tcPr>
            <w:tcW w:w="8777" w:type="dxa"/>
          </w:tcPr>
          <w:p w:rsidR="005350BC" w:rsidRPr="005350BC" w:rsidRDefault="009646F0">
            <w:pPr>
              <w:pStyle w:val="Figure"/>
              <w:rPr>
                <w:rFonts w:ascii="Arial" w:hAnsi="Arial" w:cs="Arial"/>
                <w:b/>
                <w:sz w:val="20"/>
              </w:rPr>
            </w:pPr>
            <w:r>
              <w:rPr>
                <w:rFonts w:ascii="Arial" w:hAnsi="Arial" w:cs="Arial"/>
                <w:b/>
                <w:noProof/>
                <w:sz w:val="20"/>
              </w:rPr>
              <w:drawing>
                <wp:inline distT="0" distB="0" distL="0" distR="0">
                  <wp:extent cx="5391150" cy="2695575"/>
                  <wp:effectExtent l="0" t="0" r="0" b="9525"/>
                  <wp:docPr id="17" name="Picture 17" descr="Figure 7.10 Recurrent expenditure per finalisation, coroners' court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F166F5" w:rsidRPr="00184AB5" w:rsidRDefault="00F166F5" w:rsidP="00CC6C02">
      <w:pPr>
        <w:pStyle w:val="Note"/>
      </w:pPr>
      <w:proofErr w:type="spellStart"/>
      <w:r>
        <w:rPr>
          <w:rStyle w:val="NoteLabel"/>
        </w:rPr>
        <w:t>a</w:t>
      </w:r>
      <w:proofErr w:type="spellEnd"/>
      <w:r w:rsidR="00D50C01">
        <w:t> </w:t>
      </w:r>
      <w:r w:rsidR="00D720A3">
        <w:t>E</w:t>
      </w:r>
      <w:r w:rsidRPr="00EB64F9">
        <w:t xml:space="preserve">xcludes payroll tax. </w:t>
      </w:r>
      <w:r w:rsidR="009A04A0">
        <w:rPr>
          <w:rStyle w:val="NoteLabel"/>
        </w:rPr>
        <w:t>b</w:t>
      </w:r>
      <w:r>
        <w:t> </w:t>
      </w:r>
      <w:r w:rsidR="00467FAE" w:rsidRPr="00EB64F9">
        <w:t>Data for NSW, Victoria and the ACT include reported fires.</w:t>
      </w:r>
      <w:r w:rsidR="0032177C">
        <w:t xml:space="preserve"> </w:t>
      </w:r>
      <w:r w:rsidR="009A04A0">
        <w:rPr>
          <w:rStyle w:val="NoteLabel"/>
        </w:rPr>
        <w:t>c</w:t>
      </w:r>
      <w:r w:rsidR="0032177C">
        <w:t> Expenditure data for the Queensland Coroners</w:t>
      </w:r>
      <w:r w:rsidR="00CD1827">
        <w:t>’</w:t>
      </w:r>
      <w:r w:rsidR="0032177C">
        <w:t xml:space="preserve"> Court and the Victorian Coroners</w:t>
      </w:r>
      <w:r w:rsidR="00CD1827">
        <w:t>’</w:t>
      </w:r>
      <w:r w:rsidR="0032177C">
        <w:t xml:space="preserve"> Court include the full costs of government assisted burials/cremations, legal fees incurred in briefing counsel assisting for inquests and costs of preparing matters for inquest, including the costs of obtaining independent expert reports.</w:t>
      </w:r>
      <w:r w:rsidR="008434BF">
        <w:t xml:space="preserve"> </w:t>
      </w:r>
      <w:r w:rsidR="009A04A0">
        <w:rPr>
          <w:rStyle w:val="NoteLabel"/>
        </w:rPr>
        <w:t>d</w:t>
      </w:r>
      <w:r w:rsidR="00467FAE" w:rsidRPr="00A160D7">
        <w:t> </w:t>
      </w:r>
      <w:r w:rsidR="00232431" w:rsidRPr="00A160D7">
        <w:t xml:space="preserve">Excludes expenditure for autopsy, forensic science, pathology tests and body </w:t>
      </w:r>
      <w:proofErr w:type="spellStart"/>
      <w:r w:rsidR="00232431" w:rsidRPr="00A160D7">
        <w:t>conveyancing</w:t>
      </w:r>
      <w:proofErr w:type="spellEnd"/>
      <w:r w:rsidR="00232431" w:rsidRPr="00A160D7">
        <w:t xml:space="preserve"> fees</w:t>
      </w:r>
      <w:r w:rsidR="007D0D86">
        <w:t>.</w:t>
      </w:r>
    </w:p>
    <w:p w:rsidR="00F166F5" w:rsidRDefault="00A957F6">
      <w:pPr>
        <w:pStyle w:val="Source"/>
      </w:pPr>
      <w:r>
        <w:rPr>
          <w:i/>
        </w:rPr>
        <w:t>S</w:t>
      </w:r>
      <w:r w:rsidR="00F166F5">
        <w:rPr>
          <w:i/>
        </w:rPr>
        <w:t>ource</w:t>
      </w:r>
      <w:r w:rsidR="00F166F5" w:rsidRPr="00A957F6">
        <w:t>:</w:t>
      </w:r>
      <w:r w:rsidR="00F166F5">
        <w:t xml:space="preserve"> </w:t>
      </w:r>
      <w:r w:rsidR="00F166F5" w:rsidRPr="00F166F5">
        <w:t>State and Territory cour</w:t>
      </w:r>
      <w:r w:rsidR="00A240AD">
        <w:t>t</w:t>
      </w:r>
      <w:r w:rsidR="00F166F5" w:rsidRPr="00F166F5">
        <w:t xml:space="preserve"> authorities and departments (unpublished); </w:t>
      </w:r>
      <w:r w:rsidR="00A76A9C">
        <w:t>table</w:t>
      </w:r>
      <w:r w:rsidR="00A240AD">
        <w:t>s</w:t>
      </w:r>
      <w:r w:rsidR="00A76A9C">
        <w:t> </w:t>
      </w:r>
      <w:proofErr w:type="spellStart"/>
      <w:r w:rsidR="00A76A9C">
        <w:t>7</w:t>
      </w:r>
      <w:r w:rsidR="00F166F5" w:rsidRPr="00F166F5">
        <w:t>A.</w:t>
      </w:r>
      <w:r w:rsidR="00BE0BDA">
        <w:t>32</w:t>
      </w:r>
      <w:proofErr w:type="spellEnd"/>
      <w:r w:rsidR="007D0D86">
        <w:t xml:space="preserve"> and</w:t>
      </w:r>
      <w:r w:rsidR="00A240AD">
        <w:t xml:space="preserve"> </w:t>
      </w:r>
      <w:proofErr w:type="spellStart"/>
      <w:r w:rsidR="00A240AD">
        <w:t>7A.3</w:t>
      </w:r>
      <w:r w:rsidR="00BE0BDA">
        <w:t>5</w:t>
      </w:r>
      <w:proofErr w:type="spellEnd"/>
      <w:r w:rsidR="00F166F5" w:rsidRPr="00F166F5">
        <w:t>.</w:t>
      </w:r>
    </w:p>
    <w:p w:rsidR="00A749BE" w:rsidRPr="000743AF" w:rsidRDefault="0090323F" w:rsidP="000743AF">
      <w:pPr>
        <w:pStyle w:val="BodyText"/>
      </w:pPr>
      <w:r>
        <w:t>As</w:t>
      </w:r>
      <w:r w:rsidR="00A749BE" w:rsidRPr="000743AF">
        <w:t xml:space="preserve"> </w:t>
      </w:r>
      <w:r>
        <w:t xml:space="preserve">there are differences across jurisdictions in the way that </w:t>
      </w:r>
      <w:r w:rsidR="00A749BE" w:rsidRPr="000743AF">
        <w:t>autopsy and chemical analysis costs</w:t>
      </w:r>
      <w:r>
        <w:t xml:space="preserve"> are managed,</w:t>
      </w:r>
      <w:r w:rsidR="00A749BE" w:rsidRPr="000743AF">
        <w:t xml:space="preserve"> </w:t>
      </w:r>
      <w:r>
        <w:t xml:space="preserve">their inclusion in recurrent expenditure can lead to </w:t>
      </w:r>
      <w:r w:rsidR="00A749BE" w:rsidRPr="000743AF">
        <w:t>large variations in the net expe</w:t>
      </w:r>
      <w:r w:rsidR="001F2633" w:rsidRPr="000743AF">
        <w:t xml:space="preserve">nditure </w:t>
      </w:r>
      <w:r>
        <w:t xml:space="preserve">reported </w:t>
      </w:r>
      <w:r w:rsidR="001F2633" w:rsidRPr="000743AF">
        <w:t>per finalisation</w:t>
      </w:r>
      <w:r>
        <w:t>.</w:t>
      </w:r>
      <w:r w:rsidR="005375F5">
        <w:t xml:space="preserve"> </w:t>
      </w:r>
      <w:r>
        <w:t>To improve consistency</w:t>
      </w:r>
      <w:r w:rsidR="005375F5">
        <w:t xml:space="preserve">, </w:t>
      </w:r>
      <w:r w:rsidR="00D720A3">
        <w:t xml:space="preserve">these </w:t>
      </w:r>
      <w:r w:rsidR="005375F5">
        <w:t>costs are excluded from net recurrent expenditure for coroners’ courts</w:t>
      </w:r>
      <w:r w:rsidR="00D720A3">
        <w:t xml:space="preserve"> in this R</w:t>
      </w:r>
      <w:r>
        <w:t>eport</w:t>
      </w:r>
      <w:r w:rsidR="005375F5">
        <w:t>.</w:t>
      </w:r>
      <w:r>
        <w:t xml:space="preserve"> These costs are</w:t>
      </w:r>
      <w:r w:rsidR="00CF230D">
        <w:t xml:space="preserve"> separately</w:t>
      </w:r>
      <w:r>
        <w:t xml:space="preserve"> identified</w:t>
      </w:r>
      <w:r w:rsidR="00CF230D">
        <w:t xml:space="preserve"> in </w:t>
      </w:r>
      <w:r w:rsidR="00447BE5">
        <w:t>t</w:t>
      </w:r>
      <w:r w:rsidR="00786211">
        <w:t xml:space="preserve">able </w:t>
      </w:r>
      <w:proofErr w:type="spellStart"/>
      <w:r w:rsidR="00786211">
        <w:t>7A.1</w:t>
      </w:r>
      <w:r w:rsidR="004B242F">
        <w:t>2</w:t>
      </w:r>
      <w:proofErr w:type="spellEnd"/>
      <w:r w:rsidR="00CF230D">
        <w:t>.</w:t>
      </w:r>
    </w:p>
    <w:p w:rsidR="00A749BE" w:rsidRPr="001052D7" w:rsidRDefault="00A749BE" w:rsidP="00A749BE">
      <w:pPr>
        <w:pStyle w:val="BodyText"/>
      </w:pPr>
      <w:r w:rsidRPr="00BE3121">
        <w:t>Data for NSW, Victoria</w:t>
      </w:r>
      <w:r w:rsidR="00DA542D" w:rsidRPr="00BE3121">
        <w:t>, Tasmania</w:t>
      </w:r>
      <w:r w:rsidR="00900A89">
        <w:t xml:space="preserve"> and the ACT</w:t>
      </w:r>
      <w:r w:rsidRPr="00BE3121">
        <w:t xml:space="preserve"> include fires reported to</w:t>
      </w:r>
      <w:r>
        <w:t xml:space="preserve"> the coroner</w:t>
      </w:r>
      <w:r w:rsidR="00DA542D">
        <w:t>. F</w:t>
      </w:r>
      <w:r>
        <w:t xml:space="preserve">ires are not reported to the coroner </w:t>
      </w:r>
      <w:r w:rsidR="00AE3A2D">
        <w:t xml:space="preserve">in </w:t>
      </w:r>
      <w:r w:rsidR="00DA542D">
        <w:t>other</w:t>
      </w:r>
      <w:r w:rsidR="007A5284">
        <w:t xml:space="preserve"> jurisdictions. C</w:t>
      </w:r>
      <w:r>
        <w:t>are needs to be taken when making com</w:t>
      </w:r>
      <w:r w:rsidR="007A5284">
        <w:t>parisons across the states and territories.</w:t>
      </w:r>
    </w:p>
    <w:p w:rsidR="00F166F5" w:rsidRDefault="00F166F5" w:rsidP="005E4E11">
      <w:pPr>
        <w:pStyle w:val="Heading3"/>
      </w:pPr>
      <w:r>
        <w:t>Outcomes</w:t>
      </w:r>
    </w:p>
    <w:p w:rsidR="00573C2B" w:rsidRDefault="00573C2B" w:rsidP="00F166F5">
      <w:pPr>
        <w:pStyle w:val="BodyText"/>
      </w:pPr>
      <w:r w:rsidRPr="00573C2B">
        <w:t>Outcomes are the impact of services on the status of an individual or gro</w:t>
      </w:r>
      <w:r w:rsidR="00B853DD">
        <w:t>up (while outputs are the</w:t>
      </w:r>
      <w:r w:rsidRPr="00573C2B">
        <w:t xml:space="preserve"> services delivered) (see chapter 1, section 1.5). </w:t>
      </w:r>
    </w:p>
    <w:p w:rsidR="00F166F5" w:rsidRDefault="00F166F5" w:rsidP="00F166F5">
      <w:pPr>
        <w:pStyle w:val="BodyText"/>
      </w:pPr>
      <w:r>
        <w:t>No outcome indicators for court</w:t>
      </w:r>
      <w:r w:rsidR="00F52F25">
        <w:t>s</w:t>
      </w:r>
      <w:r>
        <w:t xml:space="preserve"> are currently reported. It is noted, however, that </w:t>
      </w:r>
      <w:r w:rsidR="00F52F25">
        <w:t>court activities</w:t>
      </w:r>
      <w:r>
        <w:t xml:space="preserve"> lead to broader outcomes within the overall justice system that are not readily addressed in this service-specific chapter. The Steering Committee has identified outcome indicators as an important element of the performance indicator framework to develop for future reports.</w:t>
      </w:r>
    </w:p>
    <w:p w:rsidR="00F166F5" w:rsidRDefault="00DF4F11" w:rsidP="00DF4F11">
      <w:pPr>
        <w:pStyle w:val="Heading2"/>
      </w:pPr>
      <w:bookmarkStart w:id="11" w:name="_Toc340063213"/>
      <w:r>
        <w:t>7.</w:t>
      </w:r>
      <w:r w:rsidR="00E75B12">
        <w:rPr>
          <w:noProof/>
        </w:rPr>
        <w:t>4</w:t>
      </w:r>
      <w:r w:rsidR="00F166F5">
        <w:tab/>
        <w:t>Future directions in performance reporting</w:t>
      </w:r>
      <w:bookmarkEnd w:id="11"/>
    </w:p>
    <w:p w:rsidR="00F166F5" w:rsidRDefault="00F166F5" w:rsidP="00C6482E">
      <w:pPr>
        <w:pStyle w:val="Heading3"/>
      </w:pPr>
      <w:r>
        <w:t>Improving data quality</w:t>
      </w:r>
    </w:p>
    <w:p w:rsidR="00F166F5" w:rsidRDefault="00F166F5" w:rsidP="00A160D7">
      <w:pPr>
        <w:pStyle w:val="BodyText"/>
      </w:pPr>
      <w:r>
        <w:t>Differences across states and territories in the jurisdiction of courts, the allocation of cases between courts</w:t>
      </w:r>
      <w:r w:rsidR="0027181C">
        <w:t xml:space="preserve"> and the types of matters</w:t>
      </w:r>
      <w:r>
        <w:t>, affect the comparability of equity, efficiency and effectiveness data. The different methods undertaken to collect the data can also have an impact on data consistency and quality.</w:t>
      </w:r>
    </w:p>
    <w:p w:rsidR="00F166F5" w:rsidRDefault="00F166F5" w:rsidP="00F166F5">
      <w:pPr>
        <w:pStyle w:val="BodyText"/>
      </w:pPr>
      <w:r>
        <w:t>The Review, through the Court</w:t>
      </w:r>
      <w:r w:rsidR="00E25E92">
        <w:t>s</w:t>
      </w:r>
      <w:r>
        <w:t xml:space="preserve"> Working Group </w:t>
      </w:r>
      <w:r w:rsidR="00EC60E0">
        <w:t>(</w:t>
      </w:r>
      <w:proofErr w:type="spellStart"/>
      <w:r w:rsidR="00EC60E0">
        <w:t>CWG</w:t>
      </w:r>
      <w:proofErr w:type="spellEnd"/>
      <w:r w:rsidR="00EC60E0">
        <w:t>),</w:t>
      </w:r>
      <w:r>
        <w:t xml:space="preserve"> the Courts Practitioner Group</w:t>
      </w:r>
      <w:r w:rsidR="008C2504">
        <w:t xml:space="preserve"> (CPG)</w:t>
      </w:r>
      <w:r w:rsidR="00EC60E0">
        <w:t xml:space="preserve"> and the Courts Finance Group (</w:t>
      </w:r>
      <w:proofErr w:type="spellStart"/>
      <w:r w:rsidR="00EC60E0">
        <w:t>CFG</w:t>
      </w:r>
      <w:proofErr w:type="spellEnd"/>
      <w:r w:rsidR="00EC60E0">
        <w:t>)</w:t>
      </w:r>
      <w:r>
        <w:t xml:space="preserve">, </w:t>
      </w:r>
      <w:r w:rsidR="002217BF">
        <w:t xml:space="preserve">seeks to continuously improve data quality. Some of the activities and processes by which this is done include: </w:t>
      </w:r>
    </w:p>
    <w:p w:rsidR="00F166F5" w:rsidRDefault="00F166F5" w:rsidP="00C6482E">
      <w:pPr>
        <w:pStyle w:val="ListBullet"/>
      </w:pPr>
      <w:r>
        <w:t>clearly defining issues pertaining to the scope of the data collection and reporting within the chapter</w:t>
      </w:r>
    </w:p>
    <w:p w:rsidR="00F166F5" w:rsidRDefault="00F166F5" w:rsidP="00C6482E">
      <w:pPr>
        <w:pStyle w:val="ListBullet"/>
      </w:pPr>
      <w:r>
        <w:t>assessing the most appropriate way in which to collect and publish data</w:t>
      </w:r>
    </w:p>
    <w:p w:rsidR="00F166F5" w:rsidRDefault="00F166F5" w:rsidP="00C6482E">
      <w:pPr>
        <w:pStyle w:val="ListBullet"/>
      </w:pPr>
      <w:r>
        <w:t>amending data definitions</w:t>
      </w:r>
    </w:p>
    <w:p w:rsidR="00C5439B" w:rsidRDefault="00F166F5" w:rsidP="00C6482E">
      <w:pPr>
        <w:pStyle w:val="ListBullet"/>
      </w:pPr>
      <w:r>
        <w:t>improving data verification and data quality</w:t>
      </w:r>
      <w:r w:rsidR="003D2A8A">
        <w:t>.</w:t>
      </w:r>
    </w:p>
    <w:p w:rsidR="00E25E92" w:rsidRDefault="00E25E92" w:rsidP="00584FFF">
      <w:pPr>
        <w:pStyle w:val="Heading3"/>
      </w:pPr>
      <w:r>
        <w:t>Improving performance indicators</w:t>
      </w:r>
    </w:p>
    <w:p w:rsidR="003D2A8A" w:rsidRDefault="00E25E92" w:rsidP="00CC6C02">
      <w:pPr>
        <w:pStyle w:val="BodyText"/>
      </w:pPr>
      <w:r>
        <w:t>T</w:t>
      </w:r>
      <w:r w:rsidR="003D2A8A">
        <w:t xml:space="preserve">he </w:t>
      </w:r>
      <w:proofErr w:type="spellStart"/>
      <w:r w:rsidR="001F1088">
        <w:t>CWG</w:t>
      </w:r>
      <w:proofErr w:type="spellEnd"/>
      <w:r w:rsidR="003D2A8A">
        <w:t xml:space="preserve"> </w:t>
      </w:r>
      <w:r w:rsidR="00DE768A">
        <w:t xml:space="preserve">is </w:t>
      </w:r>
      <w:r w:rsidR="00C5439B">
        <w:t>monit</w:t>
      </w:r>
      <w:r w:rsidR="003D2A8A">
        <w:t xml:space="preserve">oring </w:t>
      </w:r>
      <w:r w:rsidR="00DE768A">
        <w:t>studies</w:t>
      </w:r>
      <w:r w:rsidR="0028201F">
        <w:t xml:space="preserve"> by the Australasian</w:t>
      </w:r>
      <w:r w:rsidR="003D2A8A">
        <w:t xml:space="preserve"> Institute of Judicial Administration (</w:t>
      </w:r>
      <w:proofErr w:type="spellStart"/>
      <w:r w:rsidR="003D2A8A">
        <w:t>AIJA</w:t>
      </w:r>
      <w:proofErr w:type="spellEnd"/>
      <w:r w:rsidR="003D2A8A">
        <w:t xml:space="preserve">) </w:t>
      </w:r>
      <w:r w:rsidR="00DE768A">
        <w:t>of</w:t>
      </w:r>
      <w:r w:rsidR="003D2A8A">
        <w:t xml:space="preserve"> the q</w:t>
      </w:r>
      <w:r w:rsidR="003D3A9A">
        <w:t>uality and performance of court</w:t>
      </w:r>
      <w:r w:rsidR="003D2A8A">
        <w:t xml:space="preserve"> systems worldwide</w:t>
      </w:r>
      <w:r w:rsidR="00F166F5">
        <w:t>.</w:t>
      </w:r>
      <w:r w:rsidR="003D2A8A">
        <w:t xml:space="preserve"> The </w:t>
      </w:r>
      <w:proofErr w:type="spellStart"/>
      <w:r w:rsidR="003D2A8A">
        <w:t>AIJA</w:t>
      </w:r>
      <w:proofErr w:type="spellEnd"/>
      <w:r w:rsidR="003D2A8A">
        <w:t xml:space="preserve"> </w:t>
      </w:r>
      <w:r w:rsidR="00DE768A">
        <w:t xml:space="preserve">is a research and educational institute funded by the Standing </w:t>
      </w:r>
      <w:r w:rsidR="00DE768A" w:rsidRPr="00A160D7">
        <w:t>C</w:t>
      </w:r>
      <w:r w:rsidR="0027181C" w:rsidRPr="00A160D7">
        <w:t>ouncil on Law and Justice</w:t>
      </w:r>
      <w:r w:rsidR="00DE768A">
        <w:t xml:space="preserve"> and also from subscription income from its membership.</w:t>
      </w:r>
      <w:r w:rsidR="0001597C">
        <w:t xml:space="preserve"> An </w:t>
      </w:r>
      <w:proofErr w:type="spellStart"/>
      <w:r w:rsidR="0001597C">
        <w:t>AIJA</w:t>
      </w:r>
      <w:proofErr w:type="spellEnd"/>
      <w:r w:rsidR="0001597C">
        <w:t xml:space="preserve"> seminar</w:t>
      </w:r>
      <w:r w:rsidR="00940488">
        <w:t xml:space="preserve"> was</w:t>
      </w:r>
      <w:r w:rsidR="0001597C">
        <w:t xml:space="preserve"> held in July 2009</w:t>
      </w:r>
      <w:r w:rsidR="00940488">
        <w:t>, attended by</w:t>
      </w:r>
      <w:r w:rsidR="00C442F5">
        <w:t xml:space="preserve"> Chief Justices</w:t>
      </w:r>
      <w:r w:rsidR="006C0EAB">
        <w:t xml:space="preserve">, other </w:t>
      </w:r>
      <w:r w:rsidR="00940488">
        <w:t>members of the judiciary</w:t>
      </w:r>
      <w:r w:rsidR="00EC27BD">
        <w:t>,</w:t>
      </w:r>
      <w:r w:rsidR="006C0EAB">
        <w:t xml:space="preserve"> and court administrators</w:t>
      </w:r>
      <w:r w:rsidR="00940488">
        <w:t>, to</w:t>
      </w:r>
      <w:r w:rsidR="0028201F">
        <w:t xml:space="preserve"> discuss the C</w:t>
      </w:r>
      <w:r w:rsidR="003D3A9A">
        <w:t>ourt</w:t>
      </w:r>
      <w:r w:rsidR="001F1088">
        <w:t>s</w:t>
      </w:r>
      <w:r w:rsidR="0001597C">
        <w:t xml:space="preserve"> chapter</w:t>
      </w:r>
      <w:r w:rsidR="00717857">
        <w:t xml:space="preserve"> and ways in which performance indicators might be improved.</w:t>
      </w:r>
      <w:r w:rsidR="00C442F5">
        <w:t xml:space="preserve"> </w:t>
      </w:r>
      <w:r w:rsidR="00157304">
        <w:t>In late 2009 a</w:t>
      </w:r>
      <w:r w:rsidR="00C442F5">
        <w:t xml:space="preserve"> working group</w:t>
      </w:r>
      <w:r w:rsidR="00157304">
        <w:t xml:space="preserve">, funded by </w:t>
      </w:r>
      <w:proofErr w:type="spellStart"/>
      <w:r w:rsidR="00157304">
        <w:t>AIJA</w:t>
      </w:r>
      <w:proofErr w:type="spellEnd"/>
      <w:r w:rsidR="00157304">
        <w:t>,</w:t>
      </w:r>
      <w:r w:rsidR="00C442F5">
        <w:t xml:space="preserve"> </w:t>
      </w:r>
      <w:r w:rsidR="00157304">
        <w:t>was</w:t>
      </w:r>
      <w:r w:rsidR="00C442F5">
        <w:t xml:space="preserve"> established to investigate </w:t>
      </w:r>
      <w:r w:rsidR="00141516">
        <w:t>how performance indicators might</w:t>
      </w:r>
      <w:r w:rsidR="00C442F5">
        <w:t xml:space="preserve"> be made more relevant and informative.</w:t>
      </w:r>
      <w:r w:rsidR="00DE768A">
        <w:t xml:space="preserve"> </w:t>
      </w:r>
      <w:r w:rsidR="00400849">
        <w:t>Some of the o</w:t>
      </w:r>
      <w:r w:rsidR="00157304">
        <w:t xml:space="preserve">utcomes from this group </w:t>
      </w:r>
      <w:r w:rsidR="00400849">
        <w:t xml:space="preserve">have been implemented in this chapter while others </w:t>
      </w:r>
      <w:r w:rsidR="00801CD7">
        <w:t xml:space="preserve">are under consideration by the </w:t>
      </w:r>
      <w:proofErr w:type="spellStart"/>
      <w:r w:rsidR="00801CD7">
        <w:t>CWG</w:t>
      </w:r>
      <w:proofErr w:type="spellEnd"/>
      <w:r w:rsidR="00400849">
        <w:t xml:space="preserve"> for potential future implementation</w:t>
      </w:r>
      <w:r w:rsidR="00157304">
        <w:t>.</w:t>
      </w:r>
      <w:r w:rsidR="00873BAA">
        <w:t xml:space="preserve"> </w:t>
      </w:r>
    </w:p>
    <w:p w:rsidR="00E25E92" w:rsidRPr="00FE3767" w:rsidRDefault="00E25E92" w:rsidP="00854FBC">
      <w:pPr>
        <w:pStyle w:val="BodyText"/>
      </w:pPr>
      <w:r w:rsidRPr="00FE3767">
        <w:t>Work is also in progress to capture financial data related to court fees which are waived, reduced or exempted. This will help to quantify court resources which are expended but not recouped, essentially providing substantial but currently unacknowledged benefits to the community.</w:t>
      </w:r>
    </w:p>
    <w:p w:rsidR="00F166F5" w:rsidRDefault="00F166F5" w:rsidP="00854FBC">
      <w:pPr>
        <w:pStyle w:val="Heading2"/>
      </w:pPr>
      <w:bookmarkStart w:id="12" w:name="_Toc340063214"/>
      <w:r w:rsidRPr="00FE3767">
        <w:t>7.</w:t>
      </w:r>
      <w:r w:rsidR="00E75B12" w:rsidRPr="00FE3767">
        <w:rPr>
          <w:noProof/>
        </w:rPr>
        <w:t>5</w:t>
      </w:r>
      <w:r w:rsidRPr="00FE3767">
        <w:tab/>
        <w:t>Jurisdictions’ comments</w:t>
      </w:r>
      <w:bookmarkEnd w:id="12"/>
    </w:p>
    <w:p w:rsidR="00BC0C2E" w:rsidRDefault="00F166F5" w:rsidP="00F166F5">
      <w:pPr>
        <w:pStyle w:val="BodyText"/>
      </w:pPr>
      <w:r>
        <w:t xml:space="preserve">This section provides comments from </w:t>
      </w:r>
      <w:r w:rsidR="001A6615">
        <w:t xml:space="preserve">each jurisdiction </w:t>
      </w:r>
      <w:r>
        <w:t>on the services covered in this chapter.</w:t>
      </w:r>
    </w:p>
    <w:p w:rsidR="007D1776" w:rsidRDefault="00BC0C2E" w:rsidP="00F166F5">
      <w:pPr>
        <w:pStyle w:val="BodyText"/>
      </w:pPr>
      <w:r>
        <w:br w:type="page"/>
      </w:r>
    </w:p>
    <w:tbl>
      <w:tblPr>
        <w:tblW w:w="10632" w:type="dxa"/>
        <w:tblInd w:w="-885" w:type="dxa"/>
        <w:tblLayout w:type="fixed"/>
        <w:tblLook w:val="0000" w:firstRow="0" w:lastRow="0" w:firstColumn="0" w:lastColumn="0" w:noHBand="0" w:noVBand="0"/>
      </w:tblPr>
      <w:tblGrid>
        <w:gridCol w:w="993"/>
        <w:gridCol w:w="8789"/>
        <w:gridCol w:w="850"/>
      </w:tblGrid>
      <w:tr w:rsidR="00FC1834" w:rsidRPr="00BA314A" w:rsidTr="00FC1834">
        <w:tc>
          <w:tcPr>
            <w:tcW w:w="993" w:type="dxa"/>
          </w:tcPr>
          <w:p w:rsidR="00FC1834" w:rsidRPr="00BA314A" w:rsidRDefault="00EE2EFE" w:rsidP="00EE2EFE">
            <w:pPr>
              <w:pStyle w:val="Jurisdictioncommentsheading"/>
            </w:pPr>
            <w:r>
              <w:br w:type="page"/>
            </w:r>
            <w:r w:rsidR="005E4E11">
              <w:br w:type="page"/>
            </w:r>
          </w:p>
        </w:tc>
        <w:tc>
          <w:tcPr>
            <w:tcW w:w="8789" w:type="dxa"/>
          </w:tcPr>
          <w:p w:rsidR="00FC1834" w:rsidRPr="00BA314A" w:rsidRDefault="00CD312D" w:rsidP="00EE2EFE">
            <w:pPr>
              <w:pStyle w:val="Jurisdictioncommentsheading"/>
              <w:keepNext/>
            </w:pPr>
            <w:r w:rsidRPr="00061388">
              <w:t>New South Wales</w:t>
            </w:r>
            <w:r w:rsidR="00FC1834">
              <w:t xml:space="preserve"> Government comments</w:t>
            </w:r>
          </w:p>
        </w:tc>
        <w:tc>
          <w:tcPr>
            <w:tcW w:w="850" w:type="dxa"/>
          </w:tcPr>
          <w:p w:rsidR="00FC1834" w:rsidRPr="00EE2EFE" w:rsidRDefault="00FC1834" w:rsidP="00EE2EFE">
            <w:pPr>
              <w:pStyle w:val="Jurisdictioncommentsheading"/>
            </w:pPr>
          </w:p>
        </w:tc>
      </w:tr>
      <w:tr w:rsidR="00834023" w:rsidRPr="00BA314A" w:rsidTr="00FC1834">
        <w:trPr>
          <w:trHeight w:hRule="exact" w:val="12600"/>
        </w:trPr>
        <w:tc>
          <w:tcPr>
            <w:tcW w:w="993" w:type="dxa"/>
          </w:tcPr>
          <w:p w:rsidR="00834023" w:rsidRPr="00BA314A" w:rsidRDefault="00834023" w:rsidP="00FC1834">
            <w:pPr>
              <w:pStyle w:val="BodyText"/>
              <w:spacing w:before="0"/>
            </w:pPr>
            <w:r w:rsidRPr="00BA314A">
              <w:rPr>
                <w:b/>
                <w:sz w:val="132"/>
              </w:rPr>
              <w:t>“</w:t>
            </w:r>
          </w:p>
        </w:tc>
        <w:tc>
          <w:tcPr>
            <w:tcW w:w="8789" w:type="dxa"/>
          </w:tcPr>
          <w:p w:rsidR="00834023" w:rsidRPr="00E14AEB" w:rsidRDefault="00834023" w:rsidP="000328EA">
            <w:pPr>
              <w:pStyle w:val="Jurisdictioncommentsbodytext"/>
              <w:rPr>
                <w:rFonts w:cs="Arial"/>
              </w:rPr>
            </w:pPr>
            <w:r w:rsidRPr="00E14AEB">
              <w:rPr>
                <w:rFonts w:cs="Arial"/>
              </w:rPr>
              <w:t>NSW performance continues to improve. The NSW Supreme Court reduced the percentage of criminal non appeal matters older than 12 and 24 months. The overall Supreme Court clearance rate also increased, reaching its highest level in the past 12 years. Net expenditure on District Court criminal matters declined.</w:t>
            </w:r>
            <w:r>
              <w:rPr>
                <w:rFonts w:cs="Arial"/>
              </w:rPr>
              <w:t xml:space="preserve"> The Local Court 6</w:t>
            </w:r>
            <w:r w:rsidRPr="00E14AEB">
              <w:rPr>
                <w:rFonts w:cs="Arial"/>
              </w:rPr>
              <w:t xml:space="preserve"> month criminal backlog </w:t>
            </w:r>
            <w:r>
              <w:rPr>
                <w:rFonts w:cs="Arial"/>
              </w:rPr>
              <w:t>fell</w:t>
            </w:r>
            <w:r w:rsidRPr="00E14AEB">
              <w:rPr>
                <w:rFonts w:cs="Arial"/>
              </w:rPr>
              <w:t>, as did the overall net expenditure per finalisation</w:t>
            </w:r>
            <w:r>
              <w:rPr>
                <w:rFonts w:cs="Arial"/>
              </w:rPr>
              <w:t xml:space="preserve"> for both criminal and civil matters</w:t>
            </w:r>
            <w:r w:rsidRPr="00E14AEB">
              <w:rPr>
                <w:rFonts w:cs="Arial"/>
              </w:rPr>
              <w:t>. The Children’s Court criminal backlog also declined, as well as the expenditure per criminal finalisation. The Coroner’s Court recorded</w:t>
            </w:r>
            <w:r>
              <w:rPr>
                <w:rFonts w:cs="Arial"/>
              </w:rPr>
              <w:t xml:space="preserve"> a clearance rate above 100 per cent</w:t>
            </w:r>
            <w:r w:rsidRPr="00E14AEB">
              <w:rPr>
                <w:rFonts w:cs="Arial"/>
              </w:rPr>
              <w:t xml:space="preserve"> for the third consecutive year. </w:t>
            </w:r>
          </w:p>
          <w:p w:rsidR="00834023" w:rsidRPr="00E14AEB" w:rsidRDefault="00834023" w:rsidP="000328EA">
            <w:pPr>
              <w:autoSpaceDE w:val="0"/>
              <w:autoSpaceDN w:val="0"/>
              <w:adjustRightInd w:val="0"/>
              <w:spacing w:after="140"/>
              <w:jc w:val="both"/>
              <w:rPr>
                <w:rFonts w:ascii="Arial" w:hAnsi="Arial" w:cs="Arial"/>
                <w:sz w:val="24"/>
                <w:szCs w:val="20"/>
              </w:rPr>
            </w:pPr>
            <w:r w:rsidRPr="00E14AEB">
              <w:rPr>
                <w:rFonts w:ascii="Arial" w:hAnsi="Arial" w:cs="Arial"/>
                <w:sz w:val="24"/>
                <w:szCs w:val="20"/>
                <w:lang w:eastAsia="en-US"/>
              </w:rPr>
              <w:t xml:space="preserve">NSW has been working to improve information sharing between the courts and </w:t>
            </w:r>
            <w:r>
              <w:rPr>
                <w:rFonts w:ascii="Arial" w:hAnsi="Arial" w:cs="Arial"/>
                <w:sz w:val="24"/>
                <w:szCs w:val="20"/>
                <w:lang w:eastAsia="en-US"/>
              </w:rPr>
              <w:t>other justice agencies. In 2012</w:t>
            </w:r>
            <w:r w:rsidR="00205BCF">
              <w:rPr>
                <w:rFonts w:ascii="Arial" w:hAnsi="Arial" w:cs="Arial"/>
                <w:sz w:val="24"/>
                <w:szCs w:val="20"/>
                <w:lang w:eastAsia="en-US"/>
              </w:rPr>
              <w:noBreakHyphen/>
            </w:r>
            <w:r w:rsidRPr="00E14AEB">
              <w:rPr>
                <w:rFonts w:ascii="Arial" w:hAnsi="Arial" w:cs="Arial"/>
                <w:sz w:val="24"/>
                <w:szCs w:val="20"/>
                <w:lang w:eastAsia="en-US"/>
              </w:rPr>
              <w:t xml:space="preserve">13 the Joined-Up Justice project was completed, with over 98 per cent of Court Attendance Notices now received electronically. Legal Aid NSW, the Office of the Director of Public </w:t>
            </w:r>
            <w:r w:rsidRPr="00E14AEB">
              <w:rPr>
                <w:rFonts w:ascii="Arial" w:hAnsi="Arial" w:cs="Arial"/>
                <w:sz w:val="24"/>
                <w:szCs w:val="20"/>
              </w:rPr>
              <w:t>Prosecutions and Corrective Services NSW all receive court outcomes electronically.</w:t>
            </w:r>
          </w:p>
          <w:p w:rsidR="00834023" w:rsidRPr="00E14AEB" w:rsidRDefault="00834023" w:rsidP="000328EA">
            <w:pPr>
              <w:autoSpaceDE w:val="0"/>
              <w:autoSpaceDN w:val="0"/>
              <w:adjustRightInd w:val="0"/>
              <w:spacing w:after="140"/>
              <w:jc w:val="both"/>
              <w:rPr>
                <w:rFonts w:ascii="Arial" w:hAnsi="Arial" w:cs="Arial"/>
                <w:sz w:val="24"/>
                <w:szCs w:val="20"/>
                <w:lang w:eastAsia="en-US"/>
              </w:rPr>
            </w:pPr>
            <w:r w:rsidRPr="00E14AEB">
              <w:rPr>
                <w:rFonts w:ascii="Arial" w:hAnsi="Arial" w:cs="Arial"/>
                <w:sz w:val="24"/>
                <w:szCs w:val="20"/>
                <w:lang w:eastAsia="en-US"/>
              </w:rPr>
              <w:t xml:space="preserve">NSW continued to </w:t>
            </w:r>
            <w:r>
              <w:rPr>
                <w:rFonts w:ascii="Arial" w:hAnsi="Arial" w:cs="Arial"/>
                <w:sz w:val="24"/>
                <w:szCs w:val="20"/>
                <w:lang w:eastAsia="en-US"/>
              </w:rPr>
              <w:t xml:space="preserve">innovatively </w:t>
            </w:r>
            <w:r w:rsidRPr="00E14AEB">
              <w:rPr>
                <w:rFonts w:ascii="Arial" w:hAnsi="Arial" w:cs="Arial"/>
                <w:sz w:val="24"/>
                <w:szCs w:val="20"/>
                <w:lang w:eastAsia="en-US"/>
              </w:rPr>
              <w:t>utilise technology to improve its quality of services.</w:t>
            </w:r>
            <w:r>
              <w:rPr>
                <w:rFonts w:ascii="Arial" w:hAnsi="Arial" w:cs="Arial"/>
                <w:sz w:val="24"/>
                <w:szCs w:val="20"/>
                <w:lang w:eastAsia="en-US"/>
              </w:rPr>
              <w:t xml:space="preserve"> In 2012</w:t>
            </w:r>
            <w:r w:rsidR="00205BCF">
              <w:rPr>
                <w:rFonts w:ascii="Arial" w:hAnsi="Arial" w:cs="Arial"/>
                <w:sz w:val="24"/>
                <w:szCs w:val="20"/>
                <w:lang w:eastAsia="en-US"/>
              </w:rPr>
              <w:noBreakHyphen/>
            </w:r>
            <w:r w:rsidRPr="00E14AEB">
              <w:rPr>
                <w:rFonts w:ascii="Arial" w:hAnsi="Arial" w:cs="Arial"/>
                <w:sz w:val="24"/>
                <w:szCs w:val="20"/>
                <w:lang w:eastAsia="en-US"/>
              </w:rPr>
              <w:t>13:</w:t>
            </w:r>
          </w:p>
          <w:p w:rsidR="00834023" w:rsidRPr="00E14AEB" w:rsidRDefault="00834023" w:rsidP="00F02F80">
            <w:pPr>
              <w:pStyle w:val="ListParagraph"/>
              <w:numPr>
                <w:ilvl w:val="0"/>
                <w:numId w:val="28"/>
              </w:numPr>
              <w:autoSpaceDE w:val="0"/>
              <w:autoSpaceDN w:val="0"/>
              <w:adjustRightInd w:val="0"/>
              <w:spacing w:after="140" w:line="240" w:lineRule="auto"/>
              <w:jc w:val="both"/>
              <w:rPr>
                <w:rFonts w:ascii="Arial" w:hAnsi="Arial" w:cs="Arial"/>
                <w:sz w:val="24"/>
                <w:szCs w:val="20"/>
              </w:rPr>
            </w:pPr>
            <w:r w:rsidRPr="00E14AEB">
              <w:rPr>
                <w:rFonts w:ascii="Arial" w:hAnsi="Arial" w:cs="Arial"/>
                <w:sz w:val="24"/>
                <w:szCs w:val="20"/>
              </w:rPr>
              <w:t>65,000 video</w:t>
            </w:r>
            <w:r>
              <w:rPr>
                <w:rFonts w:ascii="Arial" w:hAnsi="Arial" w:cs="Arial"/>
                <w:sz w:val="24"/>
                <w:szCs w:val="20"/>
              </w:rPr>
              <w:t xml:space="preserve"> </w:t>
            </w:r>
            <w:r w:rsidRPr="00E14AEB">
              <w:rPr>
                <w:rFonts w:ascii="Arial" w:hAnsi="Arial" w:cs="Arial"/>
                <w:sz w:val="24"/>
                <w:szCs w:val="20"/>
              </w:rPr>
              <w:t>conferencing sessions were held</w:t>
            </w:r>
            <w:r>
              <w:rPr>
                <w:rFonts w:ascii="Arial" w:hAnsi="Arial" w:cs="Arial"/>
                <w:sz w:val="24"/>
                <w:szCs w:val="20"/>
              </w:rPr>
              <w:t>, reducing transport time and increasing court efficiency.</w:t>
            </w:r>
          </w:p>
          <w:p w:rsidR="00834023" w:rsidRPr="00E14AEB" w:rsidRDefault="00834023" w:rsidP="00F02F80">
            <w:pPr>
              <w:pStyle w:val="ListParagraph"/>
              <w:numPr>
                <w:ilvl w:val="0"/>
                <w:numId w:val="28"/>
              </w:numPr>
              <w:autoSpaceDE w:val="0"/>
              <w:autoSpaceDN w:val="0"/>
              <w:adjustRightInd w:val="0"/>
              <w:spacing w:after="140" w:line="240" w:lineRule="auto"/>
              <w:jc w:val="both"/>
              <w:rPr>
                <w:rFonts w:ascii="Arial" w:hAnsi="Arial" w:cs="Arial"/>
                <w:sz w:val="24"/>
                <w:szCs w:val="20"/>
              </w:rPr>
            </w:pPr>
            <w:r w:rsidRPr="00E14AEB">
              <w:rPr>
                <w:rFonts w:ascii="Arial" w:hAnsi="Arial" w:cs="Arial"/>
                <w:sz w:val="24"/>
                <w:szCs w:val="20"/>
              </w:rPr>
              <w:t>Video conferencing for legal interviews increased significantly, resulting in a transport cost avoidance of approximately $10 million, and more efficient delivery of services to participants in legal interviews.</w:t>
            </w:r>
          </w:p>
          <w:p w:rsidR="00834023" w:rsidRPr="00E14AEB" w:rsidRDefault="00834023" w:rsidP="00F02F80">
            <w:pPr>
              <w:pStyle w:val="ListParagraph"/>
              <w:numPr>
                <w:ilvl w:val="0"/>
                <w:numId w:val="27"/>
              </w:numPr>
              <w:autoSpaceDE w:val="0"/>
              <w:autoSpaceDN w:val="0"/>
              <w:adjustRightInd w:val="0"/>
              <w:spacing w:after="140" w:line="240" w:lineRule="auto"/>
              <w:jc w:val="both"/>
              <w:rPr>
                <w:rFonts w:ascii="Arial" w:hAnsi="Arial" w:cs="Arial"/>
                <w:sz w:val="24"/>
                <w:szCs w:val="20"/>
              </w:rPr>
            </w:pPr>
            <w:r w:rsidRPr="00E14AEB">
              <w:rPr>
                <w:rFonts w:ascii="Arial" w:hAnsi="Arial" w:cs="Arial"/>
                <w:sz w:val="24"/>
                <w:szCs w:val="20"/>
              </w:rPr>
              <w:t xml:space="preserve">The Courts Services Centre answered 500,000 calls, </w:t>
            </w:r>
            <w:r>
              <w:rPr>
                <w:rFonts w:ascii="Arial" w:hAnsi="Arial" w:cs="Arial"/>
                <w:sz w:val="24"/>
                <w:szCs w:val="20"/>
              </w:rPr>
              <w:t>a 145 per cent increase on 2011</w:t>
            </w:r>
            <w:r w:rsidR="00205BCF">
              <w:rPr>
                <w:rFonts w:ascii="Arial" w:hAnsi="Arial" w:cs="Arial"/>
                <w:sz w:val="24"/>
                <w:szCs w:val="20"/>
              </w:rPr>
              <w:noBreakHyphen/>
            </w:r>
            <w:r w:rsidRPr="00E14AEB">
              <w:rPr>
                <w:rFonts w:ascii="Arial" w:hAnsi="Arial" w:cs="Arial"/>
                <w:sz w:val="24"/>
                <w:szCs w:val="20"/>
              </w:rPr>
              <w:t>12. The centre processed 24,0</w:t>
            </w:r>
            <w:r>
              <w:rPr>
                <w:rFonts w:ascii="Arial" w:hAnsi="Arial" w:cs="Arial"/>
                <w:sz w:val="24"/>
                <w:szCs w:val="20"/>
              </w:rPr>
              <w:t>00 payment transactions in 2012</w:t>
            </w:r>
            <w:r w:rsidR="00205BCF">
              <w:rPr>
                <w:rFonts w:ascii="Arial" w:hAnsi="Arial" w:cs="Arial"/>
                <w:sz w:val="24"/>
                <w:szCs w:val="20"/>
              </w:rPr>
              <w:noBreakHyphen/>
            </w:r>
            <w:r w:rsidRPr="00E14AEB">
              <w:rPr>
                <w:rFonts w:ascii="Arial" w:hAnsi="Arial" w:cs="Arial"/>
                <w:sz w:val="24"/>
                <w:szCs w:val="20"/>
              </w:rPr>
              <w:t>13, totalling $9.3 million. This was an increase of 133 per cent on 2011</w:t>
            </w:r>
            <w:r w:rsidR="00205BCF">
              <w:rPr>
                <w:rFonts w:ascii="Arial" w:hAnsi="Arial" w:cs="Arial"/>
                <w:sz w:val="24"/>
                <w:szCs w:val="20"/>
              </w:rPr>
              <w:noBreakHyphen/>
            </w:r>
            <w:r w:rsidRPr="00E14AEB">
              <w:rPr>
                <w:rFonts w:ascii="Arial" w:hAnsi="Arial" w:cs="Arial"/>
                <w:sz w:val="24"/>
                <w:szCs w:val="20"/>
              </w:rPr>
              <w:t>12.</w:t>
            </w:r>
          </w:p>
          <w:p w:rsidR="00834023" w:rsidRPr="00E14AEB" w:rsidRDefault="00834023" w:rsidP="00F02F80">
            <w:pPr>
              <w:pStyle w:val="ListParagraph"/>
              <w:numPr>
                <w:ilvl w:val="0"/>
                <w:numId w:val="27"/>
              </w:numPr>
              <w:autoSpaceDE w:val="0"/>
              <w:autoSpaceDN w:val="0"/>
              <w:adjustRightInd w:val="0"/>
              <w:spacing w:after="140" w:line="240" w:lineRule="auto"/>
              <w:jc w:val="both"/>
              <w:rPr>
                <w:rFonts w:ascii="Arial" w:hAnsi="Arial" w:cs="Arial"/>
                <w:sz w:val="24"/>
                <w:lang w:val="en-US"/>
              </w:rPr>
            </w:pPr>
            <w:r w:rsidRPr="00E14AEB">
              <w:rPr>
                <w:rFonts w:ascii="Arial" w:hAnsi="Arial" w:cs="Arial"/>
                <w:sz w:val="24"/>
                <w:lang w:val="en-US"/>
              </w:rPr>
              <w:t>Probate notices were made available publicly through the NSW online registry. Online probate notices have improved community accessibility to prospective probate applications through the free search function, and delivered a cost saving to the community.</w:t>
            </w:r>
          </w:p>
          <w:p w:rsidR="00834023" w:rsidRPr="00CF4385" w:rsidRDefault="00834023" w:rsidP="00F02F80">
            <w:pPr>
              <w:pStyle w:val="ListParagraph"/>
              <w:numPr>
                <w:ilvl w:val="0"/>
                <w:numId w:val="27"/>
              </w:numPr>
              <w:autoSpaceDE w:val="0"/>
              <w:autoSpaceDN w:val="0"/>
              <w:adjustRightInd w:val="0"/>
              <w:spacing w:after="140" w:line="240" w:lineRule="auto"/>
              <w:jc w:val="both"/>
              <w:rPr>
                <w:rFonts w:ascii="Arial" w:hAnsi="Arial" w:cs="Arial"/>
                <w:sz w:val="24"/>
                <w:lang w:val="en-US"/>
              </w:rPr>
            </w:pPr>
            <w:r w:rsidRPr="00CF4385">
              <w:rPr>
                <w:rFonts w:ascii="Arial" w:hAnsi="Arial" w:cs="Arial"/>
                <w:sz w:val="24"/>
                <w:lang w:val="en-US"/>
              </w:rPr>
              <w:t>40 online forms were delivered to support the end-to-end civil matter process across Local, District and Supreme courts. Court users have the ability to file these forms online or through electronic file transfer. Additional online registry services will be implemented in 2013</w:t>
            </w:r>
            <w:r w:rsidR="00205BCF">
              <w:rPr>
                <w:rFonts w:ascii="Arial" w:hAnsi="Arial" w:cs="Arial"/>
                <w:sz w:val="24"/>
                <w:lang w:val="en-US"/>
              </w:rPr>
              <w:noBreakHyphen/>
            </w:r>
            <w:r w:rsidRPr="00CF4385">
              <w:rPr>
                <w:rFonts w:ascii="Arial" w:hAnsi="Arial" w:cs="Arial"/>
                <w:sz w:val="24"/>
                <w:lang w:val="en-US"/>
              </w:rPr>
              <w:t>14.</w:t>
            </w:r>
          </w:p>
          <w:p w:rsidR="00834023" w:rsidRPr="00CF4385" w:rsidRDefault="00834023" w:rsidP="000328EA">
            <w:pPr>
              <w:autoSpaceDE w:val="0"/>
              <w:autoSpaceDN w:val="0"/>
              <w:adjustRightInd w:val="0"/>
              <w:spacing w:after="140"/>
              <w:jc w:val="both"/>
              <w:rPr>
                <w:rFonts w:ascii="Arial" w:hAnsi="Arial" w:cs="Arial"/>
                <w:sz w:val="24"/>
                <w:lang w:val="en-US" w:eastAsia="en-US"/>
              </w:rPr>
            </w:pPr>
            <w:r w:rsidRPr="00CF4385">
              <w:rPr>
                <w:rFonts w:ascii="Arial" w:hAnsi="Arial" w:cs="Arial"/>
                <w:sz w:val="24"/>
                <w:szCs w:val="20"/>
                <w:lang w:eastAsia="en-US"/>
              </w:rPr>
              <w:t>NSW commitment to promoting Alternative Dispute Resolution (</w:t>
            </w:r>
            <w:proofErr w:type="spellStart"/>
            <w:r w:rsidRPr="00CF4385">
              <w:rPr>
                <w:rFonts w:ascii="Arial" w:hAnsi="Arial" w:cs="Arial"/>
                <w:sz w:val="24"/>
                <w:szCs w:val="20"/>
                <w:lang w:eastAsia="en-US"/>
              </w:rPr>
              <w:t>ADR</w:t>
            </w:r>
            <w:proofErr w:type="spellEnd"/>
            <w:r w:rsidRPr="00CF4385">
              <w:rPr>
                <w:rFonts w:ascii="Arial" w:hAnsi="Arial" w:cs="Arial"/>
                <w:sz w:val="24"/>
                <w:szCs w:val="20"/>
                <w:lang w:eastAsia="en-US"/>
              </w:rPr>
              <w:t>) strengthened. In 2012</w:t>
            </w:r>
            <w:r w:rsidR="00205BCF">
              <w:rPr>
                <w:rFonts w:ascii="Arial" w:hAnsi="Arial" w:cs="Arial"/>
                <w:sz w:val="24"/>
                <w:szCs w:val="20"/>
                <w:lang w:eastAsia="en-US"/>
              </w:rPr>
              <w:noBreakHyphen/>
            </w:r>
            <w:r w:rsidRPr="00CF4385">
              <w:rPr>
                <w:rFonts w:ascii="Arial" w:hAnsi="Arial" w:cs="Arial"/>
                <w:sz w:val="24"/>
                <w:szCs w:val="20"/>
                <w:lang w:eastAsia="en-US"/>
              </w:rPr>
              <w:t>13 C</w:t>
            </w:r>
            <w:r w:rsidR="00205BCF">
              <w:rPr>
                <w:rFonts w:ascii="Arial" w:hAnsi="Arial" w:cs="Arial"/>
                <w:sz w:val="24"/>
                <w:szCs w:val="20"/>
                <w:lang w:eastAsia="en-US"/>
              </w:rPr>
              <w:t>ommunity Justice Centres held 1</w:t>
            </w:r>
            <w:r w:rsidRPr="00CF4385">
              <w:rPr>
                <w:rFonts w:ascii="Arial" w:hAnsi="Arial" w:cs="Arial"/>
                <w:sz w:val="24"/>
                <w:szCs w:val="20"/>
                <w:lang w:eastAsia="en-US"/>
              </w:rPr>
              <w:t>622 mediation sessions, with a resolution rate of almost 80 per cent</w:t>
            </w:r>
            <w:r w:rsidRPr="00CF4385">
              <w:rPr>
                <w:rFonts w:ascii="Arial" w:hAnsi="Arial" w:cs="Arial"/>
                <w:sz w:val="24"/>
                <w:lang w:val="en-US" w:eastAsia="en-US"/>
              </w:rPr>
              <w:t xml:space="preserve">. In December 2012 the Australian Institute of Criminology’s evaluation of </w:t>
            </w:r>
            <w:proofErr w:type="spellStart"/>
            <w:r w:rsidRPr="00CF4385">
              <w:rPr>
                <w:rFonts w:ascii="Arial" w:hAnsi="Arial" w:cs="Arial"/>
                <w:sz w:val="24"/>
                <w:lang w:val="en-US" w:eastAsia="en-US"/>
              </w:rPr>
              <w:t>AD</w:t>
            </w:r>
            <w:r>
              <w:rPr>
                <w:rFonts w:ascii="Arial" w:hAnsi="Arial" w:cs="Arial"/>
                <w:sz w:val="24"/>
                <w:lang w:val="en-US" w:eastAsia="en-US"/>
              </w:rPr>
              <w:t>R</w:t>
            </w:r>
            <w:proofErr w:type="spellEnd"/>
            <w:r w:rsidRPr="00CF4385">
              <w:rPr>
                <w:rFonts w:ascii="Arial" w:hAnsi="Arial" w:cs="Arial"/>
                <w:sz w:val="24"/>
                <w:lang w:val="en-US" w:eastAsia="en-US"/>
              </w:rPr>
              <w:t xml:space="preserve"> initiatives in the care and protection jurisdiction of the NSW Children’s Court found that</w:t>
            </w:r>
            <w:r>
              <w:rPr>
                <w:rFonts w:ascii="Arial" w:hAnsi="Arial" w:cs="Arial"/>
                <w:sz w:val="24"/>
                <w:lang w:val="en-US" w:eastAsia="en-US"/>
              </w:rPr>
              <w:t>,</w:t>
            </w:r>
            <w:r w:rsidRPr="00CF4385">
              <w:rPr>
                <w:rFonts w:ascii="Arial" w:hAnsi="Arial" w:cs="Arial"/>
                <w:sz w:val="24"/>
                <w:lang w:val="en-US" w:eastAsia="en-US"/>
              </w:rPr>
              <w:t xml:space="preserve"> overall</w:t>
            </w:r>
            <w:r>
              <w:rPr>
                <w:rFonts w:ascii="Arial" w:hAnsi="Arial" w:cs="Arial"/>
                <w:sz w:val="24"/>
                <w:lang w:val="en-US" w:eastAsia="en-US"/>
              </w:rPr>
              <w:t>,</w:t>
            </w:r>
            <w:r w:rsidRPr="00CF4385">
              <w:rPr>
                <w:rFonts w:ascii="Arial" w:hAnsi="Arial" w:cs="Arial"/>
                <w:sz w:val="24"/>
                <w:lang w:val="en-US" w:eastAsia="en-US"/>
              </w:rPr>
              <w:t xml:space="preserve"> </w:t>
            </w:r>
            <w:proofErr w:type="spellStart"/>
            <w:r w:rsidRPr="00CF4385">
              <w:rPr>
                <w:rFonts w:ascii="Arial" w:hAnsi="Arial" w:cs="Arial"/>
                <w:sz w:val="24"/>
                <w:lang w:val="en-US" w:eastAsia="en-US"/>
              </w:rPr>
              <w:t>ADR</w:t>
            </w:r>
            <w:proofErr w:type="spellEnd"/>
            <w:r w:rsidRPr="00CF4385">
              <w:rPr>
                <w:rFonts w:ascii="Arial" w:hAnsi="Arial" w:cs="Arial"/>
                <w:sz w:val="24"/>
                <w:lang w:val="en-US" w:eastAsia="en-US"/>
              </w:rPr>
              <w:t xml:space="preserve"> has made a significant difference to care and protection proceedings and delivered important benefits to parents and families.</w:t>
            </w:r>
          </w:p>
          <w:p w:rsidR="00834023" w:rsidRPr="0029075C" w:rsidRDefault="00834023" w:rsidP="000328EA">
            <w:pPr>
              <w:autoSpaceDE w:val="0"/>
              <w:autoSpaceDN w:val="0"/>
              <w:adjustRightInd w:val="0"/>
              <w:jc w:val="both"/>
              <w:rPr>
                <w:rFonts w:ascii="Helvetica 45 Light" w:hAnsi="Helvetica 45 Light" w:cs="Arial"/>
                <w:sz w:val="24"/>
                <w:lang w:val="en-US" w:eastAsia="en-US"/>
              </w:rPr>
            </w:pPr>
          </w:p>
          <w:p w:rsidR="00834023" w:rsidRDefault="00834023" w:rsidP="000328EA">
            <w:pPr>
              <w:pStyle w:val="Jurisdictioncommentsbodytext"/>
            </w:pPr>
          </w:p>
          <w:p w:rsidR="00834023" w:rsidRDefault="00834023" w:rsidP="000328EA">
            <w:pPr>
              <w:pStyle w:val="Jurisdictioncommentsbodytext"/>
            </w:pPr>
          </w:p>
        </w:tc>
        <w:tc>
          <w:tcPr>
            <w:tcW w:w="850" w:type="dxa"/>
          </w:tcPr>
          <w:p w:rsidR="00834023" w:rsidRPr="00BA314A" w:rsidRDefault="00834023" w:rsidP="00FC1834">
            <w:pPr>
              <w:pStyle w:val="BodyText"/>
            </w:pP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b/>
                <w:sz w:val="132"/>
              </w:rPr>
              <w:t>”</w:t>
            </w:r>
          </w:p>
        </w:tc>
      </w:tr>
      <w:tr w:rsidR="00834023" w:rsidRPr="00BA314A" w:rsidTr="00ED0345">
        <w:trPr>
          <w:trHeight w:val="471"/>
        </w:trPr>
        <w:tc>
          <w:tcPr>
            <w:tcW w:w="993" w:type="dxa"/>
          </w:tcPr>
          <w:p w:rsidR="00834023" w:rsidRPr="00BA314A" w:rsidRDefault="00834023" w:rsidP="00ED0345">
            <w:pPr>
              <w:pStyle w:val="Jurisdictioncommentsheading"/>
            </w:pPr>
            <w:r>
              <w:br w:type="page"/>
            </w:r>
          </w:p>
        </w:tc>
        <w:tc>
          <w:tcPr>
            <w:tcW w:w="8789" w:type="dxa"/>
          </w:tcPr>
          <w:p w:rsidR="00834023" w:rsidRPr="00BA314A" w:rsidRDefault="00834023" w:rsidP="00ED0345">
            <w:pPr>
              <w:pStyle w:val="Jurisdictioncommentsheading"/>
            </w:pPr>
            <w:r>
              <w:t>Victorian</w:t>
            </w:r>
            <w:r w:rsidRPr="00061388">
              <w:t xml:space="preserve"> Government comments</w:t>
            </w:r>
            <w:r w:rsidRPr="00061388">
              <w:tab/>
            </w:r>
          </w:p>
        </w:tc>
        <w:tc>
          <w:tcPr>
            <w:tcW w:w="850" w:type="dxa"/>
          </w:tcPr>
          <w:p w:rsidR="00834023" w:rsidRPr="00EE2EFE" w:rsidRDefault="00834023" w:rsidP="00ED0345">
            <w:pPr>
              <w:pStyle w:val="Jurisdictioncommentsheading"/>
            </w:pPr>
          </w:p>
        </w:tc>
      </w:tr>
      <w:tr w:rsidR="00834023" w:rsidRPr="00BA314A" w:rsidTr="00ED0345">
        <w:trPr>
          <w:trHeight w:hRule="exact" w:val="12600"/>
        </w:trPr>
        <w:tc>
          <w:tcPr>
            <w:tcW w:w="993" w:type="dxa"/>
          </w:tcPr>
          <w:p w:rsidR="00834023" w:rsidRPr="00BA314A" w:rsidRDefault="00834023" w:rsidP="00ED0345">
            <w:pPr>
              <w:pStyle w:val="BodyText"/>
              <w:spacing w:before="0"/>
            </w:pPr>
            <w:r w:rsidRPr="00BA314A">
              <w:rPr>
                <w:b/>
                <w:sz w:val="132"/>
              </w:rPr>
              <w:t>“</w:t>
            </w:r>
          </w:p>
        </w:tc>
        <w:tc>
          <w:tcPr>
            <w:tcW w:w="8789" w:type="dxa"/>
          </w:tcPr>
          <w:p w:rsidR="00834023" w:rsidRDefault="00834023" w:rsidP="000328EA">
            <w:pPr>
              <w:pStyle w:val="Jurisdictioncommentslistbullet"/>
            </w:pPr>
            <w:r w:rsidRPr="00C7310F">
              <w:t>The Supreme Court of Victoria has continued in its reform and innovation for 2012</w:t>
            </w:r>
            <w:r w:rsidR="00205BCF">
              <w:noBreakHyphen/>
            </w:r>
            <w:r w:rsidRPr="00C7310F">
              <w:t>13. A particular highlight has been the dramatic reduction in criminal and civil appeal backlogs with both areas achievi</w:t>
            </w:r>
            <w:r>
              <w:t>ng a clearance rate of over 100 per cent</w:t>
            </w:r>
            <w:r w:rsidRPr="00C7310F">
              <w:t xml:space="preserve">. This year again saw significant activity in the civil trial division achieving a </w:t>
            </w:r>
            <w:r>
              <w:t>clearance rate greater than 100 per cent</w:t>
            </w:r>
            <w:r w:rsidRPr="00C7310F">
              <w:t xml:space="preserve"> again for the third year leading to a drop in the backlog from previous years. Part of this achievement has been the management of major class action cases, which has been located in a state-of-the-art courtroom speciall</w:t>
            </w:r>
            <w:r>
              <w:t>y built to handle large trials.</w:t>
            </w:r>
          </w:p>
          <w:p w:rsidR="00834023" w:rsidRDefault="00834023" w:rsidP="000328EA">
            <w:pPr>
              <w:pStyle w:val="Jurisdictioncommentslistbullet"/>
            </w:pPr>
            <w:r>
              <w:t>In the County Court t</w:t>
            </w:r>
            <w:r w:rsidRPr="00C7310F">
              <w:t xml:space="preserve">here has been an overall increase in initiations in the civil jurisdiction and the clearance rate continues to reflect the fact that a large proportion of judges are primarily involved in hearing contested interlocutory proceedings in the nature of Serious Injury applications under the </w:t>
            </w:r>
            <w:r w:rsidRPr="00C7310F">
              <w:rPr>
                <w:i/>
              </w:rPr>
              <w:t xml:space="preserve">Accident Compensation Act 1985 </w:t>
            </w:r>
            <w:r>
              <w:t xml:space="preserve">(Vic). </w:t>
            </w:r>
            <w:r w:rsidRPr="00C7310F">
              <w:t>The Victorian Work Cover Authority was a respondent in 228 Serious Injury applications in which judgments were delivered over th</w:t>
            </w:r>
            <w:r>
              <w:t>e report period. Only 40 (or 18 per cent</w:t>
            </w:r>
            <w:r w:rsidRPr="00C7310F">
              <w:t>) of these applications were dismissed. Plaintiffs were success</w:t>
            </w:r>
            <w:r>
              <w:t>ful in the remaining 188 (or 82 per cent</w:t>
            </w:r>
            <w:r w:rsidRPr="00C7310F">
              <w:t>). The Court’s criminal jurisdiction has als</w:t>
            </w:r>
            <w:r>
              <w:t>o seen an overall increase of 9 per cent</w:t>
            </w:r>
            <w:r w:rsidRPr="00C7310F">
              <w:t xml:space="preserve"> in initiations. Continuing the trend over the last 3 years, the Court has again decreased the number of cases pending for over two years, particularly in regional </w:t>
            </w:r>
            <w:smartTag w:uri="urn:schemas-microsoft-com:office:smarttags" w:element="place">
              <w:smartTag w:uri="urn:schemas-microsoft-com:office:smarttags" w:element="State">
                <w:r w:rsidRPr="00C7310F">
                  <w:t>Victoria</w:t>
                </w:r>
              </w:smartTag>
            </w:smartTag>
            <w:r w:rsidRPr="00C7310F">
              <w:t xml:space="preserve"> where a number of initiatives have been implemented. For example, double circuit sittings and old case intensives have been particularly successful in reducing backlog in regional </w:t>
            </w:r>
            <w:smartTag w:uri="urn:schemas-microsoft-com:office:smarttags" w:element="place">
              <w:smartTag w:uri="urn:schemas-microsoft-com:office:smarttags" w:element="State">
                <w:r w:rsidRPr="00C7310F">
                  <w:t>Victoria</w:t>
                </w:r>
              </w:smartTag>
            </w:smartTag>
            <w:r w:rsidRPr="00C7310F">
              <w:t xml:space="preserve">. The Court has also introduced the 24 Hour Initial Directions Hearing pilot which is streamlining proceedings between the Magistrates’ Court and the County Court and cutting 10 -12 weeks in delay (between committal for trial from the Magistrates’ Court and Initial Directions Hearing in the County </w:t>
            </w:r>
            <w:r>
              <w:t>Court) from the system overall.</w:t>
            </w:r>
          </w:p>
          <w:p w:rsidR="00834023" w:rsidRPr="006F1C87" w:rsidRDefault="00834023" w:rsidP="000328EA">
            <w:pPr>
              <w:pStyle w:val="Jurisdictioncommentslistbullet"/>
            </w:pPr>
            <w:r w:rsidRPr="006F1C87">
              <w:t xml:space="preserve">The </w:t>
            </w:r>
            <w:r>
              <w:t xml:space="preserve">Magistrates’ </w:t>
            </w:r>
            <w:r w:rsidRPr="006F1C87">
              <w:t xml:space="preserve">Court continues to experience an increasing caseload as is evident in the cumulative statistics for the Court’s last five reporting years to date. </w:t>
            </w:r>
            <w:smartTag w:uri="urn:schemas-microsoft-com:office:smarttags" w:element="State">
              <w:smartTag w:uri="urn:schemas-microsoft-com:office:smarttags" w:element="place">
                <w:r w:rsidRPr="006F1C87">
                  <w:t>Victoria</w:t>
                </w:r>
              </w:smartTag>
            </w:smartTag>
            <w:r w:rsidRPr="006F1C87">
              <w:t xml:space="preserve">’s criminal caseload increase significantly this financial year. Lodgements grew a further 1.8 per cent on last year to 175,345. Through a number of listing strategies, the Court finalised 188,537 matters. This represents a record high for the Magistrates’ Court of Victoria. As a result, the Court posted a clearance rate above the 100 per cent for the sixth consecutive year, which compares favourably to other states in </w:t>
            </w:r>
            <w:smartTag w:uri="urn:schemas-microsoft-com:office:smarttags" w:element="country-region">
              <w:smartTag w:uri="urn:schemas-microsoft-com:office:smarttags" w:element="place">
                <w:r w:rsidRPr="006F1C87">
                  <w:t>Australia</w:t>
                </w:r>
              </w:smartTag>
            </w:smartTag>
            <w:r w:rsidRPr="006F1C87">
              <w:t xml:space="preserve">. Applications for intervention order also continue experience significant growth in </w:t>
            </w:r>
            <w:smartTag w:uri="urn:schemas-microsoft-com:office:smarttags" w:element="State">
              <w:smartTag w:uri="urn:schemas-microsoft-com:office:smarttags" w:element="place">
                <w:r w:rsidRPr="006F1C87">
                  <w:t>Victoria</w:t>
                </w:r>
              </w:smartTag>
            </w:smartTag>
            <w:r w:rsidRPr="006F1C87">
              <w:t xml:space="preserve">. </w:t>
            </w:r>
            <w:smartTag w:uri="urn:schemas-microsoft-com:office:smarttags" w:element="place">
              <w:smartTag w:uri="urn:schemas-microsoft-com:office:smarttags" w:element="State">
                <w:r w:rsidRPr="006F1C87">
                  <w:t>Victoria</w:t>
                </w:r>
              </w:smartTag>
            </w:smartTag>
            <w:r w:rsidRPr="006F1C87">
              <w:t>’s civil caseload has fallen for the fifth consecutive year, which is in contrast to the national trend.</w:t>
            </w:r>
            <w:r>
              <w:t xml:space="preserve"> </w:t>
            </w:r>
            <w:r w:rsidRPr="006F1C87">
              <w:t xml:space="preserve">The Magistrates’ Court continues to maintain high levels of efficiency despite substantive pressures stemming from annually increasing caseloads and rises in backlog. However, the proportion of matters pending more than 12 months remains low relative to historic trends and below the national average. </w:t>
            </w:r>
          </w:p>
          <w:p w:rsidR="00834023" w:rsidRPr="00052DBE" w:rsidRDefault="00834023" w:rsidP="003530AB">
            <w:pPr>
              <w:pStyle w:val="Jurisdictioncommentslistbullet"/>
              <w:numPr>
                <w:ilvl w:val="0"/>
                <w:numId w:val="0"/>
              </w:numPr>
              <w:rPr>
                <w:szCs w:val="24"/>
              </w:rPr>
            </w:pPr>
          </w:p>
        </w:tc>
        <w:tc>
          <w:tcPr>
            <w:tcW w:w="850" w:type="dxa"/>
          </w:tcPr>
          <w:p w:rsidR="00834023" w:rsidRPr="00BA314A" w:rsidRDefault="00834023" w:rsidP="00ED0345">
            <w:pPr>
              <w:pStyle w:val="BodyText"/>
            </w:pPr>
            <w:r w:rsidRPr="00BA314A">
              <w:rPr>
                <w:rFonts w:ascii="Arial" w:hAnsi="Arial"/>
                <w:sz w:val="24"/>
              </w:rPr>
              <w:br/>
            </w:r>
            <w:r w:rsidRPr="00BA314A">
              <w:rPr>
                <w:rFonts w:ascii="Arial" w:hAnsi="Arial"/>
                <w:sz w:val="24"/>
              </w:rPr>
              <w:br/>
            </w:r>
            <w:r w:rsidRPr="00BA314A">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BA314A">
              <w:rPr>
                <w:rFonts w:ascii="Arial" w:hAnsi="Arial"/>
                <w:sz w:val="24"/>
              </w:rPr>
              <w:br/>
            </w:r>
            <w:r w:rsidRPr="00BA314A">
              <w:rPr>
                <w:b/>
                <w:sz w:val="132"/>
              </w:rPr>
              <w:t>”</w:t>
            </w:r>
          </w:p>
        </w:tc>
      </w:tr>
      <w:tr w:rsidR="00834023" w:rsidRPr="00BA314A" w:rsidTr="00ED0345">
        <w:trPr>
          <w:trHeight w:val="471"/>
        </w:trPr>
        <w:tc>
          <w:tcPr>
            <w:tcW w:w="993" w:type="dxa"/>
          </w:tcPr>
          <w:p w:rsidR="00834023" w:rsidRPr="00BA314A" w:rsidRDefault="00834023" w:rsidP="00ED0345">
            <w:pPr>
              <w:pStyle w:val="Jurisdictioncommentsheading"/>
            </w:pPr>
            <w:r>
              <w:br w:type="page"/>
            </w:r>
          </w:p>
        </w:tc>
        <w:tc>
          <w:tcPr>
            <w:tcW w:w="8789" w:type="dxa"/>
          </w:tcPr>
          <w:p w:rsidR="00834023" w:rsidRPr="00BA314A" w:rsidRDefault="00834023" w:rsidP="00ED0345">
            <w:pPr>
              <w:pStyle w:val="Jurisdictioncommentsheading"/>
            </w:pPr>
            <w:r w:rsidRPr="00061388">
              <w:t>Queensland Government comments</w:t>
            </w:r>
            <w:r w:rsidRPr="00061388">
              <w:tab/>
            </w:r>
          </w:p>
        </w:tc>
        <w:tc>
          <w:tcPr>
            <w:tcW w:w="850" w:type="dxa"/>
          </w:tcPr>
          <w:p w:rsidR="00834023" w:rsidRPr="00EE2EFE" w:rsidRDefault="00834023" w:rsidP="00ED0345">
            <w:pPr>
              <w:pStyle w:val="Jurisdictioncommentsheading"/>
            </w:pPr>
          </w:p>
        </w:tc>
      </w:tr>
      <w:tr w:rsidR="00834023" w:rsidRPr="00BA314A" w:rsidTr="0050241B">
        <w:trPr>
          <w:trHeight w:hRule="exact" w:val="12753"/>
        </w:trPr>
        <w:tc>
          <w:tcPr>
            <w:tcW w:w="993" w:type="dxa"/>
          </w:tcPr>
          <w:p w:rsidR="00834023" w:rsidRPr="00BA314A" w:rsidRDefault="00834023" w:rsidP="00ED0345">
            <w:pPr>
              <w:pStyle w:val="BodyText"/>
              <w:spacing w:before="0"/>
            </w:pPr>
            <w:r w:rsidRPr="00BA314A">
              <w:rPr>
                <w:b/>
                <w:sz w:val="132"/>
              </w:rPr>
              <w:t>“</w:t>
            </w:r>
          </w:p>
        </w:tc>
        <w:tc>
          <w:tcPr>
            <w:tcW w:w="8789" w:type="dxa"/>
          </w:tcPr>
          <w:p w:rsidR="00734A70" w:rsidRDefault="00734A70" w:rsidP="00F02F80">
            <w:pPr>
              <w:pStyle w:val="Jurisdictioncommentslistbullet"/>
              <w:numPr>
                <w:ilvl w:val="0"/>
                <w:numId w:val="26"/>
              </w:numPr>
            </w:pPr>
            <w:r>
              <w:t>The Supreme, District and Magistrates Courts continued to achieve impressive criminal and civil clearance rates during 2012</w:t>
            </w:r>
            <w:r w:rsidR="00205BCF">
              <w:noBreakHyphen/>
            </w:r>
            <w:r>
              <w:t>13.</w:t>
            </w:r>
          </w:p>
          <w:p w:rsidR="00734A70" w:rsidRDefault="00734A70" w:rsidP="00F02F80">
            <w:pPr>
              <w:pStyle w:val="Jurisdictioncommentslistbullet"/>
              <w:numPr>
                <w:ilvl w:val="0"/>
                <w:numId w:val="26"/>
              </w:numPr>
            </w:pPr>
            <w:r>
              <w:t>In the Supreme Court (including appeals), the criminal clearance rate was 110.5 per</w:t>
            </w:r>
            <w:r w:rsidR="005D3234">
              <w:t xml:space="preserve"> </w:t>
            </w:r>
            <w:r>
              <w:t>cent and 111.7 per</w:t>
            </w:r>
            <w:r w:rsidR="005D3234">
              <w:t xml:space="preserve"> </w:t>
            </w:r>
            <w:r>
              <w:t>cent in the civil jurisdiction.</w:t>
            </w:r>
          </w:p>
          <w:p w:rsidR="00734A70" w:rsidRDefault="00734A70" w:rsidP="00F02F80">
            <w:pPr>
              <w:pStyle w:val="Jurisdictioncommentslistbullet"/>
              <w:numPr>
                <w:ilvl w:val="0"/>
                <w:numId w:val="26"/>
              </w:numPr>
            </w:pPr>
            <w:r>
              <w:t>The District Court (including appeals) achieved a clearance rate of 119.1 per</w:t>
            </w:r>
            <w:r w:rsidR="00613B71">
              <w:t> </w:t>
            </w:r>
            <w:r w:rsidR="005D3234">
              <w:t xml:space="preserve"> </w:t>
            </w:r>
            <w:r>
              <w:t>cent in the criminal jurisdiction and 107.5 per</w:t>
            </w:r>
            <w:r w:rsidR="005D3234">
              <w:t xml:space="preserve"> </w:t>
            </w:r>
            <w:r>
              <w:t>cent in the civil jurisdiction.</w:t>
            </w:r>
          </w:p>
          <w:p w:rsidR="00734A70" w:rsidRDefault="00734A70" w:rsidP="00F02F80">
            <w:pPr>
              <w:pStyle w:val="Jurisdictioncommentslistbullet"/>
              <w:numPr>
                <w:ilvl w:val="0"/>
                <w:numId w:val="26"/>
              </w:numPr>
            </w:pPr>
            <w:r>
              <w:t>The Magistrates Courts criminal clearance rate was 97.5 per cent, and the civil clearance rate was also 97.5 per</w:t>
            </w:r>
            <w:r w:rsidR="005D3234">
              <w:t xml:space="preserve"> </w:t>
            </w:r>
            <w:r>
              <w:t>cent.</w:t>
            </w:r>
          </w:p>
          <w:p w:rsidR="00734A70" w:rsidRDefault="00734A70" w:rsidP="00F02F80">
            <w:pPr>
              <w:pStyle w:val="Jurisdictioncommentslistbullet"/>
              <w:numPr>
                <w:ilvl w:val="0"/>
                <w:numId w:val="26"/>
              </w:numPr>
            </w:pPr>
            <w:r>
              <w:t>As a result of the clearance rates in the Supreme and District Courts, the numbers of active pending cases in those jurisdictions are decreasing.</w:t>
            </w:r>
          </w:p>
          <w:p w:rsidR="00734A70" w:rsidRDefault="00734A70" w:rsidP="00F02F80">
            <w:pPr>
              <w:pStyle w:val="Jurisdictioncommentslistbullet"/>
              <w:numPr>
                <w:ilvl w:val="0"/>
                <w:numId w:val="26"/>
              </w:numPr>
              <w:rPr>
                <w:rFonts w:cs="Arial"/>
                <w:sz w:val="22"/>
                <w:szCs w:val="22"/>
              </w:rPr>
            </w:pPr>
            <w:r>
              <w:t>In the Supreme Court, the total number of active criminal cases decreased by 31.3 per</w:t>
            </w:r>
            <w:r w:rsidR="00613B71">
              <w:t xml:space="preserve"> </w:t>
            </w:r>
            <w:r>
              <w:t xml:space="preserve">cent, from </w:t>
            </w:r>
            <w:r w:rsidR="00613B71">
              <w:t xml:space="preserve">502 as at 30 June 2012 to 345. </w:t>
            </w:r>
            <w:r>
              <w:t>Over the same period, the total number of active cases in the civil jurisdiction decreased by 13 per</w:t>
            </w:r>
            <w:r w:rsidR="00613B71">
              <w:t xml:space="preserve"> </w:t>
            </w:r>
            <w:r w:rsidR="00205BCF">
              <w:t>cent, from 3512 to 3</w:t>
            </w:r>
            <w:r>
              <w:t>054</w:t>
            </w:r>
            <w:r w:rsidR="00613B71">
              <w:t>.</w:t>
            </w:r>
            <w:r>
              <w:t xml:space="preserve"> </w:t>
            </w:r>
          </w:p>
          <w:p w:rsidR="00734A70" w:rsidRDefault="00734A70" w:rsidP="00F02F80">
            <w:pPr>
              <w:pStyle w:val="Jurisdictioncommentslistbullet"/>
              <w:numPr>
                <w:ilvl w:val="0"/>
                <w:numId w:val="26"/>
              </w:numPr>
              <w:rPr>
                <w:rFonts w:cs="Arial"/>
                <w:sz w:val="22"/>
                <w:szCs w:val="22"/>
              </w:rPr>
            </w:pPr>
            <w:r>
              <w:t>In the District Court, there was a decrease of 15.2 per</w:t>
            </w:r>
            <w:r w:rsidR="000045CC">
              <w:t xml:space="preserve"> </w:t>
            </w:r>
            <w:r>
              <w:t>cent in the number o</w:t>
            </w:r>
            <w:r w:rsidR="00205BCF">
              <w:t>f active criminal cases, from 1</w:t>
            </w:r>
            <w:r>
              <w:t>75</w:t>
            </w:r>
            <w:r w:rsidR="00205BCF">
              <w:t>7 as at 30 June 2012 to 1</w:t>
            </w:r>
            <w:r w:rsidR="000045CC">
              <w:t xml:space="preserve">490. </w:t>
            </w:r>
            <w:r>
              <w:t>Over the same period, there was a decrease of 8.1 per</w:t>
            </w:r>
            <w:r w:rsidR="000045CC">
              <w:t xml:space="preserve"> </w:t>
            </w:r>
            <w:r>
              <w:t>cent in</w:t>
            </w:r>
            <w:r w:rsidR="00205BCF">
              <w:t xml:space="preserve"> the civil jurisdiction, from 5125 to 4</w:t>
            </w:r>
            <w:r>
              <w:t>710.</w:t>
            </w:r>
          </w:p>
          <w:p w:rsidR="00734A70" w:rsidRDefault="00734A70" w:rsidP="00F02F80">
            <w:pPr>
              <w:pStyle w:val="Jurisdictioncommentslistbullet"/>
              <w:numPr>
                <w:ilvl w:val="0"/>
                <w:numId w:val="26"/>
              </w:numPr>
              <w:rPr>
                <w:rFonts w:cs="Arial"/>
                <w:sz w:val="22"/>
                <w:szCs w:val="22"/>
              </w:rPr>
            </w:pPr>
            <w:r>
              <w:t xml:space="preserve">In the criminal jurisdiction of the Magistrates Court, the number of criminal </w:t>
            </w:r>
            <w:proofErr w:type="spellStart"/>
            <w:r>
              <w:t>lo</w:t>
            </w:r>
            <w:r w:rsidR="000045CC">
              <w:t>dgments</w:t>
            </w:r>
            <w:proofErr w:type="spellEnd"/>
            <w:r w:rsidR="000045CC">
              <w:t xml:space="preserve"> increased from 183,</w:t>
            </w:r>
            <w:r>
              <w:t>717 to 188,524.</w:t>
            </w:r>
          </w:p>
          <w:p w:rsidR="00734A70" w:rsidRDefault="00734A70" w:rsidP="00F02F80">
            <w:pPr>
              <w:pStyle w:val="Jurisdictioncommentslistbullet"/>
              <w:numPr>
                <w:ilvl w:val="0"/>
                <w:numId w:val="26"/>
              </w:numPr>
              <w:rPr>
                <w:rFonts w:cs="Arial"/>
                <w:sz w:val="22"/>
                <w:szCs w:val="22"/>
              </w:rPr>
            </w:pPr>
            <w:r>
              <w:t>A Coroner’s office was established in Mackay during August 2012 to relieve the pressure on regional magistrates’ courts and help clear a backlog in delayed cases. This office investigates deaths in the Central Queensland region in a region extending from Proserpine to Gayndah.</w:t>
            </w:r>
          </w:p>
          <w:p w:rsidR="00734A70" w:rsidRDefault="00734A70" w:rsidP="00F02F80">
            <w:pPr>
              <w:pStyle w:val="Jurisdictioncommentslistbullet"/>
              <w:numPr>
                <w:ilvl w:val="0"/>
                <w:numId w:val="26"/>
              </w:numPr>
              <w:rPr>
                <w:rFonts w:cs="Arial"/>
                <w:sz w:val="22"/>
                <w:szCs w:val="22"/>
              </w:rPr>
            </w:pPr>
            <w:r>
              <w:t>In August 2012, the Supreme Court of Queensland entered into a Memorandum of Understanding (</w:t>
            </w:r>
            <w:proofErr w:type="spellStart"/>
            <w:r>
              <w:t>MOU</w:t>
            </w:r>
            <w:proofErr w:type="spellEnd"/>
            <w:r>
              <w:t>) with the Supreme and National Cou</w:t>
            </w:r>
            <w:r w:rsidR="000045CC">
              <w:t xml:space="preserve">rts of Papua New Guinea (PNG). </w:t>
            </w:r>
            <w:r>
              <w:t xml:space="preserve">The </w:t>
            </w:r>
            <w:proofErr w:type="spellStart"/>
            <w:r>
              <w:t>MOU</w:t>
            </w:r>
            <w:proofErr w:type="spellEnd"/>
            <w:r>
              <w:t xml:space="preserve"> has a focus on sharing knowledge and exchanging advice in areas of the court registry, courts technology, courts training, policy and procedures, and the role of the sheriff.  A delegation of Queensland Courts staff visited PNG in February 2013 and a reciprocal visit was planned by PNG judges and staff to Brisbane during July 2013.</w:t>
            </w:r>
          </w:p>
          <w:p w:rsidR="00834023" w:rsidRDefault="00734A70" w:rsidP="00E1196F">
            <w:pPr>
              <w:pStyle w:val="Jurisdictioncommentslistbullet"/>
            </w:pPr>
            <w:r w:rsidRPr="000045CC">
              <w:t>In</w:t>
            </w:r>
            <w:r>
              <w:t xml:space="preserve"> December 2012, a cross agency initiative to increase videoconferencing and reduce prisoner </w:t>
            </w:r>
            <w:r w:rsidR="000045CC">
              <w:t xml:space="preserve">transports to court commenced. </w:t>
            </w:r>
            <w:r>
              <w:t xml:space="preserve">A trial between the Arthur </w:t>
            </w:r>
            <w:proofErr w:type="spellStart"/>
            <w:r>
              <w:t>Gorrie</w:t>
            </w:r>
            <w:proofErr w:type="spellEnd"/>
            <w:r>
              <w:t xml:space="preserve"> Correctional Centre and a Brisbane-based law firm to video</w:t>
            </w:r>
            <w:r w:rsidR="000045CC">
              <w:t xml:space="preserve">conference legal visits with in </w:t>
            </w:r>
            <w:r>
              <w:t>custody clients demonst</w:t>
            </w:r>
            <w:r w:rsidR="000045CC">
              <w:t xml:space="preserve">rated benefits to all parties. </w:t>
            </w:r>
            <w:r>
              <w:t xml:space="preserve">The need for legal representatives to travel to </w:t>
            </w:r>
            <w:r w:rsidR="00E1196F">
              <w:t xml:space="preserve">the </w:t>
            </w:r>
            <w:proofErr w:type="spellStart"/>
            <w:r>
              <w:t>orrectional</w:t>
            </w:r>
            <w:proofErr w:type="spellEnd"/>
            <w:r>
              <w:t xml:space="preserve"> centre is eliminated and offenders have not opposed the initiative as it avoids the need for searches that occur after in-person visits as well as enabling more regular contact with legal representatives.</w:t>
            </w:r>
          </w:p>
        </w:tc>
        <w:tc>
          <w:tcPr>
            <w:tcW w:w="850" w:type="dxa"/>
          </w:tcPr>
          <w:p w:rsidR="00834023" w:rsidRPr="0050241B" w:rsidRDefault="00834023" w:rsidP="00ED0345">
            <w:pPr>
              <w:pStyle w:val="BodyText"/>
              <w:rPr>
                <w:rFonts w:ascii="Arial" w:hAnsi="Arial"/>
                <w:sz w:val="24"/>
              </w:rPr>
            </w:pP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Pr>
                <w:rFonts w:ascii="Arial" w:hAnsi="Arial"/>
                <w:sz w:val="24"/>
              </w:rPr>
              <w:br/>
            </w:r>
            <w:r w:rsidRPr="00BA314A">
              <w:rPr>
                <w:b/>
                <w:sz w:val="132"/>
              </w:rPr>
              <w:t>”</w:t>
            </w:r>
          </w:p>
        </w:tc>
      </w:tr>
      <w:tr w:rsidR="00834023" w:rsidRPr="00CF086B" w:rsidTr="00ED0345">
        <w:trPr>
          <w:trHeight w:val="471"/>
        </w:trPr>
        <w:tc>
          <w:tcPr>
            <w:tcW w:w="993" w:type="dxa"/>
          </w:tcPr>
          <w:p w:rsidR="00834023" w:rsidRPr="00CF086B" w:rsidRDefault="00834023" w:rsidP="00CF086B">
            <w:pPr>
              <w:pStyle w:val="Jurisdictioncommentsheading"/>
            </w:pPr>
            <w:r w:rsidRPr="00CF086B">
              <w:br w:type="page"/>
            </w:r>
          </w:p>
        </w:tc>
        <w:tc>
          <w:tcPr>
            <w:tcW w:w="8789" w:type="dxa"/>
          </w:tcPr>
          <w:p w:rsidR="00834023" w:rsidRPr="00CF086B" w:rsidRDefault="00834023" w:rsidP="00CF086B">
            <w:pPr>
              <w:pStyle w:val="Jurisdictioncommentsheading"/>
            </w:pPr>
            <w:r w:rsidRPr="00CF086B">
              <w:t>Western Australian Government comments</w:t>
            </w:r>
            <w:r w:rsidRPr="00CF086B">
              <w:tab/>
            </w:r>
          </w:p>
        </w:tc>
        <w:tc>
          <w:tcPr>
            <w:tcW w:w="850" w:type="dxa"/>
          </w:tcPr>
          <w:p w:rsidR="00834023" w:rsidRPr="00CF086B" w:rsidRDefault="00834023" w:rsidP="00CF086B">
            <w:pPr>
              <w:pStyle w:val="Jurisdictioncommentsheading"/>
            </w:pPr>
          </w:p>
        </w:tc>
      </w:tr>
      <w:tr w:rsidR="00834023" w:rsidRPr="00BA314A" w:rsidTr="006F161D">
        <w:trPr>
          <w:trHeight w:hRule="exact" w:val="12753"/>
        </w:trPr>
        <w:tc>
          <w:tcPr>
            <w:tcW w:w="993" w:type="dxa"/>
          </w:tcPr>
          <w:p w:rsidR="00834023" w:rsidRPr="00BA314A" w:rsidRDefault="00834023" w:rsidP="00137267">
            <w:pPr>
              <w:pStyle w:val="BodyText"/>
              <w:spacing w:before="0"/>
            </w:pPr>
            <w:r w:rsidRPr="00BA314A">
              <w:rPr>
                <w:b/>
                <w:sz w:val="132"/>
              </w:rPr>
              <w:t>“</w:t>
            </w:r>
          </w:p>
        </w:tc>
        <w:tc>
          <w:tcPr>
            <w:tcW w:w="8789" w:type="dxa"/>
          </w:tcPr>
          <w:p w:rsidR="00834023" w:rsidRDefault="00834023" w:rsidP="00915F7F">
            <w:pPr>
              <w:pStyle w:val="Jurisdictioncommentsheading"/>
              <w:rPr>
                <w:b w:val="0"/>
              </w:rPr>
            </w:pPr>
            <w:r>
              <w:rPr>
                <w:b w:val="0"/>
              </w:rPr>
              <w:t>In 2012</w:t>
            </w:r>
            <w:r w:rsidR="00205BCF">
              <w:rPr>
                <w:b w:val="0"/>
              </w:rPr>
              <w:noBreakHyphen/>
            </w:r>
            <w:r>
              <w:rPr>
                <w:b w:val="0"/>
              </w:rPr>
              <w:t>13 Western Australia’s Courts continued to improve service delivery.</w:t>
            </w:r>
          </w:p>
          <w:p w:rsidR="00834023" w:rsidRDefault="00834023" w:rsidP="00915F7F">
            <w:pPr>
              <w:pStyle w:val="Jurisdictioncommentslistbullet"/>
            </w:pPr>
            <w:r>
              <w:t xml:space="preserve">In the Supreme Court, the numbers of criminal, Court of Appeal and probate </w:t>
            </w:r>
            <w:proofErr w:type="spellStart"/>
            <w:r>
              <w:t>lodgments</w:t>
            </w:r>
            <w:proofErr w:type="spellEnd"/>
            <w:r>
              <w:t xml:space="preserve"> have increased slightly compared to last year. However, the clearance rate for criminal appeal matters has improved on the previous year. In addition, the court continues to maximise technology, especially in complex civil and criminal trials. Judicial resources were temporarily deployed from civil to the criminal division to manage the increase in workload which resulted in an improvement to the non-appeal criminal clearance rate.</w:t>
            </w:r>
          </w:p>
          <w:p w:rsidR="00834023" w:rsidRDefault="00834023" w:rsidP="00915F7F">
            <w:pPr>
              <w:pStyle w:val="Jurisdictioncommentslistbullet"/>
            </w:pPr>
            <w:r>
              <w:t>Sustained improvements in listing procedures at the District Court has resulted in criminal median time to trial declining to 25 weeks and the criminal clearance rate has also improved since last year.</w:t>
            </w:r>
          </w:p>
          <w:p w:rsidR="00834023" w:rsidRDefault="00834023" w:rsidP="00915F7F">
            <w:pPr>
              <w:pStyle w:val="Jurisdictioncommentslistbullet"/>
            </w:pPr>
            <w:r>
              <w:t>The appointment of two Family Court Judges to judicial vacancies and the State and Commonwealth funded acting magistrates has allowed the Family Court to continue to increase finalisations and clear its backlog. The State Government funded magistrate allocated to de facto financial matters has been focused on undertaking trial work (primarily contributing to a 50 per cent increase in de facto financial trials held), assisting to clear the jurisdiction’s more complex matters. The non-appeal pending case load reduced by 6 per cent and the Court achieved a clearance rate of more than 100 per cent.</w:t>
            </w:r>
          </w:p>
          <w:p w:rsidR="00834023" w:rsidRDefault="00834023" w:rsidP="00915F7F">
            <w:pPr>
              <w:pStyle w:val="Jurisdictioncommentslistbullet"/>
            </w:pPr>
            <w:r>
              <w:t xml:space="preserve">Through State Government funding a mental health diversion and support program was introduced into the Perth Magistrates Court to provide sentencing options for mentally ill accused. The desired outcomes of the program are to reduce re-offending, and improve the mental health of people appearing in court who have a moderate to severe mental illness. Since its inception in March 2013, the pilot Mental Health Diversion and Support program has seen 138 individuals appear before its dedicated court. Its associated clinical team has engaged with 104 clients of which 50 have received ongoing support. A juvenile component of the project, which focuses on early intervention commenced at the Perth Children’s Court in April 2013. </w:t>
            </w:r>
          </w:p>
          <w:p w:rsidR="00834023" w:rsidRDefault="00834023" w:rsidP="00915F7F">
            <w:pPr>
              <w:pStyle w:val="Jurisdictioncommentslistbullet"/>
            </w:pPr>
            <w:r>
              <w:t>Strategies continued to be employed to address the backlog of outstanding coronial cases. The State Government provided funding to Coroner’s Court for an additional two coroners and five staff in the latter part of 2011</w:t>
            </w:r>
            <w:r w:rsidR="00205BCF">
              <w:noBreakHyphen/>
            </w:r>
            <w:r>
              <w:t>12 which became permanent from 2013</w:t>
            </w:r>
            <w:r w:rsidR="00205BCF">
              <w:noBreakHyphen/>
            </w:r>
            <w:r>
              <w:t>14. The additional resources have enabled the Court to reduce the number of backlog cases by 25 per cent on the previous year.</w:t>
            </w:r>
          </w:p>
          <w:p w:rsidR="00834023" w:rsidRDefault="00834023" w:rsidP="00915F7F">
            <w:pPr>
              <w:pStyle w:val="Jurisdictioncommentslistbullet"/>
            </w:pPr>
            <w:r>
              <w:t xml:space="preserve">The Department continued to progress the </w:t>
            </w:r>
            <w:proofErr w:type="spellStart"/>
            <w:r>
              <w:t>eCourts</w:t>
            </w:r>
            <w:proofErr w:type="spellEnd"/>
            <w:r>
              <w:t xml:space="preserve"> Integrated Courts Management System (</w:t>
            </w:r>
            <w:proofErr w:type="spellStart"/>
            <w:r>
              <w:t>ICMS</w:t>
            </w:r>
            <w:proofErr w:type="spellEnd"/>
            <w:r>
              <w:t>) project, with the migration of all remaining civil functionality into a single case management system occurring in October 2012. Development on the criminal release, scheduled for implementation in 2013</w:t>
            </w:r>
            <w:r w:rsidR="00205BCF">
              <w:noBreakHyphen/>
            </w:r>
            <w:r>
              <w:t>14 will see the amalgamation of all court and tribunal matters into a single electronic case management system across the State.</w:t>
            </w:r>
          </w:p>
          <w:p w:rsidR="00834023" w:rsidRDefault="00834023" w:rsidP="00915F7F">
            <w:pPr>
              <w:pStyle w:val="Jurisdictioncommentslistbullet"/>
              <w:numPr>
                <w:ilvl w:val="0"/>
                <w:numId w:val="0"/>
              </w:numPr>
              <w:ind w:left="318"/>
            </w:pPr>
          </w:p>
        </w:tc>
        <w:tc>
          <w:tcPr>
            <w:tcW w:w="850" w:type="dxa"/>
          </w:tcPr>
          <w:p w:rsidR="00834023" w:rsidRPr="00BA314A" w:rsidRDefault="00834023" w:rsidP="00ED0345">
            <w:pPr>
              <w:pStyle w:val="BodyText"/>
            </w:pP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sidRPr="00BA314A">
              <w:rPr>
                <w:b/>
                <w:sz w:val="132"/>
              </w:rPr>
              <w:t>”</w:t>
            </w:r>
          </w:p>
        </w:tc>
      </w:tr>
      <w:tr w:rsidR="00834023" w:rsidRPr="00BA314A" w:rsidTr="00ED0345">
        <w:trPr>
          <w:trHeight w:val="471"/>
        </w:trPr>
        <w:tc>
          <w:tcPr>
            <w:tcW w:w="993" w:type="dxa"/>
          </w:tcPr>
          <w:p w:rsidR="00834023" w:rsidRPr="00BA314A" w:rsidRDefault="00834023" w:rsidP="00ED0345">
            <w:pPr>
              <w:pStyle w:val="Jurisdictioncommentsheading"/>
            </w:pPr>
            <w:r>
              <w:br w:type="page"/>
            </w:r>
          </w:p>
        </w:tc>
        <w:tc>
          <w:tcPr>
            <w:tcW w:w="8789" w:type="dxa"/>
          </w:tcPr>
          <w:p w:rsidR="00834023" w:rsidRPr="001627EE" w:rsidRDefault="00834023" w:rsidP="001627EE">
            <w:pPr>
              <w:pStyle w:val="Jurisdictioncommentsheading"/>
            </w:pPr>
            <w:r>
              <w:t>South Australian Government comments</w:t>
            </w:r>
          </w:p>
        </w:tc>
        <w:tc>
          <w:tcPr>
            <w:tcW w:w="850" w:type="dxa"/>
          </w:tcPr>
          <w:p w:rsidR="00834023" w:rsidRPr="00EE2EFE" w:rsidRDefault="00834023" w:rsidP="00ED0345">
            <w:pPr>
              <w:pStyle w:val="Jurisdictioncommentsheading"/>
            </w:pPr>
          </w:p>
        </w:tc>
      </w:tr>
      <w:tr w:rsidR="00834023" w:rsidRPr="00BA314A" w:rsidTr="00D7146D">
        <w:trPr>
          <w:trHeight w:hRule="exact" w:val="12753"/>
        </w:trPr>
        <w:tc>
          <w:tcPr>
            <w:tcW w:w="993" w:type="dxa"/>
          </w:tcPr>
          <w:p w:rsidR="00834023" w:rsidRPr="00BA314A" w:rsidRDefault="00834023" w:rsidP="00ED0345">
            <w:pPr>
              <w:pStyle w:val="BodyText"/>
              <w:spacing w:before="0"/>
            </w:pPr>
            <w:r w:rsidRPr="00BA314A">
              <w:rPr>
                <w:b/>
                <w:sz w:val="132"/>
              </w:rPr>
              <w:t>“</w:t>
            </w:r>
          </w:p>
        </w:tc>
        <w:tc>
          <w:tcPr>
            <w:tcW w:w="8789" w:type="dxa"/>
          </w:tcPr>
          <w:p w:rsidR="00CD30DF" w:rsidRPr="00CD30DF" w:rsidRDefault="00715567" w:rsidP="00CD30DF">
            <w:pPr>
              <w:pStyle w:val="Jurisdictioncommentslistbullet"/>
            </w:pPr>
            <w:r>
              <w:t>In 2012</w:t>
            </w:r>
            <w:r w:rsidR="00205BCF">
              <w:noBreakHyphen/>
            </w:r>
            <w:r>
              <w:t xml:space="preserve">13, total </w:t>
            </w:r>
            <w:proofErr w:type="spellStart"/>
            <w:r>
              <w:t>lodg</w:t>
            </w:r>
            <w:r w:rsidR="00CD30DF" w:rsidRPr="00CD30DF">
              <w:t>ments</w:t>
            </w:r>
            <w:proofErr w:type="spellEnd"/>
            <w:r w:rsidR="00CD30DF" w:rsidRPr="00CD30DF">
              <w:t xml:space="preserve"> for criminal matters in the District Court increased by 12.4 per cent (2301 compared to 2048 in 2011</w:t>
            </w:r>
            <w:r w:rsidR="00205BCF">
              <w:noBreakHyphen/>
            </w:r>
            <w:r w:rsidR="00CD30DF" w:rsidRPr="00CD30DF">
              <w:t>12). Finalisations for criminal matters in the District Court increased by 7.3 per cent in 2012</w:t>
            </w:r>
            <w:r w:rsidR="00205BCF">
              <w:noBreakHyphen/>
            </w:r>
            <w:r w:rsidR="00CD30DF" w:rsidRPr="00CD30DF">
              <w:t>13 (2192 compared to 2043 in 2011</w:t>
            </w:r>
            <w:r w:rsidR="00205BCF">
              <w:noBreakHyphen/>
            </w:r>
            <w:r w:rsidR="00CD30DF" w:rsidRPr="00CD30DF">
              <w:t xml:space="preserve">12). </w:t>
            </w:r>
          </w:p>
          <w:p w:rsidR="00CD30DF" w:rsidRPr="00CD30DF" w:rsidRDefault="00715567" w:rsidP="00CD30DF">
            <w:pPr>
              <w:pStyle w:val="Jurisdictioncommentslistbullet"/>
            </w:pPr>
            <w:r>
              <w:t>In 2012</w:t>
            </w:r>
            <w:r w:rsidR="00205BCF">
              <w:noBreakHyphen/>
            </w:r>
            <w:r>
              <w:t xml:space="preserve">13, total </w:t>
            </w:r>
            <w:proofErr w:type="spellStart"/>
            <w:r>
              <w:t>lodg</w:t>
            </w:r>
            <w:r w:rsidR="00CD30DF" w:rsidRPr="00CD30DF">
              <w:t>ments</w:t>
            </w:r>
            <w:proofErr w:type="spellEnd"/>
            <w:r w:rsidR="00CD30DF" w:rsidRPr="00CD30DF">
              <w:t xml:space="preserve"> for criminal matters (including appeal matters) in the Supreme Court decreased by 8.5 per cent (324 compared to 354 in 2011</w:t>
            </w:r>
            <w:r w:rsidR="00205BCF">
              <w:noBreakHyphen/>
            </w:r>
            <w:r w:rsidR="00CD30DF" w:rsidRPr="00CD30DF">
              <w:t>12). Finalisations for criminal matters (including appeal matters) in the Supreme Court decreased by 8.7 per cent in 2012</w:t>
            </w:r>
            <w:r w:rsidR="00205BCF">
              <w:noBreakHyphen/>
            </w:r>
            <w:r w:rsidR="00CD30DF" w:rsidRPr="00CD30DF">
              <w:t>13 (336 compared to 368 in 2011</w:t>
            </w:r>
            <w:r w:rsidR="00205BCF">
              <w:noBreakHyphen/>
            </w:r>
            <w:r w:rsidR="00CD30DF" w:rsidRPr="00CD30DF">
              <w:t xml:space="preserve">12. </w:t>
            </w:r>
          </w:p>
          <w:p w:rsidR="00CD30DF" w:rsidRPr="00CD30DF" w:rsidRDefault="00CD30DF" w:rsidP="00CD30DF">
            <w:pPr>
              <w:pStyle w:val="Jurisdictioncommentslistbullet"/>
            </w:pPr>
            <w:r w:rsidRPr="00CD30DF">
              <w:t>In 2012</w:t>
            </w:r>
            <w:r w:rsidR="00205BCF">
              <w:noBreakHyphen/>
            </w:r>
            <w:r w:rsidRPr="00CD30DF">
              <w:t>13, total finalisations for civil matters in the District Court decreased by 8.0 per cent in 2012</w:t>
            </w:r>
            <w:r w:rsidR="00205BCF">
              <w:noBreakHyphen/>
            </w:r>
            <w:r w:rsidRPr="00CD30DF">
              <w:t>13 (2927) relative to 2011</w:t>
            </w:r>
            <w:r w:rsidR="00205BCF">
              <w:noBreakHyphen/>
            </w:r>
            <w:r w:rsidRPr="00CD30DF">
              <w:t>12 (3181). The clearance index percentage decreased to 94.8 per cent in 2012</w:t>
            </w:r>
            <w:r w:rsidR="00205BCF">
              <w:noBreakHyphen/>
            </w:r>
            <w:r w:rsidRPr="00CD30DF">
              <w:t>13 relative to 2011</w:t>
            </w:r>
            <w:r w:rsidR="00205BCF">
              <w:noBreakHyphen/>
            </w:r>
            <w:r w:rsidRPr="00CD30DF">
              <w:t xml:space="preserve">12 (124.5 per cent). The decrease in clearance rate is attributed to a large number of Personal Injury matters that were lodged in June 2013 because of a legislative change and not finalised prior to the end of the financial year. </w:t>
            </w:r>
          </w:p>
          <w:p w:rsidR="00CD30DF" w:rsidRPr="00CD30DF" w:rsidRDefault="00CD30DF" w:rsidP="00CD30DF">
            <w:pPr>
              <w:pStyle w:val="Jurisdictioncommentslistbullet"/>
            </w:pPr>
            <w:r w:rsidRPr="00CD30DF">
              <w:t>The Courts Administration Authority continues to pursue the use of Audio Visual (</w:t>
            </w:r>
            <w:proofErr w:type="spellStart"/>
            <w:r w:rsidRPr="00CD30DF">
              <w:t>AVL</w:t>
            </w:r>
            <w:proofErr w:type="spellEnd"/>
            <w:r w:rsidRPr="00CD30DF">
              <w:t xml:space="preserve">) links in courtrooms, both to provide vulnerable witness facilities and to reduce the number of defendants transported to court from correctional institutions. In July 2012 the District Court changed its Rules to facilitate the use of </w:t>
            </w:r>
            <w:proofErr w:type="spellStart"/>
            <w:r w:rsidRPr="00CD30DF">
              <w:t>AVL</w:t>
            </w:r>
            <w:proofErr w:type="spellEnd"/>
            <w:r w:rsidRPr="00CD30DF">
              <w:t xml:space="preserve"> for custodial appearances in pre-trial matters. Courts across all jurisdictions continue to use </w:t>
            </w:r>
            <w:proofErr w:type="spellStart"/>
            <w:r w:rsidRPr="00CD30DF">
              <w:t>AVL</w:t>
            </w:r>
            <w:proofErr w:type="spellEnd"/>
            <w:r w:rsidRPr="00CD30DF">
              <w:t xml:space="preserve"> with approximately 750 appearances on average per month which is an increase from 2011</w:t>
            </w:r>
            <w:r w:rsidR="00205BCF">
              <w:noBreakHyphen/>
            </w:r>
            <w:r w:rsidRPr="00CD30DF">
              <w:t xml:space="preserve">12 (558 per month). </w:t>
            </w:r>
          </w:p>
          <w:p w:rsidR="00CD30DF" w:rsidRPr="00CD30DF" w:rsidRDefault="00CD30DF" w:rsidP="00CD30DF">
            <w:pPr>
              <w:pStyle w:val="Jurisdictioncommentslistbullet"/>
            </w:pPr>
            <w:r w:rsidRPr="00CD30DF">
              <w:t>The number of applications for possession of property lodged with the Supreme Court has decreased this year.  There were 703 applications in 2010</w:t>
            </w:r>
            <w:r w:rsidR="00205BCF">
              <w:t>–</w:t>
            </w:r>
            <w:r w:rsidRPr="00CD30DF">
              <w:t>2011, 876 in 2011</w:t>
            </w:r>
            <w:r w:rsidR="00205BCF">
              <w:t>–</w:t>
            </w:r>
            <w:r w:rsidRPr="00CD30DF">
              <w:t>2012 and 731 in 2012</w:t>
            </w:r>
            <w:r w:rsidR="00205BCF">
              <w:t>–</w:t>
            </w:r>
            <w:r w:rsidRPr="00CD30DF">
              <w:t>2013.  The number of orders made has remained constant in comparison to last year, being 479 in 2011</w:t>
            </w:r>
            <w:r w:rsidR="00205BCF">
              <w:t>–</w:t>
            </w:r>
            <w:r w:rsidRPr="00CD30DF">
              <w:t>2012 and 473 in 2012</w:t>
            </w:r>
            <w:r w:rsidR="00205BCF">
              <w:t>–</w:t>
            </w:r>
            <w:r w:rsidRPr="00CD30DF">
              <w:t>2013.</w:t>
            </w:r>
          </w:p>
          <w:p w:rsidR="00CD30DF" w:rsidRPr="00CD30DF" w:rsidRDefault="00F7783A" w:rsidP="00CD30DF">
            <w:pPr>
              <w:pStyle w:val="Jurisdictioncommentslistbullet"/>
            </w:pPr>
            <w:r>
              <w:t xml:space="preserve">Magistrates Court Civil </w:t>
            </w:r>
            <w:proofErr w:type="spellStart"/>
            <w:r>
              <w:t>lodg</w:t>
            </w:r>
            <w:r w:rsidR="00CD30DF" w:rsidRPr="00CD30DF">
              <w:t>ments</w:t>
            </w:r>
            <w:proofErr w:type="spellEnd"/>
            <w:r w:rsidR="00CD30DF" w:rsidRPr="00CD30DF">
              <w:t xml:space="preserve"> have increased by approximately 9 per cent in the reporting period. This is largely attributed to an increase in lodgements in June 2013 in anticipation of the introduction of new jurisdictional monetary limits under the Statutes Amendment (Courts Efficiency Reforms) Act 2012. </w:t>
            </w:r>
          </w:p>
          <w:p w:rsidR="00CD30DF" w:rsidRDefault="00F7783A" w:rsidP="00CD30DF">
            <w:pPr>
              <w:pStyle w:val="Jurisdictioncommentslistbullet"/>
            </w:pPr>
            <w:r>
              <w:t xml:space="preserve">Criminal </w:t>
            </w:r>
            <w:proofErr w:type="spellStart"/>
            <w:r>
              <w:t>lodg</w:t>
            </w:r>
            <w:r w:rsidR="00CD30DF" w:rsidRPr="00CD30DF">
              <w:t>ments</w:t>
            </w:r>
            <w:proofErr w:type="spellEnd"/>
            <w:r w:rsidR="00CD30DF" w:rsidRPr="00CD30DF">
              <w:t xml:space="preserve"> in the Magistrates Court remained relatively stable. Consistent with last financial year, the number of applications under the Intervention Orders</w:t>
            </w:r>
            <w:r w:rsidR="00CD30DF">
              <w:t xml:space="preserve"> (Prevention of Abuse) Act 2009 remained significantly higher when compared to the number of restraining order applications lodged under the repealed legislation.</w:t>
            </w:r>
          </w:p>
          <w:p w:rsidR="00CD30DF" w:rsidRDefault="00CD30DF" w:rsidP="00CD30DF">
            <w:pPr>
              <w:pStyle w:val="Jurisdictioncommentslistbullet"/>
              <w:rPr>
                <w:sz w:val="22"/>
                <w:szCs w:val="22"/>
              </w:rPr>
            </w:pPr>
            <w:r>
              <w:t>An Early Resolution Court was introduced in October 2012 at Holden Hill Magistrates Court and in April 2013 at Adelaide Magistrates Court. The pilot at Holden Hill was completed in March 2013 and is currently being evaluated.</w:t>
            </w:r>
          </w:p>
          <w:p w:rsidR="00834023" w:rsidRPr="00373F3A" w:rsidRDefault="00834023" w:rsidP="00CD30DF">
            <w:pPr>
              <w:pStyle w:val="Jurisdictioncommentsheading"/>
              <w:ind w:left="360"/>
              <w:rPr>
                <w:b w:val="0"/>
              </w:rPr>
            </w:pPr>
          </w:p>
        </w:tc>
        <w:tc>
          <w:tcPr>
            <w:tcW w:w="850" w:type="dxa"/>
          </w:tcPr>
          <w:p w:rsidR="00834023" w:rsidRPr="00BA314A" w:rsidRDefault="00834023" w:rsidP="00ED0345">
            <w:pPr>
              <w:pStyle w:val="BodyText"/>
            </w:pPr>
            <w:r w:rsidRPr="00BA314A">
              <w:rPr>
                <w:rFonts w:ascii="Arial" w:hAnsi="Arial"/>
                <w:sz w:val="24"/>
              </w:rPr>
              <w:br/>
            </w:r>
            <w:r w:rsidRPr="00BA314A">
              <w:rPr>
                <w:rFonts w:ascii="Arial" w:hAnsi="Arial"/>
                <w:sz w:val="24"/>
              </w:rPr>
              <w:br/>
            </w:r>
            <w:r w:rsidRPr="00BA314A">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BA314A">
              <w:rPr>
                <w:rFonts w:ascii="Arial" w:hAnsi="Arial"/>
                <w:sz w:val="24"/>
              </w:rPr>
              <w:br/>
            </w:r>
            <w:r w:rsidRPr="00BA314A">
              <w:rPr>
                <w:b/>
                <w:sz w:val="132"/>
              </w:rPr>
              <w:t>”</w:t>
            </w:r>
          </w:p>
        </w:tc>
      </w:tr>
      <w:tr w:rsidR="00834023" w:rsidRPr="00BA314A" w:rsidTr="00ED0345">
        <w:trPr>
          <w:trHeight w:val="471"/>
        </w:trPr>
        <w:tc>
          <w:tcPr>
            <w:tcW w:w="993" w:type="dxa"/>
          </w:tcPr>
          <w:p w:rsidR="00834023" w:rsidRPr="00BA314A" w:rsidRDefault="00834023" w:rsidP="00ED0345">
            <w:pPr>
              <w:pStyle w:val="Jurisdictioncommentsheading"/>
            </w:pPr>
            <w:r>
              <w:br w:type="page"/>
            </w:r>
          </w:p>
        </w:tc>
        <w:tc>
          <w:tcPr>
            <w:tcW w:w="8789" w:type="dxa"/>
          </w:tcPr>
          <w:p w:rsidR="00834023" w:rsidRPr="00BA314A" w:rsidRDefault="00834023" w:rsidP="003F67B5">
            <w:pPr>
              <w:pStyle w:val="Jurisdictioncommentsheading"/>
            </w:pPr>
            <w:r>
              <w:t>Tasmanian Government comments</w:t>
            </w:r>
          </w:p>
        </w:tc>
        <w:tc>
          <w:tcPr>
            <w:tcW w:w="850" w:type="dxa"/>
          </w:tcPr>
          <w:p w:rsidR="00834023" w:rsidRPr="00EE2EFE" w:rsidRDefault="00834023" w:rsidP="00ED0345">
            <w:pPr>
              <w:pStyle w:val="Jurisdictioncommentsheading"/>
            </w:pPr>
          </w:p>
        </w:tc>
      </w:tr>
      <w:tr w:rsidR="00834023" w:rsidRPr="00BA314A" w:rsidTr="00ED0345">
        <w:trPr>
          <w:trHeight w:hRule="exact" w:val="12600"/>
        </w:trPr>
        <w:tc>
          <w:tcPr>
            <w:tcW w:w="993" w:type="dxa"/>
          </w:tcPr>
          <w:p w:rsidR="00834023" w:rsidRPr="00BA314A" w:rsidRDefault="00834023" w:rsidP="00ED0345">
            <w:pPr>
              <w:pStyle w:val="BodyText"/>
              <w:spacing w:before="0"/>
            </w:pPr>
            <w:r w:rsidRPr="00BA314A">
              <w:rPr>
                <w:b/>
                <w:sz w:val="132"/>
              </w:rPr>
              <w:t>“</w:t>
            </w:r>
          </w:p>
        </w:tc>
        <w:tc>
          <w:tcPr>
            <w:tcW w:w="8789" w:type="dxa"/>
          </w:tcPr>
          <w:p w:rsidR="00834023" w:rsidRDefault="00834023" w:rsidP="00CE2387">
            <w:pPr>
              <w:pStyle w:val="Jurisdictioncommentsbodytext"/>
            </w:pPr>
            <w:r>
              <w:t xml:space="preserve">The Tasmanian criminal courts continued to experience a decline in </w:t>
            </w:r>
            <w:proofErr w:type="spellStart"/>
            <w:r>
              <w:t>lodgments</w:t>
            </w:r>
            <w:proofErr w:type="spellEnd"/>
            <w:r>
              <w:t xml:space="preserve"> in 2012</w:t>
            </w:r>
            <w:r w:rsidR="00205BCF">
              <w:noBreakHyphen/>
            </w:r>
            <w:r>
              <w:t xml:space="preserve">13. Compared to the previous year Supreme Court non-appeal </w:t>
            </w:r>
            <w:proofErr w:type="spellStart"/>
            <w:r>
              <w:t>lodgments</w:t>
            </w:r>
            <w:proofErr w:type="spellEnd"/>
            <w:r>
              <w:t xml:space="preserve"> are down 6 per cent</w:t>
            </w:r>
            <w:r w:rsidRPr="00E945A7">
              <w:t>,</w:t>
            </w:r>
            <w:r>
              <w:t xml:space="preserve"> Magistrates Court </w:t>
            </w:r>
            <w:proofErr w:type="spellStart"/>
            <w:r>
              <w:t>lodgments</w:t>
            </w:r>
            <w:proofErr w:type="spellEnd"/>
            <w:r>
              <w:t xml:space="preserve"> are down 20 per cent, and Youth Justice </w:t>
            </w:r>
            <w:proofErr w:type="spellStart"/>
            <w:r>
              <w:t>lodgments</w:t>
            </w:r>
            <w:proofErr w:type="spellEnd"/>
            <w:r>
              <w:t xml:space="preserve"> down 26 per cent. This continues a decreasing trend in all three courts over the last five years.</w:t>
            </w:r>
          </w:p>
          <w:p w:rsidR="00834023" w:rsidRDefault="00834023" w:rsidP="00CE2387">
            <w:pPr>
              <w:pStyle w:val="Jurisdictioncommentsbodytext"/>
            </w:pPr>
            <w:r>
              <w:t xml:space="preserve">Despite the reduction in </w:t>
            </w:r>
            <w:proofErr w:type="spellStart"/>
            <w:r>
              <w:t>lodgments</w:t>
            </w:r>
            <w:proofErr w:type="spellEnd"/>
            <w:r>
              <w:t xml:space="preserve"> Tasmanian courts continue to perform efficiently. The courts’ performance against the report’s efficiency indicators (cost per finalisation, staff FTE per 100 finalisations, and judicial officers per 100 finalisations) exceeds the Australian average.</w:t>
            </w:r>
          </w:p>
          <w:p w:rsidR="00834023" w:rsidRDefault="00834023" w:rsidP="00CE2387">
            <w:pPr>
              <w:pStyle w:val="Jurisdictioncommentsbodytext"/>
            </w:pPr>
            <w:r>
              <w:t>Tasmanian courts focus on processing matters in an expeditious and timely manner. For some time the Magistrates Court has not performed well compared with other jurisdictions against the backlog indicator in the Criminal Jurisdiction.  However, in the past year there has been particular attention paid to closely managing matters which are likely to exceed time standards. This has led to a significant reduction in the Magistrates Court criminal backlog indicator.</w:t>
            </w:r>
          </w:p>
          <w:p w:rsidR="00834023" w:rsidRDefault="00834023" w:rsidP="00CE2387">
            <w:pPr>
              <w:pStyle w:val="Jurisdictioncommentsbodytext"/>
            </w:pPr>
            <w:r>
              <w:t>For the first time in many years the Criminal Division of the Supreme Court has experienced a significant increase in the proportion of cases which exceed time standards. The Court is currently focussing its case management procedures to redress the recent increase in the age profile of the pending caseload.</w:t>
            </w:r>
          </w:p>
          <w:p w:rsidR="00834023" w:rsidRDefault="00834023" w:rsidP="00CE2387">
            <w:pPr>
              <w:pStyle w:val="Jurisdictioncommentsbodytext"/>
            </w:pPr>
            <w:r>
              <w:t>Tasmania recognises that one of the key requirements for a modern court is effective information systems. The recent funding of the Criminal Justice Information Management (</w:t>
            </w:r>
            <w:proofErr w:type="spellStart"/>
            <w:r>
              <w:t>CJIM</w:t>
            </w:r>
            <w:proofErr w:type="spellEnd"/>
            <w:r>
              <w:t>) Program will provide the courts with an opportunity to further improve its systems and performance. The program comprises ten projects in the Departments of Justice (including the Courts and Corrective Services), the Department of Police and Emergency Services and the Department of Health and Human Services to be delivered over a period of two years. The program will:</w:t>
            </w:r>
          </w:p>
          <w:p w:rsidR="00834023" w:rsidRDefault="00834023" w:rsidP="00CE2387">
            <w:pPr>
              <w:pStyle w:val="Jurisdictioncommentslistbullet"/>
            </w:pPr>
            <w:r>
              <w:t>Provide more timely access to sentencing and adjournment orders.</w:t>
            </w:r>
          </w:p>
          <w:p w:rsidR="00834023" w:rsidRDefault="00834023" w:rsidP="00CE2387">
            <w:pPr>
              <w:pStyle w:val="Jurisdictioncommentslistbullet"/>
            </w:pPr>
            <w:r>
              <w:t>Improve identity management and access to information about individuals by authorised people and organisations.</w:t>
            </w:r>
          </w:p>
          <w:p w:rsidR="00834023" w:rsidRDefault="00834023" w:rsidP="00CE2387">
            <w:pPr>
              <w:pStyle w:val="Jurisdictioncommentslistbullet"/>
            </w:pPr>
            <w:r>
              <w:t>Improve the enforcement and integrity of sentencing and adjournment orders including the ability to monitor and identify potential breaches of those orders.</w:t>
            </w:r>
          </w:p>
          <w:p w:rsidR="00834023" w:rsidRDefault="00834023" w:rsidP="002F4530">
            <w:pPr>
              <w:pStyle w:val="Jurisdictioncommentsbodytext"/>
            </w:pPr>
          </w:p>
        </w:tc>
        <w:tc>
          <w:tcPr>
            <w:tcW w:w="850" w:type="dxa"/>
          </w:tcPr>
          <w:p w:rsidR="00834023" w:rsidRPr="00BA314A" w:rsidRDefault="00834023" w:rsidP="00ED0345">
            <w:pPr>
              <w:pStyle w:val="BodyText"/>
            </w:pPr>
            <w:r w:rsidRPr="00BA314A">
              <w:rPr>
                <w:rFonts w:ascii="Arial" w:hAnsi="Arial"/>
                <w:sz w:val="24"/>
              </w:rPr>
              <w:br/>
            </w:r>
            <w:r w:rsidRPr="00BA314A">
              <w:rPr>
                <w:rFonts w:ascii="Arial" w:hAnsi="Arial"/>
                <w:sz w:val="24"/>
              </w:rPr>
              <w:br/>
            </w:r>
            <w:r w:rsidRPr="00BA314A">
              <w:rPr>
                <w:rFonts w:ascii="Arial" w:hAnsi="Arial"/>
                <w:sz w:val="24"/>
              </w:rPr>
              <w:br/>
            </w:r>
            <w:r w:rsidRPr="00BA314A">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BA314A">
              <w:rPr>
                <w:b/>
                <w:sz w:val="132"/>
              </w:rPr>
              <w:t>”</w:t>
            </w:r>
          </w:p>
        </w:tc>
      </w:tr>
      <w:tr w:rsidR="00834023" w:rsidRPr="00BA314A" w:rsidTr="00C52327">
        <w:trPr>
          <w:trHeight w:val="471"/>
        </w:trPr>
        <w:tc>
          <w:tcPr>
            <w:tcW w:w="993" w:type="dxa"/>
          </w:tcPr>
          <w:p w:rsidR="00834023" w:rsidRPr="00BA314A" w:rsidRDefault="00834023" w:rsidP="00C52327">
            <w:pPr>
              <w:pStyle w:val="Jurisdictioncommentsheading"/>
            </w:pPr>
            <w:r>
              <w:br w:type="page"/>
            </w:r>
          </w:p>
        </w:tc>
        <w:tc>
          <w:tcPr>
            <w:tcW w:w="8789" w:type="dxa"/>
          </w:tcPr>
          <w:p w:rsidR="00834023" w:rsidRPr="0022063D" w:rsidRDefault="00834023" w:rsidP="00C52327">
            <w:pPr>
              <w:pStyle w:val="Jurisdictioncommentsheading"/>
            </w:pPr>
            <w:r w:rsidRPr="00061388">
              <w:t xml:space="preserve">Australian Capital </w:t>
            </w:r>
            <w:r w:rsidRPr="003F67B5">
              <w:t>Territory</w:t>
            </w:r>
            <w:r w:rsidRPr="00061388">
              <w:t xml:space="preserve"> Government comments</w:t>
            </w:r>
            <w:r w:rsidRPr="00061388">
              <w:tab/>
            </w:r>
          </w:p>
        </w:tc>
        <w:tc>
          <w:tcPr>
            <w:tcW w:w="850" w:type="dxa"/>
          </w:tcPr>
          <w:p w:rsidR="00834023" w:rsidRPr="00EE2EFE" w:rsidRDefault="00834023" w:rsidP="00C52327">
            <w:pPr>
              <w:pStyle w:val="Jurisdictioncommentsheading"/>
            </w:pPr>
          </w:p>
        </w:tc>
      </w:tr>
      <w:tr w:rsidR="00834023" w:rsidRPr="00BA314A" w:rsidTr="00C52327">
        <w:trPr>
          <w:trHeight w:hRule="exact" w:val="12600"/>
        </w:trPr>
        <w:tc>
          <w:tcPr>
            <w:tcW w:w="993" w:type="dxa"/>
          </w:tcPr>
          <w:p w:rsidR="00834023" w:rsidRPr="00BA314A" w:rsidRDefault="00834023" w:rsidP="00C52327">
            <w:pPr>
              <w:pStyle w:val="BodyText"/>
              <w:spacing w:before="0"/>
            </w:pPr>
            <w:r w:rsidRPr="00BA314A">
              <w:rPr>
                <w:b/>
                <w:sz w:val="132"/>
              </w:rPr>
              <w:t>“</w:t>
            </w:r>
          </w:p>
        </w:tc>
        <w:tc>
          <w:tcPr>
            <w:tcW w:w="8789" w:type="dxa"/>
          </w:tcPr>
          <w:p w:rsidR="004E3B4D" w:rsidRDefault="004E3B4D" w:rsidP="004E3B4D">
            <w:pPr>
              <w:pStyle w:val="Jurisdictioncommentsbodytext"/>
            </w:pPr>
            <w:r>
              <w:t>The ACT has continued to implement significant reforms to improve access to justice in the ACT and improve the efficiency of our court and tribunal system.</w:t>
            </w:r>
          </w:p>
          <w:p w:rsidR="004E3B4D" w:rsidRDefault="004E3B4D" w:rsidP="004E3B4D">
            <w:pPr>
              <w:pStyle w:val="Jurisdictioncommentsbodytext"/>
            </w:pPr>
            <w:r>
              <w:t>Significant improvements in the ACT Supreme Court has seen:</w:t>
            </w:r>
          </w:p>
          <w:p w:rsidR="004E3B4D" w:rsidRDefault="004E3B4D" w:rsidP="004E3B4D">
            <w:pPr>
              <w:pStyle w:val="Jurisdictioncommentslistbullet"/>
            </w:pPr>
            <w:r>
              <w:t xml:space="preserve">civil matters </w:t>
            </w:r>
            <w:r w:rsidRPr="00920303">
              <w:t xml:space="preserve">pending </w:t>
            </w:r>
            <w:r w:rsidR="001929A0">
              <w:t>declining 50 per cent</w:t>
            </w:r>
            <w:r>
              <w:t xml:space="preserve"> over the last two years from 1404 matters as at 30 June 2011 to 723 as at 30 June 2013.  </w:t>
            </w:r>
          </w:p>
          <w:p w:rsidR="004E3B4D" w:rsidRPr="00920303" w:rsidRDefault="004E3B4D" w:rsidP="004E3B4D">
            <w:pPr>
              <w:pStyle w:val="Jurisdictioncommentslistbullet"/>
            </w:pPr>
            <w:r>
              <w:t>criminal matters pending</w:t>
            </w:r>
            <w:r w:rsidRPr="00920303">
              <w:t xml:space="preserve"> declining </w:t>
            </w:r>
            <w:r w:rsidR="001929A0">
              <w:t>40 per cent</w:t>
            </w:r>
            <w:r>
              <w:t xml:space="preserve"> </w:t>
            </w:r>
            <w:r w:rsidRPr="00920303">
              <w:t xml:space="preserve">from 340 matters </w:t>
            </w:r>
            <w:r>
              <w:t>as at 30 June 20</w:t>
            </w:r>
            <w:r w:rsidRPr="00920303">
              <w:t xml:space="preserve">12 to 194 matters </w:t>
            </w:r>
            <w:r>
              <w:t>as at 30 June 2013</w:t>
            </w:r>
            <w:r w:rsidRPr="00920303">
              <w:t xml:space="preserve">; </w:t>
            </w:r>
          </w:p>
          <w:p w:rsidR="004E3B4D" w:rsidRDefault="004E3B4D" w:rsidP="004E3B4D">
            <w:pPr>
              <w:pStyle w:val="Jurisdictioncommentslistbullet"/>
            </w:pPr>
            <w:r>
              <w:t xml:space="preserve">civil </w:t>
            </w:r>
            <w:proofErr w:type="spellStart"/>
            <w:r>
              <w:t>lodgments</w:t>
            </w:r>
            <w:proofErr w:type="spellEnd"/>
            <w:r>
              <w:t xml:space="preserve"> declining 30 per cent over the past two years, from 814 in 2010</w:t>
            </w:r>
            <w:r w:rsidR="00205BCF">
              <w:noBreakHyphen/>
            </w:r>
            <w:r>
              <w:t>11 to 560 in 2012</w:t>
            </w:r>
            <w:r w:rsidR="00205BCF">
              <w:noBreakHyphen/>
            </w:r>
            <w:r>
              <w:t>13, and declining 54 per cent in the last five years when compared to figures from the 2008</w:t>
            </w:r>
            <w:r w:rsidR="00205BCF">
              <w:noBreakHyphen/>
            </w:r>
            <w:r>
              <w:t>09 financial year.</w:t>
            </w:r>
          </w:p>
          <w:p w:rsidR="004E3B4D" w:rsidRDefault="004E3B4D" w:rsidP="004E3B4D">
            <w:pPr>
              <w:pStyle w:val="Jurisdictioncommentslistbullet"/>
            </w:pPr>
            <w:r>
              <w:t xml:space="preserve">criminal </w:t>
            </w:r>
            <w:proofErr w:type="spellStart"/>
            <w:r>
              <w:t>lodgments</w:t>
            </w:r>
            <w:proofErr w:type="spellEnd"/>
            <w:r>
              <w:t xml:space="preserve"> declining by </w:t>
            </w:r>
            <w:r w:rsidR="001929A0">
              <w:t>35 per cent</w:t>
            </w:r>
            <w:r>
              <w:t xml:space="preserve"> from 280 lodgements in 2011</w:t>
            </w:r>
            <w:r w:rsidR="00205BCF">
              <w:noBreakHyphen/>
            </w:r>
            <w:r>
              <w:t>12 to 176 lodgements in 2012</w:t>
            </w:r>
            <w:r w:rsidR="00205BCF">
              <w:noBreakHyphen/>
            </w:r>
            <w:r>
              <w:t xml:space="preserve">13.  </w:t>
            </w:r>
          </w:p>
          <w:p w:rsidR="004E3B4D" w:rsidRDefault="004E3B4D" w:rsidP="004E3B4D">
            <w:pPr>
              <w:pStyle w:val="Jurisdictioncommentsbodytext"/>
            </w:pPr>
            <w:r>
              <w:t>The strategy to improve the performance of our courts is underpinned by:</w:t>
            </w:r>
          </w:p>
          <w:p w:rsidR="004E3B4D" w:rsidRDefault="004E3B4D" w:rsidP="004E3B4D">
            <w:pPr>
              <w:pStyle w:val="Jurisdictioncommentslistbullet"/>
            </w:pPr>
            <w:r>
              <w:t>the introduction of legislative amendments in 2011;</w:t>
            </w:r>
          </w:p>
          <w:p w:rsidR="004E3B4D" w:rsidRDefault="004E3B4D" w:rsidP="004E3B4D">
            <w:pPr>
              <w:pStyle w:val="Jurisdictioncommentslistbullet"/>
            </w:pPr>
            <w:r>
              <w:t xml:space="preserve">additional one-off judicial resources to tackle the backlog of matters in the ACT Supreme Court in </w:t>
            </w:r>
            <w:r w:rsidR="00A82D9F">
              <w:t>2011</w:t>
            </w:r>
            <w:r w:rsidR="00205BCF">
              <w:noBreakHyphen/>
            </w:r>
            <w:r w:rsidR="00A82D9F">
              <w:t>12 and 2012</w:t>
            </w:r>
            <w:r w:rsidR="00205BCF">
              <w:noBreakHyphen/>
            </w:r>
            <w:r>
              <w:t>13 referred to as the “Blitz”.</w:t>
            </w:r>
          </w:p>
          <w:p w:rsidR="004E3B4D" w:rsidRDefault="004E3B4D" w:rsidP="004E3B4D">
            <w:pPr>
              <w:pStyle w:val="Jurisdictioncommentslistbullet"/>
              <w:numPr>
                <w:ilvl w:val="0"/>
                <w:numId w:val="0"/>
              </w:numPr>
            </w:pPr>
            <w:r>
              <w:t>Additional improvements are also being brought about by:</w:t>
            </w:r>
          </w:p>
          <w:p w:rsidR="004E3B4D" w:rsidRDefault="004E3B4D" w:rsidP="004E3B4D">
            <w:pPr>
              <w:pStyle w:val="Jurisdictioncommentslistbullet"/>
            </w:pPr>
            <w:r>
              <w:t>a more efficient approach to case management by the Supreme Court Judiciary using a docket system;</w:t>
            </w:r>
          </w:p>
          <w:p w:rsidR="004E3B4D" w:rsidRDefault="004E3B4D" w:rsidP="004E3B4D">
            <w:pPr>
              <w:pStyle w:val="Jurisdictioncommentslistbullet"/>
            </w:pPr>
            <w:r>
              <w:t>a revised schedule of Courts fees to ensure the fee structure creates an efficient use of court resources by court users;</w:t>
            </w:r>
          </w:p>
          <w:p w:rsidR="004E3B4D" w:rsidRDefault="004E3B4D" w:rsidP="004E3B4D">
            <w:pPr>
              <w:pStyle w:val="Jurisdictioncommentslistbullet"/>
            </w:pPr>
            <w:r>
              <w:t xml:space="preserve">investment in a new </w:t>
            </w:r>
            <w:proofErr w:type="spellStart"/>
            <w:r>
              <w:t>ICT</w:t>
            </w:r>
            <w:proofErr w:type="spellEnd"/>
            <w:r>
              <w:t xml:space="preserve"> case management system and an ACT sentencing database to assist the staff in managing cases and judiciary in making decisions;</w:t>
            </w:r>
          </w:p>
          <w:p w:rsidR="004E3B4D" w:rsidRDefault="004E3B4D" w:rsidP="004E3B4D">
            <w:pPr>
              <w:pStyle w:val="Jurisdictioncommentslistbullet"/>
            </w:pPr>
            <w:r>
              <w:t xml:space="preserve">preliminary work to plan for new court facilities to replace the </w:t>
            </w:r>
            <w:proofErr w:type="spellStart"/>
            <w:r>
              <w:t>aging</w:t>
            </w:r>
            <w:proofErr w:type="spellEnd"/>
            <w:r>
              <w:t xml:space="preserve"> ACT Supreme Court building;</w:t>
            </w:r>
          </w:p>
          <w:p w:rsidR="004E3B4D" w:rsidRDefault="004E3B4D" w:rsidP="004E3B4D">
            <w:pPr>
              <w:pStyle w:val="Jurisdictioncommentslistbullet"/>
              <w:numPr>
                <w:ilvl w:val="0"/>
                <w:numId w:val="0"/>
              </w:numPr>
            </w:pPr>
            <w:r>
              <w:t>The lower clearance rates in th</w:t>
            </w:r>
            <w:r w:rsidR="00A82D9F">
              <w:t>e ACT Magistrates Court in 2012</w:t>
            </w:r>
            <w:r w:rsidR="00205BCF">
              <w:noBreakHyphen/>
            </w:r>
            <w:r>
              <w:t>13 will be monitored and further supported by:</w:t>
            </w:r>
          </w:p>
          <w:p w:rsidR="004E3B4D" w:rsidRDefault="004E3B4D" w:rsidP="004E3B4D">
            <w:pPr>
              <w:pStyle w:val="Jurisdictioncommentslistbullet"/>
            </w:pPr>
            <w:r>
              <w:t>an internal review of ACT coronial processes in 2013, noting all Magistrates are also Coroners in the ACT;</w:t>
            </w:r>
          </w:p>
          <w:p w:rsidR="004E3B4D" w:rsidRDefault="004E3B4D" w:rsidP="004E3B4D">
            <w:pPr>
              <w:pStyle w:val="Jurisdictioncommentslistbullet"/>
            </w:pPr>
            <w:r>
              <w:t>an internal review of alternative dispute resolution practices across the ACT Law Courts and Tribunal in 2014.</w:t>
            </w:r>
          </w:p>
          <w:p w:rsidR="00834023" w:rsidRPr="00A205EF" w:rsidRDefault="004E3B4D" w:rsidP="004E3B4D">
            <w:pPr>
              <w:pStyle w:val="Jurisdictioncommentslistbullet"/>
              <w:numPr>
                <w:ilvl w:val="0"/>
                <w:numId w:val="0"/>
              </w:numPr>
            </w:pPr>
            <w:r>
              <w:t xml:space="preserve">Note: The improved ACT Supreme Court backlog and lower </w:t>
            </w:r>
            <w:proofErr w:type="spellStart"/>
            <w:r>
              <w:t>lodgments</w:t>
            </w:r>
            <w:proofErr w:type="spellEnd"/>
            <w:r>
              <w:t xml:space="preserve"> is not reflected through the backlog percentage in tables </w:t>
            </w:r>
            <w:proofErr w:type="spellStart"/>
            <w:r>
              <w:t>7A.19</w:t>
            </w:r>
            <w:proofErr w:type="spellEnd"/>
            <w:r>
              <w:t xml:space="preserve"> &amp; 21.  The significantly high recurrent expenditure per finalisation in the ACT Magistrates Court is partly a result of the rent payments on the ACT Magistrates Court Building.</w:t>
            </w:r>
          </w:p>
        </w:tc>
        <w:tc>
          <w:tcPr>
            <w:tcW w:w="850" w:type="dxa"/>
          </w:tcPr>
          <w:p w:rsidR="00834023" w:rsidRPr="00BA314A" w:rsidRDefault="00834023" w:rsidP="00C52327">
            <w:pPr>
              <w:pStyle w:val="BodyText"/>
            </w:pPr>
            <w:r w:rsidRPr="00BA314A">
              <w:rPr>
                <w:rFonts w:ascii="Arial" w:hAnsi="Arial"/>
                <w:sz w:val="24"/>
              </w:rPr>
              <w:br/>
            </w:r>
            <w:r w:rsidRPr="00BA314A">
              <w:rPr>
                <w:rFonts w:ascii="Arial" w:hAnsi="Arial"/>
                <w:sz w:val="24"/>
              </w:rPr>
              <w:br/>
            </w:r>
            <w:r w:rsidRPr="00BA314A">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BA314A">
              <w:rPr>
                <w:b/>
                <w:sz w:val="132"/>
              </w:rPr>
              <w:t>”</w:t>
            </w:r>
          </w:p>
        </w:tc>
      </w:tr>
      <w:tr w:rsidR="00834023" w:rsidRPr="00BA314A" w:rsidTr="00EE2EFE">
        <w:trPr>
          <w:trHeight w:val="471"/>
        </w:trPr>
        <w:tc>
          <w:tcPr>
            <w:tcW w:w="993" w:type="dxa"/>
          </w:tcPr>
          <w:p w:rsidR="00834023" w:rsidRPr="00BA314A" w:rsidRDefault="00834023" w:rsidP="00EE2EFE">
            <w:pPr>
              <w:pStyle w:val="Jurisdictioncommentsheading"/>
            </w:pPr>
            <w:r>
              <w:br w:type="page"/>
            </w:r>
          </w:p>
        </w:tc>
        <w:tc>
          <w:tcPr>
            <w:tcW w:w="8789" w:type="dxa"/>
          </w:tcPr>
          <w:p w:rsidR="00834023" w:rsidRPr="0022063D" w:rsidRDefault="00834023" w:rsidP="0022063D">
            <w:pPr>
              <w:pStyle w:val="Jurisdictioncommentsheading"/>
            </w:pPr>
            <w:r w:rsidRPr="0022063D">
              <w:t>Northern Territory Government comments</w:t>
            </w:r>
            <w:r w:rsidRPr="0022063D">
              <w:tab/>
            </w:r>
          </w:p>
        </w:tc>
        <w:tc>
          <w:tcPr>
            <w:tcW w:w="850" w:type="dxa"/>
          </w:tcPr>
          <w:p w:rsidR="00834023" w:rsidRPr="00EE2EFE" w:rsidRDefault="00834023" w:rsidP="00EE2EFE">
            <w:pPr>
              <w:pStyle w:val="Jurisdictioncommentsheading"/>
            </w:pPr>
          </w:p>
        </w:tc>
      </w:tr>
      <w:tr w:rsidR="00834023" w:rsidRPr="00BA314A" w:rsidTr="004559EE">
        <w:trPr>
          <w:trHeight w:hRule="exact" w:val="12600"/>
        </w:trPr>
        <w:tc>
          <w:tcPr>
            <w:tcW w:w="993" w:type="dxa"/>
          </w:tcPr>
          <w:p w:rsidR="00834023" w:rsidRPr="00BA314A" w:rsidRDefault="00834023" w:rsidP="004559EE">
            <w:pPr>
              <w:pStyle w:val="BodyText"/>
              <w:spacing w:before="0"/>
            </w:pPr>
            <w:r w:rsidRPr="00BA314A">
              <w:rPr>
                <w:b/>
                <w:sz w:val="132"/>
              </w:rPr>
              <w:t>“</w:t>
            </w:r>
          </w:p>
        </w:tc>
        <w:tc>
          <w:tcPr>
            <w:tcW w:w="8789" w:type="dxa"/>
          </w:tcPr>
          <w:p w:rsidR="00082296" w:rsidRPr="00197F78" w:rsidRDefault="00082296" w:rsidP="00F02F80">
            <w:pPr>
              <w:pStyle w:val="NumberedPara"/>
              <w:numPr>
                <w:ilvl w:val="0"/>
                <w:numId w:val="29"/>
              </w:numPr>
              <w:tabs>
                <w:tab w:val="clear" w:pos="1120"/>
                <w:tab w:val="left" w:pos="319"/>
              </w:tabs>
              <w:ind w:left="319" w:hanging="284"/>
              <w:rPr>
                <w:rFonts w:ascii="Arial" w:hAnsi="Arial" w:cs="Arial"/>
                <w:sz w:val="24"/>
              </w:rPr>
            </w:pPr>
            <w:r w:rsidRPr="00197F78">
              <w:rPr>
                <w:rFonts w:ascii="Arial" w:hAnsi="Arial" w:cs="Arial"/>
                <w:sz w:val="24"/>
              </w:rPr>
              <w:t>Following a Language and the Law Conference in May 2012, an Interpreters’ Protocol was developed, taking effect in 2013. The Protocol was developed by the Supreme Court, in conjunction with the Aboriginal Interpreters Service, the Interpreting Translator Service, legal aid agencies, the Criminal Lawyers Association of the Northern Territory and representatives of the legal profession.</w:t>
            </w:r>
            <w:r w:rsidR="009B77AE">
              <w:rPr>
                <w:rFonts w:ascii="Arial" w:hAnsi="Arial" w:cs="Arial"/>
                <w:sz w:val="24"/>
              </w:rPr>
              <w:t xml:space="preserve"> </w:t>
            </w:r>
            <w:r w:rsidRPr="00197F78">
              <w:rPr>
                <w:rFonts w:ascii="Arial" w:hAnsi="Arial" w:cs="Arial"/>
                <w:sz w:val="24"/>
              </w:rPr>
              <w:t>The Protocol provides guidance to the Court, interpreters and legal practitioners regarding the engagement of interpreters, the professional duties of interpreters, and the role of interpreters in Court.</w:t>
            </w:r>
            <w:r w:rsidR="00532BF7">
              <w:rPr>
                <w:rFonts w:ascii="Arial" w:hAnsi="Arial" w:cs="Arial"/>
                <w:sz w:val="24"/>
              </w:rPr>
              <w:t xml:space="preserve"> </w:t>
            </w:r>
            <w:r>
              <w:rPr>
                <w:rFonts w:ascii="Arial" w:hAnsi="Arial" w:cs="Arial"/>
                <w:sz w:val="24"/>
              </w:rPr>
              <w:t>Running parallel, the Magistrates Court introduced a bush interpreter scheme where the Court and the Aboriginal Interpreter Service collaborated to provide a model for the provision of legal interpreting services in a more effective and structured way, pa</w:t>
            </w:r>
            <w:r w:rsidR="00532BF7">
              <w:rPr>
                <w:rFonts w:ascii="Arial" w:hAnsi="Arial" w:cs="Arial"/>
                <w:sz w:val="24"/>
              </w:rPr>
              <w:t xml:space="preserve">rticularly at remote circuits. </w:t>
            </w:r>
            <w:r>
              <w:rPr>
                <w:rFonts w:ascii="Arial" w:hAnsi="Arial" w:cs="Arial"/>
                <w:sz w:val="24"/>
              </w:rPr>
              <w:t xml:space="preserve">Interpreters under the scheme are responsible to the Court thereby eliminating any perception of alignment with one particular party.  Under the scheme interpreters are seen as more neutral and professional.  </w:t>
            </w:r>
          </w:p>
          <w:p w:rsidR="00082296" w:rsidRDefault="00082296" w:rsidP="00F02F80">
            <w:pPr>
              <w:pStyle w:val="NumberedPara"/>
              <w:numPr>
                <w:ilvl w:val="0"/>
                <w:numId w:val="29"/>
              </w:numPr>
              <w:tabs>
                <w:tab w:val="clear" w:pos="1120"/>
                <w:tab w:val="left" w:pos="319"/>
              </w:tabs>
              <w:ind w:left="319" w:hanging="284"/>
              <w:rPr>
                <w:rFonts w:ascii="Arial" w:hAnsi="Arial" w:cs="Arial"/>
                <w:sz w:val="24"/>
              </w:rPr>
            </w:pPr>
            <w:r>
              <w:rPr>
                <w:rFonts w:ascii="Arial" w:hAnsi="Arial" w:cs="Arial"/>
                <w:sz w:val="24"/>
              </w:rPr>
              <w:t>The</w:t>
            </w:r>
            <w:r w:rsidRPr="00197F78">
              <w:rPr>
                <w:rFonts w:ascii="Arial" w:hAnsi="Arial" w:cs="Arial"/>
                <w:sz w:val="24"/>
              </w:rPr>
              <w:t xml:space="preserve"> Supreme Court Judges visited </w:t>
            </w:r>
            <w:proofErr w:type="spellStart"/>
            <w:r w:rsidRPr="00197F78">
              <w:rPr>
                <w:rFonts w:ascii="Arial" w:hAnsi="Arial" w:cs="Arial"/>
                <w:sz w:val="24"/>
              </w:rPr>
              <w:t>Dili</w:t>
            </w:r>
            <w:proofErr w:type="spellEnd"/>
            <w:r w:rsidRPr="00197F78">
              <w:rPr>
                <w:rFonts w:ascii="Arial" w:hAnsi="Arial" w:cs="Arial"/>
                <w:sz w:val="24"/>
              </w:rPr>
              <w:t>, where they were hosted by the Courts of Timor-</w:t>
            </w:r>
            <w:proofErr w:type="spellStart"/>
            <w:r w:rsidRPr="00197F78">
              <w:rPr>
                <w:rFonts w:ascii="Arial" w:hAnsi="Arial" w:cs="Arial"/>
                <w:sz w:val="24"/>
              </w:rPr>
              <w:t>Lesté</w:t>
            </w:r>
            <w:proofErr w:type="spellEnd"/>
            <w:r w:rsidRPr="00197F78">
              <w:rPr>
                <w:rFonts w:ascii="Arial" w:hAnsi="Arial" w:cs="Arial"/>
                <w:sz w:val="24"/>
              </w:rPr>
              <w:t>. The judges of both Courts held a series of very productive meetings in which matters of mutual benefit were discussed.</w:t>
            </w:r>
            <w:r>
              <w:rPr>
                <w:rFonts w:ascii="Arial" w:hAnsi="Arial" w:cs="Arial"/>
                <w:sz w:val="24"/>
              </w:rPr>
              <w:t xml:space="preserve">  </w:t>
            </w:r>
            <w:r w:rsidRPr="00197F78">
              <w:rPr>
                <w:rFonts w:ascii="Arial" w:hAnsi="Arial" w:cs="Arial"/>
                <w:sz w:val="24"/>
              </w:rPr>
              <w:t>In particular, the judges discussed the development of the justice system in Timor-</w:t>
            </w:r>
            <w:proofErr w:type="spellStart"/>
            <w:r w:rsidRPr="00197F78">
              <w:rPr>
                <w:rFonts w:ascii="Arial" w:hAnsi="Arial" w:cs="Arial"/>
                <w:sz w:val="24"/>
              </w:rPr>
              <w:t>Lesté</w:t>
            </w:r>
            <w:proofErr w:type="spellEnd"/>
            <w:r w:rsidRPr="00197F78">
              <w:rPr>
                <w:rFonts w:ascii="Arial" w:hAnsi="Arial" w:cs="Arial"/>
                <w:sz w:val="24"/>
              </w:rPr>
              <w:t xml:space="preserve"> and issues surrounding respect for the rule of law in an emerging democracy. Further, the judges discussed the challenges both courts share in delivering justice to remote locations, and across cultural and linguistic groups. </w:t>
            </w:r>
          </w:p>
          <w:p w:rsidR="00834023" w:rsidRPr="00A205EF" w:rsidRDefault="00082296" w:rsidP="00082296">
            <w:pPr>
              <w:pStyle w:val="Jurisdictioncommentslistbullet"/>
            </w:pPr>
            <w:r>
              <w:t>The Magistrates Court continued to review i</w:t>
            </w:r>
            <w:r w:rsidR="00532BF7">
              <w:t>t</w:t>
            </w:r>
            <w:r>
              <w:t xml:space="preserve">s performance using the International Framework for </w:t>
            </w:r>
            <w:r w:rsidR="001C5A97">
              <w:t xml:space="preserve">Court Excellence as its guide. </w:t>
            </w:r>
            <w:r>
              <w:t>Improvements were made in the criminal jurisdiction regulating the process by which applications could be made to re-list matters, the ordering of pre-sentence and other reports, and more effective use of video link facilities between the Co</w:t>
            </w:r>
            <w:r w:rsidR="001C5A97">
              <w:t xml:space="preserve">urts and Correctional centres. </w:t>
            </w:r>
            <w:r>
              <w:t>The Court also forged an important relationship with the Department of Education whereby an officer from that agency is present in court on each Youth Court day to provide information where requested by the Court as to the Youth’s current engag</w:t>
            </w:r>
            <w:r w:rsidR="001C5A97">
              <w:t xml:space="preserve">ement in the education system. </w:t>
            </w:r>
            <w:r>
              <w:t xml:space="preserve">The Court also strengthened its relationship with the Department of Children and Families in relation to the provision of reports relating to children in the criminal justice system that may be in need of protection of where there is a risk to their wellbeing.   </w:t>
            </w:r>
          </w:p>
        </w:tc>
        <w:tc>
          <w:tcPr>
            <w:tcW w:w="850" w:type="dxa"/>
          </w:tcPr>
          <w:p w:rsidR="00834023" w:rsidRPr="00BA314A" w:rsidRDefault="00834023" w:rsidP="00BC0A57">
            <w:pPr>
              <w:pStyle w:val="BodyText"/>
            </w:pPr>
            <w:r w:rsidRPr="00BA314A">
              <w:rPr>
                <w:rFonts w:ascii="Arial" w:hAnsi="Arial"/>
                <w:sz w:val="24"/>
              </w:rPr>
              <w:br/>
            </w:r>
            <w:r w:rsidRPr="00BA314A">
              <w:rPr>
                <w:rFonts w:ascii="Arial" w:hAnsi="Arial"/>
                <w:sz w:val="24"/>
              </w:rPr>
              <w:br/>
            </w:r>
            <w:r w:rsidRPr="00BA314A">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BA314A">
              <w:rPr>
                <w:b/>
                <w:sz w:val="132"/>
              </w:rPr>
              <w:t>”</w:t>
            </w:r>
          </w:p>
        </w:tc>
      </w:tr>
    </w:tbl>
    <w:p w:rsidR="005E4E11" w:rsidRDefault="005E4E11" w:rsidP="005E4E11">
      <w:pPr>
        <w:pStyle w:val="Heading2"/>
      </w:pPr>
      <w:bookmarkStart w:id="13" w:name="_Toc340063215"/>
      <w:r>
        <w:t>7.</w:t>
      </w:r>
      <w:r w:rsidR="002334B0">
        <w:rPr>
          <w:noProof/>
        </w:rPr>
        <w:t>6</w:t>
      </w:r>
      <w:r w:rsidRPr="005E4E11">
        <w:tab/>
        <w:t>Definitions of key terms</w:t>
      </w:r>
      <w:bookmarkEnd w:id="13"/>
    </w:p>
    <w:tbl>
      <w:tblPr>
        <w:tblW w:w="8789" w:type="dxa"/>
        <w:tblLayout w:type="fixed"/>
        <w:tblCellMar>
          <w:left w:w="0" w:type="dxa"/>
          <w:right w:w="0" w:type="dxa"/>
        </w:tblCellMar>
        <w:tblLook w:val="0000" w:firstRow="0" w:lastRow="0" w:firstColumn="0" w:lastColumn="0" w:noHBand="0" w:noVBand="0"/>
      </w:tblPr>
      <w:tblGrid>
        <w:gridCol w:w="2552"/>
        <w:gridCol w:w="6237"/>
      </w:tblGrid>
      <w:tr w:rsidR="006D7F52" w:rsidTr="00742A8F">
        <w:trPr>
          <w:cantSplit/>
        </w:trPr>
        <w:tc>
          <w:tcPr>
            <w:tcW w:w="2552" w:type="dxa"/>
          </w:tcPr>
          <w:p w:rsidR="006D7F52" w:rsidRDefault="006D7F52" w:rsidP="006D7F52">
            <w:pPr>
              <w:pStyle w:val="TableUnitsRow"/>
              <w:spacing w:before="60" w:after="60"/>
              <w:ind w:left="0"/>
              <w:jc w:val="left"/>
              <w:rPr>
                <w:b/>
              </w:rPr>
            </w:pPr>
          </w:p>
          <w:p w:rsidR="006D7F52" w:rsidRPr="001A147A" w:rsidRDefault="006D7F52" w:rsidP="006D7F52">
            <w:pPr>
              <w:pStyle w:val="TableUnitsRow"/>
              <w:spacing w:before="60" w:after="60"/>
              <w:ind w:left="0"/>
              <w:jc w:val="left"/>
              <w:rPr>
                <w:b/>
              </w:rPr>
            </w:pPr>
            <w:r w:rsidRPr="001A147A">
              <w:rPr>
                <w:b/>
              </w:rPr>
              <w:t>Active pending population</w:t>
            </w:r>
          </w:p>
        </w:tc>
        <w:tc>
          <w:tcPr>
            <w:tcW w:w="6237" w:type="dxa"/>
          </w:tcPr>
          <w:p w:rsidR="006D7F52" w:rsidRDefault="006D7F52" w:rsidP="006D7F52">
            <w:pPr>
              <w:pStyle w:val="TableUnitsRow"/>
              <w:spacing w:before="60" w:after="60"/>
              <w:ind w:left="0" w:right="6"/>
              <w:jc w:val="left"/>
            </w:pPr>
          </w:p>
          <w:p w:rsidR="006D7F52" w:rsidRPr="001A147A" w:rsidRDefault="006D7F52" w:rsidP="006D7F52">
            <w:pPr>
              <w:pStyle w:val="TableUnitsRow"/>
              <w:spacing w:before="60" w:after="60"/>
              <w:ind w:left="0" w:right="6"/>
              <w:jc w:val="left"/>
            </w:pPr>
            <w:r w:rsidRPr="001A147A">
              <w:t xml:space="preserve">A </w:t>
            </w:r>
            <w:proofErr w:type="spellStart"/>
            <w:r>
              <w:t>lodgment</w:t>
            </w:r>
            <w:proofErr w:type="spellEnd"/>
            <w:r w:rsidRPr="001A147A">
              <w:t xml:space="preserve"> that is yet to be finalised but is part of the </w:t>
            </w:r>
            <w:r w:rsidR="00373082">
              <w:t xml:space="preserve">active </w:t>
            </w:r>
            <w:r w:rsidRPr="001A147A">
              <w:t>case man</w:t>
            </w:r>
            <w:r>
              <w:t>agement of court administrators.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Average expenditure per civil case</w:t>
            </w:r>
          </w:p>
        </w:tc>
        <w:tc>
          <w:tcPr>
            <w:tcW w:w="6237" w:type="dxa"/>
          </w:tcPr>
          <w:p w:rsidR="006D7F52" w:rsidRPr="001A147A" w:rsidRDefault="006D7F52" w:rsidP="006D7F52">
            <w:pPr>
              <w:pStyle w:val="TableBodyText"/>
              <w:spacing w:before="60" w:after="60"/>
              <w:ind w:left="0" w:right="6"/>
              <w:jc w:val="left"/>
            </w:pPr>
            <w:r w:rsidRPr="001A147A">
              <w:t>The total cost of the administrative services provided to civil matters</w:t>
            </w:r>
            <w:r>
              <w:t>,</w:t>
            </w:r>
            <w:r w:rsidRPr="001A147A">
              <w:t xml:space="preserve"> divided by the total number of civil files handled. Includes salaries, sheriff expenses, juror costs, accommodation costs, library services, information technology, departmental overheads and court operating expenses.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Attendance </w:t>
            </w:r>
            <w:r>
              <w:rPr>
                <w:b/>
              </w:rPr>
              <w:t>i</w:t>
            </w:r>
            <w:r w:rsidRPr="001A147A">
              <w:rPr>
                <w:b/>
              </w:rPr>
              <w:t>ndicator</w:t>
            </w:r>
          </w:p>
        </w:tc>
        <w:tc>
          <w:tcPr>
            <w:tcW w:w="6237" w:type="dxa"/>
          </w:tcPr>
          <w:p w:rsidR="006D7F52" w:rsidRPr="001A147A" w:rsidRDefault="006D7F52" w:rsidP="006D7F52">
            <w:pPr>
              <w:pStyle w:val="TableBodyText"/>
              <w:spacing w:before="60" w:after="60"/>
              <w:ind w:left="0" w:right="6"/>
              <w:jc w:val="left"/>
            </w:pPr>
            <w:r w:rsidRPr="001A147A">
              <w:t>The average number of attendances for each finalisation in the reporting period. An attendance is defined as the number of times that par</w:t>
            </w:r>
            <w:r>
              <w:t>ties or their representatives a</w:t>
            </w:r>
            <w:r w:rsidRPr="001A147A">
              <w:t>re required to be present in court (including any appointment which is adjourned or rescheduled) for all finalised matters during the year. Th</w:t>
            </w:r>
            <w:r>
              <w:t>e actual attendance is one that</w:t>
            </w:r>
            <w:r w:rsidRPr="001A147A">
              <w:t xml:space="preserve"> is heard by a judicial </w:t>
            </w:r>
            <w:r>
              <w:t>officer or mediator/arbitrator.</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Backlog </w:t>
            </w:r>
            <w:r>
              <w:rPr>
                <w:b/>
              </w:rPr>
              <w:t>i</w:t>
            </w:r>
            <w:r w:rsidRPr="001A147A">
              <w:rPr>
                <w:b/>
              </w:rPr>
              <w:t>ndicator</w:t>
            </w:r>
          </w:p>
        </w:tc>
        <w:tc>
          <w:tcPr>
            <w:tcW w:w="6237" w:type="dxa"/>
          </w:tcPr>
          <w:p w:rsidR="006D7F52" w:rsidRPr="001A147A" w:rsidRDefault="006D7F52" w:rsidP="006D7F52">
            <w:pPr>
              <w:pStyle w:val="TableBodyText"/>
              <w:spacing w:before="60" w:after="60"/>
              <w:ind w:left="0" w:right="6"/>
              <w:jc w:val="left"/>
            </w:pPr>
            <w:r w:rsidRPr="001A147A">
              <w:t xml:space="preserve">A measure of case processing timeliness. It is the number of pending cases older than the applicable reporting standards, divided by the total pending caseload (multiplied by 100 to convert to a percentage). </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Bench warrant</w:t>
            </w:r>
          </w:p>
        </w:tc>
        <w:tc>
          <w:tcPr>
            <w:tcW w:w="6237" w:type="dxa"/>
          </w:tcPr>
          <w:p w:rsidR="006D7F52" w:rsidRPr="001A147A" w:rsidRDefault="006D7F52" w:rsidP="006D7F52">
            <w:pPr>
              <w:pStyle w:val="TableBodyText"/>
              <w:spacing w:before="60" w:after="60"/>
              <w:ind w:left="0" w:right="6"/>
              <w:jc w:val="left"/>
            </w:pPr>
            <w:r w:rsidRPr="001A147A">
              <w:t>A warrant issued by a court for the arrest of</w:t>
            </w:r>
            <w:r>
              <w:t xml:space="preserve"> a person who has been indicted.</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Case</w:t>
            </w:r>
          </w:p>
        </w:tc>
        <w:tc>
          <w:tcPr>
            <w:tcW w:w="6237" w:type="dxa"/>
          </w:tcPr>
          <w:p w:rsidR="006D7F52" w:rsidRPr="001A147A" w:rsidRDefault="006D7F52" w:rsidP="006D7F52">
            <w:pPr>
              <w:pStyle w:val="TableBodyText"/>
              <w:spacing w:before="60" w:after="60"/>
              <w:ind w:left="0" w:right="6"/>
              <w:jc w:val="left"/>
            </w:pPr>
            <w:r w:rsidRPr="001A147A">
              <w:t>The measurement of workload in the civil jurisdiction. It is the issues, grievances or complaints that constitute a single and related series of disputes brought by an entity (or group of entities) against another entity (or group).</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 xml:space="preserve">Clearance </w:t>
            </w:r>
            <w:r>
              <w:rPr>
                <w:b/>
              </w:rPr>
              <w:t>rate</w:t>
            </w:r>
          </w:p>
        </w:tc>
        <w:tc>
          <w:tcPr>
            <w:tcW w:w="6237" w:type="dxa"/>
          </w:tcPr>
          <w:p w:rsidR="006D7F52" w:rsidRPr="001A147A" w:rsidRDefault="006D7F52" w:rsidP="006D7F52">
            <w:pPr>
              <w:pStyle w:val="TableBodyText"/>
              <w:spacing w:before="60" w:after="60"/>
              <w:ind w:left="0" w:right="6"/>
              <w:jc w:val="left"/>
            </w:pPr>
            <w:r>
              <w:t xml:space="preserve">An indicator that shows whether the volume of case finalisations has matched the volume of case </w:t>
            </w:r>
            <w:proofErr w:type="spellStart"/>
            <w:r>
              <w:t>lodgments</w:t>
            </w:r>
            <w:proofErr w:type="spellEnd"/>
            <w:r>
              <w:t xml:space="preserve"> during the reporting period. It indicates whether a court’s pending caseload has increased or decreased over that period</w:t>
            </w:r>
            <w:r w:rsidRPr="001A147A">
              <w:t>.</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Cost recovery</w:t>
            </w:r>
          </w:p>
        </w:tc>
        <w:tc>
          <w:tcPr>
            <w:tcW w:w="6237" w:type="dxa"/>
          </w:tcPr>
          <w:p w:rsidR="006D7F52" w:rsidRPr="001A147A" w:rsidRDefault="006D7F52" w:rsidP="006D7F52">
            <w:pPr>
              <w:pStyle w:val="TableBodyText"/>
              <w:spacing w:before="60" w:after="60"/>
              <w:ind w:left="0" w:right="6"/>
              <w:jc w:val="left"/>
            </w:pPr>
            <w:r w:rsidRPr="001A147A">
              <w:t>The level of court fees divided by the level of court expenditure.</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sidRPr="001A147A">
              <w:rPr>
                <w:b/>
              </w:rPr>
              <w:t>Court fees collected</w:t>
            </w:r>
          </w:p>
        </w:tc>
        <w:tc>
          <w:tcPr>
            <w:tcW w:w="6237" w:type="dxa"/>
          </w:tcPr>
          <w:p w:rsidR="006D7F52" w:rsidRPr="001A147A" w:rsidRDefault="006D7F52" w:rsidP="006D7F52">
            <w:pPr>
              <w:pStyle w:val="TableBodyText"/>
              <w:spacing w:before="60" w:after="60"/>
              <w:ind w:left="0" w:right="6"/>
              <w:jc w:val="left"/>
            </w:pPr>
            <w:r w:rsidRPr="001A147A">
              <w:t>Total court income from fees charged in the civil jurisdiction. Includes filing, sitting hearing and deposition fees, and excludes transcript fees.</w:t>
            </w:r>
          </w:p>
        </w:tc>
      </w:tr>
      <w:tr w:rsidR="006D7F52" w:rsidTr="00742A8F">
        <w:trPr>
          <w:cantSplit/>
        </w:trPr>
        <w:tc>
          <w:tcPr>
            <w:tcW w:w="2552" w:type="dxa"/>
          </w:tcPr>
          <w:p w:rsidR="006D7F52" w:rsidRPr="001A147A" w:rsidRDefault="006D7F52" w:rsidP="006D7F52">
            <w:pPr>
              <w:pStyle w:val="TableBodyText"/>
              <w:spacing w:before="60" w:after="60"/>
              <w:ind w:left="0"/>
              <w:jc w:val="left"/>
              <w:rPr>
                <w:b/>
              </w:rPr>
            </w:pPr>
            <w:r>
              <w:rPr>
                <w:b/>
              </w:rPr>
              <w:t>Electronic infringement and enforcement system</w:t>
            </w:r>
          </w:p>
        </w:tc>
        <w:tc>
          <w:tcPr>
            <w:tcW w:w="6237" w:type="dxa"/>
          </w:tcPr>
          <w:p w:rsidR="006D7F52" w:rsidRPr="001A147A" w:rsidRDefault="006D7F52" w:rsidP="006D7F52">
            <w:pPr>
              <w:pStyle w:val="TableBodyText"/>
              <w:spacing w:before="60" w:after="60"/>
              <w:ind w:left="0" w:right="6"/>
              <w:jc w:val="left"/>
            </w:pPr>
            <w:r w:rsidRPr="001A147A">
              <w:t>A court with the capacity to produce enforceable orders against defendants (such as fines, licence cancellation and incarceration) and to process infringements, on-the-spot fines and summary offences.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Excluded courts and tribunals</w:t>
            </w:r>
          </w:p>
        </w:tc>
        <w:tc>
          <w:tcPr>
            <w:tcW w:w="6237" w:type="dxa"/>
          </w:tcPr>
          <w:p w:rsidR="006D7F52" w:rsidRPr="001A147A" w:rsidRDefault="006D7F52" w:rsidP="006D7F52">
            <w:pPr>
              <w:pStyle w:val="TableBodyText"/>
              <w:spacing w:before="40"/>
              <w:ind w:right="6"/>
              <w:jc w:val="left"/>
            </w:pPr>
            <w:r>
              <w:t>This includes such bodies as g</w:t>
            </w:r>
            <w:r w:rsidRPr="001A147A">
              <w:t>uardianship boards, environment resources and development courts, and administrative appeals tribunals.</w:t>
            </w:r>
            <w:r>
              <w:t xml:space="preserve"> The types of excluded courts and tribunals vary among the states and territories.</w:t>
            </w:r>
          </w:p>
        </w:tc>
      </w:tr>
      <w:tr w:rsidR="00206B2F" w:rsidTr="00742A8F">
        <w:trPr>
          <w:cantSplit/>
        </w:trPr>
        <w:tc>
          <w:tcPr>
            <w:tcW w:w="2552" w:type="dxa"/>
          </w:tcPr>
          <w:p w:rsidR="00206B2F" w:rsidRPr="00206B2F" w:rsidRDefault="00206B2F" w:rsidP="006D7F52">
            <w:pPr>
              <w:pStyle w:val="TableBodyText"/>
              <w:spacing w:before="40"/>
              <w:jc w:val="left"/>
              <w:rPr>
                <w:b/>
              </w:rPr>
            </w:pPr>
            <w:r>
              <w:rPr>
                <w:b/>
              </w:rPr>
              <w:t>Extraordinary driver's licence</w:t>
            </w:r>
          </w:p>
        </w:tc>
        <w:tc>
          <w:tcPr>
            <w:tcW w:w="6237" w:type="dxa"/>
          </w:tcPr>
          <w:p w:rsidR="00206B2F" w:rsidRPr="00206B2F" w:rsidRDefault="00206B2F" w:rsidP="006D7F52">
            <w:pPr>
              <w:pStyle w:val="TableBodyText"/>
              <w:spacing w:before="40"/>
              <w:ind w:right="6"/>
              <w:jc w:val="left"/>
            </w:pPr>
            <w:r w:rsidRPr="00206B2F">
              <w:t>An extraordinary licence is a licence granted at the discretion of the court. It authorises the holder to drive in certain circumstances even though the holder's normal driver's licence has been suspended.</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Finalisation</w:t>
            </w:r>
          </w:p>
        </w:tc>
        <w:tc>
          <w:tcPr>
            <w:tcW w:w="6237" w:type="dxa"/>
          </w:tcPr>
          <w:p w:rsidR="006D7F52" w:rsidRPr="001A147A" w:rsidRDefault="006D7F52" w:rsidP="006D7F52">
            <w:pPr>
              <w:pStyle w:val="TableBodyText"/>
              <w:spacing w:before="40"/>
              <w:ind w:right="6"/>
              <w:jc w:val="left"/>
            </w:pPr>
            <w:r w:rsidRPr="001A147A">
              <w:t>The completion of a matter so it ceases to be an item of work to be dealt with by the court. Finalisations are derived from timeliness data that may not reflect the total matters disposed by the courts in the reporting period.</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Forms</w:t>
            </w:r>
          </w:p>
        </w:tc>
        <w:tc>
          <w:tcPr>
            <w:tcW w:w="6237" w:type="dxa"/>
          </w:tcPr>
          <w:p w:rsidR="006D7F52" w:rsidRPr="001A147A" w:rsidRDefault="006D7F52" w:rsidP="00AC672D">
            <w:pPr>
              <w:pStyle w:val="TableBodyText"/>
              <w:spacing w:before="40"/>
              <w:ind w:right="6"/>
              <w:jc w:val="left"/>
            </w:pPr>
            <w:r w:rsidRPr="001A147A">
              <w:t xml:space="preserve">The counting unit used in the family courts and family law matters pertaining to the Federal </w:t>
            </w:r>
            <w:r w:rsidR="00AC672D">
              <w:t xml:space="preserve">Circuit </w:t>
            </w:r>
            <w:r w:rsidRPr="001A147A">
              <w:t>Court. Forms are applications or notices lodged with the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Income</w:t>
            </w:r>
          </w:p>
        </w:tc>
        <w:tc>
          <w:tcPr>
            <w:tcW w:w="6237" w:type="dxa"/>
          </w:tcPr>
          <w:p w:rsidR="006D7F52" w:rsidRPr="001A147A" w:rsidRDefault="006D7F52" w:rsidP="006D7F52">
            <w:pPr>
              <w:pStyle w:val="TableBodyText"/>
              <w:spacing w:before="40"/>
              <w:ind w:right="6"/>
              <w:jc w:val="left"/>
            </w:pPr>
            <w:r w:rsidRPr="001A147A">
              <w:t>Income derived from court fees, library revenue, court reporting revenue, sheriff and bailiff revenue, probate revenue, mediation revenue, rental income and any other sources of revenue (excluding fines).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Information technology expenditure</w:t>
            </w:r>
          </w:p>
        </w:tc>
        <w:tc>
          <w:tcPr>
            <w:tcW w:w="6237" w:type="dxa"/>
          </w:tcPr>
          <w:p w:rsidR="006D7F52" w:rsidRPr="001A147A" w:rsidRDefault="006D7F52" w:rsidP="006D7F52">
            <w:pPr>
              <w:pStyle w:val="TableBodyText"/>
              <w:spacing w:before="40"/>
              <w:ind w:right="6"/>
              <w:jc w:val="left"/>
            </w:pPr>
            <w:r w:rsidRPr="001A147A">
              <w:t xml:space="preserve">Non-salary and salary expenditure on information technology. Excludes capital expenditure on information technology infrastructure and includes licensing costs, computer leasing costs, the cost of consumables (such as data lines, paper and disks), training fees, access fees (for example, catalogue search and </w:t>
            </w:r>
            <w:proofErr w:type="spellStart"/>
            <w:r w:rsidRPr="001A147A">
              <w:t>Internet</w:t>
            </w:r>
            <w:proofErr w:type="spellEnd"/>
            <w:r w:rsidRPr="001A147A">
              <w:t xml:space="preserve"> access) and maintenance charges for software and hardware.</w:t>
            </w:r>
          </w:p>
        </w:tc>
      </w:tr>
      <w:tr w:rsidR="006D7F52" w:rsidTr="00742A8F">
        <w:trPr>
          <w:cantSplit/>
        </w:trPr>
        <w:tc>
          <w:tcPr>
            <w:tcW w:w="2552" w:type="dxa"/>
          </w:tcPr>
          <w:p w:rsidR="006D7F52" w:rsidRPr="001A147A" w:rsidRDefault="006D7F52" w:rsidP="006D7F52">
            <w:pPr>
              <w:pStyle w:val="TableUnitsRow"/>
              <w:spacing w:before="40" w:after="40"/>
              <w:jc w:val="left"/>
              <w:rPr>
                <w:b/>
              </w:rPr>
            </w:pPr>
            <w:r w:rsidRPr="001A147A">
              <w:rPr>
                <w:b/>
              </w:rPr>
              <w:t>Inquests and inquiries held</w:t>
            </w:r>
          </w:p>
        </w:tc>
        <w:tc>
          <w:tcPr>
            <w:tcW w:w="6237" w:type="dxa"/>
          </w:tcPr>
          <w:p w:rsidR="006D7F52" w:rsidRPr="001A147A" w:rsidRDefault="006D7F52" w:rsidP="006D7F52">
            <w:pPr>
              <w:pStyle w:val="TableUnitsRow"/>
              <w:spacing w:before="40" w:after="40"/>
              <w:ind w:right="6"/>
              <w:jc w:val="left"/>
            </w:pPr>
            <w:r w:rsidRPr="001A147A">
              <w:t>Court hearings to determine the cause and circumstances of deaths reported to the coroner. Includes all coronial inquests and inquiries in full court hearings.</w:t>
            </w:r>
          </w:p>
        </w:tc>
      </w:tr>
      <w:tr w:rsidR="006D7F52" w:rsidTr="00742A8F">
        <w:trPr>
          <w:cantSplit/>
        </w:trPr>
        <w:tc>
          <w:tcPr>
            <w:tcW w:w="2552" w:type="dxa"/>
          </w:tcPr>
          <w:p w:rsidR="006D7F52" w:rsidRPr="001A147A" w:rsidRDefault="006D7F52" w:rsidP="006D7F52">
            <w:pPr>
              <w:pStyle w:val="TableUnitsRow"/>
              <w:spacing w:before="40" w:after="40"/>
              <w:jc w:val="left"/>
              <w:rPr>
                <w:b/>
              </w:rPr>
            </w:pPr>
            <w:r w:rsidRPr="001A147A">
              <w:rPr>
                <w:b/>
              </w:rPr>
              <w:t>Judicial officer</w:t>
            </w:r>
          </w:p>
        </w:tc>
        <w:tc>
          <w:tcPr>
            <w:tcW w:w="6237" w:type="dxa"/>
          </w:tcPr>
          <w:p w:rsidR="006D7F52" w:rsidRPr="001A147A" w:rsidRDefault="006D7F52" w:rsidP="006D7F52">
            <w:pPr>
              <w:pStyle w:val="TableUnitsRow"/>
              <w:spacing w:before="40" w:after="40"/>
              <w:ind w:right="6"/>
              <w:jc w:val="left"/>
            </w:pPr>
            <w:r w:rsidRPr="001A147A">
              <w:t>Judges, magistrates, masters, coroners, judicial registrars and all other officers who, following argument and giving of evidence, make enforceable orders of the court. The data are provided on the basis of the proportion of time spent on the judicial activity.</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 xml:space="preserve">Judicial and judicial </w:t>
            </w:r>
            <w:r w:rsidRPr="001A147A">
              <w:rPr>
                <w:b/>
              </w:rPr>
              <w:br/>
              <w:t>support salaries</w:t>
            </w:r>
          </w:p>
        </w:tc>
        <w:tc>
          <w:tcPr>
            <w:tcW w:w="6237" w:type="dxa"/>
          </w:tcPr>
          <w:p w:rsidR="006D7F52" w:rsidRPr="001A147A" w:rsidRDefault="006D7F52" w:rsidP="006D7F52">
            <w:pPr>
              <w:pStyle w:val="TableBodyText"/>
              <w:spacing w:before="40"/>
              <w:ind w:right="6"/>
              <w:jc w:val="left"/>
            </w:pPr>
            <w:r w:rsidRPr="001A147A">
              <w:t>All salary expenditure and p</w:t>
            </w:r>
            <w:r>
              <w:t>ayments in the nature of salary that are</w:t>
            </w:r>
            <w:r w:rsidRPr="001A147A">
              <w:t xml:space="preserve"> paid to employees of court administration. Inclu</w:t>
            </w:r>
            <w:r>
              <w:t xml:space="preserve">des base salaries, the employer </w:t>
            </w:r>
            <w:r w:rsidRPr="001A147A">
              <w:t>contributed component of superannuation, workers compensation (full cost, inclusive of any levies, bills and legal fees), higher duty allowances, overtime, actual and accruing terminal and long ser</w:t>
            </w:r>
            <w:r>
              <w:t>vice leave, fringe benefits tax</w:t>
            </w:r>
            <w:r w:rsidRPr="001A147A">
              <w:t xml:space="preserve"> and untaxed fringe benefits.</w:t>
            </w:r>
          </w:p>
          <w:p w:rsidR="006D7F52" w:rsidRPr="001A147A" w:rsidRDefault="006D7F52" w:rsidP="006D7F52">
            <w:pPr>
              <w:pStyle w:val="TableBodyText"/>
              <w:spacing w:before="40"/>
              <w:ind w:right="6"/>
              <w:jc w:val="left"/>
            </w:pPr>
            <w:r w:rsidRPr="001A147A">
              <w:t>(Judicial officers include judges, magistrates, masters, judicial registrars and other judicial officers who fulfil a primarily judicial function. Judicial support staff include judicial secret</w:t>
            </w:r>
            <w:r>
              <w:t>aries, tipstaff and associates.)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Library expenditure</w:t>
            </w:r>
          </w:p>
        </w:tc>
        <w:tc>
          <w:tcPr>
            <w:tcW w:w="6237" w:type="dxa"/>
          </w:tcPr>
          <w:p w:rsidR="006D7F52" w:rsidRPr="001A147A" w:rsidRDefault="006D7F52" w:rsidP="006D7F52">
            <w:pPr>
              <w:pStyle w:val="TableBodyText"/>
              <w:spacing w:before="40"/>
              <w:ind w:right="6"/>
              <w:jc w:val="left"/>
            </w:pPr>
            <w:r w:rsidRPr="001A147A">
              <w:t>Non-salary and salary expenditure on court operated libraries. Non-salary expenditure includes book purchases, journal subscriptions, fees for interlibrary loans, copyright charges, news clippings service fees and photocopying.</w:t>
            </w:r>
          </w:p>
          <w:p w:rsidR="006D7F52" w:rsidRPr="001A147A" w:rsidRDefault="006D7F52" w:rsidP="006D7F52">
            <w:pPr>
              <w:pStyle w:val="TableBodyText"/>
              <w:spacing w:before="40"/>
              <w:ind w:right="6"/>
              <w:jc w:val="left"/>
            </w:pPr>
            <w:r w:rsidRPr="001A147A">
              <w:t xml:space="preserve">Expenditure also includes </w:t>
            </w:r>
            <w:r w:rsidR="00573C2B">
              <w:t>re</w:t>
            </w:r>
            <w:r w:rsidRPr="001A147A">
              <w:t>current information technology costs and court administration contributions towards the running costs of non-government operated libraries. Any costs recovered through borrowing and photocopy fees by court operated libraries are subtracted from expenditure.</w:t>
            </w:r>
          </w:p>
        </w:tc>
      </w:tr>
      <w:tr w:rsidR="006D7F52" w:rsidTr="00742A8F">
        <w:trPr>
          <w:cantSplit/>
        </w:trPr>
        <w:tc>
          <w:tcPr>
            <w:tcW w:w="2552" w:type="dxa"/>
          </w:tcPr>
          <w:p w:rsidR="006D7F52" w:rsidRPr="001A147A" w:rsidRDefault="006D7F52" w:rsidP="006D7F52">
            <w:pPr>
              <w:pStyle w:val="TableBodyText"/>
              <w:spacing w:before="40"/>
              <w:jc w:val="left"/>
              <w:rPr>
                <w:b/>
              </w:rPr>
            </w:pPr>
            <w:proofErr w:type="spellStart"/>
            <w:r>
              <w:rPr>
                <w:b/>
              </w:rPr>
              <w:t>Lodg</w:t>
            </w:r>
            <w:r w:rsidRPr="001A147A">
              <w:rPr>
                <w:b/>
              </w:rPr>
              <w:t>ment</w:t>
            </w:r>
            <w:proofErr w:type="spellEnd"/>
          </w:p>
        </w:tc>
        <w:tc>
          <w:tcPr>
            <w:tcW w:w="6237" w:type="dxa"/>
          </w:tcPr>
          <w:p w:rsidR="006D7F52" w:rsidRPr="001A147A" w:rsidRDefault="006D7F52" w:rsidP="006D7F52">
            <w:pPr>
              <w:pStyle w:val="TableBodyText"/>
              <w:spacing w:before="40"/>
              <w:ind w:right="6"/>
              <w:jc w:val="left"/>
            </w:pPr>
            <w:r w:rsidRPr="001A147A">
              <w:t>The initiation or commencement of a matter before the court. The date of commencement is counted as the date of registration of a court matter.</w:t>
            </w:r>
          </w:p>
        </w:tc>
      </w:tr>
      <w:tr w:rsidR="006D7F52" w:rsidTr="00742A8F">
        <w:tc>
          <w:tcPr>
            <w:tcW w:w="2552" w:type="dxa"/>
          </w:tcPr>
          <w:p w:rsidR="006D7F52" w:rsidRPr="001A147A" w:rsidRDefault="006D7F52" w:rsidP="006D7F52">
            <w:pPr>
              <w:pStyle w:val="TableBodyText"/>
              <w:spacing w:before="40"/>
              <w:jc w:val="left"/>
              <w:rPr>
                <w:b/>
              </w:rPr>
            </w:pPr>
            <w:r w:rsidRPr="001A147A">
              <w:rPr>
                <w:b/>
              </w:rPr>
              <w:t>Matters</w:t>
            </w:r>
          </w:p>
        </w:tc>
        <w:tc>
          <w:tcPr>
            <w:tcW w:w="6237" w:type="dxa"/>
          </w:tcPr>
          <w:p w:rsidR="006D7F52" w:rsidRPr="001A147A" w:rsidRDefault="006D7F52" w:rsidP="006D7F52">
            <w:pPr>
              <w:pStyle w:val="TableBodyText"/>
              <w:spacing w:before="40"/>
              <w:ind w:right="6"/>
              <w:jc w:val="left"/>
            </w:pPr>
            <w:r w:rsidRPr="001A147A">
              <w:rPr>
                <w:i/>
              </w:rPr>
              <w:t>Coronial matters</w:t>
            </w:r>
            <w:r w:rsidRPr="001A147A">
              <w:t>:</w:t>
            </w:r>
            <w:r w:rsidRPr="001A147A">
              <w:rPr>
                <w:i/>
              </w:rPr>
              <w:t xml:space="preserve"> </w:t>
            </w:r>
            <w:r w:rsidRPr="001A147A">
              <w:t>Deaths and fires reported to the coroner in each jurisdiction, including all reported deaths and fires regardless of whether the coroner held an inquest or inqui</w:t>
            </w:r>
            <w:r>
              <w:t>ry. Coronial jurisdictions can</w:t>
            </w:r>
            <w:r w:rsidRPr="001A147A">
              <w:t xml:space="preserve"> extend to </w:t>
            </w:r>
            <w:r>
              <w:t>the manner</w:t>
            </w:r>
            <w:r w:rsidRPr="001A147A">
              <w:t xml:space="preserve"> of </w:t>
            </w:r>
            <w:r>
              <w:t xml:space="preserve">the </w:t>
            </w:r>
            <w:r w:rsidRPr="001A147A">
              <w:t>death of a person who was killed; was found drowned; died a sudden death of which the cause is unknown; died under suspicious or unusual circumstances; died during or following the administration of an operation of a medical, surgical, dental, diagnostic or like nature; died in a prison remand centre or lockup; or died under circumstances that (in the opinion of the Attorney-General) require that the cause of death be more clearly ascertained.</w:t>
            </w:r>
          </w:p>
          <w:p w:rsidR="006D7F52" w:rsidRPr="001A147A" w:rsidRDefault="006D7F52" w:rsidP="006D7F52">
            <w:pPr>
              <w:pStyle w:val="TableBodyText"/>
              <w:spacing w:before="40"/>
              <w:ind w:right="6"/>
              <w:jc w:val="left"/>
            </w:pPr>
            <w:r w:rsidRPr="001A147A">
              <w:rPr>
                <w:i/>
              </w:rPr>
              <w:t>Criminal matters</w:t>
            </w:r>
            <w:r w:rsidRPr="001A147A">
              <w:t>: Matters brought to the court by a government prosecuting agency, which is generally the Director of Public Prosecutions but could also be the Attorney-General, the police, local coun</w:t>
            </w:r>
            <w:r>
              <w:t>cils or</w:t>
            </w:r>
            <w:r w:rsidRPr="001A147A">
              <w:t xml:space="preserve"> traffic camera branches.</w:t>
            </w:r>
          </w:p>
          <w:p w:rsidR="006D7F52" w:rsidRDefault="006D7F52" w:rsidP="006D7F52">
            <w:pPr>
              <w:pStyle w:val="TableBodyText"/>
              <w:spacing w:before="40"/>
              <w:ind w:right="6"/>
              <w:jc w:val="left"/>
            </w:pPr>
            <w:r w:rsidRPr="001A147A">
              <w:rPr>
                <w:i/>
              </w:rPr>
              <w:t>Civil matters</w:t>
            </w:r>
            <w:r w:rsidRPr="001A147A">
              <w:t>: Matters brought before the court by individuals or organisations against another party, such as small claims and residential tenancies, as well as matters dealt with by the appeal</w:t>
            </w:r>
            <w:r>
              <w:t xml:space="preserve"> court jurisdiction.</w:t>
            </w:r>
          </w:p>
          <w:p w:rsidR="006D7F52" w:rsidRPr="001A147A" w:rsidRDefault="006D7F52" w:rsidP="006D7F52">
            <w:pPr>
              <w:pStyle w:val="TableUnitsRow"/>
              <w:spacing w:before="40" w:after="40"/>
              <w:ind w:right="6"/>
              <w:jc w:val="left"/>
            </w:pPr>
            <w:r w:rsidRPr="001A147A">
              <w:rPr>
                <w:i/>
              </w:rPr>
              <w:t>Excluded matters</w:t>
            </w:r>
            <w:r w:rsidRPr="001A147A">
              <w:t>:</w:t>
            </w:r>
            <w:r w:rsidRPr="001A147A">
              <w:rPr>
                <w:i/>
              </w:rPr>
              <w:t xml:space="preserve"> </w:t>
            </w:r>
            <w:r w:rsidRPr="001A147A">
              <w:t>Extraordinary driver’s licence applications; any application on a pending dispute; applications for bail directions or judgment; secondary processes (for example, applications for default judgments); interlocutory matters; investigation/examination summonses; firearms appeals; escort agents’ licensing appeals; pastoral lands appeals; local government tribunals; police promotions appeals; applications appealing the decisions of workers compensation review officers.</w:t>
            </w:r>
          </w:p>
          <w:p w:rsidR="006D7F52" w:rsidRPr="001A147A" w:rsidRDefault="006D7F52" w:rsidP="006D7F52">
            <w:pPr>
              <w:pStyle w:val="TableBodyText"/>
              <w:spacing w:before="40"/>
              <w:ind w:right="6"/>
              <w:jc w:val="left"/>
            </w:pPr>
            <w:r w:rsidRPr="001A147A">
              <w:rPr>
                <w:i/>
              </w:rPr>
              <w:t>Probate</w:t>
            </w:r>
            <w:r w:rsidR="00A00E44">
              <w:rPr>
                <w:i/>
              </w:rPr>
              <w:t xml:space="preserve"> matters</w:t>
            </w:r>
            <w:r w:rsidRPr="001A147A">
              <w:t>: Matters such as applications for the appointment of an executor or administrator to the estate of a deceased person.</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Method of finalisation</w:t>
            </w:r>
          </w:p>
        </w:tc>
        <w:tc>
          <w:tcPr>
            <w:tcW w:w="6237" w:type="dxa"/>
          </w:tcPr>
          <w:p w:rsidR="006D7F52" w:rsidRPr="001A147A" w:rsidRDefault="006D7F52" w:rsidP="006D7F52">
            <w:pPr>
              <w:pStyle w:val="TableBodyText"/>
              <w:spacing w:before="40"/>
              <w:ind w:right="6"/>
              <w:jc w:val="left"/>
            </w:pPr>
            <w:r w:rsidRPr="001A147A">
              <w:t>The process that leads to the completion of a criminal charge within a higher court so it ceases to be an item of work in that court.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Method of initiation</w:t>
            </w:r>
          </w:p>
        </w:tc>
        <w:tc>
          <w:tcPr>
            <w:tcW w:w="6237" w:type="dxa"/>
          </w:tcPr>
          <w:p w:rsidR="006D7F52" w:rsidRPr="001A147A" w:rsidRDefault="006D7F52" w:rsidP="006D7F52">
            <w:pPr>
              <w:pStyle w:val="TableBodyText"/>
              <w:spacing w:before="40"/>
              <w:ind w:right="6"/>
              <w:jc w:val="left"/>
            </w:pPr>
            <w:r w:rsidRPr="001A147A">
              <w:t>How a criminal charge is introduced to a court level.</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Non-adjudicated finalisation</w:t>
            </w:r>
          </w:p>
        </w:tc>
        <w:tc>
          <w:tcPr>
            <w:tcW w:w="6237" w:type="dxa"/>
          </w:tcPr>
          <w:p w:rsidR="006D7F52" w:rsidRPr="001A147A" w:rsidRDefault="00333D8C" w:rsidP="006D7F52">
            <w:pPr>
              <w:pStyle w:val="TableBodyText"/>
              <w:spacing w:before="40"/>
              <w:ind w:right="6"/>
              <w:jc w:val="left"/>
            </w:pPr>
            <w:r>
              <w:rPr>
                <w:rFonts w:cs="Arial"/>
              </w:rPr>
              <w:t>A non-adjudicated finalisation is where a charge is considered completed and ceases to be active in a court even though there has not been a determination on whether the defendant is guilty, that is, the charge(s) have not been adjudicated. The methods of non-adjudicated finalisation include but are not limited to defendant deceased; unfit to plead; withdrawn by the prosecution; diplomatic immunity and statute of limitation applies.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Probate registry expenditure</w:t>
            </w:r>
          </w:p>
        </w:tc>
        <w:tc>
          <w:tcPr>
            <w:tcW w:w="6237" w:type="dxa"/>
          </w:tcPr>
          <w:p w:rsidR="006D7F52" w:rsidRPr="001A147A" w:rsidRDefault="006D7F52" w:rsidP="006D7F52">
            <w:pPr>
              <w:pStyle w:val="TableBodyText"/>
              <w:spacing w:before="40"/>
              <w:ind w:right="6"/>
              <w:jc w:val="left"/>
            </w:pPr>
            <w:r w:rsidRPr="001A147A">
              <w:t>Salary expenditure of the probate registrar and probate clerks, along with non-salary expenditure directly attributable to probate registries.</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Real expenditure</w:t>
            </w:r>
          </w:p>
        </w:tc>
        <w:tc>
          <w:tcPr>
            <w:tcW w:w="6237" w:type="dxa"/>
          </w:tcPr>
          <w:p w:rsidR="000364F1" w:rsidRPr="001A147A" w:rsidRDefault="006D7F52" w:rsidP="00C55561">
            <w:pPr>
              <w:pStyle w:val="TableBodyText"/>
              <w:spacing w:before="40"/>
              <w:ind w:right="6"/>
              <w:jc w:val="left"/>
            </w:pPr>
            <w:r w:rsidRPr="001A147A">
              <w:t xml:space="preserve">Actual expenditure adjusted for changes in prices using the </w:t>
            </w:r>
            <w:r w:rsidR="00E95ADC">
              <w:t>general government final consumption expenditure (</w:t>
            </w:r>
            <w:proofErr w:type="spellStart"/>
            <w:r w:rsidR="00E95ADC">
              <w:t>GGFCE</w:t>
            </w:r>
            <w:proofErr w:type="spellEnd"/>
            <w:r w:rsidR="00E95ADC">
              <w:t>)</w:t>
            </w:r>
            <w:r w:rsidR="000364F1">
              <w:t xml:space="preserve"> </w:t>
            </w:r>
            <w:r w:rsidR="00E95ADC">
              <w:t xml:space="preserve">chain </w:t>
            </w:r>
            <w:r w:rsidRPr="001A147A">
              <w:t>price</w:t>
            </w:r>
            <w:r w:rsidR="00E95ADC">
              <w:t xml:space="preserve"> index</w:t>
            </w:r>
            <w:r w:rsidRPr="001A147A">
              <w:t xml:space="preserve"> deflator and expressed in terms of </w:t>
            </w:r>
            <w:r w:rsidR="00E95ADC">
              <w:t>current</w:t>
            </w:r>
            <w:r w:rsidRPr="001A147A">
              <w:t xml:space="preserve"> year prices</w:t>
            </w:r>
            <w:r w:rsidR="000364F1">
              <w:t xml:space="preserve"> (i.e. for the court</w:t>
            </w:r>
            <w:r w:rsidR="00E95ADC">
              <w:t>s</w:t>
            </w:r>
            <w:r w:rsidR="000364F1">
              <w:t xml:space="preserve"> </w:t>
            </w:r>
            <w:r w:rsidR="00FB5C54">
              <w:t xml:space="preserve"> chapter with 201</w:t>
            </w:r>
            <w:r w:rsidR="00E95ADC">
              <w:t>2</w:t>
            </w:r>
            <w:r w:rsidR="00595504">
              <w:t>-</w:t>
            </w:r>
            <w:r w:rsidR="003E7F16">
              <w:t>1</w:t>
            </w:r>
            <w:r w:rsidR="00E95ADC">
              <w:t>3</w:t>
            </w:r>
            <w:r w:rsidR="000364F1">
              <w:t xml:space="preserve"> as the base year). Additional information about the </w:t>
            </w:r>
            <w:proofErr w:type="spellStart"/>
            <w:r w:rsidR="000364F1">
              <w:t>G</w:t>
            </w:r>
            <w:r w:rsidR="00E95ADC">
              <w:t>GFCE</w:t>
            </w:r>
            <w:proofErr w:type="spellEnd"/>
            <w:r w:rsidR="000364F1">
              <w:t xml:space="preserve"> index can be found in </w:t>
            </w:r>
            <w:r w:rsidR="00C55561">
              <w:t>chapter 2</w:t>
            </w:r>
            <w:r w:rsidR="000364F1">
              <w:t xml:space="preserve"> and in table </w:t>
            </w:r>
            <w:proofErr w:type="spellStart"/>
            <w:r w:rsidR="000364F1">
              <w:t>AA.</w:t>
            </w:r>
            <w:r w:rsidR="00B334F7">
              <w:t>5</w:t>
            </w:r>
            <w:r w:rsidR="00E95ADC">
              <w:t>3</w:t>
            </w:r>
            <w:proofErr w:type="spellEnd"/>
            <w:r w:rsidR="00573C2B">
              <w:t>.</w:t>
            </w:r>
          </w:p>
        </w:tc>
      </w:tr>
      <w:tr w:rsidR="00F121F6" w:rsidRPr="00CC376D" w:rsidTr="00742A8F">
        <w:trPr>
          <w:cantSplit/>
        </w:trPr>
        <w:tc>
          <w:tcPr>
            <w:tcW w:w="2552" w:type="dxa"/>
          </w:tcPr>
          <w:p w:rsidR="00F121F6" w:rsidRPr="00C941CD" w:rsidRDefault="00F121F6" w:rsidP="00F121F6">
            <w:pPr>
              <w:pStyle w:val="TableBodyText"/>
              <w:jc w:val="left"/>
            </w:pPr>
            <w:r w:rsidRPr="00C941CD">
              <w:rPr>
                <w:b/>
              </w:rPr>
              <w:t>Recurrent expenditure</w:t>
            </w:r>
          </w:p>
        </w:tc>
        <w:tc>
          <w:tcPr>
            <w:tcW w:w="6237" w:type="dxa"/>
          </w:tcPr>
          <w:p w:rsidR="00F121F6" w:rsidRPr="00C941CD" w:rsidRDefault="00F121F6" w:rsidP="00F121F6">
            <w:pPr>
              <w:pStyle w:val="TableBodyText"/>
              <w:jc w:val="left"/>
            </w:pPr>
            <w:r w:rsidRPr="00C941C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Sheriff and bailiff expenditure</w:t>
            </w:r>
          </w:p>
        </w:tc>
        <w:tc>
          <w:tcPr>
            <w:tcW w:w="6237" w:type="dxa"/>
          </w:tcPr>
          <w:p w:rsidR="006D7F52" w:rsidRPr="001A147A" w:rsidRDefault="006D7F52" w:rsidP="006D7F52">
            <w:pPr>
              <w:pStyle w:val="TableBodyText"/>
              <w:spacing w:before="40"/>
              <w:ind w:right="6"/>
              <w:jc w:val="left"/>
            </w:pPr>
            <w:r w:rsidRPr="001A147A">
              <w:t>Expenditure on court orderlies, court security, jury management and witness payment administration. For the civil jurisdiction, it includes expenditure (by or on behalf of the court) on bailiffs to enforce court orders. In the coronial jurisdiction, it includes expenditure on police officers permanently attached to the coroner for the purpose of assisting in coronial investigations. Excludes witness payments, fines enforcement (criminal jurisdiction) and prisoner security.</w:t>
            </w:r>
          </w:p>
        </w:tc>
      </w:tr>
      <w:tr w:rsidR="006D7F52" w:rsidRPr="00EB64F9" w:rsidTr="00742A8F">
        <w:trPr>
          <w:cantSplit/>
        </w:trPr>
        <w:tc>
          <w:tcPr>
            <w:tcW w:w="2552" w:type="dxa"/>
          </w:tcPr>
          <w:p w:rsidR="006D7F52" w:rsidRPr="00EB64F9" w:rsidRDefault="006D7F52" w:rsidP="006D7F52">
            <w:pPr>
              <w:pStyle w:val="TableBodyText"/>
              <w:spacing w:before="40"/>
              <w:jc w:val="left"/>
              <w:rPr>
                <w:b/>
              </w:rPr>
            </w:pPr>
            <w:r w:rsidRPr="00EB64F9">
              <w:rPr>
                <w:b/>
              </w:rPr>
              <w:t>Specialist jurisdiction court</w:t>
            </w:r>
          </w:p>
        </w:tc>
        <w:tc>
          <w:tcPr>
            <w:tcW w:w="6237" w:type="dxa"/>
          </w:tcPr>
          <w:p w:rsidR="006D7F52" w:rsidRPr="00EB64F9" w:rsidRDefault="006D7F52" w:rsidP="006D7F52">
            <w:pPr>
              <w:pStyle w:val="TableBodyText"/>
              <w:spacing w:before="40"/>
              <w:jc w:val="left"/>
            </w:pPr>
            <w:r w:rsidRPr="00EB64F9">
              <w:t xml:space="preserve">A court which has exclusive jurisdiction in a field of law presided over by a judicial officer with expertise in that area. </w:t>
            </w:r>
            <w:r>
              <w:t xml:space="preserve">Examples of these types of courts which are within the scope of this Report are the family courts, the </w:t>
            </w:r>
            <w:r w:rsidR="00BC62E9">
              <w:t>Children’s Court</w:t>
            </w:r>
            <w:r>
              <w:t>s</w:t>
            </w:r>
            <w:r w:rsidRPr="00EB64F9">
              <w:t xml:space="preserve"> </w:t>
            </w:r>
            <w:r>
              <w:t xml:space="preserve">and the </w:t>
            </w:r>
            <w:r w:rsidR="00BC62E9">
              <w:t>Coroners’ Court</w:t>
            </w:r>
            <w:r>
              <w:t xml:space="preserve">s. Examples of </w:t>
            </w:r>
            <w:r w:rsidRPr="00EB64F9">
              <w:t>specialist jurisdiction court</w:t>
            </w:r>
            <w:r>
              <w:t>s which are excluded from this Report include Indigenous and circle sentencing courts and drug courts</w:t>
            </w:r>
            <w:r w:rsidRPr="00EB64F9">
              <w:t>.</w:t>
            </w:r>
          </w:p>
        </w:tc>
      </w:tr>
      <w:tr w:rsidR="006D7F52" w:rsidTr="00742A8F">
        <w:trPr>
          <w:cantSplit/>
        </w:trPr>
        <w:tc>
          <w:tcPr>
            <w:tcW w:w="2552" w:type="dxa"/>
          </w:tcPr>
          <w:p w:rsidR="006D7F52" w:rsidRPr="001A147A" w:rsidRDefault="006D7F52" w:rsidP="006D7F52">
            <w:pPr>
              <w:pStyle w:val="TableBodyText"/>
              <w:spacing w:before="40"/>
              <w:jc w:val="left"/>
              <w:rPr>
                <w:b/>
              </w:rPr>
            </w:pPr>
            <w:r w:rsidRPr="001A147A">
              <w:rPr>
                <w:b/>
              </w:rPr>
              <w:t>Withdrawn</w:t>
            </w:r>
          </w:p>
        </w:tc>
        <w:tc>
          <w:tcPr>
            <w:tcW w:w="6237" w:type="dxa"/>
          </w:tcPr>
          <w:p w:rsidR="006D7F52" w:rsidRPr="001A147A" w:rsidRDefault="006D7F52" w:rsidP="006D7F52">
            <w:pPr>
              <w:pStyle w:val="TableBodyText"/>
              <w:spacing w:before="40"/>
              <w:jc w:val="left"/>
            </w:pPr>
            <w:r w:rsidRPr="001A147A">
              <w:t>The formal withdrawal of charges by the prosecution (that is, by police, the Director of Public Prosecutions or the Attorney-General).</w:t>
            </w:r>
          </w:p>
        </w:tc>
      </w:tr>
    </w:tbl>
    <w:p w:rsidR="006D7F52" w:rsidRDefault="006D7F52" w:rsidP="006D7F52">
      <w:pPr>
        <w:pStyle w:val="BodyText"/>
      </w:pPr>
    </w:p>
    <w:p w:rsidR="006D7F52" w:rsidRDefault="006D7F52" w:rsidP="006D7F52">
      <w:pPr>
        <w:pStyle w:val="Heading2"/>
      </w:pPr>
      <w:r>
        <w:br w:type="page"/>
      </w:r>
      <w:bookmarkStart w:id="14" w:name="_Toc340063216"/>
      <w:r>
        <w:t>7.</w:t>
      </w:r>
      <w:r w:rsidR="002334B0">
        <w:rPr>
          <w:noProof/>
        </w:rPr>
        <w:t>7</w:t>
      </w:r>
      <w:r w:rsidRPr="006D7F52">
        <w:t xml:space="preserve"> </w:t>
      </w:r>
      <w:r>
        <w:tab/>
      </w:r>
      <w:r w:rsidR="009435DF">
        <w:t>List of a</w:t>
      </w:r>
      <w:r w:rsidR="0036539C">
        <w:t>ttachment</w:t>
      </w:r>
      <w:r>
        <w:t xml:space="preserve"> tables</w:t>
      </w:r>
      <w:bookmarkEnd w:id="14"/>
    </w:p>
    <w:p w:rsidR="00513C7A" w:rsidRDefault="0036539C" w:rsidP="00513C7A">
      <w:pPr>
        <w:pStyle w:val="BodyText"/>
      </w:pPr>
      <w:r w:rsidRPr="0036539C">
        <w:t>Attachment tables are identified in references t</w:t>
      </w:r>
      <w:r>
        <w:t xml:space="preserve">hroughout this </w:t>
      </w:r>
      <w:r w:rsidR="00513C7A">
        <w:t xml:space="preserve">chapter </w:t>
      </w:r>
      <w:r>
        <w:t>by a ‘</w:t>
      </w:r>
      <w:proofErr w:type="spellStart"/>
      <w:r w:rsidR="00513C7A">
        <w:t>7</w:t>
      </w:r>
      <w:r>
        <w:t>A</w:t>
      </w:r>
      <w:proofErr w:type="spellEnd"/>
      <w:r>
        <w:t xml:space="preserve">’ </w:t>
      </w:r>
      <w:r w:rsidR="00F67B8C">
        <w:t>pre</w:t>
      </w:r>
      <w:r>
        <w:t xml:space="preserve">fix (for example, </w:t>
      </w:r>
      <w:r w:rsidR="00A76A9C">
        <w:t>table </w:t>
      </w:r>
      <w:proofErr w:type="spellStart"/>
      <w:r w:rsidR="00A76A9C">
        <w:t>7</w:t>
      </w:r>
      <w:r w:rsidRPr="0036539C">
        <w:t>A.</w:t>
      </w:r>
      <w:r w:rsidR="00513C7A">
        <w:t>1</w:t>
      </w:r>
      <w:proofErr w:type="spellEnd"/>
      <w:r w:rsidRPr="0036539C">
        <w:t xml:space="preserve">). Attachment tables are </w:t>
      </w:r>
      <w:r w:rsidR="00513C7A">
        <w:t>available</w:t>
      </w:r>
      <w:r w:rsidR="00513C7A" w:rsidRPr="0036539C">
        <w:t xml:space="preserve"> </w:t>
      </w:r>
      <w:r w:rsidRPr="0036539C">
        <w:t>on the Review website (</w:t>
      </w:r>
      <w:proofErr w:type="spellStart"/>
      <w:r w:rsidR="00881FBF" w:rsidRPr="004907FA">
        <w:t>www.pc.gov.au</w:t>
      </w:r>
      <w:proofErr w:type="spellEnd"/>
      <w:r w:rsidR="00881FBF" w:rsidRPr="004907FA">
        <w:t>/</w:t>
      </w:r>
      <w:proofErr w:type="spellStart"/>
      <w:r w:rsidR="00881FBF" w:rsidRPr="004907FA">
        <w:t>gsp</w:t>
      </w:r>
      <w:proofErr w:type="spellEnd"/>
      <w:r w:rsidRPr="0036539C">
        <w:t xml:space="preserve">). </w:t>
      </w:r>
    </w:p>
    <w:p w:rsidR="003246CB" w:rsidRDefault="003246CB" w:rsidP="002750C1">
      <w:pPr>
        <w:pStyle w:val="BodyText"/>
        <w:spacing w:before="0" w:line="240" w:lineRule="auto"/>
      </w:pPr>
    </w:p>
    <w:tbl>
      <w:tblPr>
        <w:tblW w:w="0" w:type="auto"/>
        <w:tblInd w:w="108" w:type="dxa"/>
        <w:tblLook w:val="0000" w:firstRow="0" w:lastRow="0" w:firstColumn="0" w:lastColumn="0" w:noHBand="0" w:noVBand="0"/>
      </w:tblPr>
      <w:tblGrid>
        <w:gridCol w:w="1220"/>
        <w:gridCol w:w="7677"/>
      </w:tblGrid>
      <w:tr w:rsidR="006D7F52" w:rsidRPr="00005F90" w:rsidTr="003C6DFD">
        <w:trPr>
          <w:trHeight w:val="357"/>
        </w:trPr>
        <w:tc>
          <w:tcPr>
            <w:tcW w:w="0" w:type="auto"/>
            <w:tcBorders>
              <w:top w:val="nil"/>
              <w:left w:val="nil"/>
              <w:bottom w:val="nil"/>
              <w:right w:val="nil"/>
            </w:tcBorders>
            <w:noWrap/>
          </w:tcPr>
          <w:p w:rsidR="006D7F52" w:rsidRPr="00005F90" w:rsidRDefault="006D7F52" w:rsidP="003C6DFD">
            <w:pPr>
              <w:ind w:hanging="108"/>
              <w:rPr>
                <w:rFonts w:ascii="Arial" w:hAnsi="Arial" w:cs="Arial"/>
                <w:b/>
                <w:bCs/>
                <w:sz w:val="20"/>
              </w:rPr>
            </w:pPr>
            <w:r>
              <w:rPr>
                <w:rFonts w:ascii="Arial" w:hAnsi="Arial" w:cs="Arial"/>
                <w:b/>
                <w:bCs/>
                <w:sz w:val="20"/>
              </w:rPr>
              <w:t>Preamble</w:t>
            </w:r>
          </w:p>
        </w:tc>
        <w:tc>
          <w:tcPr>
            <w:tcW w:w="0" w:type="auto"/>
            <w:tcBorders>
              <w:top w:val="nil"/>
              <w:left w:val="nil"/>
              <w:bottom w:val="nil"/>
              <w:right w:val="nil"/>
            </w:tcBorders>
          </w:tcPr>
          <w:p w:rsidR="006D7F52" w:rsidRPr="00005F90" w:rsidRDefault="006D7F52" w:rsidP="00AA7B3B">
            <w:pPr>
              <w:ind w:left="-52"/>
              <w:rPr>
                <w:rFonts w:ascii="Arial" w:hAnsi="Arial" w:cs="Arial"/>
                <w:sz w:val="20"/>
              </w:rPr>
            </w:pPr>
            <w:r>
              <w:rPr>
                <w:rFonts w:ascii="Arial" w:hAnsi="Arial" w:cs="Arial"/>
                <w:sz w:val="20"/>
              </w:rPr>
              <w:t>Court</w:t>
            </w:r>
            <w:r w:rsidR="00F52F25">
              <w:rPr>
                <w:rFonts w:ascii="Arial" w:hAnsi="Arial" w:cs="Arial"/>
                <w:sz w:val="20"/>
              </w:rPr>
              <w:t>s</w:t>
            </w:r>
            <w:r w:rsidR="00505751">
              <w:rPr>
                <w:rFonts w:ascii="Arial" w:hAnsi="Arial" w:cs="Arial"/>
                <w:sz w:val="20"/>
              </w:rPr>
              <w:t xml:space="preserve"> — </w:t>
            </w:r>
            <w:r w:rsidR="0036539C">
              <w:rPr>
                <w:rFonts w:ascii="Arial" w:hAnsi="Arial" w:cs="Arial"/>
                <w:sz w:val="20"/>
              </w:rPr>
              <w:t xml:space="preserve">attachment </w:t>
            </w:r>
            <w:r w:rsidR="00982D41">
              <w:rPr>
                <w:rFonts w:ascii="Arial" w:hAnsi="Arial" w:cs="Arial"/>
                <w:sz w:val="20"/>
              </w:rPr>
              <w:t>tables</w:t>
            </w:r>
          </w:p>
        </w:tc>
      </w:tr>
      <w:tr w:rsidR="00FE0A93" w:rsidRPr="00005F90" w:rsidTr="003C6DFD">
        <w:trPr>
          <w:trHeight w:val="357"/>
        </w:trPr>
        <w:tc>
          <w:tcPr>
            <w:tcW w:w="0" w:type="auto"/>
            <w:tcBorders>
              <w:top w:val="nil"/>
              <w:left w:val="nil"/>
              <w:bottom w:val="nil"/>
              <w:right w:val="nil"/>
            </w:tcBorders>
            <w:noWrap/>
          </w:tcPr>
          <w:p w:rsidR="00FE0A93" w:rsidRDefault="00FE0A93"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w:t>
            </w:r>
            <w:proofErr w:type="spellEnd"/>
          </w:p>
        </w:tc>
        <w:tc>
          <w:tcPr>
            <w:tcW w:w="0" w:type="auto"/>
            <w:tcBorders>
              <w:top w:val="nil"/>
              <w:left w:val="nil"/>
              <w:bottom w:val="nil"/>
              <w:right w:val="nil"/>
            </w:tcBorders>
          </w:tcPr>
          <w:p w:rsidR="00FE0A93" w:rsidRDefault="00646F6D">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 homicide and related offences</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7A.3</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civil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7A.4</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criminal, per 100 000 people</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7A.5</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proofErr w:type="spellStart"/>
            <w:r>
              <w:rPr>
                <w:rFonts w:ascii="Arial" w:hAnsi="Arial" w:cs="Arial"/>
                <w:sz w:val="20"/>
              </w:rPr>
              <w:t>Lodgments</w:t>
            </w:r>
            <w:proofErr w:type="spellEnd"/>
            <w:r>
              <w:rPr>
                <w:rFonts w:ascii="Arial" w:hAnsi="Arial" w:cs="Arial"/>
                <w:sz w:val="20"/>
              </w:rPr>
              <w:t>, civil, per 100 000 people</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7A.6</w:t>
            </w:r>
            <w:proofErr w:type="spellEnd"/>
          </w:p>
        </w:tc>
        <w:tc>
          <w:tcPr>
            <w:tcW w:w="0" w:type="auto"/>
            <w:tcBorders>
              <w:top w:val="nil"/>
              <w:left w:val="nil"/>
              <w:bottom w:val="nil"/>
              <w:right w:val="nil"/>
            </w:tcBorders>
          </w:tcPr>
          <w:p w:rsidR="00646F6D" w:rsidRDefault="00646F6D" w:rsidP="0079568B">
            <w:pPr>
              <w:jc w:val="both"/>
              <w:rPr>
                <w:rFonts w:ascii="Arial" w:hAnsi="Arial" w:cs="Arial"/>
                <w:sz w:val="20"/>
              </w:rPr>
            </w:pPr>
            <w:r>
              <w:rPr>
                <w:rFonts w:ascii="Arial" w:hAnsi="Arial" w:cs="Arial"/>
                <w:sz w:val="20"/>
              </w:rPr>
              <w:t>Finalisations, criminal</w:t>
            </w:r>
          </w:p>
        </w:tc>
      </w:tr>
      <w:tr w:rsidR="00646F6D" w:rsidRPr="00005F90" w:rsidTr="003C6DFD">
        <w:trPr>
          <w:trHeight w:val="357"/>
        </w:trPr>
        <w:tc>
          <w:tcPr>
            <w:tcW w:w="0" w:type="auto"/>
            <w:tcBorders>
              <w:top w:val="nil"/>
              <w:left w:val="nil"/>
              <w:bottom w:val="nil"/>
              <w:right w:val="nil"/>
            </w:tcBorders>
            <w:noWrap/>
          </w:tcPr>
          <w:p w:rsidR="00646F6D" w:rsidRDefault="00646F6D"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7A.7</w:t>
            </w:r>
            <w:proofErr w:type="spellEnd"/>
          </w:p>
        </w:tc>
        <w:tc>
          <w:tcPr>
            <w:tcW w:w="0" w:type="auto"/>
            <w:tcBorders>
              <w:top w:val="nil"/>
              <w:left w:val="nil"/>
              <w:bottom w:val="nil"/>
              <w:right w:val="nil"/>
            </w:tcBorders>
          </w:tcPr>
          <w:p w:rsidR="00646F6D" w:rsidRDefault="007E1A7E" w:rsidP="0079568B">
            <w:pPr>
              <w:jc w:val="both"/>
              <w:rPr>
                <w:rFonts w:ascii="Arial" w:hAnsi="Arial" w:cs="Arial"/>
                <w:sz w:val="20"/>
              </w:rPr>
            </w:pPr>
            <w:r>
              <w:rPr>
                <w:rFonts w:ascii="Arial" w:hAnsi="Arial" w:cs="Arial"/>
                <w:sz w:val="20"/>
              </w:rPr>
              <w:t>Finalisations, criminal, homicide and related offences</w:t>
            </w:r>
          </w:p>
        </w:tc>
      </w:tr>
      <w:tr w:rsidR="007E1A7E" w:rsidRPr="00005F90" w:rsidTr="003C6DFD">
        <w:trPr>
          <w:trHeight w:val="357"/>
        </w:trPr>
        <w:tc>
          <w:tcPr>
            <w:tcW w:w="0" w:type="auto"/>
            <w:tcBorders>
              <w:top w:val="nil"/>
              <w:left w:val="nil"/>
              <w:bottom w:val="nil"/>
              <w:right w:val="nil"/>
            </w:tcBorders>
            <w:noWrap/>
          </w:tcPr>
          <w:p w:rsidR="007E1A7E" w:rsidRDefault="007E1A7E"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7A.8</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Finalisations, civil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7A.9</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Finalisations, criminal , per 100 000 people</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7A.10</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Finalisations, civil, per 100 000 people</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7A.11</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Real recurrent expenditure, criminal, 2012-13 dollars ($'000)</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7A.12</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recurrent expenditure, civil, 2012-13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7A.13</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income (excluding fines), criminal and civil, 2012-13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BD22D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7A.14</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net recurrent expenditure, criminal, 2012-13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7A.15</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net recurrent expenditure, civil, 2012-13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7A.16</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net recurrent expenditure, criminal and civil, 2012-13 dollars ($’000)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7A.17</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Cost recovery – civil court fees collected as a proportion of civil expenditure excluding payroll tax (per cent)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7A.18</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Real average civil court fees collected per </w:t>
            </w:r>
            <w:proofErr w:type="spellStart"/>
            <w:r>
              <w:rPr>
                <w:rFonts w:ascii="Arial" w:hAnsi="Arial" w:cs="Arial"/>
                <w:sz w:val="20"/>
              </w:rPr>
              <w:t>lodgment</w:t>
            </w:r>
            <w:proofErr w:type="spellEnd"/>
            <w:r>
              <w:rPr>
                <w:rFonts w:ascii="Arial" w:hAnsi="Arial" w:cs="Arial"/>
                <w:sz w:val="20"/>
              </w:rPr>
              <w:t>, 2012-13 dollars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7A.19</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criminal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7A.20</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criminal, homicide and related offences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7A.21</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Backlog indicator, civil (as at 30 June)</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7A.22</w:t>
            </w:r>
            <w:proofErr w:type="spellEnd"/>
          </w:p>
        </w:tc>
        <w:tc>
          <w:tcPr>
            <w:tcW w:w="0" w:type="auto"/>
            <w:tcBorders>
              <w:top w:val="nil"/>
              <w:left w:val="nil"/>
              <w:bottom w:val="nil"/>
              <w:right w:val="nil"/>
            </w:tcBorders>
          </w:tcPr>
          <w:p w:rsidR="007E1A7E" w:rsidRDefault="007E1A7E" w:rsidP="0079568B">
            <w:pPr>
              <w:jc w:val="both"/>
              <w:rPr>
                <w:rFonts w:ascii="Arial" w:hAnsi="Arial" w:cs="Arial"/>
                <w:sz w:val="20"/>
              </w:rPr>
            </w:pPr>
            <w:r>
              <w:rPr>
                <w:rFonts w:ascii="Arial" w:hAnsi="Arial" w:cs="Arial"/>
                <w:sz w:val="20"/>
              </w:rPr>
              <w:t xml:space="preserve">Attendance indicator (average number of attendances per finalisation) </w:t>
            </w:r>
          </w:p>
        </w:tc>
      </w:tr>
      <w:tr w:rsidR="007E1A7E" w:rsidRPr="00005F90" w:rsidTr="003C6DFD">
        <w:trPr>
          <w:trHeight w:val="357"/>
        </w:trPr>
        <w:tc>
          <w:tcPr>
            <w:tcW w:w="0" w:type="auto"/>
            <w:tcBorders>
              <w:top w:val="nil"/>
              <w:left w:val="nil"/>
              <w:bottom w:val="nil"/>
              <w:right w:val="nil"/>
            </w:tcBorders>
            <w:noWrap/>
          </w:tcPr>
          <w:p w:rsidR="007E1A7E" w:rsidRDefault="007E1A7E"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7A.23</w:t>
            </w:r>
            <w:proofErr w:type="spellEnd"/>
          </w:p>
        </w:tc>
        <w:tc>
          <w:tcPr>
            <w:tcW w:w="0" w:type="auto"/>
            <w:tcBorders>
              <w:top w:val="nil"/>
              <w:left w:val="nil"/>
              <w:bottom w:val="nil"/>
              <w:right w:val="nil"/>
            </w:tcBorders>
          </w:tcPr>
          <w:p w:rsidR="007E1A7E" w:rsidRDefault="005644B8" w:rsidP="0079568B">
            <w:pPr>
              <w:jc w:val="both"/>
              <w:rPr>
                <w:rFonts w:ascii="Arial" w:hAnsi="Arial" w:cs="Arial"/>
                <w:sz w:val="20"/>
              </w:rPr>
            </w:pPr>
            <w:r>
              <w:rPr>
                <w:rFonts w:ascii="Arial" w:hAnsi="Arial" w:cs="Arial"/>
                <w:sz w:val="20"/>
              </w:rPr>
              <w:t>Attendance indicator (criminal, homicide and related offences</w:t>
            </w:r>
          </w:p>
        </w:tc>
      </w:tr>
      <w:tr w:rsidR="00F93EFA" w:rsidRPr="00005F90" w:rsidTr="003C6DFD">
        <w:trPr>
          <w:trHeight w:val="357"/>
        </w:trPr>
        <w:tc>
          <w:tcPr>
            <w:tcW w:w="0" w:type="auto"/>
            <w:tcBorders>
              <w:top w:val="nil"/>
              <w:left w:val="nil"/>
              <w:bottom w:val="nil"/>
              <w:right w:val="nil"/>
            </w:tcBorders>
            <w:noWrap/>
          </w:tcPr>
          <w:p w:rsidR="00F93EFA" w:rsidRDefault="00F93EFA" w:rsidP="00AC5FCF">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7A.24</w:t>
            </w:r>
            <w:proofErr w:type="spellEnd"/>
          </w:p>
        </w:tc>
        <w:tc>
          <w:tcPr>
            <w:tcW w:w="0" w:type="auto"/>
            <w:tcBorders>
              <w:top w:val="nil"/>
              <w:left w:val="nil"/>
              <w:bottom w:val="nil"/>
              <w:right w:val="nil"/>
            </w:tcBorders>
          </w:tcPr>
          <w:p w:rsidR="00F93EFA" w:rsidRDefault="00F93EFA" w:rsidP="0079568B">
            <w:pPr>
              <w:jc w:val="both"/>
              <w:rPr>
                <w:rFonts w:ascii="Arial" w:hAnsi="Arial" w:cs="Arial"/>
                <w:sz w:val="20"/>
              </w:rPr>
            </w:pPr>
            <w:r>
              <w:rPr>
                <w:rFonts w:ascii="Arial" w:hAnsi="Arial" w:cs="Arial"/>
                <w:sz w:val="20"/>
              </w:rPr>
              <w:t>Clearance rate – finalisations/</w:t>
            </w:r>
            <w:proofErr w:type="spellStart"/>
            <w:r>
              <w:rPr>
                <w:rFonts w:ascii="Arial" w:hAnsi="Arial" w:cs="Arial"/>
                <w:sz w:val="20"/>
              </w:rPr>
              <w:t>lodgments</w:t>
            </w:r>
            <w:proofErr w:type="spellEnd"/>
            <w:r>
              <w:rPr>
                <w:rFonts w:ascii="Arial" w:hAnsi="Arial" w:cs="Arial"/>
                <w:sz w:val="20"/>
              </w:rPr>
              <w:t>, criminal (per cent)</w:t>
            </w:r>
          </w:p>
        </w:tc>
      </w:tr>
      <w:tr w:rsidR="00F93EFA" w:rsidRPr="00005F90" w:rsidTr="003C6DFD">
        <w:trPr>
          <w:trHeight w:val="357"/>
        </w:trPr>
        <w:tc>
          <w:tcPr>
            <w:tcW w:w="0" w:type="auto"/>
            <w:tcBorders>
              <w:top w:val="nil"/>
              <w:left w:val="nil"/>
              <w:bottom w:val="nil"/>
              <w:right w:val="nil"/>
            </w:tcBorders>
            <w:noWrap/>
          </w:tcPr>
          <w:p w:rsidR="00F93EFA" w:rsidRDefault="00F93EFA" w:rsidP="00AC5FCF">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7A.25</w:t>
            </w:r>
            <w:proofErr w:type="spellEnd"/>
          </w:p>
        </w:tc>
        <w:tc>
          <w:tcPr>
            <w:tcW w:w="0" w:type="auto"/>
            <w:tcBorders>
              <w:top w:val="nil"/>
              <w:left w:val="nil"/>
              <w:bottom w:val="nil"/>
              <w:right w:val="nil"/>
            </w:tcBorders>
          </w:tcPr>
          <w:p w:rsidR="00F93EFA" w:rsidRDefault="005644B8" w:rsidP="0079568B">
            <w:pPr>
              <w:jc w:val="both"/>
              <w:rPr>
                <w:rFonts w:ascii="Arial" w:hAnsi="Arial" w:cs="Arial"/>
                <w:sz w:val="20"/>
              </w:rPr>
            </w:pPr>
            <w:r>
              <w:rPr>
                <w:rFonts w:ascii="Arial" w:hAnsi="Arial" w:cs="Arial"/>
                <w:sz w:val="20"/>
              </w:rPr>
              <w:t>Clearance rate, criminal, homicide and related offences</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7A.26</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Clearance rate – finalisations/</w:t>
            </w:r>
            <w:proofErr w:type="spellStart"/>
            <w:r>
              <w:rPr>
                <w:rFonts w:ascii="Arial" w:hAnsi="Arial" w:cs="Arial"/>
                <w:sz w:val="20"/>
              </w:rPr>
              <w:t>lodgments</w:t>
            </w:r>
            <w:proofErr w:type="spellEnd"/>
            <w:r>
              <w:rPr>
                <w:rFonts w:ascii="Arial" w:hAnsi="Arial" w:cs="Arial"/>
                <w:sz w:val="20"/>
              </w:rPr>
              <w:t>, civil (per cent)</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7A.27</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Judicial officers (FTE and number per 100 000 people)</w:t>
            </w:r>
          </w:p>
        </w:tc>
      </w:tr>
      <w:tr w:rsidR="005644B8" w:rsidRPr="00005F90" w:rsidTr="003C6DFD">
        <w:trPr>
          <w:trHeight w:val="357"/>
        </w:trPr>
        <w:tc>
          <w:tcPr>
            <w:tcW w:w="0" w:type="auto"/>
            <w:tcBorders>
              <w:top w:val="nil"/>
              <w:left w:val="nil"/>
              <w:bottom w:val="nil"/>
              <w:right w:val="nil"/>
            </w:tcBorders>
            <w:noWrap/>
          </w:tcPr>
          <w:p w:rsidR="005644B8" w:rsidRDefault="005644B8" w:rsidP="003C6DFD">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7A.28</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Judicial officers per 100 finalisations</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7A.29</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Full time equivalent (FTE) staff per 100 finalisations</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7A.30</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Full time equivalent (FTE) staff per judicial officer employed</w:t>
            </w:r>
          </w:p>
        </w:tc>
      </w:tr>
      <w:tr w:rsidR="005644B8" w:rsidRPr="00005F90" w:rsidTr="003C6DFD">
        <w:trPr>
          <w:trHeight w:val="357"/>
        </w:trPr>
        <w:tc>
          <w:tcPr>
            <w:tcW w:w="0" w:type="auto"/>
            <w:tcBorders>
              <w:top w:val="nil"/>
              <w:left w:val="nil"/>
              <w:bottom w:val="nil"/>
              <w:right w:val="nil"/>
            </w:tcBorders>
            <w:noWrap/>
          </w:tcPr>
          <w:p w:rsidR="005644B8" w:rsidRDefault="005644B8" w:rsidP="002750C1">
            <w:pPr>
              <w:ind w:hanging="108"/>
              <w:rPr>
                <w:rFonts w:ascii="Arial" w:hAnsi="Arial" w:cs="Arial"/>
                <w:b/>
                <w:bCs/>
                <w:sz w:val="20"/>
              </w:rPr>
            </w:pPr>
            <w:r>
              <w:rPr>
                <w:rFonts w:ascii="Arial" w:hAnsi="Arial" w:cs="Arial"/>
                <w:b/>
                <w:bCs/>
                <w:sz w:val="20"/>
              </w:rPr>
              <w:t>Table </w:t>
            </w:r>
            <w:proofErr w:type="spellStart"/>
            <w:r>
              <w:rPr>
                <w:rFonts w:ascii="Arial" w:hAnsi="Arial" w:cs="Arial"/>
                <w:b/>
                <w:bCs/>
                <w:sz w:val="20"/>
              </w:rPr>
              <w:t>7A.31</w:t>
            </w:r>
            <w:proofErr w:type="spellEnd"/>
          </w:p>
        </w:tc>
        <w:tc>
          <w:tcPr>
            <w:tcW w:w="0" w:type="auto"/>
            <w:tcBorders>
              <w:top w:val="nil"/>
              <w:left w:val="nil"/>
              <w:bottom w:val="nil"/>
              <w:right w:val="nil"/>
            </w:tcBorders>
          </w:tcPr>
          <w:p w:rsidR="005644B8" w:rsidRDefault="005644B8" w:rsidP="0079568B">
            <w:pPr>
              <w:jc w:val="both"/>
              <w:rPr>
                <w:rFonts w:ascii="Arial" w:hAnsi="Arial" w:cs="Arial"/>
                <w:sz w:val="20"/>
              </w:rPr>
            </w:pPr>
            <w:r>
              <w:rPr>
                <w:rFonts w:ascii="Arial" w:hAnsi="Arial" w:cs="Arial"/>
                <w:sz w:val="20"/>
              </w:rPr>
              <w:t xml:space="preserve">Real net recurrent expenditure per finalisation, criminal, 2012-13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7A.32</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 xml:space="preserve">Real net recurrent expenditure per finalisation, civil, 2012-13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7A.33</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 xml:space="preserve">Real net recurrent expenditure per finalisation, criminal and civil, 2012-13 dollars ($)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7A.34</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Real recurrent expenditure per finalisation, criminal, 2012-13 dollars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7A.35</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Real recurrent expenditure per finalisation, civil, 2012-13 dollars ($)</w:t>
            </w:r>
          </w:p>
        </w:tc>
      </w:tr>
      <w:tr w:rsidR="00294165" w:rsidRPr="00005F90" w:rsidTr="003C6DFD">
        <w:trPr>
          <w:trHeight w:val="357"/>
        </w:trPr>
        <w:tc>
          <w:tcPr>
            <w:tcW w:w="0" w:type="auto"/>
            <w:tcBorders>
              <w:top w:val="nil"/>
              <w:left w:val="nil"/>
              <w:bottom w:val="nil"/>
              <w:right w:val="nil"/>
            </w:tcBorders>
            <w:noWrap/>
          </w:tcPr>
          <w:p w:rsidR="00294165" w:rsidRDefault="00294165" w:rsidP="00326072">
            <w:pPr>
              <w:ind w:hanging="108"/>
            </w:pPr>
            <w:r>
              <w:rPr>
                <w:rFonts w:ascii="Arial" w:hAnsi="Arial" w:cs="Arial"/>
                <w:b/>
                <w:bCs/>
                <w:sz w:val="20"/>
              </w:rPr>
              <w:t>Table </w:t>
            </w:r>
            <w:proofErr w:type="spellStart"/>
            <w:r>
              <w:rPr>
                <w:rFonts w:ascii="Arial" w:hAnsi="Arial" w:cs="Arial"/>
                <w:b/>
                <w:bCs/>
                <w:sz w:val="20"/>
              </w:rPr>
              <w:t>7A.36</w:t>
            </w:r>
            <w:proofErr w:type="spellEnd"/>
          </w:p>
        </w:tc>
        <w:tc>
          <w:tcPr>
            <w:tcW w:w="0" w:type="auto"/>
            <w:tcBorders>
              <w:top w:val="nil"/>
              <w:left w:val="nil"/>
              <w:bottom w:val="nil"/>
              <w:right w:val="nil"/>
            </w:tcBorders>
          </w:tcPr>
          <w:p w:rsidR="00294165" w:rsidRDefault="00294165" w:rsidP="0079568B">
            <w:pPr>
              <w:jc w:val="both"/>
              <w:rPr>
                <w:rFonts w:ascii="Arial" w:hAnsi="Arial" w:cs="Arial"/>
                <w:sz w:val="20"/>
              </w:rPr>
            </w:pPr>
            <w:r>
              <w:rPr>
                <w:rFonts w:ascii="Arial" w:hAnsi="Arial" w:cs="Arial"/>
                <w:sz w:val="20"/>
              </w:rPr>
              <w:t xml:space="preserve">Treatment of assets by court agencies </w:t>
            </w:r>
          </w:p>
        </w:tc>
      </w:tr>
    </w:tbl>
    <w:p w:rsidR="006D7F52" w:rsidRDefault="006D7F52" w:rsidP="006D7F52">
      <w:pPr>
        <w:pStyle w:val="Heading2"/>
      </w:pPr>
      <w:bookmarkStart w:id="15" w:name="_Toc340063217"/>
      <w:r>
        <w:t>7.</w:t>
      </w:r>
      <w:r w:rsidR="002334B0">
        <w:rPr>
          <w:noProof/>
        </w:rPr>
        <w:t>8</w:t>
      </w:r>
      <w:r>
        <w:tab/>
        <w:t>References</w:t>
      </w:r>
      <w:bookmarkEnd w:id="15"/>
    </w:p>
    <w:p w:rsidR="001D6C51" w:rsidRPr="006D7F52" w:rsidRDefault="006D7F52" w:rsidP="00DC686F">
      <w:pPr>
        <w:pStyle w:val="Reference"/>
      </w:pPr>
      <w:r>
        <w:t>ABS (Austr</w:t>
      </w:r>
      <w:r w:rsidR="009D35A2">
        <w:t>alian Bureau of Statist</w:t>
      </w:r>
      <w:r w:rsidR="00AA7355">
        <w:t>ics) 2013</w:t>
      </w:r>
      <w:r>
        <w:t xml:space="preserve">, </w:t>
      </w:r>
      <w:r w:rsidRPr="00A3264B">
        <w:rPr>
          <w:i/>
        </w:rPr>
        <w:t>Criminal Courts, Australia</w:t>
      </w:r>
      <w:r>
        <w:t>,</w:t>
      </w:r>
      <w:r w:rsidR="009D35A2">
        <w:t xml:space="preserve"> </w:t>
      </w:r>
      <w:r w:rsidR="00A52A70">
        <w:rPr>
          <w:i/>
        </w:rPr>
        <w:t>201</w:t>
      </w:r>
      <w:r w:rsidR="00AA7355">
        <w:rPr>
          <w:i/>
        </w:rPr>
        <w:t>1</w:t>
      </w:r>
      <w:r w:rsidR="00F77013">
        <w:rPr>
          <w:i/>
        </w:rPr>
        <w:t>–</w:t>
      </w:r>
      <w:r w:rsidR="00A52A70">
        <w:rPr>
          <w:i/>
        </w:rPr>
        <w:t>1</w:t>
      </w:r>
      <w:r w:rsidR="00AA7355">
        <w:rPr>
          <w:i/>
        </w:rPr>
        <w:t>2</w:t>
      </w:r>
      <w:r w:rsidR="009D35A2">
        <w:rPr>
          <w:i/>
        </w:rPr>
        <w:t>,</w:t>
      </w:r>
      <w:r>
        <w:t xml:space="preserve"> Cat. no. 4513.0, Canberra</w:t>
      </w:r>
      <w:r w:rsidR="00E91470">
        <w:t>.</w:t>
      </w:r>
    </w:p>
    <w:sectPr w:rsidR="001D6C51" w:rsidRPr="006D7F52" w:rsidSect="00E23461">
      <w:headerReference w:type="even" r:id="rId25"/>
      <w:headerReference w:type="default" r:id="rId26"/>
      <w:footerReference w:type="even" r:id="rId27"/>
      <w:footerReference w:type="default" r:id="rId28"/>
      <w:pgSz w:w="11907" w:h="16840" w:code="9"/>
      <w:pgMar w:top="1984" w:right="1304" w:bottom="1417"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34F" w:rsidRDefault="0006734F">
      <w:r>
        <w:separator/>
      </w:r>
    </w:p>
  </w:endnote>
  <w:endnote w:type="continuationSeparator" w:id="0">
    <w:p w:rsidR="0006734F" w:rsidRDefault="00067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6734F">
      <w:trPr>
        <w:trHeight w:hRule="exact" w:val="740"/>
      </w:trPr>
      <w:tc>
        <w:tcPr>
          <w:tcW w:w="510" w:type="dxa"/>
          <w:tcBorders>
            <w:top w:val="single" w:sz="6" w:space="0" w:color="auto"/>
          </w:tcBorders>
        </w:tcPr>
        <w:p w:rsidR="0006734F" w:rsidRDefault="0006734F">
          <w:pPr>
            <w:pStyle w:val="Footer"/>
            <w:tabs>
              <w:tab w:val="left" w:pos="0"/>
            </w:tabs>
            <w:ind w:right="0"/>
            <w:rPr>
              <w:rStyle w:val="PageNumber"/>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7.</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A053F6">
            <w:rPr>
              <w:rStyle w:val="PageNumber"/>
              <w:noProof/>
            </w:rPr>
            <w:t>48</w:t>
          </w:r>
          <w:r>
            <w:rPr>
              <w:rStyle w:val="PageNumber"/>
            </w:rPr>
            <w:fldChar w:fldCharType="end"/>
          </w:r>
        </w:p>
      </w:tc>
      <w:tc>
        <w:tcPr>
          <w:tcW w:w="1644" w:type="dxa"/>
          <w:tcBorders>
            <w:top w:val="single" w:sz="6" w:space="0" w:color="auto"/>
          </w:tcBorders>
        </w:tcPr>
        <w:p w:rsidR="0006734F" w:rsidRDefault="00A053F6">
          <w:pPr>
            <w:pStyle w:val="Footer"/>
          </w:pPr>
          <w:r>
            <w:fldChar w:fldCharType="begin"/>
          </w:r>
          <w:r>
            <w:instrText xml:space="preserve"> SUBJECT  \* MERGEFORMAT </w:instrText>
          </w:r>
          <w:r>
            <w:fldChar w:fldCharType="separate"/>
          </w:r>
          <w:r w:rsidR="0006734F">
            <w:t>REPORT ON GOVERNMENT SERVICES 2014</w:t>
          </w:r>
          <w:r>
            <w:fldChar w:fldCharType="end"/>
          </w:r>
        </w:p>
      </w:tc>
      <w:tc>
        <w:tcPr>
          <w:tcW w:w="6634" w:type="dxa"/>
        </w:tcPr>
        <w:p w:rsidR="0006734F" w:rsidRDefault="0006734F">
          <w:pPr>
            <w:pStyle w:val="Footer"/>
          </w:pPr>
        </w:p>
      </w:tc>
    </w:tr>
  </w:tbl>
  <w:p w:rsidR="0006734F" w:rsidRDefault="0006734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6734F">
      <w:trPr>
        <w:trHeight w:hRule="exact" w:val="740"/>
      </w:trPr>
      <w:tc>
        <w:tcPr>
          <w:tcW w:w="6634" w:type="dxa"/>
        </w:tcPr>
        <w:p w:rsidR="0006734F" w:rsidRDefault="0006734F">
          <w:pPr>
            <w:pStyle w:val="Footer"/>
            <w:ind w:right="360" w:firstLine="360"/>
          </w:pPr>
          <w:bookmarkStart w:id="16" w:name="_Chapter"/>
          <w:bookmarkEnd w:id="16"/>
        </w:p>
      </w:tc>
      <w:tc>
        <w:tcPr>
          <w:tcW w:w="1644" w:type="dxa"/>
          <w:tcBorders>
            <w:top w:val="single" w:sz="6" w:space="0" w:color="auto"/>
          </w:tcBorders>
        </w:tcPr>
        <w:p w:rsidR="0006734F" w:rsidRDefault="0006734F">
          <w:pPr>
            <w:pStyle w:val="Footer"/>
          </w:pPr>
          <w:r>
            <w:t>COURTS</w:t>
          </w:r>
        </w:p>
      </w:tc>
      <w:tc>
        <w:tcPr>
          <w:tcW w:w="510" w:type="dxa"/>
          <w:tcBorders>
            <w:top w:val="single" w:sz="6" w:space="0" w:color="auto"/>
          </w:tcBorders>
        </w:tcPr>
        <w:p w:rsidR="0006734F" w:rsidRDefault="0006734F">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Pr>
              <w:rStyle w:val="PageNumber"/>
            </w:rPr>
            <w:t>7.</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A053F6">
            <w:rPr>
              <w:rStyle w:val="PageNumber"/>
              <w:noProof/>
            </w:rPr>
            <w:t>47</w:t>
          </w:r>
          <w:r>
            <w:rPr>
              <w:rStyle w:val="PageNumber"/>
            </w:rPr>
            <w:fldChar w:fldCharType="end"/>
          </w:r>
        </w:p>
      </w:tc>
    </w:tr>
  </w:tbl>
  <w:p w:rsidR="0006734F" w:rsidRDefault="0006734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34F" w:rsidRDefault="0006734F">
      <w:r>
        <w:separator/>
      </w:r>
    </w:p>
  </w:footnote>
  <w:footnote w:type="continuationSeparator" w:id="0">
    <w:p w:rsidR="0006734F" w:rsidRDefault="00067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6734F">
      <w:tc>
        <w:tcPr>
          <w:tcW w:w="2155" w:type="dxa"/>
          <w:tcBorders>
            <w:top w:val="single" w:sz="24" w:space="0" w:color="auto"/>
          </w:tcBorders>
        </w:tcPr>
        <w:p w:rsidR="0006734F" w:rsidRDefault="0006734F">
          <w:pPr>
            <w:pStyle w:val="HeaderEven"/>
          </w:pPr>
        </w:p>
      </w:tc>
      <w:tc>
        <w:tcPr>
          <w:tcW w:w="6634" w:type="dxa"/>
          <w:tcBorders>
            <w:top w:val="single" w:sz="6" w:space="0" w:color="auto"/>
          </w:tcBorders>
        </w:tcPr>
        <w:p w:rsidR="0006734F" w:rsidRDefault="0006734F" w:rsidP="007F15A0">
          <w:pPr>
            <w:pStyle w:val="HeaderEven"/>
            <w:tabs>
              <w:tab w:val="left" w:pos="345"/>
            </w:tabs>
            <w:jc w:val="right"/>
          </w:pPr>
        </w:p>
      </w:tc>
    </w:tr>
  </w:tbl>
  <w:p w:rsidR="0006734F" w:rsidRDefault="0006734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6734F" w:rsidTr="00E52F1C">
      <w:tc>
        <w:tcPr>
          <w:tcW w:w="6634" w:type="dxa"/>
          <w:tcBorders>
            <w:top w:val="single" w:sz="6" w:space="0" w:color="auto"/>
          </w:tcBorders>
        </w:tcPr>
        <w:p w:rsidR="0006734F" w:rsidRDefault="0006734F" w:rsidP="00E52F1C">
          <w:pPr>
            <w:pStyle w:val="HeaderOdd"/>
          </w:pPr>
        </w:p>
      </w:tc>
      <w:tc>
        <w:tcPr>
          <w:tcW w:w="2155" w:type="dxa"/>
          <w:tcBorders>
            <w:top w:val="single" w:sz="24" w:space="0" w:color="auto"/>
          </w:tcBorders>
        </w:tcPr>
        <w:p w:rsidR="0006734F" w:rsidRDefault="0006734F" w:rsidP="00E52F1C">
          <w:pPr>
            <w:pStyle w:val="HeaderOdd"/>
          </w:pPr>
        </w:p>
      </w:tc>
    </w:tr>
  </w:tbl>
  <w:p w:rsidR="0006734F" w:rsidRDefault="0006734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0A48D5"/>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C67212"/>
    <w:multiLevelType w:val="hybridMultilevel"/>
    <w:tmpl w:val="FECC6D1C"/>
    <w:lvl w:ilvl="0" w:tplc="3B36083A">
      <w:start w:val="1"/>
      <w:numFmt w:val="bullet"/>
      <w:lvlText w:val=""/>
      <w:lvlJc w:val="left"/>
      <w:pPr>
        <w:ind w:left="1039" w:hanging="360"/>
      </w:pPr>
      <w:rPr>
        <w:rFonts w:ascii="Symbol" w:hAnsi="Symbol" w:hint="default"/>
        <w:sz w:val="20"/>
        <w:szCs w:val="20"/>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1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5D4300"/>
    <w:multiLevelType w:val="hybridMultilevel"/>
    <w:tmpl w:val="3ADC8D10"/>
    <w:lvl w:ilvl="0" w:tplc="0C090001">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5D87E05"/>
    <w:multiLevelType w:val="hybridMultilevel"/>
    <w:tmpl w:val="D37CED0E"/>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5">
    <w:nsid w:val="37975ACA"/>
    <w:multiLevelType w:val="hybridMultilevel"/>
    <w:tmpl w:val="5B3C9BD2"/>
    <w:lvl w:ilvl="0" w:tplc="0C090001">
      <w:start w:val="1"/>
      <w:numFmt w:val="bullet"/>
      <w:lvlText w:val=""/>
      <w:lvlJc w:val="left"/>
      <w:pPr>
        <w:ind w:left="360" w:hanging="360"/>
      </w:pPr>
      <w:rPr>
        <w:rFonts w:ascii="Symbol" w:hAnsi="Symbol" w:hint="default"/>
        <w:sz w:val="20"/>
        <w:szCs w:val="20"/>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7">
    <w:nsid w:val="47B36E84"/>
    <w:multiLevelType w:val="hybridMultilevel"/>
    <w:tmpl w:val="BB38F42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0">
    <w:nsid w:val="511F6453"/>
    <w:multiLevelType w:val="multilevel"/>
    <w:tmpl w:val="0C8809A0"/>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1F74561"/>
    <w:multiLevelType w:val="singleLevel"/>
    <w:tmpl w:val="ED98921A"/>
    <w:lvl w:ilvl="0">
      <w:start w:val="1"/>
      <w:numFmt w:val="decimal"/>
      <w:lvlText w:val="%1."/>
      <w:legacy w:legacy="1" w:legacySpace="0" w:legacyIndent="340"/>
      <w:lvlJc w:val="left"/>
      <w:pPr>
        <w:ind w:left="340" w:hanging="340"/>
      </w:p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5A096576"/>
    <w:multiLevelType w:val="singleLevel"/>
    <w:tmpl w:val="ED98921A"/>
    <w:lvl w:ilvl="0">
      <w:start w:val="1"/>
      <w:numFmt w:val="decimal"/>
      <w:lvlText w:val="%1."/>
      <w:legacy w:legacy="1" w:legacySpace="0" w:legacyIndent="340"/>
      <w:lvlJc w:val="left"/>
      <w:pPr>
        <w:ind w:left="340" w:hanging="340"/>
      </w:pPr>
    </w:lvl>
  </w:abstractNum>
  <w:abstractNum w:abstractNumId="3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5CA7383F"/>
    <w:multiLevelType w:val="hybridMultilevel"/>
    <w:tmpl w:val="18D4D80C"/>
    <w:lvl w:ilvl="0" w:tplc="29B8EB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0055F7F"/>
    <w:multiLevelType w:val="singleLevel"/>
    <w:tmpl w:val="ED98921A"/>
    <w:lvl w:ilvl="0">
      <w:start w:val="1"/>
      <w:numFmt w:val="decimal"/>
      <w:lvlText w:val="%1."/>
      <w:legacy w:legacy="1" w:legacySpace="0" w:legacyIndent="340"/>
      <w:lvlJc w:val="left"/>
      <w:pPr>
        <w:ind w:left="340" w:hanging="340"/>
      </w:pPr>
    </w:lvl>
  </w:abstractNum>
  <w:abstractNum w:abstractNumId="42">
    <w:nsid w:val="608E741E"/>
    <w:multiLevelType w:val="singleLevel"/>
    <w:tmpl w:val="ED98921A"/>
    <w:lvl w:ilvl="0">
      <w:start w:val="1"/>
      <w:numFmt w:val="decimal"/>
      <w:lvlText w:val="%1."/>
      <w:legacy w:legacy="1" w:legacySpace="0" w:legacyIndent="340"/>
      <w:lvlJc w:val="left"/>
      <w:pPr>
        <w:ind w:left="340" w:hanging="340"/>
      </w:pPr>
    </w:lvl>
  </w:abstractNum>
  <w:abstractNum w:abstractNumId="43">
    <w:nsid w:val="61320C1E"/>
    <w:multiLevelType w:val="singleLevel"/>
    <w:tmpl w:val="C444122C"/>
    <w:lvl w:ilvl="0">
      <w:start w:val="1"/>
      <w:numFmt w:val="decimal"/>
      <w:lvlText w:val="%1."/>
      <w:legacy w:legacy="1" w:legacySpace="0" w:legacyIndent="284"/>
      <w:lvlJc w:val="left"/>
      <w:pPr>
        <w:ind w:left="284" w:hanging="284"/>
      </w:pPr>
    </w:lvl>
  </w:abstractNum>
  <w:abstractNum w:abstractNumId="44">
    <w:nsid w:val="61C16FB1"/>
    <w:multiLevelType w:val="hybridMultilevel"/>
    <w:tmpl w:val="5DFC1440"/>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7">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668F5702"/>
    <w:multiLevelType w:val="hybridMultilevel"/>
    <w:tmpl w:val="32AA2E2A"/>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5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6"/>
  </w:num>
  <w:num w:numId="2">
    <w:abstractNumId w:val="10"/>
  </w:num>
  <w:num w:numId="3">
    <w:abstractNumId w:val="11"/>
  </w:num>
  <w:num w:numId="4">
    <w:abstractNumId w:val="19"/>
  </w:num>
  <w:num w:numId="5">
    <w:abstractNumId w:val="32"/>
  </w:num>
  <w:num w:numId="6">
    <w:abstractNumId w:val="24"/>
  </w:num>
  <w:num w:numId="7">
    <w:abstractNumId w:val="53"/>
  </w:num>
  <w:num w:numId="8">
    <w:abstractNumId w:val="54"/>
  </w:num>
  <w:num w:numId="9">
    <w:abstractNumId w:val="20"/>
  </w:num>
  <w:num w:numId="10">
    <w:abstractNumId w:val="33"/>
  </w:num>
  <w:num w:numId="11">
    <w:abstractNumId w:val="35"/>
  </w:num>
  <w:num w:numId="12">
    <w:abstractNumId w:val="7"/>
  </w:num>
  <w:num w:numId="13">
    <w:abstractNumId w:val="30"/>
  </w:num>
  <w:num w:numId="14">
    <w:abstractNumId w:val="17"/>
  </w:num>
  <w:num w:numId="15">
    <w:abstractNumId w:val="16"/>
  </w:num>
  <w:num w:numId="16">
    <w:abstractNumId w:val="40"/>
  </w:num>
  <w:num w:numId="17">
    <w:abstractNumId w:val="27"/>
  </w:num>
  <w:num w:numId="18">
    <w:abstractNumId w:val="23"/>
  </w:num>
  <w:num w:numId="19">
    <w:abstractNumId w:val="28"/>
  </w:num>
  <w:num w:numId="20">
    <w:abstractNumId w:val="37"/>
  </w:num>
  <w:num w:numId="21">
    <w:abstractNumId w:val="48"/>
  </w:num>
  <w:num w:numId="22">
    <w:abstractNumId w:val="44"/>
  </w:num>
  <w:num w:numId="23">
    <w:abstractNumId w:val="21"/>
  </w:num>
  <w:num w:numId="24">
    <w:abstractNumId w:val="47"/>
  </w:num>
  <w:num w:numId="25">
    <w:abstractNumId w:val="8"/>
  </w:num>
  <w:num w:numId="26">
    <w:abstractNumId w:val="7"/>
  </w:num>
  <w:num w:numId="27">
    <w:abstractNumId w:val="18"/>
  </w:num>
  <w:num w:numId="28">
    <w:abstractNumId w:val="25"/>
  </w:num>
  <w:num w:numId="29">
    <w:abstractNumId w:val="15"/>
  </w:num>
  <w:num w:numId="30">
    <w:abstractNumId w:val="5"/>
  </w:num>
  <w:num w:numId="31">
    <w:abstractNumId w:val="3"/>
  </w:num>
  <w:num w:numId="32">
    <w:abstractNumId w:val="2"/>
  </w:num>
  <w:num w:numId="33">
    <w:abstractNumId w:val="4"/>
  </w:num>
  <w:num w:numId="34">
    <w:abstractNumId w:val="1"/>
  </w:num>
  <w:num w:numId="35">
    <w:abstractNumId w:val="0"/>
  </w:num>
  <w:num w:numId="36">
    <w:abstractNumId w:val="13"/>
  </w:num>
  <w:num w:numId="37">
    <w:abstractNumId w:val="42"/>
  </w:num>
  <w:num w:numId="38">
    <w:abstractNumId w:val="45"/>
  </w:num>
  <w:num w:numId="39">
    <w:abstractNumId w:val="31"/>
  </w:num>
  <w:num w:numId="40">
    <w:abstractNumId w:val="34"/>
  </w:num>
  <w:num w:numId="41">
    <w:abstractNumId w:val="36"/>
  </w:num>
  <w:num w:numId="42">
    <w:abstractNumId w:val="52"/>
  </w:num>
  <w:num w:numId="43">
    <w:abstractNumId w:val="41"/>
  </w:num>
  <w:num w:numId="44">
    <w:abstractNumId w:val="49"/>
  </w:num>
  <w:num w:numId="45">
    <w:abstractNumId w:val="50"/>
  </w:num>
  <w:num w:numId="46">
    <w:abstractNumId w:val="38"/>
  </w:num>
  <w:num w:numId="47">
    <w:abstractNumId w:val="26"/>
  </w:num>
  <w:num w:numId="48">
    <w:abstractNumId w:val="55"/>
  </w:num>
  <w:num w:numId="49">
    <w:abstractNumId w:val="9"/>
  </w:num>
  <w:num w:numId="50">
    <w:abstractNumId w:val="22"/>
  </w:num>
  <w:num w:numId="51">
    <w:abstractNumId w:val="51"/>
  </w:num>
  <w:num w:numId="52">
    <w:abstractNumId w:val="39"/>
  </w:num>
  <w:num w:numId="53">
    <w:abstractNumId w:val="14"/>
  </w:num>
  <w:num w:numId="54">
    <w:abstractNumId w:val="43"/>
  </w:num>
  <w:num w:numId="55">
    <w:abstractNumId w:val="29"/>
  </w:num>
  <w:num w:numId="5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7">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URT ADMINISTRATION"/>
    <w:docVar w:name="ShortReportTitle" w:val="REPORT ON GOVERNMENT SERVICES 2013"/>
    <w:docVar w:name="SideNote" w:val="1"/>
    <w:docVar w:name="UseShortChapter" w:val="0"/>
    <w:docVar w:name="UseShortReport" w:val="0"/>
  </w:docVars>
  <w:rsids>
    <w:rsidRoot w:val="00E23461"/>
    <w:rsid w:val="000011C3"/>
    <w:rsid w:val="0000174B"/>
    <w:rsid w:val="00001AEA"/>
    <w:rsid w:val="00001C9F"/>
    <w:rsid w:val="000022A4"/>
    <w:rsid w:val="0000267A"/>
    <w:rsid w:val="00002820"/>
    <w:rsid w:val="00003334"/>
    <w:rsid w:val="000035DB"/>
    <w:rsid w:val="00004444"/>
    <w:rsid w:val="000045CC"/>
    <w:rsid w:val="00005311"/>
    <w:rsid w:val="00005609"/>
    <w:rsid w:val="00006962"/>
    <w:rsid w:val="000074F4"/>
    <w:rsid w:val="00010224"/>
    <w:rsid w:val="00010890"/>
    <w:rsid w:val="00010F4A"/>
    <w:rsid w:val="00010F5F"/>
    <w:rsid w:val="000115C8"/>
    <w:rsid w:val="000118D1"/>
    <w:rsid w:val="00011944"/>
    <w:rsid w:val="00011CBA"/>
    <w:rsid w:val="000128B6"/>
    <w:rsid w:val="00013B08"/>
    <w:rsid w:val="00013DF9"/>
    <w:rsid w:val="00014854"/>
    <w:rsid w:val="0001597C"/>
    <w:rsid w:val="00015B57"/>
    <w:rsid w:val="00016900"/>
    <w:rsid w:val="000170AC"/>
    <w:rsid w:val="000173CE"/>
    <w:rsid w:val="00017465"/>
    <w:rsid w:val="00017982"/>
    <w:rsid w:val="00017DB4"/>
    <w:rsid w:val="00017FDF"/>
    <w:rsid w:val="00020071"/>
    <w:rsid w:val="0002012B"/>
    <w:rsid w:val="000219FD"/>
    <w:rsid w:val="00021D59"/>
    <w:rsid w:val="000221A3"/>
    <w:rsid w:val="00022515"/>
    <w:rsid w:val="000228EB"/>
    <w:rsid w:val="000229AE"/>
    <w:rsid w:val="00022CBD"/>
    <w:rsid w:val="000230C6"/>
    <w:rsid w:val="000232B5"/>
    <w:rsid w:val="000240D8"/>
    <w:rsid w:val="00024295"/>
    <w:rsid w:val="00024A10"/>
    <w:rsid w:val="00024A77"/>
    <w:rsid w:val="00024A83"/>
    <w:rsid w:val="000254EB"/>
    <w:rsid w:val="000255D6"/>
    <w:rsid w:val="0002580E"/>
    <w:rsid w:val="00025FE1"/>
    <w:rsid w:val="000261F4"/>
    <w:rsid w:val="0002710F"/>
    <w:rsid w:val="00027AB7"/>
    <w:rsid w:val="00027C67"/>
    <w:rsid w:val="00031335"/>
    <w:rsid w:val="000314B1"/>
    <w:rsid w:val="0003173F"/>
    <w:rsid w:val="00031FF2"/>
    <w:rsid w:val="000324D0"/>
    <w:rsid w:val="00032566"/>
    <w:rsid w:val="000328EA"/>
    <w:rsid w:val="000336B9"/>
    <w:rsid w:val="00033C83"/>
    <w:rsid w:val="00034BAD"/>
    <w:rsid w:val="000354D8"/>
    <w:rsid w:val="00035EF1"/>
    <w:rsid w:val="000364F1"/>
    <w:rsid w:val="00037412"/>
    <w:rsid w:val="000376A5"/>
    <w:rsid w:val="00040B0B"/>
    <w:rsid w:val="0004156F"/>
    <w:rsid w:val="0004184B"/>
    <w:rsid w:val="00041891"/>
    <w:rsid w:val="000435B5"/>
    <w:rsid w:val="000448C1"/>
    <w:rsid w:val="000451A4"/>
    <w:rsid w:val="000456C5"/>
    <w:rsid w:val="00045B30"/>
    <w:rsid w:val="00045C5A"/>
    <w:rsid w:val="00045EE7"/>
    <w:rsid w:val="00046624"/>
    <w:rsid w:val="00046860"/>
    <w:rsid w:val="00046ACB"/>
    <w:rsid w:val="00046D7F"/>
    <w:rsid w:val="00047794"/>
    <w:rsid w:val="0004795A"/>
    <w:rsid w:val="000504E9"/>
    <w:rsid w:val="000508C0"/>
    <w:rsid w:val="00050D01"/>
    <w:rsid w:val="00050FB5"/>
    <w:rsid w:val="000518A0"/>
    <w:rsid w:val="00051A63"/>
    <w:rsid w:val="00052C52"/>
    <w:rsid w:val="00052DBE"/>
    <w:rsid w:val="00054011"/>
    <w:rsid w:val="00054625"/>
    <w:rsid w:val="00054638"/>
    <w:rsid w:val="00054D95"/>
    <w:rsid w:val="000552B2"/>
    <w:rsid w:val="00055528"/>
    <w:rsid w:val="0005678F"/>
    <w:rsid w:val="0005696D"/>
    <w:rsid w:val="00057E30"/>
    <w:rsid w:val="0006002B"/>
    <w:rsid w:val="0006049C"/>
    <w:rsid w:val="000606E4"/>
    <w:rsid w:val="0006099B"/>
    <w:rsid w:val="00061391"/>
    <w:rsid w:val="000619E6"/>
    <w:rsid w:val="00061B48"/>
    <w:rsid w:val="00061F77"/>
    <w:rsid w:val="0006231E"/>
    <w:rsid w:val="000627C7"/>
    <w:rsid w:val="00062A0A"/>
    <w:rsid w:val="0006337C"/>
    <w:rsid w:val="0006362D"/>
    <w:rsid w:val="00063934"/>
    <w:rsid w:val="00063BA3"/>
    <w:rsid w:val="0006552E"/>
    <w:rsid w:val="00065CD9"/>
    <w:rsid w:val="0006682B"/>
    <w:rsid w:val="0006734F"/>
    <w:rsid w:val="00067F2E"/>
    <w:rsid w:val="00067FB9"/>
    <w:rsid w:val="00070147"/>
    <w:rsid w:val="00070744"/>
    <w:rsid w:val="00070DE8"/>
    <w:rsid w:val="00070E1D"/>
    <w:rsid w:val="00071524"/>
    <w:rsid w:val="000717F9"/>
    <w:rsid w:val="000718F2"/>
    <w:rsid w:val="00071EA5"/>
    <w:rsid w:val="000726A2"/>
    <w:rsid w:val="00073401"/>
    <w:rsid w:val="00073BB2"/>
    <w:rsid w:val="000743AF"/>
    <w:rsid w:val="00074DD4"/>
    <w:rsid w:val="00075EF3"/>
    <w:rsid w:val="0007683F"/>
    <w:rsid w:val="00076920"/>
    <w:rsid w:val="00076DC2"/>
    <w:rsid w:val="0007764E"/>
    <w:rsid w:val="000777EE"/>
    <w:rsid w:val="000806D0"/>
    <w:rsid w:val="00080E46"/>
    <w:rsid w:val="000817E6"/>
    <w:rsid w:val="00081970"/>
    <w:rsid w:val="000819D8"/>
    <w:rsid w:val="00082296"/>
    <w:rsid w:val="0008237F"/>
    <w:rsid w:val="00082677"/>
    <w:rsid w:val="00082F26"/>
    <w:rsid w:val="00083146"/>
    <w:rsid w:val="00083390"/>
    <w:rsid w:val="0008347C"/>
    <w:rsid w:val="000844CE"/>
    <w:rsid w:val="0008482A"/>
    <w:rsid w:val="000852C8"/>
    <w:rsid w:val="00085C52"/>
    <w:rsid w:val="00085EA5"/>
    <w:rsid w:val="0008642C"/>
    <w:rsid w:val="00086771"/>
    <w:rsid w:val="000867E9"/>
    <w:rsid w:val="00086ABA"/>
    <w:rsid w:val="0008759F"/>
    <w:rsid w:val="00087EB5"/>
    <w:rsid w:val="00090416"/>
    <w:rsid w:val="00090605"/>
    <w:rsid w:val="0009069B"/>
    <w:rsid w:val="00090B1B"/>
    <w:rsid w:val="00091B10"/>
    <w:rsid w:val="00092CF6"/>
    <w:rsid w:val="00092F50"/>
    <w:rsid w:val="000931F9"/>
    <w:rsid w:val="0009322F"/>
    <w:rsid w:val="00093BE5"/>
    <w:rsid w:val="00093F22"/>
    <w:rsid w:val="000940D1"/>
    <w:rsid w:val="0009495E"/>
    <w:rsid w:val="000951E4"/>
    <w:rsid w:val="00095CD5"/>
    <w:rsid w:val="00095F3A"/>
    <w:rsid w:val="00096B06"/>
    <w:rsid w:val="00096E79"/>
    <w:rsid w:val="00097E0A"/>
    <w:rsid w:val="00097EC2"/>
    <w:rsid w:val="000A0843"/>
    <w:rsid w:val="000A0BE0"/>
    <w:rsid w:val="000A1515"/>
    <w:rsid w:val="000A175B"/>
    <w:rsid w:val="000A20FC"/>
    <w:rsid w:val="000A227B"/>
    <w:rsid w:val="000A2B43"/>
    <w:rsid w:val="000A2B81"/>
    <w:rsid w:val="000A2C8D"/>
    <w:rsid w:val="000A2CC8"/>
    <w:rsid w:val="000A4EE3"/>
    <w:rsid w:val="000A5309"/>
    <w:rsid w:val="000A6111"/>
    <w:rsid w:val="000A6B42"/>
    <w:rsid w:val="000A7A04"/>
    <w:rsid w:val="000A7C7E"/>
    <w:rsid w:val="000A7F22"/>
    <w:rsid w:val="000B0857"/>
    <w:rsid w:val="000B091D"/>
    <w:rsid w:val="000B0EDE"/>
    <w:rsid w:val="000B11A3"/>
    <w:rsid w:val="000B1519"/>
    <w:rsid w:val="000B1565"/>
    <w:rsid w:val="000B19BD"/>
    <w:rsid w:val="000B1B7A"/>
    <w:rsid w:val="000B1D4A"/>
    <w:rsid w:val="000B2287"/>
    <w:rsid w:val="000B3555"/>
    <w:rsid w:val="000B3B97"/>
    <w:rsid w:val="000B3E5F"/>
    <w:rsid w:val="000B4517"/>
    <w:rsid w:val="000B5874"/>
    <w:rsid w:val="000B64A5"/>
    <w:rsid w:val="000B6D4F"/>
    <w:rsid w:val="000B6FB0"/>
    <w:rsid w:val="000B74D1"/>
    <w:rsid w:val="000B7708"/>
    <w:rsid w:val="000C0277"/>
    <w:rsid w:val="000C0489"/>
    <w:rsid w:val="000C1B1D"/>
    <w:rsid w:val="000C1B5F"/>
    <w:rsid w:val="000C2365"/>
    <w:rsid w:val="000C25DF"/>
    <w:rsid w:val="000C349A"/>
    <w:rsid w:val="000C3EA4"/>
    <w:rsid w:val="000C447E"/>
    <w:rsid w:val="000C5670"/>
    <w:rsid w:val="000C5E0A"/>
    <w:rsid w:val="000C6105"/>
    <w:rsid w:val="000C6519"/>
    <w:rsid w:val="000C762D"/>
    <w:rsid w:val="000C7719"/>
    <w:rsid w:val="000D008D"/>
    <w:rsid w:val="000D04ED"/>
    <w:rsid w:val="000D07D1"/>
    <w:rsid w:val="000D123D"/>
    <w:rsid w:val="000D13F3"/>
    <w:rsid w:val="000D1BF9"/>
    <w:rsid w:val="000D25E1"/>
    <w:rsid w:val="000D3449"/>
    <w:rsid w:val="000D39CD"/>
    <w:rsid w:val="000D456C"/>
    <w:rsid w:val="000D48FC"/>
    <w:rsid w:val="000D4979"/>
    <w:rsid w:val="000D51FB"/>
    <w:rsid w:val="000D5309"/>
    <w:rsid w:val="000D5C63"/>
    <w:rsid w:val="000D5F36"/>
    <w:rsid w:val="000D63C5"/>
    <w:rsid w:val="000D64E4"/>
    <w:rsid w:val="000D6B83"/>
    <w:rsid w:val="000D6CC4"/>
    <w:rsid w:val="000D723C"/>
    <w:rsid w:val="000D7795"/>
    <w:rsid w:val="000E0478"/>
    <w:rsid w:val="000E0765"/>
    <w:rsid w:val="000E0769"/>
    <w:rsid w:val="000E0780"/>
    <w:rsid w:val="000E0E63"/>
    <w:rsid w:val="000E107D"/>
    <w:rsid w:val="000E17EA"/>
    <w:rsid w:val="000E181B"/>
    <w:rsid w:val="000E243F"/>
    <w:rsid w:val="000E2B53"/>
    <w:rsid w:val="000E2CF6"/>
    <w:rsid w:val="000E360A"/>
    <w:rsid w:val="000E388F"/>
    <w:rsid w:val="000E3AF4"/>
    <w:rsid w:val="000E3EB3"/>
    <w:rsid w:val="000E44F8"/>
    <w:rsid w:val="000E52C4"/>
    <w:rsid w:val="000E59EC"/>
    <w:rsid w:val="000E5DEF"/>
    <w:rsid w:val="000E741A"/>
    <w:rsid w:val="000E7574"/>
    <w:rsid w:val="000E7B7B"/>
    <w:rsid w:val="000F0818"/>
    <w:rsid w:val="000F0D5A"/>
    <w:rsid w:val="000F379F"/>
    <w:rsid w:val="000F4211"/>
    <w:rsid w:val="000F5304"/>
    <w:rsid w:val="000F64BD"/>
    <w:rsid w:val="000F6A2B"/>
    <w:rsid w:val="000F6C5A"/>
    <w:rsid w:val="000F6E21"/>
    <w:rsid w:val="000F79B3"/>
    <w:rsid w:val="000F79E3"/>
    <w:rsid w:val="000F7D72"/>
    <w:rsid w:val="0010001A"/>
    <w:rsid w:val="001008B2"/>
    <w:rsid w:val="001013E1"/>
    <w:rsid w:val="00102D1B"/>
    <w:rsid w:val="00103A25"/>
    <w:rsid w:val="001045B2"/>
    <w:rsid w:val="00104D9B"/>
    <w:rsid w:val="001052D7"/>
    <w:rsid w:val="00105E10"/>
    <w:rsid w:val="0010672D"/>
    <w:rsid w:val="00107161"/>
    <w:rsid w:val="00107926"/>
    <w:rsid w:val="00107D6B"/>
    <w:rsid w:val="00110110"/>
    <w:rsid w:val="0011082B"/>
    <w:rsid w:val="00111E33"/>
    <w:rsid w:val="001127B0"/>
    <w:rsid w:val="001128A0"/>
    <w:rsid w:val="00112B3B"/>
    <w:rsid w:val="001133B7"/>
    <w:rsid w:val="001147F4"/>
    <w:rsid w:val="00114D20"/>
    <w:rsid w:val="001153A1"/>
    <w:rsid w:val="001153C0"/>
    <w:rsid w:val="00115A42"/>
    <w:rsid w:val="00115A45"/>
    <w:rsid w:val="00115BD9"/>
    <w:rsid w:val="00116324"/>
    <w:rsid w:val="0011696A"/>
    <w:rsid w:val="00116E83"/>
    <w:rsid w:val="00117243"/>
    <w:rsid w:val="001174B2"/>
    <w:rsid w:val="00117888"/>
    <w:rsid w:val="001208ED"/>
    <w:rsid w:val="001211D2"/>
    <w:rsid w:val="001215E3"/>
    <w:rsid w:val="00121A7C"/>
    <w:rsid w:val="00121E67"/>
    <w:rsid w:val="00122E17"/>
    <w:rsid w:val="00122FA7"/>
    <w:rsid w:val="00123110"/>
    <w:rsid w:val="00123924"/>
    <w:rsid w:val="00123A17"/>
    <w:rsid w:val="00123F24"/>
    <w:rsid w:val="00123FA3"/>
    <w:rsid w:val="00123FE2"/>
    <w:rsid w:val="0012457E"/>
    <w:rsid w:val="001245F5"/>
    <w:rsid w:val="001246E0"/>
    <w:rsid w:val="00124D09"/>
    <w:rsid w:val="00124DB9"/>
    <w:rsid w:val="0012598B"/>
    <w:rsid w:val="00125B1A"/>
    <w:rsid w:val="00125EDC"/>
    <w:rsid w:val="0012665D"/>
    <w:rsid w:val="00127148"/>
    <w:rsid w:val="001273F2"/>
    <w:rsid w:val="00127669"/>
    <w:rsid w:val="001320F3"/>
    <w:rsid w:val="0013210C"/>
    <w:rsid w:val="00132279"/>
    <w:rsid w:val="001324B0"/>
    <w:rsid w:val="00133264"/>
    <w:rsid w:val="00133545"/>
    <w:rsid w:val="00134A2C"/>
    <w:rsid w:val="00134CB9"/>
    <w:rsid w:val="00135F31"/>
    <w:rsid w:val="00136170"/>
    <w:rsid w:val="00136484"/>
    <w:rsid w:val="00137267"/>
    <w:rsid w:val="001372DC"/>
    <w:rsid w:val="0014046D"/>
    <w:rsid w:val="00141516"/>
    <w:rsid w:val="0014160B"/>
    <w:rsid w:val="0014162E"/>
    <w:rsid w:val="001424A8"/>
    <w:rsid w:val="001436C6"/>
    <w:rsid w:val="00143D8D"/>
    <w:rsid w:val="00143DD2"/>
    <w:rsid w:val="001444E3"/>
    <w:rsid w:val="00145619"/>
    <w:rsid w:val="001457BC"/>
    <w:rsid w:val="00146A9B"/>
    <w:rsid w:val="00146E94"/>
    <w:rsid w:val="00147206"/>
    <w:rsid w:val="00147FBB"/>
    <w:rsid w:val="00150AF7"/>
    <w:rsid w:val="00150DAC"/>
    <w:rsid w:val="00150DCD"/>
    <w:rsid w:val="00151789"/>
    <w:rsid w:val="001524CA"/>
    <w:rsid w:val="0015287F"/>
    <w:rsid w:val="00152BC1"/>
    <w:rsid w:val="00153045"/>
    <w:rsid w:val="00153283"/>
    <w:rsid w:val="001533A7"/>
    <w:rsid w:val="00153C00"/>
    <w:rsid w:val="00153CF1"/>
    <w:rsid w:val="00153F93"/>
    <w:rsid w:val="00154BBA"/>
    <w:rsid w:val="0015541B"/>
    <w:rsid w:val="00155E01"/>
    <w:rsid w:val="00155F21"/>
    <w:rsid w:val="00156EC3"/>
    <w:rsid w:val="00157304"/>
    <w:rsid w:val="00157F23"/>
    <w:rsid w:val="00160692"/>
    <w:rsid w:val="001613E7"/>
    <w:rsid w:val="0016168D"/>
    <w:rsid w:val="00161899"/>
    <w:rsid w:val="00161B40"/>
    <w:rsid w:val="001621AF"/>
    <w:rsid w:val="0016223A"/>
    <w:rsid w:val="00162250"/>
    <w:rsid w:val="001627EE"/>
    <w:rsid w:val="00163233"/>
    <w:rsid w:val="00163274"/>
    <w:rsid w:val="00163BE4"/>
    <w:rsid w:val="00163E04"/>
    <w:rsid w:val="00164908"/>
    <w:rsid w:val="001652D2"/>
    <w:rsid w:val="0016625E"/>
    <w:rsid w:val="001671A0"/>
    <w:rsid w:val="001676AB"/>
    <w:rsid w:val="001677C1"/>
    <w:rsid w:val="001679ED"/>
    <w:rsid w:val="00170170"/>
    <w:rsid w:val="001701A4"/>
    <w:rsid w:val="00170528"/>
    <w:rsid w:val="00171A49"/>
    <w:rsid w:val="0017225F"/>
    <w:rsid w:val="00172493"/>
    <w:rsid w:val="00172B06"/>
    <w:rsid w:val="0017362F"/>
    <w:rsid w:val="001737D0"/>
    <w:rsid w:val="001739AF"/>
    <w:rsid w:val="00173B67"/>
    <w:rsid w:val="00174472"/>
    <w:rsid w:val="001747EE"/>
    <w:rsid w:val="00175025"/>
    <w:rsid w:val="0017551A"/>
    <w:rsid w:val="00175AEA"/>
    <w:rsid w:val="001762A7"/>
    <w:rsid w:val="00176BDC"/>
    <w:rsid w:val="00176BE7"/>
    <w:rsid w:val="00176C64"/>
    <w:rsid w:val="00176DCA"/>
    <w:rsid w:val="00177B40"/>
    <w:rsid w:val="00180CB7"/>
    <w:rsid w:val="00180D76"/>
    <w:rsid w:val="00181ABB"/>
    <w:rsid w:val="00182033"/>
    <w:rsid w:val="00182056"/>
    <w:rsid w:val="001827A7"/>
    <w:rsid w:val="00182AE9"/>
    <w:rsid w:val="00183A5D"/>
    <w:rsid w:val="00183C30"/>
    <w:rsid w:val="00184AB5"/>
    <w:rsid w:val="00184F33"/>
    <w:rsid w:val="00185D83"/>
    <w:rsid w:val="0018632F"/>
    <w:rsid w:val="00186666"/>
    <w:rsid w:val="00186956"/>
    <w:rsid w:val="0018708B"/>
    <w:rsid w:val="0018786E"/>
    <w:rsid w:val="00187E0B"/>
    <w:rsid w:val="00190A70"/>
    <w:rsid w:val="00190F9C"/>
    <w:rsid w:val="001913F1"/>
    <w:rsid w:val="00191A6B"/>
    <w:rsid w:val="0019257B"/>
    <w:rsid w:val="00192621"/>
    <w:rsid w:val="001929A0"/>
    <w:rsid w:val="00192F6A"/>
    <w:rsid w:val="00193A05"/>
    <w:rsid w:val="00193FF2"/>
    <w:rsid w:val="00195181"/>
    <w:rsid w:val="00195308"/>
    <w:rsid w:val="00195A44"/>
    <w:rsid w:val="00195D6E"/>
    <w:rsid w:val="00196179"/>
    <w:rsid w:val="001967C0"/>
    <w:rsid w:val="0019721F"/>
    <w:rsid w:val="00197B85"/>
    <w:rsid w:val="00197C4E"/>
    <w:rsid w:val="00197E6B"/>
    <w:rsid w:val="001A0087"/>
    <w:rsid w:val="001A01FD"/>
    <w:rsid w:val="001A057C"/>
    <w:rsid w:val="001A0AEB"/>
    <w:rsid w:val="001A0BDF"/>
    <w:rsid w:val="001A11AF"/>
    <w:rsid w:val="001A19FF"/>
    <w:rsid w:val="001A1FDD"/>
    <w:rsid w:val="001A2090"/>
    <w:rsid w:val="001A23CC"/>
    <w:rsid w:val="001A2FFB"/>
    <w:rsid w:val="001A3256"/>
    <w:rsid w:val="001A3513"/>
    <w:rsid w:val="001A384A"/>
    <w:rsid w:val="001A4355"/>
    <w:rsid w:val="001A43C5"/>
    <w:rsid w:val="001A4984"/>
    <w:rsid w:val="001A4CC3"/>
    <w:rsid w:val="001A4CDF"/>
    <w:rsid w:val="001A5993"/>
    <w:rsid w:val="001A60B8"/>
    <w:rsid w:val="001A6615"/>
    <w:rsid w:val="001A683C"/>
    <w:rsid w:val="001A6A25"/>
    <w:rsid w:val="001A7749"/>
    <w:rsid w:val="001A7929"/>
    <w:rsid w:val="001A7B2D"/>
    <w:rsid w:val="001A7E7C"/>
    <w:rsid w:val="001A7F0B"/>
    <w:rsid w:val="001B03A9"/>
    <w:rsid w:val="001B13BF"/>
    <w:rsid w:val="001B18D9"/>
    <w:rsid w:val="001B1EA8"/>
    <w:rsid w:val="001B2AE3"/>
    <w:rsid w:val="001B2B79"/>
    <w:rsid w:val="001B3522"/>
    <w:rsid w:val="001B3857"/>
    <w:rsid w:val="001B3935"/>
    <w:rsid w:val="001B41E2"/>
    <w:rsid w:val="001B4499"/>
    <w:rsid w:val="001B467B"/>
    <w:rsid w:val="001B4D22"/>
    <w:rsid w:val="001B704F"/>
    <w:rsid w:val="001B71E7"/>
    <w:rsid w:val="001B78EA"/>
    <w:rsid w:val="001B7BFD"/>
    <w:rsid w:val="001C0FAA"/>
    <w:rsid w:val="001C1785"/>
    <w:rsid w:val="001C1D13"/>
    <w:rsid w:val="001C2593"/>
    <w:rsid w:val="001C2A3E"/>
    <w:rsid w:val="001C3004"/>
    <w:rsid w:val="001C3577"/>
    <w:rsid w:val="001C47B9"/>
    <w:rsid w:val="001C4B82"/>
    <w:rsid w:val="001C4F68"/>
    <w:rsid w:val="001C534C"/>
    <w:rsid w:val="001C5A97"/>
    <w:rsid w:val="001C5B30"/>
    <w:rsid w:val="001C616C"/>
    <w:rsid w:val="001C734F"/>
    <w:rsid w:val="001C75EB"/>
    <w:rsid w:val="001C7920"/>
    <w:rsid w:val="001D06F4"/>
    <w:rsid w:val="001D0891"/>
    <w:rsid w:val="001D1066"/>
    <w:rsid w:val="001D12A3"/>
    <w:rsid w:val="001D1ED3"/>
    <w:rsid w:val="001D2A8A"/>
    <w:rsid w:val="001D2C88"/>
    <w:rsid w:val="001D31B6"/>
    <w:rsid w:val="001D3797"/>
    <w:rsid w:val="001D3A1E"/>
    <w:rsid w:val="001D3E4C"/>
    <w:rsid w:val="001D47CA"/>
    <w:rsid w:val="001D4C8E"/>
    <w:rsid w:val="001D4ED6"/>
    <w:rsid w:val="001D58F9"/>
    <w:rsid w:val="001D5969"/>
    <w:rsid w:val="001D5A72"/>
    <w:rsid w:val="001D65E9"/>
    <w:rsid w:val="001D6C51"/>
    <w:rsid w:val="001D7418"/>
    <w:rsid w:val="001D7AFC"/>
    <w:rsid w:val="001D7F95"/>
    <w:rsid w:val="001E01DB"/>
    <w:rsid w:val="001E045E"/>
    <w:rsid w:val="001E0C12"/>
    <w:rsid w:val="001E0C23"/>
    <w:rsid w:val="001E140D"/>
    <w:rsid w:val="001E1558"/>
    <w:rsid w:val="001E2A1C"/>
    <w:rsid w:val="001E3514"/>
    <w:rsid w:val="001E3810"/>
    <w:rsid w:val="001E3904"/>
    <w:rsid w:val="001E3A2E"/>
    <w:rsid w:val="001E45C1"/>
    <w:rsid w:val="001E5193"/>
    <w:rsid w:val="001E53C0"/>
    <w:rsid w:val="001E597B"/>
    <w:rsid w:val="001E636E"/>
    <w:rsid w:val="001E6F5A"/>
    <w:rsid w:val="001E78D1"/>
    <w:rsid w:val="001E7B47"/>
    <w:rsid w:val="001F0430"/>
    <w:rsid w:val="001F09BF"/>
    <w:rsid w:val="001F1023"/>
    <w:rsid w:val="001F1088"/>
    <w:rsid w:val="001F19C5"/>
    <w:rsid w:val="001F2633"/>
    <w:rsid w:val="001F3805"/>
    <w:rsid w:val="001F43EF"/>
    <w:rsid w:val="001F4506"/>
    <w:rsid w:val="001F45EE"/>
    <w:rsid w:val="001F467F"/>
    <w:rsid w:val="001F4E94"/>
    <w:rsid w:val="001F5452"/>
    <w:rsid w:val="001F5700"/>
    <w:rsid w:val="001F584A"/>
    <w:rsid w:val="001F5D3A"/>
    <w:rsid w:val="001F5DBB"/>
    <w:rsid w:val="001F5E1D"/>
    <w:rsid w:val="001F5F57"/>
    <w:rsid w:val="001F64FC"/>
    <w:rsid w:val="001F68D5"/>
    <w:rsid w:val="001F69F0"/>
    <w:rsid w:val="001F6FE7"/>
    <w:rsid w:val="001F7832"/>
    <w:rsid w:val="002008B1"/>
    <w:rsid w:val="002008E0"/>
    <w:rsid w:val="00200AD2"/>
    <w:rsid w:val="00200C62"/>
    <w:rsid w:val="00200E3A"/>
    <w:rsid w:val="00202699"/>
    <w:rsid w:val="00202CCB"/>
    <w:rsid w:val="002034DD"/>
    <w:rsid w:val="0020350A"/>
    <w:rsid w:val="00204DEF"/>
    <w:rsid w:val="00205284"/>
    <w:rsid w:val="00205854"/>
    <w:rsid w:val="00205B67"/>
    <w:rsid w:val="00205BCF"/>
    <w:rsid w:val="00205C97"/>
    <w:rsid w:val="00206B2F"/>
    <w:rsid w:val="00206CAB"/>
    <w:rsid w:val="00207C3B"/>
    <w:rsid w:val="002100E4"/>
    <w:rsid w:val="0021063A"/>
    <w:rsid w:val="00211144"/>
    <w:rsid w:val="00211452"/>
    <w:rsid w:val="002119DD"/>
    <w:rsid w:val="00211E77"/>
    <w:rsid w:val="00212B70"/>
    <w:rsid w:val="00213DF2"/>
    <w:rsid w:val="00214336"/>
    <w:rsid w:val="0021461A"/>
    <w:rsid w:val="00214AEE"/>
    <w:rsid w:val="00215BBE"/>
    <w:rsid w:val="00216040"/>
    <w:rsid w:val="00216417"/>
    <w:rsid w:val="002178D1"/>
    <w:rsid w:val="002178E6"/>
    <w:rsid w:val="00217AE2"/>
    <w:rsid w:val="0022003B"/>
    <w:rsid w:val="0022063D"/>
    <w:rsid w:val="00220803"/>
    <w:rsid w:val="00220CB9"/>
    <w:rsid w:val="002210BB"/>
    <w:rsid w:val="002217BF"/>
    <w:rsid w:val="0022238C"/>
    <w:rsid w:val="0022315C"/>
    <w:rsid w:val="002231A3"/>
    <w:rsid w:val="002239AB"/>
    <w:rsid w:val="00224488"/>
    <w:rsid w:val="002245B9"/>
    <w:rsid w:val="002247B8"/>
    <w:rsid w:val="00224C5A"/>
    <w:rsid w:val="00225CD2"/>
    <w:rsid w:val="00227BFA"/>
    <w:rsid w:val="0023003B"/>
    <w:rsid w:val="002316AA"/>
    <w:rsid w:val="002323AF"/>
    <w:rsid w:val="00232431"/>
    <w:rsid w:val="002325B3"/>
    <w:rsid w:val="002328F2"/>
    <w:rsid w:val="00233182"/>
    <w:rsid w:val="002334B0"/>
    <w:rsid w:val="002341F6"/>
    <w:rsid w:val="0023473F"/>
    <w:rsid w:val="00234871"/>
    <w:rsid w:val="00235E2E"/>
    <w:rsid w:val="00236430"/>
    <w:rsid w:val="00236E45"/>
    <w:rsid w:val="0023719F"/>
    <w:rsid w:val="00237680"/>
    <w:rsid w:val="002379AD"/>
    <w:rsid w:val="00237AA6"/>
    <w:rsid w:val="00237BD0"/>
    <w:rsid w:val="00237CDD"/>
    <w:rsid w:val="00237E74"/>
    <w:rsid w:val="00240072"/>
    <w:rsid w:val="00240412"/>
    <w:rsid w:val="00240817"/>
    <w:rsid w:val="0024092A"/>
    <w:rsid w:val="00240ABC"/>
    <w:rsid w:val="00241063"/>
    <w:rsid w:val="00241DEA"/>
    <w:rsid w:val="0024216B"/>
    <w:rsid w:val="00242A3B"/>
    <w:rsid w:val="00242B8C"/>
    <w:rsid w:val="0024414E"/>
    <w:rsid w:val="0024447C"/>
    <w:rsid w:val="00244714"/>
    <w:rsid w:val="00244C65"/>
    <w:rsid w:val="00244F7C"/>
    <w:rsid w:val="00245CA6"/>
    <w:rsid w:val="00246EAC"/>
    <w:rsid w:val="00247F79"/>
    <w:rsid w:val="00250592"/>
    <w:rsid w:val="00250A43"/>
    <w:rsid w:val="00250AC6"/>
    <w:rsid w:val="0025177F"/>
    <w:rsid w:val="0025205B"/>
    <w:rsid w:val="002520EE"/>
    <w:rsid w:val="002521A3"/>
    <w:rsid w:val="0025266E"/>
    <w:rsid w:val="002526A0"/>
    <w:rsid w:val="002529A2"/>
    <w:rsid w:val="002529DB"/>
    <w:rsid w:val="00252C5C"/>
    <w:rsid w:val="00253F52"/>
    <w:rsid w:val="00254202"/>
    <w:rsid w:val="00254268"/>
    <w:rsid w:val="002542B4"/>
    <w:rsid w:val="002548B8"/>
    <w:rsid w:val="00255DBC"/>
    <w:rsid w:val="0025623C"/>
    <w:rsid w:val="002566E3"/>
    <w:rsid w:val="002567C3"/>
    <w:rsid w:val="00257049"/>
    <w:rsid w:val="00257167"/>
    <w:rsid w:val="0025740E"/>
    <w:rsid w:val="00257944"/>
    <w:rsid w:val="002607F2"/>
    <w:rsid w:val="00260EC2"/>
    <w:rsid w:val="002612B4"/>
    <w:rsid w:val="00261395"/>
    <w:rsid w:val="0026140B"/>
    <w:rsid w:val="00261E3A"/>
    <w:rsid w:val="0026249B"/>
    <w:rsid w:val="00263448"/>
    <w:rsid w:val="002635FC"/>
    <w:rsid w:val="00263905"/>
    <w:rsid w:val="00263E21"/>
    <w:rsid w:val="00264349"/>
    <w:rsid w:val="0026489B"/>
    <w:rsid w:val="0026496E"/>
    <w:rsid w:val="00264EB4"/>
    <w:rsid w:val="00266186"/>
    <w:rsid w:val="002667E5"/>
    <w:rsid w:val="0026694E"/>
    <w:rsid w:val="002675D3"/>
    <w:rsid w:val="002675FD"/>
    <w:rsid w:val="00267EEE"/>
    <w:rsid w:val="002702C8"/>
    <w:rsid w:val="002716A1"/>
    <w:rsid w:val="0027181C"/>
    <w:rsid w:val="00272DEF"/>
    <w:rsid w:val="00272E43"/>
    <w:rsid w:val="00273501"/>
    <w:rsid w:val="002743D1"/>
    <w:rsid w:val="00274B53"/>
    <w:rsid w:val="002750C1"/>
    <w:rsid w:val="002751F8"/>
    <w:rsid w:val="002762A3"/>
    <w:rsid w:val="0027645B"/>
    <w:rsid w:val="00276A4F"/>
    <w:rsid w:val="00276A97"/>
    <w:rsid w:val="00276BFC"/>
    <w:rsid w:val="00276C11"/>
    <w:rsid w:val="00277B6E"/>
    <w:rsid w:val="00277FB8"/>
    <w:rsid w:val="00280917"/>
    <w:rsid w:val="0028094E"/>
    <w:rsid w:val="00280D50"/>
    <w:rsid w:val="00281037"/>
    <w:rsid w:val="00281396"/>
    <w:rsid w:val="0028201F"/>
    <w:rsid w:val="002825DF"/>
    <w:rsid w:val="002827C9"/>
    <w:rsid w:val="00282A10"/>
    <w:rsid w:val="00283478"/>
    <w:rsid w:val="002844AB"/>
    <w:rsid w:val="00284C86"/>
    <w:rsid w:val="00285107"/>
    <w:rsid w:val="0028516E"/>
    <w:rsid w:val="00285BD1"/>
    <w:rsid w:val="00285E5A"/>
    <w:rsid w:val="00286545"/>
    <w:rsid w:val="002865FC"/>
    <w:rsid w:val="0028694B"/>
    <w:rsid w:val="00286BBD"/>
    <w:rsid w:val="00286D74"/>
    <w:rsid w:val="00286E64"/>
    <w:rsid w:val="002874BE"/>
    <w:rsid w:val="002875EA"/>
    <w:rsid w:val="0028776A"/>
    <w:rsid w:val="0029076D"/>
    <w:rsid w:val="002911A1"/>
    <w:rsid w:val="00291761"/>
    <w:rsid w:val="00292985"/>
    <w:rsid w:val="00293048"/>
    <w:rsid w:val="00293141"/>
    <w:rsid w:val="00293837"/>
    <w:rsid w:val="00294165"/>
    <w:rsid w:val="00294405"/>
    <w:rsid w:val="00294CA1"/>
    <w:rsid w:val="00294D93"/>
    <w:rsid w:val="00295026"/>
    <w:rsid w:val="00295762"/>
    <w:rsid w:val="00295B70"/>
    <w:rsid w:val="0029767D"/>
    <w:rsid w:val="002977BC"/>
    <w:rsid w:val="002A03DE"/>
    <w:rsid w:val="002A040C"/>
    <w:rsid w:val="002A0447"/>
    <w:rsid w:val="002A094F"/>
    <w:rsid w:val="002A0A2F"/>
    <w:rsid w:val="002A0BED"/>
    <w:rsid w:val="002A18AD"/>
    <w:rsid w:val="002A213B"/>
    <w:rsid w:val="002A2912"/>
    <w:rsid w:val="002A3DDB"/>
    <w:rsid w:val="002A3DE5"/>
    <w:rsid w:val="002A3F2B"/>
    <w:rsid w:val="002A481E"/>
    <w:rsid w:val="002A49AE"/>
    <w:rsid w:val="002A4A6A"/>
    <w:rsid w:val="002A51BD"/>
    <w:rsid w:val="002A53B7"/>
    <w:rsid w:val="002A5592"/>
    <w:rsid w:val="002A56F4"/>
    <w:rsid w:val="002A5702"/>
    <w:rsid w:val="002A627A"/>
    <w:rsid w:val="002A67CE"/>
    <w:rsid w:val="002A68EA"/>
    <w:rsid w:val="002A6F47"/>
    <w:rsid w:val="002A71A3"/>
    <w:rsid w:val="002A742F"/>
    <w:rsid w:val="002A7898"/>
    <w:rsid w:val="002A78D4"/>
    <w:rsid w:val="002A7B34"/>
    <w:rsid w:val="002B00D3"/>
    <w:rsid w:val="002B028B"/>
    <w:rsid w:val="002B04F0"/>
    <w:rsid w:val="002B05C6"/>
    <w:rsid w:val="002B0A34"/>
    <w:rsid w:val="002B1415"/>
    <w:rsid w:val="002B23A5"/>
    <w:rsid w:val="002B2A76"/>
    <w:rsid w:val="002B2E2E"/>
    <w:rsid w:val="002B3376"/>
    <w:rsid w:val="002B3480"/>
    <w:rsid w:val="002B418E"/>
    <w:rsid w:val="002B4973"/>
    <w:rsid w:val="002B49E7"/>
    <w:rsid w:val="002B4DD0"/>
    <w:rsid w:val="002B5640"/>
    <w:rsid w:val="002B71D4"/>
    <w:rsid w:val="002B75AB"/>
    <w:rsid w:val="002B76D7"/>
    <w:rsid w:val="002B7E12"/>
    <w:rsid w:val="002C0119"/>
    <w:rsid w:val="002C041F"/>
    <w:rsid w:val="002C0AD5"/>
    <w:rsid w:val="002C326C"/>
    <w:rsid w:val="002C35AC"/>
    <w:rsid w:val="002C3B8E"/>
    <w:rsid w:val="002C42FC"/>
    <w:rsid w:val="002C4977"/>
    <w:rsid w:val="002C4AB5"/>
    <w:rsid w:val="002C535D"/>
    <w:rsid w:val="002C5934"/>
    <w:rsid w:val="002C5B43"/>
    <w:rsid w:val="002C65D5"/>
    <w:rsid w:val="002C67E4"/>
    <w:rsid w:val="002C6BDE"/>
    <w:rsid w:val="002C6F55"/>
    <w:rsid w:val="002C7B11"/>
    <w:rsid w:val="002D05D2"/>
    <w:rsid w:val="002D0826"/>
    <w:rsid w:val="002D1BAB"/>
    <w:rsid w:val="002D24FC"/>
    <w:rsid w:val="002D263D"/>
    <w:rsid w:val="002D3A2F"/>
    <w:rsid w:val="002D41EF"/>
    <w:rsid w:val="002D4E60"/>
    <w:rsid w:val="002D52A0"/>
    <w:rsid w:val="002D5529"/>
    <w:rsid w:val="002D59EA"/>
    <w:rsid w:val="002D5DCE"/>
    <w:rsid w:val="002D6286"/>
    <w:rsid w:val="002D7047"/>
    <w:rsid w:val="002D7313"/>
    <w:rsid w:val="002D76B7"/>
    <w:rsid w:val="002E0008"/>
    <w:rsid w:val="002E017E"/>
    <w:rsid w:val="002E1715"/>
    <w:rsid w:val="002E17C7"/>
    <w:rsid w:val="002E21AD"/>
    <w:rsid w:val="002E2209"/>
    <w:rsid w:val="002E2932"/>
    <w:rsid w:val="002E2E35"/>
    <w:rsid w:val="002E32DD"/>
    <w:rsid w:val="002E349B"/>
    <w:rsid w:val="002E3B05"/>
    <w:rsid w:val="002E3C82"/>
    <w:rsid w:val="002E4D3E"/>
    <w:rsid w:val="002E56C3"/>
    <w:rsid w:val="002E6495"/>
    <w:rsid w:val="002E70D8"/>
    <w:rsid w:val="002E7961"/>
    <w:rsid w:val="002E79B7"/>
    <w:rsid w:val="002F0369"/>
    <w:rsid w:val="002F1064"/>
    <w:rsid w:val="002F11E9"/>
    <w:rsid w:val="002F25CB"/>
    <w:rsid w:val="002F328A"/>
    <w:rsid w:val="002F3C71"/>
    <w:rsid w:val="002F43AD"/>
    <w:rsid w:val="002F4530"/>
    <w:rsid w:val="002F55B4"/>
    <w:rsid w:val="002F5D51"/>
    <w:rsid w:val="002F633E"/>
    <w:rsid w:val="002F63FD"/>
    <w:rsid w:val="002F679C"/>
    <w:rsid w:val="002F67F8"/>
    <w:rsid w:val="002F6C11"/>
    <w:rsid w:val="002F73DC"/>
    <w:rsid w:val="002F760A"/>
    <w:rsid w:val="002F76C5"/>
    <w:rsid w:val="002F7735"/>
    <w:rsid w:val="002F7A5F"/>
    <w:rsid w:val="0030027C"/>
    <w:rsid w:val="003009C7"/>
    <w:rsid w:val="003014F1"/>
    <w:rsid w:val="003015BE"/>
    <w:rsid w:val="00301A30"/>
    <w:rsid w:val="00302195"/>
    <w:rsid w:val="00302574"/>
    <w:rsid w:val="00302ABC"/>
    <w:rsid w:val="0030337A"/>
    <w:rsid w:val="0030339A"/>
    <w:rsid w:val="00304563"/>
    <w:rsid w:val="00304B3E"/>
    <w:rsid w:val="0030500D"/>
    <w:rsid w:val="00305111"/>
    <w:rsid w:val="0030524E"/>
    <w:rsid w:val="00305762"/>
    <w:rsid w:val="003064D6"/>
    <w:rsid w:val="00306E9E"/>
    <w:rsid w:val="00307520"/>
    <w:rsid w:val="00307D59"/>
    <w:rsid w:val="003107B7"/>
    <w:rsid w:val="00311043"/>
    <w:rsid w:val="003112B9"/>
    <w:rsid w:val="003126E3"/>
    <w:rsid w:val="00312AC3"/>
    <w:rsid w:val="0031318C"/>
    <w:rsid w:val="003133AE"/>
    <w:rsid w:val="003137E3"/>
    <w:rsid w:val="00313A18"/>
    <w:rsid w:val="0031495F"/>
    <w:rsid w:val="00314E33"/>
    <w:rsid w:val="00314E9B"/>
    <w:rsid w:val="00314F4F"/>
    <w:rsid w:val="00314F7F"/>
    <w:rsid w:val="003158BC"/>
    <w:rsid w:val="00315E5F"/>
    <w:rsid w:val="003162B3"/>
    <w:rsid w:val="003164A4"/>
    <w:rsid w:val="00316D5E"/>
    <w:rsid w:val="003170C0"/>
    <w:rsid w:val="00317A1F"/>
    <w:rsid w:val="00320CE8"/>
    <w:rsid w:val="00320DBA"/>
    <w:rsid w:val="00321007"/>
    <w:rsid w:val="00321217"/>
    <w:rsid w:val="003212AE"/>
    <w:rsid w:val="0032177C"/>
    <w:rsid w:val="00322965"/>
    <w:rsid w:val="003235FC"/>
    <w:rsid w:val="00323DCB"/>
    <w:rsid w:val="0032403A"/>
    <w:rsid w:val="00324385"/>
    <w:rsid w:val="003246CB"/>
    <w:rsid w:val="00324725"/>
    <w:rsid w:val="00324C59"/>
    <w:rsid w:val="003251F9"/>
    <w:rsid w:val="00325430"/>
    <w:rsid w:val="00325B5A"/>
    <w:rsid w:val="00326072"/>
    <w:rsid w:val="0032635E"/>
    <w:rsid w:val="00326733"/>
    <w:rsid w:val="0032681E"/>
    <w:rsid w:val="00326911"/>
    <w:rsid w:val="00326F09"/>
    <w:rsid w:val="003270B7"/>
    <w:rsid w:val="00327DD1"/>
    <w:rsid w:val="003312E4"/>
    <w:rsid w:val="00331F3C"/>
    <w:rsid w:val="00332883"/>
    <w:rsid w:val="0033314F"/>
    <w:rsid w:val="00333412"/>
    <w:rsid w:val="00333898"/>
    <w:rsid w:val="00333C78"/>
    <w:rsid w:val="00333D8C"/>
    <w:rsid w:val="003349B5"/>
    <w:rsid w:val="00334B13"/>
    <w:rsid w:val="00335E03"/>
    <w:rsid w:val="00335EB2"/>
    <w:rsid w:val="00336208"/>
    <w:rsid w:val="00336985"/>
    <w:rsid w:val="00336E70"/>
    <w:rsid w:val="00340CB9"/>
    <w:rsid w:val="00341B5E"/>
    <w:rsid w:val="00342899"/>
    <w:rsid w:val="003428AB"/>
    <w:rsid w:val="00342E44"/>
    <w:rsid w:val="00342FFE"/>
    <w:rsid w:val="0034309D"/>
    <w:rsid w:val="003430B0"/>
    <w:rsid w:val="0034323F"/>
    <w:rsid w:val="00344AE4"/>
    <w:rsid w:val="00345599"/>
    <w:rsid w:val="00345DCE"/>
    <w:rsid w:val="00346063"/>
    <w:rsid w:val="003460C8"/>
    <w:rsid w:val="003477FA"/>
    <w:rsid w:val="00347F7E"/>
    <w:rsid w:val="0035057A"/>
    <w:rsid w:val="00350605"/>
    <w:rsid w:val="00350DBA"/>
    <w:rsid w:val="00352F6C"/>
    <w:rsid w:val="003530AB"/>
    <w:rsid w:val="00353BF7"/>
    <w:rsid w:val="00353F8F"/>
    <w:rsid w:val="00354487"/>
    <w:rsid w:val="003545C9"/>
    <w:rsid w:val="00354BD3"/>
    <w:rsid w:val="00356097"/>
    <w:rsid w:val="0035638C"/>
    <w:rsid w:val="00356A5A"/>
    <w:rsid w:val="00356AA6"/>
    <w:rsid w:val="00357441"/>
    <w:rsid w:val="00360265"/>
    <w:rsid w:val="00360351"/>
    <w:rsid w:val="0036187A"/>
    <w:rsid w:val="00361F51"/>
    <w:rsid w:val="00362661"/>
    <w:rsid w:val="00362A8A"/>
    <w:rsid w:val="00362E3C"/>
    <w:rsid w:val="003641CF"/>
    <w:rsid w:val="00364D9A"/>
    <w:rsid w:val="00364FDC"/>
    <w:rsid w:val="00365203"/>
    <w:rsid w:val="0036524B"/>
    <w:rsid w:val="0036539C"/>
    <w:rsid w:val="00365465"/>
    <w:rsid w:val="003667D1"/>
    <w:rsid w:val="00366CF6"/>
    <w:rsid w:val="00367109"/>
    <w:rsid w:val="003676B1"/>
    <w:rsid w:val="003707C1"/>
    <w:rsid w:val="00370840"/>
    <w:rsid w:val="00370BBD"/>
    <w:rsid w:val="00370D83"/>
    <w:rsid w:val="00371BC8"/>
    <w:rsid w:val="003729AE"/>
    <w:rsid w:val="00373082"/>
    <w:rsid w:val="00373553"/>
    <w:rsid w:val="00373B3F"/>
    <w:rsid w:val="00373E83"/>
    <w:rsid w:val="0037405E"/>
    <w:rsid w:val="00374F4C"/>
    <w:rsid w:val="00375179"/>
    <w:rsid w:val="00375D67"/>
    <w:rsid w:val="00376A25"/>
    <w:rsid w:val="0037705E"/>
    <w:rsid w:val="00377DEB"/>
    <w:rsid w:val="0038020B"/>
    <w:rsid w:val="00380809"/>
    <w:rsid w:val="00380865"/>
    <w:rsid w:val="003814E2"/>
    <w:rsid w:val="003817DD"/>
    <w:rsid w:val="00382528"/>
    <w:rsid w:val="0038270E"/>
    <w:rsid w:val="00382F51"/>
    <w:rsid w:val="00383436"/>
    <w:rsid w:val="003837A4"/>
    <w:rsid w:val="003846E5"/>
    <w:rsid w:val="00384712"/>
    <w:rsid w:val="00386589"/>
    <w:rsid w:val="0038704E"/>
    <w:rsid w:val="00390F77"/>
    <w:rsid w:val="0039196D"/>
    <w:rsid w:val="00394209"/>
    <w:rsid w:val="00394A1F"/>
    <w:rsid w:val="003951FA"/>
    <w:rsid w:val="00395295"/>
    <w:rsid w:val="00395ECE"/>
    <w:rsid w:val="00396000"/>
    <w:rsid w:val="003962E4"/>
    <w:rsid w:val="00396679"/>
    <w:rsid w:val="00397F7A"/>
    <w:rsid w:val="003A0233"/>
    <w:rsid w:val="003A1320"/>
    <w:rsid w:val="003A1444"/>
    <w:rsid w:val="003A3233"/>
    <w:rsid w:val="003A3942"/>
    <w:rsid w:val="003A3AE2"/>
    <w:rsid w:val="003A4892"/>
    <w:rsid w:val="003A4A6D"/>
    <w:rsid w:val="003A4D64"/>
    <w:rsid w:val="003A53CD"/>
    <w:rsid w:val="003A6BCF"/>
    <w:rsid w:val="003A7828"/>
    <w:rsid w:val="003A7DA4"/>
    <w:rsid w:val="003A7E11"/>
    <w:rsid w:val="003A7FD9"/>
    <w:rsid w:val="003B00B4"/>
    <w:rsid w:val="003B0768"/>
    <w:rsid w:val="003B0898"/>
    <w:rsid w:val="003B0B8F"/>
    <w:rsid w:val="003B120F"/>
    <w:rsid w:val="003B18D9"/>
    <w:rsid w:val="003B2A27"/>
    <w:rsid w:val="003B2BA6"/>
    <w:rsid w:val="003B3104"/>
    <w:rsid w:val="003B341A"/>
    <w:rsid w:val="003B34D4"/>
    <w:rsid w:val="003B3F74"/>
    <w:rsid w:val="003B3F92"/>
    <w:rsid w:val="003B40CC"/>
    <w:rsid w:val="003B4E7C"/>
    <w:rsid w:val="003B5A56"/>
    <w:rsid w:val="003B65EF"/>
    <w:rsid w:val="003B6914"/>
    <w:rsid w:val="003B7651"/>
    <w:rsid w:val="003B788E"/>
    <w:rsid w:val="003C04C7"/>
    <w:rsid w:val="003C0B18"/>
    <w:rsid w:val="003C12A4"/>
    <w:rsid w:val="003C16CF"/>
    <w:rsid w:val="003C1F63"/>
    <w:rsid w:val="003C28DB"/>
    <w:rsid w:val="003C2B11"/>
    <w:rsid w:val="003C2CC6"/>
    <w:rsid w:val="003C2ED4"/>
    <w:rsid w:val="003C352E"/>
    <w:rsid w:val="003C3981"/>
    <w:rsid w:val="003C3ED2"/>
    <w:rsid w:val="003C4FDD"/>
    <w:rsid w:val="003C53DD"/>
    <w:rsid w:val="003C5DBF"/>
    <w:rsid w:val="003C66E5"/>
    <w:rsid w:val="003C6CC9"/>
    <w:rsid w:val="003C6DFD"/>
    <w:rsid w:val="003C700E"/>
    <w:rsid w:val="003C7120"/>
    <w:rsid w:val="003C75D7"/>
    <w:rsid w:val="003C780B"/>
    <w:rsid w:val="003C78C4"/>
    <w:rsid w:val="003D07D3"/>
    <w:rsid w:val="003D07EB"/>
    <w:rsid w:val="003D1A52"/>
    <w:rsid w:val="003D1B43"/>
    <w:rsid w:val="003D21BC"/>
    <w:rsid w:val="003D22C5"/>
    <w:rsid w:val="003D230A"/>
    <w:rsid w:val="003D2A8A"/>
    <w:rsid w:val="003D2D0C"/>
    <w:rsid w:val="003D30E3"/>
    <w:rsid w:val="003D35A2"/>
    <w:rsid w:val="003D3A9A"/>
    <w:rsid w:val="003D3D4A"/>
    <w:rsid w:val="003D4025"/>
    <w:rsid w:val="003D44D5"/>
    <w:rsid w:val="003D4AC2"/>
    <w:rsid w:val="003D4D27"/>
    <w:rsid w:val="003D4EB9"/>
    <w:rsid w:val="003D57F9"/>
    <w:rsid w:val="003D6047"/>
    <w:rsid w:val="003D6149"/>
    <w:rsid w:val="003D6BDF"/>
    <w:rsid w:val="003D75A9"/>
    <w:rsid w:val="003D7B5C"/>
    <w:rsid w:val="003D7FF1"/>
    <w:rsid w:val="003E07DA"/>
    <w:rsid w:val="003E0E0A"/>
    <w:rsid w:val="003E10CE"/>
    <w:rsid w:val="003E1E55"/>
    <w:rsid w:val="003E3027"/>
    <w:rsid w:val="003E3212"/>
    <w:rsid w:val="003E38DC"/>
    <w:rsid w:val="003E3995"/>
    <w:rsid w:val="003E3DCB"/>
    <w:rsid w:val="003E44EB"/>
    <w:rsid w:val="003E4FA7"/>
    <w:rsid w:val="003E556D"/>
    <w:rsid w:val="003E5893"/>
    <w:rsid w:val="003E58D1"/>
    <w:rsid w:val="003E599A"/>
    <w:rsid w:val="003E6099"/>
    <w:rsid w:val="003E61E6"/>
    <w:rsid w:val="003E6314"/>
    <w:rsid w:val="003E6369"/>
    <w:rsid w:val="003E77F5"/>
    <w:rsid w:val="003E781C"/>
    <w:rsid w:val="003E7F16"/>
    <w:rsid w:val="003F0567"/>
    <w:rsid w:val="003F0D1E"/>
    <w:rsid w:val="003F1C18"/>
    <w:rsid w:val="003F1DC2"/>
    <w:rsid w:val="003F20E8"/>
    <w:rsid w:val="003F2209"/>
    <w:rsid w:val="003F241C"/>
    <w:rsid w:val="003F2922"/>
    <w:rsid w:val="003F3271"/>
    <w:rsid w:val="003F3273"/>
    <w:rsid w:val="003F32D2"/>
    <w:rsid w:val="003F3632"/>
    <w:rsid w:val="003F3CAE"/>
    <w:rsid w:val="003F3E0E"/>
    <w:rsid w:val="003F4406"/>
    <w:rsid w:val="003F52A3"/>
    <w:rsid w:val="003F53AD"/>
    <w:rsid w:val="003F5661"/>
    <w:rsid w:val="003F5662"/>
    <w:rsid w:val="003F67B5"/>
    <w:rsid w:val="003F7288"/>
    <w:rsid w:val="003F7A5B"/>
    <w:rsid w:val="003F7DC9"/>
    <w:rsid w:val="0040053D"/>
    <w:rsid w:val="00400849"/>
    <w:rsid w:val="00401025"/>
    <w:rsid w:val="004021D7"/>
    <w:rsid w:val="00402446"/>
    <w:rsid w:val="004024E4"/>
    <w:rsid w:val="004036D7"/>
    <w:rsid w:val="004037BA"/>
    <w:rsid w:val="00403A87"/>
    <w:rsid w:val="0040410C"/>
    <w:rsid w:val="004049FB"/>
    <w:rsid w:val="00404BF4"/>
    <w:rsid w:val="00404C61"/>
    <w:rsid w:val="004051AB"/>
    <w:rsid w:val="00405764"/>
    <w:rsid w:val="0040621D"/>
    <w:rsid w:val="004071F8"/>
    <w:rsid w:val="0040743F"/>
    <w:rsid w:val="00407F18"/>
    <w:rsid w:val="00410905"/>
    <w:rsid w:val="00410B36"/>
    <w:rsid w:val="00410F2C"/>
    <w:rsid w:val="00411B9B"/>
    <w:rsid w:val="004137D8"/>
    <w:rsid w:val="0041394C"/>
    <w:rsid w:val="00413DAF"/>
    <w:rsid w:val="004142CA"/>
    <w:rsid w:val="0041430E"/>
    <w:rsid w:val="00414358"/>
    <w:rsid w:val="0041437A"/>
    <w:rsid w:val="0041452C"/>
    <w:rsid w:val="004148EC"/>
    <w:rsid w:val="00414BE7"/>
    <w:rsid w:val="00414FDF"/>
    <w:rsid w:val="004156F5"/>
    <w:rsid w:val="00415A07"/>
    <w:rsid w:val="00415AB5"/>
    <w:rsid w:val="0041640D"/>
    <w:rsid w:val="004166CE"/>
    <w:rsid w:val="004166EE"/>
    <w:rsid w:val="00416D70"/>
    <w:rsid w:val="00416E41"/>
    <w:rsid w:val="00417D56"/>
    <w:rsid w:val="004202AD"/>
    <w:rsid w:val="00420B27"/>
    <w:rsid w:val="00420EBA"/>
    <w:rsid w:val="00421681"/>
    <w:rsid w:val="00421ECA"/>
    <w:rsid w:val="00423320"/>
    <w:rsid w:val="004234FD"/>
    <w:rsid w:val="00423968"/>
    <w:rsid w:val="00423AC7"/>
    <w:rsid w:val="00424224"/>
    <w:rsid w:val="00425098"/>
    <w:rsid w:val="004252F6"/>
    <w:rsid w:val="00425593"/>
    <w:rsid w:val="004255FC"/>
    <w:rsid w:val="004256BA"/>
    <w:rsid w:val="00425823"/>
    <w:rsid w:val="00425A69"/>
    <w:rsid w:val="00425D07"/>
    <w:rsid w:val="00427558"/>
    <w:rsid w:val="004275EB"/>
    <w:rsid w:val="00427799"/>
    <w:rsid w:val="00427CAD"/>
    <w:rsid w:val="0043006C"/>
    <w:rsid w:val="004303A4"/>
    <w:rsid w:val="004306CD"/>
    <w:rsid w:val="00430CA2"/>
    <w:rsid w:val="004317E7"/>
    <w:rsid w:val="00431C54"/>
    <w:rsid w:val="00431DD7"/>
    <w:rsid w:val="0043279B"/>
    <w:rsid w:val="00433679"/>
    <w:rsid w:val="004337F0"/>
    <w:rsid w:val="00433A16"/>
    <w:rsid w:val="00433B0A"/>
    <w:rsid w:val="004344EB"/>
    <w:rsid w:val="004350EE"/>
    <w:rsid w:val="00435739"/>
    <w:rsid w:val="00436C23"/>
    <w:rsid w:val="00436C67"/>
    <w:rsid w:val="00436F78"/>
    <w:rsid w:val="00436FD5"/>
    <w:rsid w:val="004377CE"/>
    <w:rsid w:val="00437962"/>
    <w:rsid w:val="00437D65"/>
    <w:rsid w:val="00437EF7"/>
    <w:rsid w:val="004403B8"/>
    <w:rsid w:val="004405EE"/>
    <w:rsid w:val="00440B55"/>
    <w:rsid w:val="00440BBA"/>
    <w:rsid w:val="00440D6F"/>
    <w:rsid w:val="00440F9A"/>
    <w:rsid w:val="004410D7"/>
    <w:rsid w:val="004413B6"/>
    <w:rsid w:val="00442009"/>
    <w:rsid w:val="004424A8"/>
    <w:rsid w:val="00442526"/>
    <w:rsid w:val="00442736"/>
    <w:rsid w:val="00442933"/>
    <w:rsid w:val="00442C04"/>
    <w:rsid w:val="00442CE2"/>
    <w:rsid w:val="00443FBC"/>
    <w:rsid w:val="00444513"/>
    <w:rsid w:val="0044488E"/>
    <w:rsid w:val="00444A4F"/>
    <w:rsid w:val="004454D7"/>
    <w:rsid w:val="004454FF"/>
    <w:rsid w:val="00445550"/>
    <w:rsid w:val="00445880"/>
    <w:rsid w:val="0044615F"/>
    <w:rsid w:val="00446580"/>
    <w:rsid w:val="004465CF"/>
    <w:rsid w:val="00446AB0"/>
    <w:rsid w:val="00446CD4"/>
    <w:rsid w:val="00446FA9"/>
    <w:rsid w:val="00447667"/>
    <w:rsid w:val="004477FD"/>
    <w:rsid w:val="00447BE5"/>
    <w:rsid w:val="004500BE"/>
    <w:rsid w:val="004508CE"/>
    <w:rsid w:val="004509DF"/>
    <w:rsid w:val="00450C08"/>
    <w:rsid w:val="004510B9"/>
    <w:rsid w:val="004515AF"/>
    <w:rsid w:val="004517D9"/>
    <w:rsid w:val="004517E8"/>
    <w:rsid w:val="004518F2"/>
    <w:rsid w:val="00452BCB"/>
    <w:rsid w:val="00453B3B"/>
    <w:rsid w:val="00453FF2"/>
    <w:rsid w:val="004542E0"/>
    <w:rsid w:val="004545D4"/>
    <w:rsid w:val="00454D6B"/>
    <w:rsid w:val="00454E58"/>
    <w:rsid w:val="004559EE"/>
    <w:rsid w:val="00455B4D"/>
    <w:rsid w:val="0045718A"/>
    <w:rsid w:val="00457729"/>
    <w:rsid w:val="0046068B"/>
    <w:rsid w:val="004609BE"/>
    <w:rsid w:val="00460BCD"/>
    <w:rsid w:val="00460ED9"/>
    <w:rsid w:val="00461750"/>
    <w:rsid w:val="00461B69"/>
    <w:rsid w:val="00461D57"/>
    <w:rsid w:val="004626E1"/>
    <w:rsid w:val="004629D5"/>
    <w:rsid w:val="00462D99"/>
    <w:rsid w:val="00463C7B"/>
    <w:rsid w:val="00464055"/>
    <w:rsid w:val="00464DE7"/>
    <w:rsid w:val="00465901"/>
    <w:rsid w:val="00466CA4"/>
    <w:rsid w:val="00467654"/>
    <w:rsid w:val="00467BEA"/>
    <w:rsid w:val="00467ED4"/>
    <w:rsid w:val="00467FAE"/>
    <w:rsid w:val="004700E5"/>
    <w:rsid w:val="004704C3"/>
    <w:rsid w:val="0047275C"/>
    <w:rsid w:val="0047296A"/>
    <w:rsid w:val="00473539"/>
    <w:rsid w:val="00473C55"/>
    <w:rsid w:val="004741F2"/>
    <w:rsid w:val="00476153"/>
    <w:rsid w:val="00476B6D"/>
    <w:rsid w:val="00476C31"/>
    <w:rsid w:val="004776DC"/>
    <w:rsid w:val="00477A21"/>
    <w:rsid w:val="00477DAA"/>
    <w:rsid w:val="00477EF3"/>
    <w:rsid w:val="0048013C"/>
    <w:rsid w:val="0048046F"/>
    <w:rsid w:val="00480F68"/>
    <w:rsid w:val="004811D3"/>
    <w:rsid w:val="00481BF6"/>
    <w:rsid w:val="00483370"/>
    <w:rsid w:val="00483CEE"/>
    <w:rsid w:val="004844A0"/>
    <w:rsid w:val="004845E9"/>
    <w:rsid w:val="00484BBC"/>
    <w:rsid w:val="0048620A"/>
    <w:rsid w:val="00486252"/>
    <w:rsid w:val="00486F01"/>
    <w:rsid w:val="00487370"/>
    <w:rsid w:val="00487C33"/>
    <w:rsid w:val="004900DB"/>
    <w:rsid w:val="004901C2"/>
    <w:rsid w:val="004907FA"/>
    <w:rsid w:val="00490FD9"/>
    <w:rsid w:val="00491029"/>
    <w:rsid w:val="00491733"/>
    <w:rsid w:val="0049196D"/>
    <w:rsid w:val="00491BF4"/>
    <w:rsid w:val="00491C9B"/>
    <w:rsid w:val="004926CC"/>
    <w:rsid w:val="00492827"/>
    <w:rsid w:val="00493AF0"/>
    <w:rsid w:val="00493D57"/>
    <w:rsid w:val="00493F32"/>
    <w:rsid w:val="0049401F"/>
    <w:rsid w:val="00494026"/>
    <w:rsid w:val="0049412F"/>
    <w:rsid w:val="00495839"/>
    <w:rsid w:val="00495994"/>
    <w:rsid w:val="00495D85"/>
    <w:rsid w:val="004962DD"/>
    <w:rsid w:val="004964DA"/>
    <w:rsid w:val="00496B4E"/>
    <w:rsid w:val="004974D5"/>
    <w:rsid w:val="004A1B4F"/>
    <w:rsid w:val="004A223E"/>
    <w:rsid w:val="004A27CA"/>
    <w:rsid w:val="004A28EF"/>
    <w:rsid w:val="004A32CA"/>
    <w:rsid w:val="004A33FB"/>
    <w:rsid w:val="004A35BE"/>
    <w:rsid w:val="004A3668"/>
    <w:rsid w:val="004A3DBA"/>
    <w:rsid w:val="004A403E"/>
    <w:rsid w:val="004A4088"/>
    <w:rsid w:val="004A40D4"/>
    <w:rsid w:val="004A49D9"/>
    <w:rsid w:val="004A4EF2"/>
    <w:rsid w:val="004A5436"/>
    <w:rsid w:val="004A56EC"/>
    <w:rsid w:val="004A61EB"/>
    <w:rsid w:val="004A6807"/>
    <w:rsid w:val="004A6A73"/>
    <w:rsid w:val="004A6CB7"/>
    <w:rsid w:val="004A7134"/>
    <w:rsid w:val="004A73C9"/>
    <w:rsid w:val="004A74FB"/>
    <w:rsid w:val="004B16C3"/>
    <w:rsid w:val="004B1D6A"/>
    <w:rsid w:val="004B2290"/>
    <w:rsid w:val="004B242F"/>
    <w:rsid w:val="004B2916"/>
    <w:rsid w:val="004B2C34"/>
    <w:rsid w:val="004B2E7D"/>
    <w:rsid w:val="004B32B7"/>
    <w:rsid w:val="004B37E3"/>
    <w:rsid w:val="004B3BB3"/>
    <w:rsid w:val="004B3DEE"/>
    <w:rsid w:val="004B4AC4"/>
    <w:rsid w:val="004B54D1"/>
    <w:rsid w:val="004B737A"/>
    <w:rsid w:val="004B7689"/>
    <w:rsid w:val="004B7A38"/>
    <w:rsid w:val="004B7DF7"/>
    <w:rsid w:val="004C0617"/>
    <w:rsid w:val="004C0C59"/>
    <w:rsid w:val="004C1D14"/>
    <w:rsid w:val="004C1E2A"/>
    <w:rsid w:val="004C2752"/>
    <w:rsid w:val="004C4247"/>
    <w:rsid w:val="004C4455"/>
    <w:rsid w:val="004C487E"/>
    <w:rsid w:val="004C4CBD"/>
    <w:rsid w:val="004C526F"/>
    <w:rsid w:val="004C62AB"/>
    <w:rsid w:val="004C677F"/>
    <w:rsid w:val="004C6A88"/>
    <w:rsid w:val="004C6C00"/>
    <w:rsid w:val="004C6F46"/>
    <w:rsid w:val="004C7567"/>
    <w:rsid w:val="004D09FC"/>
    <w:rsid w:val="004D0E63"/>
    <w:rsid w:val="004D0EE2"/>
    <w:rsid w:val="004D17B2"/>
    <w:rsid w:val="004D289D"/>
    <w:rsid w:val="004D32FF"/>
    <w:rsid w:val="004D3757"/>
    <w:rsid w:val="004D37C6"/>
    <w:rsid w:val="004D3BA5"/>
    <w:rsid w:val="004D451E"/>
    <w:rsid w:val="004D5656"/>
    <w:rsid w:val="004D56FC"/>
    <w:rsid w:val="004D5840"/>
    <w:rsid w:val="004D6170"/>
    <w:rsid w:val="004D664B"/>
    <w:rsid w:val="004D6D2C"/>
    <w:rsid w:val="004E0A81"/>
    <w:rsid w:val="004E10E6"/>
    <w:rsid w:val="004E13AC"/>
    <w:rsid w:val="004E1FE7"/>
    <w:rsid w:val="004E228B"/>
    <w:rsid w:val="004E241F"/>
    <w:rsid w:val="004E27A8"/>
    <w:rsid w:val="004E307A"/>
    <w:rsid w:val="004E3098"/>
    <w:rsid w:val="004E31AE"/>
    <w:rsid w:val="004E3458"/>
    <w:rsid w:val="004E3B4D"/>
    <w:rsid w:val="004E453D"/>
    <w:rsid w:val="004E48F5"/>
    <w:rsid w:val="004E49D0"/>
    <w:rsid w:val="004E5AB0"/>
    <w:rsid w:val="004E5F8D"/>
    <w:rsid w:val="004E618E"/>
    <w:rsid w:val="004E71FD"/>
    <w:rsid w:val="004F046B"/>
    <w:rsid w:val="004F0907"/>
    <w:rsid w:val="004F0DD9"/>
    <w:rsid w:val="004F214E"/>
    <w:rsid w:val="004F2241"/>
    <w:rsid w:val="004F27B0"/>
    <w:rsid w:val="004F3CD7"/>
    <w:rsid w:val="004F4499"/>
    <w:rsid w:val="004F44E5"/>
    <w:rsid w:val="004F4EF0"/>
    <w:rsid w:val="004F561A"/>
    <w:rsid w:val="004F595C"/>
    <w:rsid w:val="004F59E9"/>
    <w:rsid w:val="004F6408"/>
    <w:rsid w:val="004F647D"/>
    <w:rsid w:val="004F666C"/>
    <w:rsid w:val="004F6D02"/>
    <w:rsid w:val="004F74D5"/>
    <w:rsid w:val="004F7F7C"/>
    <w:rsid w:val="00500626"/>
    <w:rsid w:val="00500AF4"/>
    <w:rsid w:val="00500D5B"/>
    <w:rsid w:val="00501F80"/>
    <w:rsid w:val="0050241B"/>
    <w:rsid w:val="00502AF2"/>
    <w:rsid w:val="00502BFC"/>
    <w:rsid w:val="00502C4A"/>
    <w:rsid w:val="00503053"/>
    <w:rsid w:val="00503797"/>
    <w:rsid w:val="00503FC9"/>
    <w:rsid w:val="0050404C"/>
    <w:rsid w:val="005045E8"/>
    <w:rsid w:val="00504986"/>
    <w:rsid w:val="00504F9C"/>
    <w:rsid w:val="0050513B"/>
    <w:rsid w:val="00505751"/>
    <w:rsid w:val="00505926"/>
    <w:rsid w:val="00505BE8"/>
    <w:rsid w:val="00505CA4"/>
    <w:rsid w:val="00506CC3"/>
    <w:rsid w:val="00507CDB"/>
    <w:rsid w:val="005102D6"/>
    <w:rsid w:val="00510326"/>
    <w:rsid w:val="00510607"/>
    <w:rsid w:val="00510A0E"/>
    <w:rsid w:val="00510A1C"/>
    <w:rsid w:val="00510CF7"/>
    <w:rsid w:val="005118C2"/>
    <w:rsid w:val="00511D4F"/>
    <w:rsid w:val="00512105"/>
    <w:rsid w:val="00512341"/>
    <w:rsid w:val="005129DC"/>
    <w:rsid w:val="00512E41"/>
    <w:rsid w:val="00513BE9"/>
    <w:rsid w:val="00513C7A"/>
    <w:rsid w:val="00513D08"/>
    <w:rsid w:val="00514211"/>
    <w:rsid w:val="00514885"/>
    <w:rsid w:val="005163FB"/>
    <w:rsid w:val="00517695"/>
    <w:rsid w:val="00517A07"/>
    <w:rsid w:val="00517E29"/>
    <w:rsid w:val="00517EAC"/>
    <w:rsid w:val="00520DE5"/>
    <w:rsid w:val="00520FE5"/>
    <w:rsid w:val="005223B2"/>
    <w:rsid w:val="005227B4"/>
    <w:rsid w:val="00522E7B"/>
    <w:rsid w:val="0052342F"/>
    <w:rsid w:val="00523A11"/>
    <w:rsid w:val="005248F0"/>
    <w:rsid w:val="00524AE8"/>
    <w:rsid w:val="00524B44"/>
    <w:rsid w:val="00525375"/>
    <w:rsid w:val="00525382"/>
    <w:rsid w:val="00525A6A"/>
    <w:rsid w:val="00525EBA"/>
    <w:rsid w:val="005301DD"/>
    <w:rsid w:val="0053041A"/>
    <w:rsid w:val="00530CF8"/>
    <w:rsid w:val="00530ED9"/>
    <w:rsid w:val="00531E8C"/>
    <w:rsid w:val="005320AE"/>
    <w:rsid w:val="00532217"/>
    <w:rsid w:val="00532603"/>
    <w:rsid w:val="0053289C"/>
    <w:rsid w:val="00532BF7"/>
    <w:rsid w:val="00533220"/>
    <w:rsid w:val="00533842"/>
    <w:rsid w:val="0053386C"/>
    <w:rsid w:val="0053387C"/>
    <w:rsid w:val="00533AEE"/>
    <w:rsid w:val="00534379"/>
    <w:rsid w:val="005343E7"/>
    <w:rsid w:val="005344B0"/>
    <w:rsid w:val="005344C1"/>
    <w:rsid w:val="005346F8"/>
    <w:rsid w:val="00534F77"/>
    <w:rsid w:val="005350BC"/>
    <w:rsid w:val="005357D3"/>
    <w:rsid w:val="0053655B"/>
    <w:rsid w:val="00536598"/>
    <w:rsid w:val="0053662C"/>
    <w:rsid w:val="0053730E"/>
    <w:rsid w:val="005375F5"/>
    <w:rsid w:val="00540317"/>
    <w:rsid w:val="00540FC9"/>
    <w:rsid w:val="005415AE"/>
    <w:rsid w:val="00542102"/>
    <w:rsid w:val="00542661"/>
    <w:rsid w:val="005440A5"/>
    <w:rsid w:val="00544311"/>
    <w:rsid w:val="005446A7"/>
    <w:rsid w:val="005447E6"/>
    <w:rsid w:val="005450BB"/>
    <w:rsid w:val="00545238"/>
    <w:rsid w:val="005454C6"/>
    <w:rsid w:val="00545874"/>
    <w:rsid w:val="005464BB"/>
    <w:rsid w:val="005466F9"/>
    <w:rsid w:val="005469A1"/>
    <w:rsid w:val="005473A3"/>
    <w:rsid w:val="0055036A"/>
    <w:rsid w:val="00550957"/>
    <w:rsid w:val="00550BAB"/>
    <w:rsid w:val="00550BAC"/>
    <w:rsid w:val="00551D28"/>
    <w:rsid w:val="00551FBF"/>
    <w:rsid w:val="00551FFA"/>
    <w:rsid w:val="005526AD"/>
    <w:rsid w:val="00552C2D"/>
    <w:rsid w:val="00553788"/>
    <w:rsid w:val="005539E7"/>
    <w:rsid w:val="00553B60"/>
    <w:rsid w:val="00553C42"/>
    <w:rsid w:val="00553DB2"/>
    <w:rsid w:val="005547C2"/>
    <w:rsid w:val="005548E7"/>
    <w:rsid w:val="00555424"/>
    <w:rsid w:val="00555C8E"/>
    <w:rsid w:val="00555CBF"/>
    <w:rsid w:val="00556476"/>
    <w:rsid w:val="00556EC8"/>
    <w:rsid w:val="00557E66"/>
    <w:rsid w:val="00560BF4"/>
    <w:rsid w:val="00560F94"/>
    <w:rsid w:val="005611F1"/>
    <w:rsid w:val="00561AC3"/>
    <w:rsid w:val="00561C3C"/>
    <w:rsid w:val="00561CDC"/>
    <w:rsid w:val="0056334C"/>
    <w:rsid w:val="005636D3"/>
    <w:rsid w:val="00563CE9"/>
    <w:rsid w:val="00563E71"/>
    <w:rsid w:val="00563F74"/>
    <w:rsid w:val="005644B8"/>
    <w:rsid w:val="0056455B"/>
    <w:rsid w:val="0056464C"/>
    <w:rsid w:val="005647CD"/>
    <w:rsid w:val="00564EB5"/>
    <w:rsid w:val="00564F0C"/>
    <w:rsid w:val="005651BA"/>
    <w:rsid w:val="0056550F"/>
    <w:rsid w:val="00565C9D"/>
    <w:rsid w:val="005663EC"/>
    <w:rsid w:val="005666F4"/>
    <w:rsid w:val="0057036D"/>
    <w:rsid w:val="00571B25"/>
    <w:rsid w:val="005725E1"/>
    <w:rsid w:val="00572A8F"/>
    <w:rsid w:val="00572B9F"/>
    <w:rsid w:val="00572BFA"/>
    <w:rsid w:val="00573841"/>
    <w:rsid w:val="00573C2B"/>
    <w:rsid w:val="00574587"/>
    <w:rsid w:val="0057479F"/>
    <w:rsid w:val="0057554A"/>
    <w:rsid w:val="005763CB"/>
    <w:rsid w:val="00576419"/>
    <w:rsid w:val="00576717"/>
    <w:rsid w:val="00576AB1"/>
    <w:rsid w:val="00576D1B"/>
    <w:rsid w:val="00576DAD"/>
    <w:rsid w:val="005776C9"/>
    <w:rsid w:val="005779FA"/>
    <w:rsid w:val="00580A88"/>
    <w:rsid w:val="00580F3D"/>
    <w:rsid w:val="00581166"/>
    <w:rsid w:val="00581216"/>
    <w:rsid w:val="00581F2A"/>
    <w:rsid w:val="00582AFD"/>
    <w:rsid w:val="005836B1"/>
    <w:rsid w:val="005837A4"/>
    <w:rsid w:val="00584FFF"/>
    <w:rsid w:val="005855D4"/>
    <w:rsid w:val="005856DD"/>
    <w:rsid w:val="00585897"/>
    <w:rsid w:val="00585933"/>
    <w:rsid w:val="00585E2E"/>
    <w:rsid w:val="00585E4C"/>
    <w:rsid w:val="00585FEB"/>
    <w:rsid w:val="0058677F"/>
    <w:rsid w:val="00586802"/>
    <w:rsid w:val="00586849"/>
    <w:rsid w:val="00586F9F"/>
    <w:rsid w:val="005875F2"/>
    <w:rsid w:val="00587761"/>
    <w:rsid w:val="00587B12"/>
    <w:rsid w:val="00587B29"/>
    <w:rsid w:val="005900B0"/>
    <w:rsid w:val="005902FE"/>
    <w:rsid w:val="00590F7D"/>
    <w:rsid w:val="00591046"/>
    <w:rsid w:val="00591558"/>
    <w:rsid w:val="005919CB"/>
    <w:rsid w:val="00592282"/>
    <w:rsid w:val="0059252B"/>
    <w:rsid w:val="00592D69"/>
    <w:rsid w:val="00592EF5"/>
    <w:rsid w:val="00593048"/>
    <w:rsid w:val="00593289"/>
    <w:rsid w:val="00593710"/>
    <w:rsid w:val="00593AD2"/>
    <w:rsid w:val="0059415E"/>
    <w:rsid w:val="00594B44"/>
    <w:rsid w:val="00594E0E"/>
    <w:rsid w:val="00594F1B"/>
    <w:rsid w:val="005952DA"/>
    <w:rsid w:val="00595504"/>
    <w:rsid w:val="005956AA"/>
    <w:rsid w:val="00595EDE"/>
    <w:rsid w:val="0059679D"/>
    <w:rsid w:val="00596B6D"/>
    <w:rsid w:val="00597DF0"/>
    <w:rsid w:val="005A0BF0"/>
    <w:rsid w:val="005A114C"/>
    <w:rsid w:val="005A1AFF"/>
    <w:rsid w:val="005A2058"/>
    <w:rsid w:val="005A2A54"/>
    <w:rsid w:val="005A2EA5"/>
    <w:rsid w:val="005A33D6"/>
    <w:rsid w:val="005A3AE1"/>
    <w:rsid w:val="005A3E81"/>
    <w:rsid w:val="005A4DBD"/>
    <w:rsid w:val="005A5241"/>
    <w:rsid w:val="005A60CB"/>
    <w:rsid w:val="005A6492"/>
    <w:rsid w:val="005A6DD3"/>
    <w:rsid w:val="005A7040"/>
    <w:rsid w:val="005A72D8"/>
    <w:rsid w:val="005A7844"/>
    <w:rsid w:val="005A7BCA"/>
    <w:rsid w:val="005B0760"/>
    <w:rsid w:val="005B160D"/>
    <w:rsid w:val="005B19A8"/>
    <w:rsid w:val="005B1DA3"/>
    <w:rsid w:val="005B260A"/>
    <w:rsid w:val="005B2965"/>
    <w:rsid w:val="005B2F9A"/>
    <w:rsid w:val="005B33C1"/>
    <w:rsid w:val="005B35E9"/>
    <w:rsid w:val="005B3AE1"/>
    <w:rsid w:val="005B3F06"/>
    <w:rsid w:val="005B4592"/>
    <w:rsid w:val="005B636E"/>
    <w:rsid w:val="005B63B9"/>
    <w:rsid w:val="005B69F1"/>
    <w:rsid w:val="005B7157"/>
    <w:rsid w:val="005B72B5"/>
    <w:rsid w:val="005B73CA"/>
    <w:rsid w:val="005B7B14"/>
    <w:rsid w:val="005B7BBC"/>
    <w:rsid w:val="005B7BDB"/>
    <w:rsid w:val="005B7E42"/>
    <w:rsid w:val="005B7F3D"/>
    <w:rsid w:val="005C08E5"/>
    <w:rsid w:val="005C0B83"/>
    <w:rsid w:val="005C0D70"/>
    <w:rsid w:val="005C0D88"/>
    <w:rsid w:val="005C0D8C"/>
    <w:rsid w:val="005C0DEE"/>
    <w:rsid w:val="005C1C28"/>
    <w:rsid w:val="005C2319"/>
    <w:rsid w:val="005C2B7B"/>
    <w:rsid w:val="005C2D8F"/>
    <w:rsid w:val="005C3254"/>
    <w:rsid w:val="005C3DCD"/>
    <w:rsid w:val="005C4983"/>
    <w:rsid w:val="005C5A16"/>
    <w:rsid w:val="005C5F0B"/>
    <w:rsid w:val="005C6664"/>
    <w:rsid w:val="005C7F33"/>
    <w:rsid w:val="005C7F4E"/>
    <w:rsid w:val="005D0E67"/>
    <w:rsid w:val="005D1A76"/>
    <w:rsid w:val="005D1C2C"/>
    <w:rsid w:val="005D2431"/>
    <w:rsid w:val="005D2B93"/>
    <w:rsid w:val="005D2DE1"/>
    <w:rsid w:val="005D3234"/>
    <w:rsid w:val="005D3337"/>
    <w:rsid w:val="005D3481"/>
    <w:rsid w:val="005D34C6"/>
    <w:rsid w:val="005D3BED"/>
    <w:rsid w:val="005D3F41"/>
    <w:rsid w:val="005D3F6B"/>
    <w:rsid w:val="005D414E"/>
    <w:rsid w:val="005D46D2"/>
    <w:rsid w:val="005D4A60"/>
    <w:rsid w:val="005D6335"/>
    <w:rsid w:val="005D67CC"/>
    <w:rsid w:val="005D68D7"/>
    <w:rsid w:val="005D6B7E"/>
    <w:rsid w:val="005D7361"/>
    <w:rsid w:val="005D761E"/>
    <w:rsid w:val="005D7BA9"/>
    <w:rsid w:val="005D7C0C"/>
    <w:rsid w:val="005D7EE5"/>
    <w:rsid w:val="005E07AE"/>
    <w:rsid w:val="005E0E00"/>
    <w:rsid w:val="005E102A"/>
    <w:rsid w:val="005E10F4"/>
    <w:rsid w:val="005E144F"/>
    <w:rsid w:val="005E1882"/>
    <w:rsid w:val="005E23AC"/>
    <w:rsid w:val="005E23B9"/>
    <w:rsid w:val="005E3105"/>
    <w:rsid w:val="005E3175"/>
    <w:rsid w:val="005E3758"/>
    <w:rsid w:val="005E3914"/>
    <w:rsid w:val="005E3DA8"/>
    <w:rsid w:val="005E4925"/>
    <w:rsid w:val="005E4C8F"/>
    <w:rsid w:val="005E4E11"/>
    <w:rsid w:val="005E56B7"/>
    <w:rsid w:val="005E6047"/>
    <w:rsid w:val="005E60F6"/>
    <w:rsid w:val="005E69F9"/>
    <w:rsid w:val="005E6DA1"/>
    <w:rsid w:val="005E7060"/>
    <w:rsid w:val="005E7F18"/>
    <w:rsid w:val="005F03B7"/>
    <w:rsid w:val="005F0579"/>
    <w:rsid w:val="005F0833"/>
    <w:rsid w:val="005F087E"/>
    <w:rsid w:val="005F0B59"/>
    <w:rsid w:val="005F0FFA"/>
    <w:rsid w:val="005F125F"/>
    <w:rsid w:val="005F1BC6"/>
    <w:rsid w:val="005F3501"/>
    <w:rsid w:val="005F3B4C"/>
    <w:rsid w:val="005F3D66"/>
    <w:rsid w:val="005F438D"/>
    <w:rsid w:val="005F5061"/>
    <w:rsid w:val="005F5103"/>
    <w:rsid w:val="005F5180"/>
    <w:rsid w:val="005F5740"/>
    <w:rsid w:val="005F6675"/>
    <w:rsid w:val="005F6A69"/>
    <w:rsid w:val="005F7740"/>
    <w:rsid w:val="006000CB"/>
    <w:rsid w:val="006004DD"/>
    <w:rsid w:val="00600921"/>
    <w:rsid w:val="00600A2D"/>
    <w:rsid w:val="00600F1E"/>
    <w:rsid w:val="0060180C"/>
    <w:rsid w:val="00601913"/>
    <w:rsid w:val="006028F8"/>
    <w:rsid w:val="00602909"/>
    <w:rsid w:val="00602D05"/>
    <w:rsid w:val="00603AF7"/>
    <w:rsid w:val="00603C81"/>
    <w:rsid w:val="00603CBA"/>
    <w:rsid w:val="00603ED2"/>
    <w:rsid w:val="00605098"/>
    <w:rsid w:val="0060788A"/>
    <w:rsid w:val="00607D34"/>
    <w:rsid w:val="00607E38"/>
    <w:rsid w:val="00611975"/>
    <w:rsid w:val="006119FB"/>
    <w:rsid w:val="00612038"/>
    <w:rsid w:val="0061245E"/>
    <w:rsid w:val="0061250C"/>
    <w:rsid w:val="006127A5"/>
    <w:rsid w:val="00613B71"/>
    <w:rsid w:val="00613CE7"/>
    <w:rsid w:val="00614266"/>
    <w:rsid w:val="006142AC"/>
    <w:rsid w:val="006155E4"/>
    <w:rsid w:val="006158A2"/>
    <w:rsid w:val="006158E0"/>
    <w:rsid w:val="00615A4A"/>
    <w:rsid w:val="0061601B"/>
    <w:rsid w:val="006165C4"/>
    <w:rsid w:val="00616C68"/>
    <w:rsid w:val="00616CAA"/>
    <w:rsid w:val="006170CC"/>
    <w:rsid w:val="00620A12"/>
    <w:rsid w:val="00621AF9"/>
    <w:rsid w:val="00621F62"/>
    <w:rsid w:val="0062222F"/>
    <w:rsid w:val="00622329"/>
    <w:rsid w:val="00622974"/>
    <w:rsid w:val="00622ABA"/>
    <w:rsid w:val="00622B55"/>
    <w:rsid w:val="0062312F"/>
    <w:rsid w:val="0062442E"/>
    <w:rsid w:val="00624B56"/>
    <w:rsid w:val="00624CD3"/>
    <w:rsid w:val="0062561C"/>
    <w:rsid w:val="00627105"/>
    <w:rsid w:val="00627F81"/>
    <w:rsid w:val="00630670"/>
    <w:rsid w:val="00631336"/>
    <w:rsid w:val="006313AD"/>
    <w:rsid w:val="006319E9"/>
    <w:rsid w:val="006343DE"/>
    <w:rsid w:val="00635018"/>
    <w:rsid w:val="00635CF6"/>
    <w:rsid w:val="0063601A"/>
    <w:rsid w:val="0063779C"/>
    <w:rsid w:val="00640CED"/>
    <w:rsid w:val="006411BB"/>
    <w:rsid w:val="0064133D"/>
    <w:rsid w:val="00641DE7"/>
    <w:rsid w:val="00642206"/>
    <w:rsid w:val="0064244F"/>
    <w:rsid w:val="00642992"/>
    <w:rsid w:val="00643CAC"/>
    <w:rsid w:val="00644F13"/>
    <w:rsid w:val="006461C5"/>
    <w:rsid w:val="00646344"/>
    <w:rsid w:val="00646598"/>
    <w:rsid w:val="00646F6D"/>
    <w:rsid w:val="00647047"/>
    <w:rsid w:val="0064759C"/>
    <w:rsid w:val="00647A5C"/>
    <w:rsid w:val="00647A90"/>
    <w:rsid w:val="00647B77"/>
    <w:rsid w:val="00647CB1"/>
    <w:rsid w:val="00650B99"/>
    <w:rsid w:val="006517D3"/>
    <w:rsid w:val="00651B7A"/>
    <w:rsid w:val="00651D0C"/>
    <w:rsid w:val="006530AC"/>
    <w:rsid w:val="00653DE8"/>
    <w:rsid w:val="00653FFE"/>
    <w:rsid w:val="006548B4"/>
    <w:rsid w:val="00654E7B"/>
    <w:rsid w:val="00655A0B"/>
    <w:rsid w:val="00655A69"/>
    <w:rsid w:val="00656571"/>
    <w:rsid w:val="006567BA"/>
    <w:rsid w:val="006577C5"/>
    <w:rsid w:val="006611CC"/>
    <w:rsid w:val="00661872"/>
    <w:rsid w:val="00661AD0"/>
    <w:rsid w:val="00661DD3"/>
    <w:rsid w:val="00663D5A"/>
    <w:rsid w:val="00664E55"/>
    <w:rsid w:val="00666053"/>
    <w:rsid w:val="00666409"/>
    <w:rsid w:val="006668F2"/>
    <w:rsid w:val="006669F1"/>
    <w:rsid w:val="00666A2D"/>
    <w:rsid w:val="00666CB7"/>
    <w:rsid w:val="0066732C"/>
    <w:rsid w:val="006679CD"/>
    <w:rsid w:val="0067000C"/>
    <w:rsid w:val="0067021C"/>
    <w:rsid w:val="006706D7"/>
    <w:rsid w:val="00670901"/>
    <w:rsid w:val="00670BA0"/>
    <w:rsid w:val="00671185"/>
    <w:rsid w:val="006711F3"/>
    <w:rsid w:val="00671F33"/>
    <w:rsid w:val="00671F37"/>
    <w:rsid w:val="006722C1"/>
    <w:rsid w:val="00672382"/>
    <w:rsid w:val="00672F39"/>
    <w:rsid w:val="00673E19"/>
    <w:rsid w:val="00674063"/>
    <w:rsid w:val="006749BD"/>
    <w:rsid w:val="00674A5E"/>
    <w:rsid w:val="00675164"/>
    <w:rsid w:val="0067530B"/>
    <w:rsid w:val="00675BF7"/>
    <w:rsid w:val="00676892"/>
    <w:rsid w:val="00676FB5"/>
    <w:rsid w:val="006775DF"/>
    <w:rsid w:val="006776FF"/>
    <w:rsid w:val="0067781B"/>
    <w:rsid w:val="00677E61"/>
    <w:rsid w:val="00680003"/>
    <w:rsid w:val="00681961"/>
    <w:rsid w:val="00681A42"/>
    <w:rsid w:val="00681EB4"/>
    <w:rsid w:val="00682064"/>
    <w:rsid w:val="00682689"/>
    <w:rsid w:val="00684486"/>
    <w:rsid w:val="006856FF"/>
    <w:rsid w:val="00685A4C"/>
    <w:rsid w:val="00686263"/>
    <w:rsid w:val="006871DA"/>
    <w:rsid w:val="0068781E"/>
    <w:rsid w:val="00687DBB"/>
    <w:rsid w:val="006902E1"/>
    <w:rsid w:val="0069072C"/>
    <w:rsid w:val="006907F1"/>
    <w:rsid w:val="00690ADB"/>
    <w:rsid w:val="00690F43"/>
    <w:rsid w:val="00691967"/>
    <w:rsid w:val="00691DB2"/>
    <w:rsid w:val="00692111"/>
    <w:rsid w:val="00692DE5"/>
    <w:rsid w:val="00692E91"/>
    <w:rsid w:val="006936A8"/>
    <w:rsid w:val="0069383F"/>
    <w:rsid w:val="00694CB3"/>
    <w:rsid w:val="00694CE5"/>
    <w:rsid w:val="006963C1"/>
    <w:rsid w:val="00697C70"/>
    <w:rsid w:val="006A0023"/>
    <w:rsid w:val="006A1AE8"/>
    <w:rsid w:val="006A22B8"/>
    <w:rsid w:val="006A24BE"/>
    <w:rsid w:val="006A29D6"/>
    <w:rsid w:val="006A2C78"/>
    <w:rsid w:val="006A421D"/>
    <w:rsid w:val="006A507D"/>
    <w:rsid w:val="006A5E58"/>
    <w:rsid w:val="006A5EF5"/>
    <w:rsid w:val="006A6E8D"/>
    <w:rsid w:val="006A775A"/>
    <w:rsid w:val="006B0BD4"/>
    <w:rsid w:val="006B0E71"/>
    <w:rsid w:val="006B1633"/>
    <w:rsid w:val="006B1C06"/>
    <w:rsid w:val="006B2CA0"/>
    <w:rsid w:val="006B38AA"/>
    <w:rsid w:val="006B39C4"/>
    <w:rsid w:val="006B4609"/>
    <w:rsid w:val="006B4C55"/>
    <w:rsid w:val="006B5D7C"/>
    <w:rsid w:val="006B605B"/>
    <w:rsid w:val="006B68C1"/>
    <w:rsid w:val="006B735F"/>
    <w:rsid w:val="006B7A38"/>
    <w:rsid w:val="006C01EF"/>
    <w:rsid w:val="006C0656"/>
    <w:rsid w:val="006C0833"/>
    <w:rsid w:val="006C0B78"/>
    <w:rsid w:val="006C0EAB"/>
    <w:rsid w:val="006C1B07"/>
    <w:rsid w:val="006C1DC8"/>
    <w:rsid w:val="006C22BB"/>
    <w:rsid w:val="006C28A2"/>
    <w:rsid w:val="006C3715"/>
    <w:rsid w:val="006C4220"/>
    <w:rsid w:val="006C4928"/>
    <w:rsid w:val="006C4ACC"/>
    <w:rsid w:val="006C4EC3"/>
    <w:rsid w:val="006C5B6C"/>
    <w:rsid w:val="006C6B89"/>
    <w:rsid w:val="006C7570"/>
    <w:rsid w:val="006C766E"/>
    <w:rsid w:val="006C7894"/>
    <w:rsid w:val="006C7CAC"/>
    <w:rsid w:val="006D0410"/>
    <w:rsid w:val="006D1193"/>
    <w:rsid w:val="006D1863"/>
    <w:rsid w:val="006D24ED"/>
    <w:rsid w:val="006D276F"/>
    <w:rsid w:val="006D2A04"/>
    <w:rsid w:val="006D2B1B"/>
    <w:rsid w:val="006D2D86"/>
    <w:rsid w:val="006D3046"/>
    <w:rsid w:val="006D326B"/>
    <w:rsid w:val="006D3A53"/>
    <w:rsid w:val="006D3C40"/>
    <w:rsid w:val="006D3D1B"/>
    <w:rsid w:val="006D53EE"/>
    <w:rsid w:val="006D5F3C"/>
    <w:rsid w:val="006D606C"/>
    <w:rsid w:val="006D67B1"/>
    <w:rsid w:val="006D6A7F"/>
    <w:rsid w:val="006D730C"/>
    <w:rsid w:val="006D7A2C"/>
    <w:rsid w:val="006D7D22"/>
    <w:rsid w:val="006D7F52"/>
    <w:rsid w:val="006E0433"/>
    <w:rsid w:val="006E0731"/>
    <w:rsid w:val="006E1930"/>
    <w:rsid w:val="006E2D86"/>
    <w:rsid w:val="006E450D"/>
    <w:rsid w:val="006E4A13"/>
    <w:rsid w:val="006E5EED"/>
    <w:rsid w:val="006E724C"/>
    <w:rsid w:val="006E75B0"/>
    <w:rsid w:val="006E7A70"/>
    <w:rsid w:val="006E7F2F"/>
    <w:rsid w:val="006F088C"/>
    <w:rsid w:val="006F0FB8"/>
    <w:rsid w:val="006F129C"/>
    <w:rsid w:val="006F1465"/>
    <w:rsid w:val="006F15E6"/>
    <w:rsid w:val="006F161D"/>
    <w:rsid w:val="006F1926"/>
    <w:rsid w:val="006F1DAF"/>
    <w:rsid w:val="006F1E68"/>
    <w:rsid w:val="006F24A2"/>
    <w:rsid w:val="006F3FB8"/>
    <w:rsid w:val="006F412F"/>
    <w:rsid w:val="006F5996"/>
    <w:rsid w:val="006F5C54"/>
    <w:rsid w:val="006F64B8"/>
    <w:rsid w:val="006F677D"/>
    <w:rsid w:val="006F6ACC"/>
    <w:rsid w:val="006F6E08"/>
    <w:rsid w:val="006F6EEA"/>
    <w:rsid w:val="006F7236"/>
    <w:rsid w:val="006F7A7A"/>
    <w:rsid w:val="0070054D"/>
    <w:rsid w:val="00701D10"/>
    <w:rsid w:val="0070289A"/>
    <w:rsid w:val="00702C7F"/>
    <w:rsid w:val="00703769"/>
    <w:rsid w:val="00703C17"/>
    <w:rsid w:val="007052B2"/>
    <w:rsid w:val="00705638"/>
    <w:rsid w:val="0070580C"/>
    <w:rsid w:val="00705E36"/>
    <w:rsid w:val="0070610E"/>
    <w:rsid w:val="007063BB"/>
    <w:rsid w:val="0070738D"/>
    <w:rsid w:val="00707439"/>
    <w:rsid w:val="00710E3C"/>
    <w:rsid w:val="007112AD"/>
    <w:rsid w:val="00711524"/>
    <w:rsid w:val="007124C2"/>
    <w:rsid w:val="00712673"/>
    <w:rsid w:val="007132BB"/>
    <w:rsid w:val="00715567"/>
    <w:rsid w:val="00715BBA"/>
    <w:rsid w:val="00716213"/>
    <w:rsid w:val="007170E2"/>
    <w:rsid w:val="007177DA"/>
    <w:rsid w:val="00717857"/>
    <w:rsid w:val="00717A82"/>
    <w:rsid w:val="00717AFA"/>
    <w:rsid w:val="00720C85"/>
    <w:rsid w:val="00720E28"/>
    <w:rsid w:val="00721713"/>
    <w:rsid w:val="00721F2A"/>
    <w:rsid w:val="00722377"/>
    <w:rsid w:val="0072289B"/>
    <w:rsid w:val="00722AD5"/>
    <w:rsid w:val="00722C3F"/>
    <w:rsid w:val="00723235"/>
    <w:rsid w:val="0072331B"/>
    <w:rsid w:val="0072349C"/>
    <w:rsid w:val="0072472F"/>
    <w:rsid w:val="00724C5B"/>
    <w:rsid w:val="007256B4"/>
    <w:rsid w:val="00725908"/>
    <w:rsid w:val="00725974"/>
    <w:rsid w:val="00726D16"/>
    <w:rsid w:val="007275CD"/>
    <w:rsid w:val="00727A2B"/>
    <w:rsid w:val="00727EF0"/>
    <w:rsid w:val="0073047F"/>
    <w:rsid w:val="00730ABD"/>
    <w:rsid w:val="00730BC8"/>
    <w:rsid w:val="00731842"/>
    <w:rsid w:val="007319E0"/>
    <w:rsid w:val="00731C47"/>
    <w:rsid w:val="00731EDD"/>
    <w:rsid w:val="007333AF"/>
    <w:rsid w:val="007339F5"/>
    <w:rsid w:val="007345C0"/>
    <w:rsid w:val="007348CD"/>
    <w:rsid w:val="00734A70"/>
    <w:rsid w:val="0073509A"/>
    <w:rsid w:val="007350D7"/>
    <w:rsid w:val="007362A0"/>
    <w:rsid w:val="00736456"/>
    <w:rsid w:val="00736675"/>
    <w:rsid w:val="00736DEC"/>
    <w:rsid w:val="007376A5"/>
    <w:rsid w:val="0073791B"/>
    <w:rsid w:val="00737B84"/>
    <w:rsid w:val="00740554"/>
    <w:rsid w:val="007405DD"/>
    <w:rsid w:val="0074069E"/>
    <w:rsid w:val="00740934"/>
    <w:rsid w:val="00740CAB"/>
    <w:rsid w:val="00741773"/>
    <w:rsid w:val="00741B1C"/>
    <w:rsid w:val="00741B29"/>
    <w:rsid w:val="0074284F"/>
    <w:rsid w:val="00742A8F"/>
    <w:rsid w:val="00742C30"/>
    <w:rsid w:val="007432C5"/>
    <w:rsid w:val="0074475E"/>
    <w:rsid w:val="00744E2B"/>
    <w:rsid w:val="007451F9"/>
    <w:rsid w:val="00746886"/>
    <w:rsid w:val="00746C54"/>
    <w:rsid w:val="00747B44"/>
    <w:rsid w:val="00747B5A"/>
    <w:rsid w:val="00747D4B"/>
    <w:rsid w:val="00747F88"/>
    <w:rsid w:val="00750520"/>
    <w:rsid w:val="00750604"/>
    <w:rsid w:val="00750755"/>
    <w:rsid w:val="0075088B"/>
    <w:rsid w:val="00752211"/>
    <w:rsid w:val="00752774"/>
    <w:rsid w:val="007552A5"/>
    <w:rsid w:val="007552CD"/>
    <w:rsid w:val="0075559F"/>
    <w:rsid w:val="0075612B"/>
    <w:rsid w:val="00756132"/>
    <w:rsid w:val="0075653F"/>
    <w:rsid w:val="0075660F"/>
    <w:rsid w:val="00757478"/>
    <w:rsid w:val="00757BD0"/>
    <w:rsid w:val="00757F11"/>
    <w:rsid w:val="00757F2A"/>
    <w:rsid w:val="007606DE"/>
    <w:rsid w:val="00761AAD"/>
    <w:rsid w:val="00761F50"/>
    <w:rsid w:val="007622E8"/>
    <w:rsid w:val="0076231C"/>
    <w:rsid w:val="007628FB"/>
    <w:rsid w:val="007644BA"/>
    <w:rsid w:val="0076537C"/>
    <w:rsid w:val="007655F3"/>
    <w:rsid w:val="00765732"/>
    <w:rsid w:val="00765EDF"/>
    <w:rsid w:val="00765FBC"/>
    <w:rsid w:val="00766491"/>
    <w:rsid w:val="00766554"/>
    <w:rsid w:val="007665AA"/>
    <w:rsid w:val="00766884"/>
    <w:rsid w:val="00766C1D"/>
    <w:rsid w:val="00766EAE"/>
    <w:rsid w:val="00767899"/>
    <w:rsid w:val="00767B0E"/>
    <w:rsid w:val="00767D94"/>
    <w:rsid w:val="007707BE"/>
    <w:rsid w:val="00770AC6"/>
    <w:rsid w:val="0077101C"/>
    <w:rsid w:val="00772154"/>
    <w:rsid w:val="00772284"/>
    <w:rsid w:val="00772783"/>
    <w:rsid w:val="007728ED"/>
    <w:rsid w:val="0077320F"/>
    <w:rsid w:val="00773A96"/>
    <w:rsid w:val="00774851"/>
    <w:rsid w:val="00774B7B"/>
    <w:rsid w:val="007756B3"/>
    <w:rsid w:val="00775C67"/>
    <w:rsid w:val="00776877"/>
    <w:rsid w:val="00776F16"/>
    <w:rsid w:val="00776F66"/>
    <w:rsid w:val="007771BA"/>
    <w:rsid w:val="00777B9F"/>
    <w:rsid w:val="00777C1B"/>
    <w:rsid w:val="00780AA2"/>
    <w:rsid w:val="00781F96"/>
    <w:rsid w:val="00782000"/>
    <w:rsid w:val="007823A0"/>
    <w:rsid w:val="00782807"/>
    <w:rsid w:val="007828FB"/>
    <w:rsid w:val="007836A5"/>
    <w:rsid w:val="00784B65"/>
    <w:rsid w:val="00785996"/>
    <w:rsid w:val="00785BC2"/>
    <w:rsid w:val="007861D5"/>
    <w:rsid w:val="00786211"/>
    <w:rsid w:val="007866C3"/>
    <w:rsid w:val="00786D78"/>
    <w:rsid w:val="007877DD"/>
    <w:rsid w:val="007878E0"/>
    <w:rsid w:val="00787A2F"/>
    <w:rsid w:val="00787C64"/>
    <w:rsid w:val="007901CE"/>
    <w:rsid w:val="007907DB"/>
    <w:rsid w:val="00790CFD"/>
    <w:rsid w:val="007916C0"/>
    <w:rsid w:val="00792021"/>
    <w:rsid w:val="00792240"/>
    <w:rsid w:val="00792381"/>
    <w:rsid w:val="007926E1"/>
    <w:rsid w:val="007929C2"/>
    <w:rsid w:val="00792B7F"/>
    <w:rsid w:val="007937F0"/>
    <w:rsid w:val="00794164"/>
    <w:rsid w:val="00794165"/>
    <w:rsid w:val="0079522C"/>
    <w:rsid w:val="0079559F"/>
    <w:rsid w:val="0079568B"/>
    <w:rsid w:val="007956E6"/>
    <w:rsid w:val="00795D64"/>
    <w:rsid w:val="007961B6"/>
    <w:rsid w:val="007961CF"/>
    <w:rsid w:val="007969A1"/>
    <w:rsid w:val="00796E1B"/>
    <w:rsid w:val="00796F9B"/>
    <w:rsid w:val="00797191"/>
    <w:rsid w:val="00797FE8"/>
    <w:rsid w:val="007A06C9"/>
    <w:rsid w:val="007A0AD7"/>
    <w:rsid w:val="007A0F24"/>
    <w:rsid w:val="007A2984"/>
    <w:rsid w:val="007A2C42"/>
    <w:rsid w:val="007A2F22"/>
    <w:rsid w:val="007A4892"/>
    <w:rsid w:val="007A5284"/>
    <w:rsid w:val="007A59CD"/>
    <w:rsid w:val="007A658E"/>
    <w:rsid w:val="007A6C9C"/>
    <w:rsid w:val="007A6FF8"/>
    <w:rsid w:val="007A7486"/>
    <w:rsid w:val="007A7939"/>
    <w:rsid w:val="007B0DAA"/>
    <w:rsid w:val="007B0DFD"/>
    <w:rsid w:val="007B1B09"/>
    <w:rsid w:val="007B20B8"/>
    <w:rsid w:val="007B2340"/>
    <w:rsid w:val="007B25C7"/>
    <w:rsid w:val="007B2A8F"/>
    <w:rsid w:val="007B33C2"/>
    <w:rsid w:val="007B3933"/>
    <w:rsid w:val="007B3D4E"/>
    <w:rsid w:val="007B3E3E"/>
    <w:rsid w:val="007B4E47"/>
    <w:rsid w:val="007B5883"/>
    <w:rsid w:val="007B5C80"/>
    <w:rsid w:val="007B5FCA"/>
    <w:rsid w:val="007B62DB"/>
    <w:rsid w:val="007B653B"/>
    <w:rsid w:val="007B65CE"/>
    <w:rsid w:val="007B680D"/>
    <w:rsid w:val="007B79F9"/>
    <w:rsid w:val="007C0355"/>
    <w:rsid w:val="007C04CE"/>
    <w:rsid w:val="007C0913"/>
    <w:rsid w:val="007C1318"/>
    <w:rsid w:val="007C1A29"/>
    <w:rsid w:val="007C1F92"/>
    <w:rsid w:val="007C215A"/>
    <w:rsid w:val="007C21D2"/>
    <w:rsid w:val="007C2865"/>
    <w:rsid w:val="007C3E04"/>
    <w:rsid w:val="007C3FEA"/>
    <w:rsid w:val="007C47BB"/>
    <w:rsid w:val="007C4BDF"/>
    <w:rsid w:val="007C4FE3"/>
    <w:rsid w:val="007C51DE"/>
    <w:rsid w:val="007C5291"/>
    <w:rsid w:val="007C58F4"/>
    <w:rsid w:val="007C5D42"/>
    <w:rsid w:val="007C5D7D"/>
    <w:rsid w:val="007C5E6A"/>
    <w:rsid w:val="007C60AF"/>
    <w:rsid w:val="007C643A"/>
    <w:rsid w:val="007C68B6"/>
    <w:rsid w:val="007C6BB6"/>
    <w:rsid w:val="007C79B6"/>
    <w:rsid w:val="007C7C09"/>
    <w:rsid w:val="007D06F8"/>
    <w:rsid w:val="007D0D86"/>
    <w:rsid w:val="007D134D"/>
    <w:rsid w:val="007D1776"/>
    <w:rsid w:val="007D21D6"/>
    <w:rsid w:val="007D27BD"/>
    <w:rsid w:val="007D2884"/>
    <w:rsid w:val="007D355B"/>
    <w:rsid w:val="007D3906"/>
    <w:rsid w:val="007D4E67"/>
    <w:rsid w:val="007D5B9D"/>
    <w:rsid w:val="007D615A"/>
    <w:rsid w:val="007D62C0"/>
    <w:rsid w:val="007D64C7"/>
    <w:rsid w:val="007D653A"/>
    <w:rsid w:val="007D6FEF"/>
    <w:rsid w:val="007E00D7"/>
    <w:rsid w:val="007E047D"/>
    <w:rsid w:val="007E0660"/>
    <w:rsid w:val="007E0AA8"/>
    <w:rsid w:val="007E16EF"/>
    <w:rsid w:val="007E17BC"/>
    <w:rsid w:val="007E1A7E"/>
    <w:rsid w:val="007E37CF"/>
    <w:rsid w:val="007E3E1F"/>
    <w:rsid w:val="007E4154"/>
    <w:rsid w:val="007E43FE"/>
    <w:rsid w:val="007E4BB2"/>
    <w:rsid w:val="007E5545"/>
    <w:rsid w:val="007E5F0A"/>
    <w:rsid w:val="007E5F31"/>
    <w:rsid w:val="007E663D"/>
    <w:rsid w:val="007E676A"/>
    <w:rsid w:val="007E6825"/>
    <w:rsid w:val="007E6EFB"/>
    <w:rsid w:val="007E73FA"/>
    <w:rsid w:val="007E770A"/>
    <w:rsid w:val="007E7C0D"/>
    <w:rsid w:val="007F0532"/>
    <w:rsid w:val="007F0600"/>
    <w:rsid w:val="007F06FA"/>
    <w:rsid w:val="007F0ED3"/>
    <w:rsid w:val="007F15A0"/>
    <w:rsid w:val="007F1E7E"/>
    <w:rsid w:val="007F29BB"/>
    <w:rsid w:val="007F2D65"/>
    <w:rsid w:val="007F369E"/>
    <w:rsid w:val="007F378C"/>
    <w:rsid w:val="007F4D65"/>
    <w:rsid w:val="007F51AA"/>
    <w:rsid w:val="007F5D89"/>
    <w:rsid w:val="007F5F2A"/>
    <w:rsid w:val="007F6150"/>
    <w:rsid w:val="007F65AB"/>
    <w:rsid w:val="007F67A5"/>
    <w:rsid w:val="007F6EA4"/>
    <w:rsid w:val="007F7268"/>
    <w:rsid w:val="00800728"/>
    <w:rsid w:val="00801C06"/>
    <w:rsid w:val="00801CD7"/>
    <w:rsid w:val="008029E5"/>
    <w:rsid w:val="00803235"/>
    <w:rsid w:val="0080352A"/>
    <w:rsid w:val="00803545"/>
    <w:rsid w:val="00803619"/>
    <w:rsid w:val="008039EF"/>
    <w:rsid w:val="00803E20"/>
    <w:rsid w:val="008047AA"/>
    <w:rsid w:val="0080699B"/>
    <w:rsid w:val="00806EBC"/>
    <w:rsid w:val="00807766"/>
    <w:rsid w:val="00807E2C"/>
    <w:rsid w:val="00810CDE"/>
    <w:rsid w:val="00810D05"/>
    <w:rsid w:val="008116F7"/>
    <w:rsid w:val="008127AE"/>
    <w:rsid w:val="00812B03"/>
    <w:rsid w:val="00812DA6"/>
    <w:rsid w:val="00812E8A"/>
    <w:rsid w:val="0081447A"/>
    <w:rsid w:val="0081462B"/>
    <w:rsid w:val="0081552D"/>
    <w:rsid w:val="00815C9F"/>
    <w:rsid w:val="00815EB4"/>
    <w:rsid w:val="00816064"/>
    <w:rsid w:val="008166BF"/>
    <w:rsid w:val="008175AD"/>
    <w:rsid w:val="00817A2D"/>
    <w:rsid w:val="00817E79"/>
    <w:rsid w:val="0082029A"/>
    <w:rsid w:val="008207EA"/>
    <w:rsid w:val="00820ECC"/>
    <w:rsid w:val="008215C4"/>
    <w:rsid w:val="00821E2F"/>
    <w:rsid w:val="008226BE"/>
    <w:rsid w:val="008233EE"/>
    <w:rsid w:val="008248B4"/>
    <w:rsid w:val="00824C96"/>
    <w:rsid w:val="008253B0"/>
    <w:rsid w:val="008253DB"/>
    <w:rsid w:val="00825578"/>
    <w:rsid w:val="008259CC"/>
    <w:rsid w:val="00825A11"/>
    <w:rsid w:val="00825E0A"/>
    <w:rsid w:val="00826011"/>
    <w:rsid w:val="008263B4"/>
    <w:rsid w:val="00827724"/>
    <w:rsid w:val="008305F2"/>
    <w:rsid w:val="0083147E"/>
    <w:rsid w:val="00831BBC"/>
    <w:rsid w:val="00832365"/>
    <w:rsid w:val="00832ACA"/>
    <w:rsid w:val="00832E64"/>
    <w:rsid w:val="0083325A"/>
    <w:rsid w:val="00833604"/>
    <w:rsid w:val="00833718"/>
    <w:rsid w:val="0083380D"/>
    <w:rsid w:val="00833962"/>
    <w:rsid w:val="00834023"/>
    <w:rsid w:val="00834077"/>
    <w:rsid w:val="008340CB"/>
    <w:rsid w:val="00834617"/>
    <w:rsid w:val="008347C3"/>
    <w:rsid w:val="00834D3A"/>
    <w:rsid w:val="00835255"/>
    <w:rsid w:val="008357A5"/>
    <w:rsid w:val="00835836"/>
    <w:rsid w:val="0083637A"/>
    <w:rsid w:val="00836CAD"/>
    <w:rsid w:val="008372EB"/>
    <w:rsid w:val="0083737E"/>
    <w:rsid w:val="00837AD2"/>
    <w:rsid w:val="00837BE1"/>
    <w:rsid w:val="00837D5C"/>
    <w:rsid w:val="00840BC4"/>
    <w:rsid w:val="008416E0"/>
    <w:rsid w:val="00841E59"/>
    <w:rsid w:val="00842231"/>
    <w:rsid w:val="0084268E"/>
    <w:rsid w:val="00842F0A"/>
    <w:rsid w:val="008434BF"/>
    <w:rsid w:val="00843D8B"/>
    <w:rsid w:val="00843F3B"/>
    <w:rsid w:val="00843F3D"/>
    <w:rsid w:val="00844A24"/>
    <w:rsid w:val="00844AE7"/>
    <w:rsid w:val="00844E94"/>
    <w:rsid w:val="008452C4"/>
    <w:rsid w:val="008459A4"/>
    <w:rsid w:val="00845EFE"/>
    <w:rsid w:val="00846A29"/>
    <w:rsid w:val="00846CE0"/>
    <w:rsid w:val="0084702D"/>
    <w:rsid w:val="00847226"/>
    <w:rsid w:val="00847CA3"/>
    <w:rsid w:val="00850254"/>
    <w:rsid w:val="008509BB"/>
    <w:rsid w:val="00851FF8"/>
    <w:rsid w:val="008520D6"/>
    <w:rsid w:val="0085256B"/>
    <w:rsid w:val="00852F2A"/>
    <w:rsid w:val="00853EC1"/>
    <w:rsid w:val="00854FBC"/>
    <w:rsid w:val="00855834"/>
    <w:rsid w:val="0085638F"/>
    <w:rsid w:val="0085677B"/>
    <w:rsid w:val="00856E8A"/>
    <w:rsid w:val="00857208"/>
    <w:rsid w:val="00857508"/>
    <w:rsid w:val="008578D3"/>
    <w:rsid w:val="00860B52"/>
    <w:rsid w:val="00861A32"/>
    <w:rsid w:val="00863B32"/>
    <w:rsid w:val="00863D4A"/>
    <w:rsid w:val="00864AFD"/>
    <w:rsid w:val="00864DBF"/>
    <w:rsid w:val="00864FC0"/>
    <w:rsid w:val="008655C5"/>
    <w:rsid w:val="00867237"/>
    <w:rsid w:val="0087012F"/>
    <w:rsid w:val="00870162"/>
    <w:rsid w:val="008715D0"/>
    <w:rsid w:val="008723AC"/>
    <w:rsid w:val="00872B88"/>
    <w:rsid w:val="00872BD8"/>
    <w:rsid w:val="00872DF9"/>
    <w:rsid w:val="00872EAA"/>
    <w:rsid w:val="00873AD3"/>
    <w:rsid w:val="00873BAA"/>
    <w:rsid w:val="00873DDC"/>
    <w:rsid w:val="0087432C"/>
    <w:rsid w:val="0087450C"/>
    <w:rsid w:val="00874687"/>
    <w:rsid w:val="008748DB"/>
    <w:rsid w:val="00874B8F"/>
    <w:rsid w:val="00875561"/>
    <w:rsid w:val="00875676"/>
    <w:rsid w:val="0087736A"/>
    <w:rsid w:val="00877B36"/>
    <w:rsid w:val="00877E64"/>
    <w:rsid w:val="008800E0"/>
    <w:rsid w:val="00880CAF"/>
    <w:rsid w:val="00880E10"/>
    <w:rsid w:val="00880F15"/>
    <w:rsid w:val="008817E1"/>
    <w:rsid w:val="00881FBF"/>
    <w:rsid w:val="008829A2"/>
    <w:rsid w:val="00882C3B"/>
    <w:rsid w:val="0088325B"/>
    <w:rsid w:val="008838C6"/>
    <w:rsid w:val="00883F2E"/>
    <w:rsid w:val="00884583"/>
    <w:rsid w:val="00884609"/>
    <w:rsid w:val="00884AC4"/>
    <w:rsid w:val="00884F73"/>
    <w:rsid w:val="00886034"/>
    <w:rsid w:val="00886129"/>
    <w:rsid w:val="00886A65"/>
    <w:rsid w:val="00891124"/>
    <w:rsid w:val="00891BD4"/>
    <w:rsid w:val="00891E3E"/>
    <w:rsid w:val="00892512"/>
    <w:rsid w:val="00892CB0"/>
    <w:rsid w:val="008937A9"/>
    <w:rsid w:val="0089400C"/>
    <w:rsid w:val="008940EB"/>
    <w:rsid w:val="008941B6"/>
    <w:rsid w:val="00894533"/>
    <w:rsid w:val="008947AE"/>
    <w:rsid w:val="0089501F"/>
    <w:rsid w:val="0089507C"/>
    <w:rsid w:val="0089558A"/>
    <w:rsid w:val="00895F49"/>
    <w:rsid w:val="008963DB"/>
    <w:rsid w:val="008964F9"/>
    <w:rsid w:val="00896A96"/>
    <w:rsid w:val="00896E67"/>
    <w:rsid w:val="00896F23"/>
    <w:rsid w:val="00897F92"/>
    <w:rsid w:val="008A082B"/>
    <w:rsid w:val="008A0F19"/>
    <w:rsid w:val="008A23B2"/>
    <w:rsid w:val="008A2719"/>
    <w:rsid w:val="008A33B0"/>
    <w:rsid w:val="008A3647"/>
    <w:rsid w:val="008A3C28"/>
    <w:rsid w:val="008A3F05"/>
    <w:rsid w:val="008A42B0"/>
    <w:rsid w:val="008A433B"/>
    <w:rsid w:val="008A439D"/>
    <w:rsid w:val="008A480A"/>
    <w:rsid w:val="008A4961"/>
    <w:rsid w:val="008A4D5C"/>
    <w:rsid w:val="008A4F47"/>
    <w:rsid w:val="008A4F4E"/>
    <w:rsid w:val="008A504A"/>
    <w:rsid w:val="008A5569"/>
    <w:rsid w:val="008A59CA"/>
    <w:rsid w:val="008A5AB1"/>
    <w:rsid w:val="008A69A7"/>
    <w:rsid w:val="008A6BC0"/>
    <w:rsid w:val="008A7495"/>
    <w:rsid w:val="008A7DD0"/>
    <w:rsid w:val="008B1521"/>
    <w:rsid w:val="008B15DE"/>
    <w:rsid w:val="008B1E66"/>
    <w:rsid w:val="008B2119"/>
    <w:rsid w:val="008B235E"/>
    <w:rsid w:val="008B3D8F"/>
    <w:rsid w:val="008B4A55"/>
    <w:rsid w:val="008B5677"/>
    <w:rsid w:val="008B5E2C"/>
    <w:rsid w:val="008B6702"/>
    <w:rsid w:val="008B6EC9"/>
    <w:rsid w:val="008B7BCA"/>
    <w:rsid w:val="008B7C62"/>
    <w:rsid w:val="008B7DD2"/>
    <w:rsid w:val="008C0DD5"/>
    <w:rsid w:val="008C0FF8"/>
    <w:rsid w:val="008C1519"/>
    <w:rsid w:val="008C1BB8"/>
    <w:rsid w:val="008C2417"/>
    <w:rsid w:val="008C2504"/>
    <w:rsid w:val="008C2CBF"/>
    <w:rsid w:val="008C3040"/>
    <w:rsid w:val="008C342E"/>
    <w:rsid w:val="008C35B3"/>
    <w:rsid w:val="008C3E2A"/>
    <w:rsid w:val="008C5026"/>
    <w:rsid w:val="008C5D70"/>
    <w:rsid w:val="008C696A"/>
    <w:rsid w:val="008C6BE4"/>
    <w:rsid w:val="008C6CAD"/>
    <w:rsid w:val="008D12EC"/>
    <w:rsid w:val="008D1E06"/>
    <w:rsid w:val="008D2514"/>
    <w:rsid w:val="008D2C7F"/>
    <w:rsid w:val="008D38A2"/>
    <w:rsid w:val="008D3920"/>
    <w:rsid w:val="008D4444"/>
    <w:rsid w:val="008D4A68"/>
    <w:rsid w:val="008D4BF6"/>
    <w:rsid w:val="008D5463"/>
    <w:rsid w:val="008D5F01"/>
    <w:rsid w:val="008D6095"/>
    <w:rsid w:val="008D6112"/>
    <w:rsid w:val="008D6612"/>
    <w:rsid w:val="008D6D9E"/>
    <w:rsid w:val="008D74D1"/>
    <w:rsid w:val="008D7AD9"/>
    <w:rsid w:val="008D7B21"/>
    <w:rsid w:val="008D7EBB"/>
    <w:rsid w:val="008E043F"/>
    <w:rsid w:val="008E25A6"/>
    <w:rsid w:val="008E269B"/>
    <w:rsid w:val="008E2AB3"/>
    <w:rsid w:val="008E2F41"/>
    <w:rsid w:val="008E2FAB"/>
    <w:rsid w:val="008E385D"/>
    <w:rsid w:val="008E3D89"/>
    <w:rsid w:val="008E4572"/>
    <w:rsid w:val="008E4733"/>
    <w:rsid w:val="008E4E0B"/>
    <w:rsid w:val="008E672B"/>
    <w:rsid w:val="008E68D8"/>
    <w:rsid w:val="008E6A94"/>
    <w:rsid w:val="008E6B11"/>
    <w:rsid w:val="008E7087"/>
    <w:rsid w:val="008E72C5"/>
    <w:rsid w:val="008E7BEF"/>
    <w:rsid w:val="008E7C04"/>
    <w:rsid w:val="008F119E"/>
    <w:rsid w:val="008F13B1"/>
    <w:rsid w:val="008F1EDA"/>
    <w:rsid w:val="008F287D"/>
    <w:rsid w:val="008F3E41"/>
    <w:rsid w:val="008F3FB0"/>
    <w:rsid w:val="008F4F0A"/>
    <w:rsid w:val="008F5754"/>
    <w:rsid w:val="008F62B4"/>
    <w:rsid w:val="008F7A19"/>
    <w:rsid w:val="008F7F75"/>
    <w:rsid w:val="00900A89"/>
    <w:rsid w:val="0090136C"/>
    <w:rsid w:val="009016A0"/>
    <w:rsid w:val="009016FD"/>
    <w:rsid w:val="0090197C"/>
    <w:rsid w:val="00901B8C"/>
    <w:rsid w:val="00902A9E"/>
    <w:rsid w:val="00902E2B"/>
    <w:rsid w:val="009031EB"/>
    <w:rsid w:val="0090323F"/>
    <w:rsid w:val="00903267"/>
    <w:rsid w:val="0090421C"/>
    <w:rsid w:val="009045E0"/>
    <w:rsid w:val="00904A74"/>
    <w:rsid w:val="00904DE8"/>
    <w:rsid w:val="009054C6"/>
    <w:rsid w:val="009059D9"/>
    <w:rsid w:val="00906287"/>
    <w:rsid w:val="00906398"/>
    <w:rsid w:val="00906495"/>
    <w:rsid w:val="00906874"/>
    <w:rsid w:val="00906C65"/>
    <w:rsid w:val="00907D2C"/>
    <w:rsid w:val="00907F5F"/>
    <w:rsid w:val="0091080B"/>
    <w:rsid w:val="00912912"/>
    <w:rsid w:val="009138C4"/>
    <w:rsid w:val="009139B5"/>
    <w:rsid w:val="0091434A"/>
    <w:rsid w:val="0091447C"/>
    <w:rsid w:val="009150F6"/>
    <w:rsid w:val="00915F4D"/>
    <w:rsid w:val="00915F7F"/>
    <w:rsid w:val="00916005"/>
    <w:rsid w:val="00916133"/>
    <w:rsid w:val="00916D6C"/>
    <w:rsid w:val="00916E0D"/>
    <w:rsid w:val="00916E99"/>
    <w:rsid w:val="00917636"/>
    <w:rsid w:val="009206EE"/>
    <w:rsid w:val="00920B15"/>
    <w:rsid w:val="00920EEA"/>
    <w:rsid w:val="00921B77"/>
    <w:rsid w:val="00921CDC"/>
    <w:rsid w:val="00922341"/>
    <w:rsid w:val="00922736"/>
    <w:rsid w:val="009229B6"/>
    <w:rsid w:val="00922BEF"/>
    <w:rsid w:val="00923134"/>
    <w:rsid w:val="00923C58"/>
    <w:rsid w:val="009248F5"/>
    <w:rsid w:val="0092490F"/>
    <w:rsid w:val="00925004"/>
    <w:rsid w:val="00925359"/>
    <w:rsid w:val="0092550F"/>
    <w:rsid w:val="00925F08"/>
    <w:rsid w:val="00926100"/>
    <w:rsid w:val="00926925"/>
    <w:rsid w:val="00926F26"/>
    <w:rsid w:val="009275E1"/>
    <w:rsid w:val="00927D10"/>
    <w:rsid w:val="00930697"/>
    <w:rsid w:val="00931FF8"/>
    <w:rsid w:val="00932359"/>
    <w:rsid w:val="00932FC2"/>
    <w:rsid w:val="00933350"/>
    <w:rsid w:val="0093358E"/>
    <w:rsid w:val="00934108"/>
    <w:rsid w:val="009341C7"/>
    <w:rsid w:val="00934290"/>
    <w:rsid w:val="00934295"/>
    <w:rsid w:val="00934957"/>
    <w:rsid w:val="00935E83"/>
    <w:rsid w:val="00936CD0"/>
    <w:rsid w:val="00937516"/>
    <w:rsid w:val="00937B10"/>
    <w:rsid w:val="00937E7E"/>
    <w:rsid w:val="00937F85"/>
    <w:rsid w:val="00940488"/>
    <w:rsid w:val="009408B1"/>
    <w:rsid w:val="00940E67"/>
    <w:rsid w:val="00941392"/>
    <w:rsid w:val="009413D2"/>
    <w:rsid w:val="00941E02"/>
    <w:rsid w:val="00941F94"/>
    <w:rsid w:val="0094315D"/>
    <w:rsid w:val="009431AB"/>
    <w:rsid w:val="00943346"/>
    <w:rsid w:val="009435DF"/>
    <w:rsid w:val="00943C82"/>
    <w:rsid w:val="00944904"/>
    <w:rsid w:val="00944A9B"/>
    <w:rsid w:val="00944D9E"/>
    <w:rsid w:val="00944F0E"/>
    <w:rsid w:val="00945415"/>
    <w:rsid w:val="00945876"/>
    <w:rsid w:val="00945C8F"/>
    <w:rsid w:val="00945E13"/>
    <w:rsid w:val="00946B8B"/>
    <w:rsid w:val="00946EEC"/>
    <w:rsid w:val="00947514"/>
    <w:rsid w:val="00947593"/>
    <w:rsid w:val="009475A5"/>
    <w:rsid w:val="00950806"/>
    <w:rsid w:val="00951BC3"/>
    <w:rsid w:val="00952C06"/>
    <w:rsid w:val="00952FB6"/>
    <w:rsid w:val="009538B0"/>
    <w:rsid w:val="00953FF8"/>
    <w:rsid w:val="0095414F"/>
    <w:rsid w:val="0095456D"/>
    <w:rsid w:val="009550DE"/>
    <w:rsid w:val="0095540B"/>
    <w:rsid w:val="00955536"/>
    <w:rsid w:val="009555DB"/>
    <w:rsid w:val="00955AA5"/>
    <w:rsid w:val="00955C70"/>
    <w:rsid w:val="00955E9E"/>
    <w:rsid w:val="00956460"/>
    <w:rsid w:val="00956AA6"/>
    <w:rsid w:val="00956DA2"/>
    <w:rsid w:val="00957990"/>
    <w:rsid w:val="00957ACA"/>
    <w:rsid w:val="00957C18"/>
    <w:rsid w:val="0096076C"/>
    <w:rsid w:val="00960844"/>
    <w:rsid w:val="00960BF4"/>
    <w:rsid w:val="009614B7"/>
    <w:rsid w:val="0096156A"/>
    <w:rsid w:val="0096352B"/>
    <w:rsid w:val="00963BBA"/>
    <w:rsid w:val="00963C4C"/>
    <w:rsid w:val="00963C8F"/>
    <w:rsid w:val="0096406E"/>
    <w:rsid w:val="009646F0"/>
    <w:rsid w:val="00965F63"/>
    <w:rsid w:val="00966654"/>
    <w:rsid w:val="009668DF"/>
    <w:rsid w:val="00966BDE"/>
    <w:rsid w:val="00966BE0"/>
    <w:rsid w:val="00966C3E"/>
    <w:rsid w:val="009670C6"/>
    <w:rsid w:val="00967E6B"/>
    <w:rsid w:val="00967F0F"/>
    <w:rsid w:val="00967F29"/>
    <w:rsid w:val="00970457"/>
    <w:rsid w:val="00970AD7"/>
    <w:rsid w:val="009713EB"/>
    <w:rsid w:val="009732DD"/>
    <w:rsid w:val="009737FB"/>
    <w:rsid w:val="00974087"/>
    <w:rsid w:val="0097477A"/>
    <w:rsid w:val="0097496D"/>
    <w:rsid w:val="00974998"/>
    <w:rsid w:val="00976669"/>
    <w:rsid w:val="00976DBA"/>
    <w:rsid w:val="00977858"/>
    <w:rsid w:val="00980A43"/>
    <w:rsid w:val="00982D41"/>
    <w:rsid w:val="0098318B"/>
    <w:rsid w:val="00983B7B"/>
    <w:rsid w:val="00983ED6"/>
    <w:rsid w:val="00984187"/>
    <w:rsid w:val="009844CA"/>
    <w:rsid w:val="00984659"/>
    <w:rsid w:val="00984CA0"/>
    <w:rsid w:val="00985366"/>
    <w:rsid w:val="00985853"/>
    <w:rsid w:val="0098592D"/>
    <w:rsid w:val="00985992"/>
    <w:rsid w:val="00985A65"/>
    <w:rsid w:val="00986570"/>
    <w:rsid w:val="0098696E"/>
    <w:rsid w:val="00986DD4"/>
    <w:rsid w:val="009870A4"/>
    <w:rsid w:val="0099063F"/>
    <w:rsid w:val="00990B51"/>
    <w:rsid w:val="00990DD6"/>
    <w:rsid w:val="00990E19"/>
    <w:rsid w:val="00991AD3"/>
    <w:rsid w:val="00991DD1"/>
    <w:rsid w:val="009920B1"/>
    <w:rsid w:val="00992664"/>
    <w:rsid w:val="00993C8A"/>
    <w:rsid w:val="00994739"/>
    <w:rsid w:val="0099519E"/>
    <w:rsid w:val="00995B14"/>
    <w:rsid w:val="00995F4B"/>
    <w:rsid w:val="00996341"/>
    <w:rsid w:val="00997261"/>
    <w:rsid w:val="00997E3F"/>
    <w:rsid w:val="009A04A0"/>
    <w:rsid w:val="009A056C"/>
    <w:rsid w:val="009A077E"/>
    <w:rsid w:val="009A108B"/>
    <w:rsid w:val="009A119D"/>
    <w:rsid w:val="009A14A7"/>
    <w:rsid w:val="009A1D65"/>
    <w:rsid w:val="009A2079"/>
    <w:rsid w:val="009A240F"/>
    <w:rsid w:val="009A27D4"/>
    <w:rsid w:val="009A3109"/>
    <w:rsid w:val="009A3216"/>
    <w:rsid w:val="009A3446"/>
    <w:rsid w:val="009A3539"/>
    <w:rsid w:val="009A3ADC"/>
    <w:rsid w:val="009A3B87"/>
    <w:rsid w:val="009A4002"/>
    <w:rsid w:val="009A5712"/>
    <w:rsid w:val="009A62D8"/>
    <w:rsid w:val="009A68D3"/>
    <w:rsid w:val="009A7172"/>
    <w:rsid w:val="009A766B"/>
    <w:rsid w:val="009B0092"/>
    <w:rsid w:val="009B035F"/>
    <w:rsid w:val="009B056E"/>
    <w:rsid w:val="009B063E"/>
    <w:rsid w:val="009B0FE0"/>
    <w:rsid w:val="009B191C"/>
    <w:rsid w:val="009B1AB5"/>
    <w:rsid w:val="009B1C9E"/>
    <w:rsid w:val="009B1D43"/>
    <w:rsid w:val="009B209D"/>
    <w:rsid w:val="009B330B"/>
    <w:rsid w:val="009B4B3F"/>
    <w:rsid w:val="009B5698"/>
    <w:rsid w:val="009B583E"/>
    <w:rsid w:val="009B5BC6"/>
    <w:rsid w:val="009B660A"/>
    <w:rsid w:val="009B6A1A"/>
    <w:rsid w:val="009B7011"/>
    <w:rsid w:val="009B7089"/>
    <w:rsid w:val="009B731D"/>
    <w:rsid w:val="009B77AE"/>
    <w:rsid w:val="009B7872"/>
    <w:rsid w:val="009B7EEB"/>
    <w:rsid w:val="009C0557"/>
    <w:rsid w:val="009C085E"/>
    <w:rsid w:val="009C1239"/>
    <w:rsid w:val="009C151A"/>
    <w:rsid w:val="009C1DBE"/>
    <w:rsid w:val="009C22D0"/>
    <w:rsid w:val="009C25FB"/>
    <w:rsid w:val="009C2A51"/>
    <w:rsid w:val="009C2B52"/>
    <w:rsid w:val="009C2EE2"/>
    <w:rsid w:val="009C4301"/>
    <w:rsid w:val="009C4E16"/>
    <w:rsid w:val="009C5A79"/>
    <w:rsid w:val="009C5AAE"/>
    <w:rsid w:val="009C6C99"/>
    <w:rsid w:val="009D08E8"/>
    <w:rsid w:val="009D14BE"/>
    <w:rsid w:val="009D2071"/>
    <w:rsid w:val="009D21A0"/>
    <w:rsid w:val="009D243D"/>
    <w:rsid w:val="009D268E"/>
    <w:rsid w:val="009D2831"/>
    <w:rsid w:val="009D2857"/>
    <w:rsid w:val="009D2E1A"/>
    <w:rsid w:val="009D35A2"/>
    <w:rsid w:val="009D36D4"/>
    <w:rsid w:val="009D3BBC"/>
    <w:rsid w:val="009D3D04"/>
    <w:rsid w:val="009D4EFD"/>
    <w:rsid w:val="009D50AA"/>
    <w:rsid w:val="009D5777"/>
    <w:rsid w:val="009D7D61"/>
    <w:rsid w:val="009E1F57"/>
    <w:rsid w:val="009E1F78"/>
    <w:rsid w:val="009E26F4"/>
    <w:rsid w:val="009E2D81"/>
    <w:rsid w:val="009E2E0E"/>
    <w:rsid w:val="009E3266"/>
    <w:rsid w:val="009E37DA"/>
    <w:rsid w:val="009E3AD1"/>
    <w:rsid w:val="009E41BB"/>
    <w:rsid w:val="009E4964"/>
    <w:rsid w:val="009E4A45"/>
    <w:rsid w:val="009E500C"/>
    <w:rsid w:val="009E53B4"/>
    <w:rsid w:val="009E541F"/>
    <w:rsid w:val="009E5478"/>
    <w:rsid w:val="009E6283"/>
    <w:rsid w:val="009E6C58"/>
    <w:rsid w:val="009E78FC"/>
    <w:rsid w:val="009E792C"/>
    <w:rsid w:val="009E7EF3"/>
    <w:rsid w:val="009F0086"/>
    <w:rsid w:val="009F0314"/>
    <w:rsid w:val="009F06CC"/>
    <w:rsid w:val="009F091F"/>
    <w:rsid w:val="009F11AB"/>
    <w:rsid w:val="009F166B"/>
    <w:rsid w:val="009F1919"/>
    <w:rsid w:val="009F1972"/>
    <w:rsid w:val="009F1B38"/>
    <w:rsid w:val="009F262F"/>
    <w:rsid w:val="009F2CA2"/>
    <w:rsid w:val="009F383D"/>
    <w:rsid w:val="009F3851"/>
    <w:rsid w:val="009F44D4"/>
    <w:rsid w:val="009F4667"/>
    <w:rsid w:val="009F4923"/>
    <w:rsid w:val="009F4935"/>
    <w:rsid w:val="009F4C03"/>
    <w:rsid w:val="009F516E"/>
    <w:rsid w:val="009F60C4"/>
    <w:rsid w:val="009F61F0"/>
    <w:rsid w:val="009F6757"/>
    <w:rsid w:val="009F7679"/>
    <w:rsid w:val="00A002EC"/>
    <w:rsid w:val="00A00633"/>
    <w:rsid w:val="00A00802"/>
    <w:rsid w:val="00A00818"/>
    <w:rsid w:val="00A00E44"/>
    <w:rsid w:val="00A02999"/>
    <w:rsid w:val="00A02A3B"/>
    <w:rsid w:val="00A02AA8"/>
    <w:rsid w:val="00A02EE3"/>
    <w:rsid w:val="00A031DD"/>
    <w:rsid w:val="00A04565"/>
    <w:rsid w:val="00A0508B"/>
    <w:rsid w:val="00A053F6"/>
    <w:rsid w:val="00A05646"/>
    <w:rsid w:val="00A06B99"/>
    <w:rsid w:val="00A07E50"/>
    <w:rsid w:val="00A07F1E"/>
    <w:rsid w:val="00A106D3"/>
    <w:rsid w:val="00A1095A"/>
    <w:rsid w:val="00A10A24"/>
    <w:rsid w:val="00A10FDE"/>
    <w:rsid w:val="00A111D1"/>
    <w:rsid w:val="00A11D02"/>
    <w:rsid w:val="00A12911"/>
    <w:rsid w:val="00A12C5C"/>
    <w:rsid w:val="00A12CC0"/>
    <w:rsid w:val="00A13350"/>
    <w:rsid w:val="00A135B9"/>
    <w:rsid w:val="00A135C1"/>
    <w:rsid w:val="00A139A9"/>
    <w:rsid w:val="00A13B01"/>
    <w:rsid w:val="00A13CA9"/>
    <w:rsid w:val="00A140EF"/>
    <w:rsid w:val="00A1430E"/>
    <w:rsid w:val="00A14849"/>
    <w:rsid w:val="00A14860"/>
    <w:rsid w:val="00A14A20"/>
    <w:rsid w:val="00A14CB7"/>
    <w:rsid w:val="00A15708"/>
    <w:rsid w:val="00A1576A"/>
    <w:rsid w:val="00A160D7"/>
    <w:rsid w:val="00A16170"/>
    <w:rsid w:val="00A17235"/>
    <w:rsid w:val="00A17910"/>
    <w:rsid w:val="00A17F6B"/>
    <w:rsid w:val="00A205EF"/>
    <w:rsid w:val="00A209B1"/>
    <w:rsid w:val="00A21310"/>
    <w:rsid w:val="00A21FD5"/>
    <w:rsid w:val="00A22303"/>
    <w:rsid w:val="00A2237F"/>
    <w:rsid w:val="00A22495"/>
    <w:rsid w:val="00A2254E"/>
    <w:rsid w:val="00A2307C"/>
    <w:rsid w:val="00A23707"/>
    <w:rsid w:val="00A23B9D"/>
    <w:rsid w:val="00A23D96"/>
    <w:rsid w:val="00A240AD"/>
    <w:rsid w:val="00A2504F"/>
    <w:rsid w:val="00A25D64"/>
    <w:rsid w:val="00A26282"/>
    <w:rsid w:val="00A26934"/>
    <w:rsid w:val="00A26B26"/>
    <w:rsid w:val="00A26D16"/>
    <w:rsid w:val="00A27243"/>
    <w:rsid w:val="00A27315"/>
    <w:rsid w:val="00A27874"/>
    <w:rsid w:val="00A3003D"/>
    <w:rsid w:val="00A30056"/>
    <w:rsid w:val="00A30366"/>
    <w:rsid w:val="00A30B4D"/>
    <w:rsid w:val="00A30B5A"/>
    <w:rsid w:val="00A30FF4"/>
    <w:rsid w:val="00A31449"/>
    <w:rsid w:val="00A3174F"/>
    <w:rsid w:val="00A31A94"/>
    <w:rsid w:val="00A32281"/>
    <w:rsid w:val="00A3254D"/>
    <w:rsid w:val="00A32ED7"/>
    <w:rsid w:val="00A3543D"/>
    <w:rsid w:val="00A354C9"/>
    <w:rsid w:val="00A356C7"/>
    <w:rsid w:val="00A35CB8"/>
    <w:rsid w:val="00A35DAD"/>
    <w:rsid w:val="00A36217"/>
    <w:rsid w:val="00A36538"/>
    <w:rsid w:val="00A36B17"/>
    <w:rsid w:val="00A36C0F"/>
    <w:rsid w:val="00A374F7"/>
    <w:rsid w:val="00A37B20"/>
    <w:rsid w:val="00A4064D"/>
    <w:rsid w:val="00A41121"/>
    <w:rsid w:val="00A422E5"/>
    <w:rsid w:val="00A42884"/>
    <w:rsid w:val="00A42A20"/>
    <w:rsid w:val="00A42FB5"/>
    <w:rsid w:val="00A4370A"/>
    <w:rsid w:val="00A43C1F"/>
    <w:rsid w:val="00A444B4"/>
    <w:rsid w:val="00A44BA7"/>
    <w:rsid w:val="00A44CA4"/>
    <w:rsid w:val="00A45183"/>
    <w:rsid w:val="00A45DC7"/>
    <w:rsid w:val="00A45E98"/>
    <w:rsid w:val="00A47EF9"/>
    <w:rsid w:val="00A47FD7"/>
    <w:rsid w:val="00A5030A"/>
    <w:rsid w:val="00A50715"/>
    <w:rsid w:val="00A5091C"/>
    <w:rsid w:val="00A50AF9"/>
    <w:rsid w:val="00A50B4E"/>
    <w:rsid w:val="00A50D5F"/>
    <w:rsid w:val="00A50EC8"/>
    <w:rsid w:val="00A5183B"/>
    <w:rsid w:val="00A52A70"/>
    <w:rsid w:val="00A52B4E"/>
    <w:rsid w:val="00A52D66"/>
    <w:rsid w:val="00A53C5D"/>
    <w:rsid w:val="00A53FE9"/>
    <w:rsid w:val="00A5416B"/>
    <w:rsid w:val="00A5438D"/>
    <w:rsid w:val="00A55256"/>
    <w:rsid w:val="00A55288"/>
    <w:rsid w:val="00A553BD"/>
    <w:rsid w:val="00A55AB1"/>
    <w:rsid w:val="00A573FF"/>
    <w:rsid w:val="00A57A45"/>
    <w:rsid w:val="00A57A94"/>
    <w:rsid w:val="00A57BD8"/>
    <w:rsid w:val="00A61661"/>
    <w:rsid w:val="00A616A1"/>
    <w:rsid w:val="00A61E74"/>
    <w:rsid w:val="00A62B1F"/>
    <w:rsid w:val="00A62DDD"/>
    <w:rsid w:val="00A6339C"/>
    <w:rsid w:val="00A63D68"/>
    <w:rsid w:val="00A64223"/>
    <w:rsid w:val="00A652FA"/>
    <w:rsid w:val="00A66413"/>
    <w:rsid w:val="00A66758"/>
    <w:rsid w:val="00A672C6"/>
    <w:rsid w:val="00A675C5"/>
    <w:rsid w:val="00A67768"/>
    <w:rsid w:val="00A679A1"/>
    <w:rsid w:val="00A703EB"/>
    <w:rsid w:val="00A718D9"/>
    <w:rsid w:val="00A71A58"/>
    <w:rsid w:val="00A71FCA"/>
    <w:rsid w:val="00A7281B"/>
    <w:rsid w:val="00A73AE4"/>
    <w:rsid w:val="00A73D67"/>
    <w:rsid w:val="00A749BE"/>
    <w:rsid w:val="00A74F08"/>
    <w:rsid w:val="00A76A9C"/>
    <w:rsid w:val="00A76F58"/>
    <w:rsid w:val="00A7750E"/>
    <w:rsid w:val="00A77970"/>
    <w:rsid w:val="00A80B8B"/>
    <w:rsid w:val="00A80DE0"/>
    <w:rsid w:val="00A81D5C"/>
    <w:rsid w:val="00A81E8B"/>
    <w:rsid w:val="00A820BB"/>
    <w:rsid w:val="00A8214A"/>
    <w:rsid w:val="00A82A7D"/>
    <w:rsid w:val="00A82B54"/>
    <w:rsid w:val="00A82D9F"/>
    <w:rsid w:val="00A8315C"/>
    <w:rsid w:val="00A8324A"/>
    <w:rsid w:val="00A83AB1"/>
    <w:rsid w:val="00A83E9B"/>
    <w:rsid w:val="00A842AE"/>
    <w:rsid w:val="00A84524"/>
    <w:rsid w:val="00A84594"/>
    <w:rsid w:val="00A84E2A"/>
    <w:rsid w:val="00A8582E"/>
    <w:rsid w:val="00A85A0A"/>
    <w:rsid w:val="00A86074"/>
    <w:rsid w:val="00A8617D"/>
    <w:rsid w:val="00A861D1"/>
    <w:rsid w:val="00A8636E"/>
    <w:rsid w:val="00A867A2"/>
    <w:rsid w:val="00A868EF"/>
    <w:rsid w:val="00A86A9A"/>
    <w:rsid w:val="00A86C35"/>
    <w:rsid w:val="00A86F03"/>
    <w:rsid w:val="00A87159"/>
    <w:rsid w:val="00A872E9"/>
    <w:rsid w:val="00A87DCF"/>
    <w:rsid w:val="00A87EC2"/>
    <w:rsid w:val="00A9088F"/>
    <w:rsid w:val="00A908C0"/>
    <w:rsid w:val="00A908DA"/>
    <w:rsid w:val="00A92952"/>
    <w:rsid w:val="00A92BCC"/>
    <w:rsid w:val="00A92F79"/>
    <w:rsid w:val="00A933A3"/>
    <w:rsid w:val="00A934C0"/>
    <w:rsid w:val="00A934CF"/>
    <w:rsid w:val="00A93A47"/>
    <w:rsid w:val="00A93B25"/>
    <w:rsid w:val="00A93D33"/>
    <w:rsid w:val="00A947D3"/>
    <w:rsid w:val="00A957F6"/>
    <w:rsid w:val="00A9634A"/>
    <w:rsid w:val="00A973C6"/>
    <w:rsid w:val="00A97610"/>
    <w:rsid w:val="00A97D3E"/>
    <w:rsid w:val="00AA0C69"/>
    <w:rsid w:val="00AA0FAA"/>
    <w:rsid w:val="00AA0FB5"/>
    <w:rsid w:val="00AA2DFD"/>
    <w:rsid w:val="00AA375C"/>
    <w:rsid w:val="00AA49D4"/>
    <w:rsid w:val="00AA4D18"/>
    <w:rsid w:val="00AA585C"/>
    <w:rsid w:val="00AA6FBB"/>
    <w:rsid w:val="00AA70A3"/>
    <w:rsid w:val="00AA723B"/>
    <w:rsid w:val="00AA7355"/>
    <w:rsid w:val="00AA74E9"/>
    <w:rsid w:val="00AA7B3B"/>
    <w:rsid w:val="00AB0314"/>
    <w:rsid w:val="00AB0A5A"/>
    <w:rsid w:val="00AB0DD7"/>
    <w:rsid w:val="00AB142A"/>
    <w:rsid w:val="00AB1832"/>
    <w:rsid w:val="00AB28A0"/>
    <w:rsid w:val="00AB29B9"/>
    <w:rsid w:val="00AB3953"/>
    <w:rsid w:val="00AB3963"/>
    <w:rsid w:val="00AB3CD3"/>
    <w:rsid w:val="00AB3D06"/>
    <w:rsid w:val="00AB4649"/>
    <w:rsid w:val="00AB4D4D"/>
    <w:rsid w:val="00AB55FC"/>
    <w:rsid w:val="00AB5832"/>
    <w:rsid w:val="00AB5C9A"/>
    <w:rsid w:val="00AB66C0"/>
    <w:rsid w:val="00AB67B5"/>
    <w:rsid w:val="00AB6801"/>
    <w:rsid w:val="00AC07C9"/>
    <w:rsid w:val="00AC09DB"/>
    <w:rsid w:val="00AC0A5B"/>
    <w:rsid w:val="00AC3728"/>
    <w:rsid w:val="00AC4C27"/>
    <w:rsid w:val="00AC4C7F"/>
    <w:rsid w:val="00AC5841"/>
    <w:rsid w:val="00AC58BA"/>
    <w:rsid w:val="00AC5FCF"/>
    <w:rsid w:val="00AC60FC"/>
    <w:rsid w:val="00AC6623"/>
    <w:rsid w:val="00AC672D"/>
    <w:rsid w:val="00AC6930"/>
    <w:rsid w:val="00AC7140"/>
    <w:rsid w:val="00AD00BE"/>
    <w:rsid w:val="00AD0B94"/>
    <w:rsid w:val="00AD1627"/>
    <w:rsid w:val="00AD1D52"/>
    <w:rsid w:val="00AD2EB8"/>
    <w:rsid w:val="00AD3B46"/>
    <w:rsid w:val="00AD3CCD"/>
    <w:rsid w:val="00AD3ED0"/>
    <w:rsid w:val="00AD4587"/>
    <w:rsid w:val="00AD5009"/>
    <w:rsid w:val="00AD5ACF"/>
    <w:rsid w:val="00AD6612"/>
    <w:rsid w:val="00AD67BE"/>
    <w:rsid w:val="00AD7143"/>
    <w:rsid w:val="00AD77D9"/>
    <w:rsid w:val="00AE0EBA"/>
    <w:rsid w:val="00AE10EA"/>
    <w:rsid w:val="00AE11F6"/>
    <w:rsid w:val="00AE1845"/>
    <w:rsid w:val="00AE1C99"/>
    <w:rsid w:val="00AE3633"/>
    <w:rsid w:val="00AE3A10"/>
    <w:rsid w:val="00AE3A2D"/>
    <w:rsid w:val="00AE3BA4"/>
    <w:rsid w:val="00AE3E9E"/>
    <w:rsid w:val="00AE4358"/>
    <w:rsid w:val="00AE4400"/>
    <w:rsid w:val="00AE4535"/>
    <w:rsid w:val="00AE461A"/>
    <w:rsid w:val="00AE4CDD"/>
    <w:rsid w:val="00AE50B4"/>
    <w:rsid w:val="00AE5288"/>
    <w:rsid w:val="00AE6290"/>
    <w:rsid w:val="00AE6337"/>
    <w:rsid w:val="00AE65B3"/>
    <w:rsid w:val="00AE6766"/>
    <w:rsid w:val="00AE6A45"/>
    <w:rsid w:val="00AE6CC7"/>
    <w:rsid w:val="00AE77D0"/>
    <w:rsid w:val="00AE7876"/>
    <w:rsid w:val="00AE7F61"/>
    <w:rsid w:val="00AF036B"/>
    <w:rsid w:val="00AF05A3"/>
    <w:rsid w:val="00AF0AE2"/>
    <w:rsid w:val="00AF0CD3"/>
    <w:rsid w:val="00AF135C"/>
    <w:rsid w:val="00AF1D02"/>
    <w:rsid w:val="00AF2617"/>
    <w:rsid w:val="00AF26C2"/>
    <w:rsid w:val="00AF2A5F"/>
    <w:rsid w:val="00AF2A64"/>
    <w:rsid w:val="00AF590D"/>
    <w:rsid w:val="00AF5D27"/>
    <w:rsid w:val="00AF642D"/>
    <w:rsid w:val="00AF64D8"/>
    <w:rsid w:val="00AF6C61"/>
    <w:rsid w:val="00AF742A"/>
    <w:rsid w:val="00AF7830"/>
    <w:rsid w:val="00B00546"/>
    <w:rsid w:val="00B005BA"/>
    <w:rsid w:val="00B0084D"/>
    <w:rsid w:val="00B00E25"/>
    <w:rsid w:val="00B01944"/>
    <w:rsid w:val="00B01C04"/>
    <w:rsid w:val="00B01CEF"/>
    <w:rsid w:val="00B043DC"/>
    <w:rsid w:val="00B046A6"/>
    <w:rsid w:val="00B0533E"/>
    <w:rsid w:val="00B0558A"/>
    <w:rsid w:val="00B06046"/>
    <w:rsid w:val="00B065B3"/>
    <w:rsid w:val="00B06A5D"/>
    <w:rsid w:val="00B06B5D"/>
    <w:rsid w:val="00B06FD3"/>
    <w:rsid w:val="00B07003"/>
    <w:rsid w:val="00B07048"/>
    <w:rsid w:val="00B0749F"/>
    <w:rsid w:val="00B07F9E"/>
    <w:rsid w:val="00B100C9"/>
    <w:rsid w:val="00B11277"/>
    <w:rsid w:val="00B11966"/>
    <w:rsid w:val="00B12494"/>
    <w:rsid w:val="00B124C0"/>
    <w:rsid w:val="00B12748"/>
    <w:rsid w:val="00B1298B"/>
    <w:rsid w:val="00B12CCF"/>
    <w:rsid w:val="00B1359F"/>
    <w:rsid w:val="00B13973"/>
    <w:rsid w:val="00B13999"/>
    <w:rsid w:val="00B139CB"/>
    <w:rsid w:val="00B139FE"/>
    <w:rsid w:val="00B13A18"/>
    <w:rsid w:val="00B13AEE"/>
    <w:rsid w:val="00B13C97"/>
    <w:rsid w:val="00B15562"/>
    <w:rsid w:val="00B16A54"/>
    <w:rsid w:val="00B177B3"/>
    <w:rsid w:val="00B177C0"/>
    <w:rsid w:val="00B17D9E"/>
    <w:rsid w:val="00B17E3A"/>
    <w:rsid w:val="00B207CD"/>
    <w:rsid w:val="00B20EB2"/>
    <w:rsid w:val="00B212B6"/>
    <w:rsid w:val="00B21530"/>
    <w:rsid w:val="00B21748"/>
    <w:rsid w:val="00B21B41"/>
    <w:rsid w:val="00B21F3E"/>
    <w:rsid w:val="00B24A87"/>
    <w:rsid w:val="00B24C2F"/>
    <w:rsid w:val="00B25B57"/>
    <w:rsid w:val="00B26A6A"/>
    <w:rsid w:val="00B26F26"/>
    <w:rsid w:val="00B279DB"/>
    <w:rsid w:val="00B3012F"/>
    <w:rsid w:val="00B30E41"/>
    <w:rsid w:val="00B30EA5"/>
    <w:rsid w:val="00B30FA4"/>
    <w:rsid w:val="00B31040"/>
    <w:rsid w:val="00B31787"/>
    <w:rsid w:val="00B31DB2"/>
    <w:rsid w:val="00B32560"/>
    <w:rsid w:val="00B334F7"/>
    <w:rsid w:val="00B33C0A"/>
    <w:rsid w:val="00B34287"/>
    <w:rsid w:val="00B34469"/>
    <w:rsid w:val="00B34CA1"/>
    <w:rsid w:val="00B352F0"/>
    <w:rsid w:val="00B35D23"/>
    <w:rsid w:val="00B36456"/>
    <w:rsid w:val="00B36D7D"/>
    <w:rsid w:val="00B37B73"/>
    <w:rsid w:val="00B37BAC"/>
    <w:rsid w:val="00B37BD2"/>
    <w:rsid w:val="00B37CAF"/>
    <w:rsid w:val="00B37E0F"/>
    <w:rsid w:val="00B40348"/>
    <w:rsid w:val="00B405BD"/>
    <w:rsid w:val="00B41470"/>
    <w:rsid w:val="00B41542"/>
    <w:rsid w:val="00B417B0"/>
    <w:rsid w:val="00B41AFA"/>
    <w:rsid w:val="00B4235D"/>
    <w:rsid w:val="00B423BB"/>
    <w:rsid w:val="00B426F4"/>
    <w:rsid w:val="00B428D9"/>
    <w:rsid w:val="00B42B06"/>
    <w:rsid w:val="00B4307A"/>
    <w:rsid w:val="00B4320E"/>
    <w:rsid w:val="00B433D6"/>
    <w:rsid w:val="00B43A42"/>
    <w:rsid w:val="00B43AB5"/>
    <w:rsid w:val="00B43CD6"/>
    <w:rsid w:val="00B4409A"/>
    <w:rsid w:val="00B44750"/>
    <w:rsid w:val="00B451D3"/>
    <w:rsid w:val="00B46532"/>
    <w:rsid w:val="00B46677"/>
    <w:rsid w:val="00B467AC"/>
    <w:rsid w:val="00B468FA"/>
    <w:rsid w:val="00B46A5A"/>
    <w:rsid w:val="00B475AD"/>
    <w:rsid w:val="00B47BC5"/>
    <w:rsid w:val="00B50897"/>
    <w:rsid w:val="00B50B07"/>
    <w:rsid w:val="00B513F1"/>
    <w:rsid w:val="00B526A1"/>
    <w:rsid w:val="00B5291A"/>
    <w:rsid w:val="00B53306"/>
    <w:rsid w:val="00B53E3D"/>
    <w:rsid w:val="00B5416B"/>
    <w:rsid w:val="00B54D28"/>
    <w:rsid w:val="00B54F4D"/>
    <w:rsid w:val="00B55BD4"/>
    <w:rsid w:val="00B55EDB"/>
    <w:rsid w:val="00B5687F"/>
    <w:rsid w:val="00B56A78"/>
    <w:rsid w:val="00B56AD4"/>
    <w:rsid w:val="00B56B49"/>
    <w:rsid w:val="00B56BA6"/>
    <w:rsid w:val="00B56F35"/>
    <w:rsid w:val="00B571FF"/>
    <w:rsid w:val="00B57327"/>
    <w:rsid w:val="00B57355"/>
    <w:rsid w:val="00B5783F"/>
    <w:rsid w:val="00B57A1E"/>
    <w:rsid w:val="00B602FA"/>
    <w:rsid w:val="00B606B4"/>
    <w:rsid w:val="00B61251"/>
    <w:rsid w:val="00B61C2A"/>
    <w:rsid w:val="00B61D96"/>
    <w:rsid w:val="00B624B6"/>
    <w:rsid w:val="00B62804"/>
    <w:rsid w:val="00B62945"/>
    <w:rsid w:val="00B62FBA"/>
    <w:rsid w:val="00B63299"/>
    <w:rsid w:val="00B636B2"/>
    <w:rsid w:val="00B63B59"/>
    <w:rsid w:val="00B65A65"/>
    <w:rsid w:val="00B65D25"/>
    <w:rsid w:val="00B65FB5"/>
    <w:rsid w:val="00B674AD"/>
    <w:rsid w:val="00B679F8"/>
    <w:rsid w:val="00B67D21"/>
    <w:rsid w:val="00B67E04"/>
    <w:rsid w:val="00B67E4E"/>
    <w:rsid w:val="00B70763"/>
    <w:rsid w:val="00B71063"/>
    <w:rsid w:val="00B712CC"/>
    <w:rsid w:val="00B713FA"/>
    <w:rsid w:val="00B7140A"/>
    <w:rsid w:val="00B717AE"/>
    <w:rsid w:val="00B71FF0"/>
    <w:rsid w:val="00B73354"/>
    <w:rsid w:val="00B733DD"/>
    <w:rsid w:val="00B73794"/>
    <w:rsid w:val="00B73D77"/>
    <w:rsid w:val="00B73E4B"/>
    <w:rsid w:val="00B75F43"/>
    <w:rsid w:val="00B75F61"/>
    <w:rsid w:val="00B76CA6"/>
    <w:rsid w:val="00B77325"/>
    <w:rsid w:val="00B775CA"/>
    <w:rsid w:val="00B77793"/>
    <w:rsid w:val="00B8049E"/>
    <w:rsid w:val="00B80937"/>
    <w:rsid w:val="00B809C0"/>
    <w:rsid w:val="00B80ADB"/>
    <w:rsid w:val="00B80C66"/>
    <w:rsid w:val="00B80E22"/>
    <w:rsid w:val="00B80F53"/>
    <w:rsid w:val="00B810D3"/>
    <w:rsid w:val="00B813CC"/>
    <w:rsid w:val="00B815F2"/>
    <w:rsid w:val="00B816DC"/>
    <w:rsid w:val="00B817B1"/>
    <w:rsid w:val="00B81A74"/>
    <w:rsid w:val="00B81E3E"/>
    <w:rsid w:val="00B82115"/>
    <w:rsid w:val="00B82184"/>
    <w:rsid w:val="00B823B5"/>
    <w:rsid w:val="00B824FD"/>
    <w:rsid w:val="00B82713"/>
    <w:rsid w:val="00B83072"/>
    <w:rsid w:val="00B8347F"/>
    <w:rsid w:val="00B839AA"/>
    <w:rsid w:val="00B83AD8"/>
    <w:rsid w:val="00B83FEE"/>
    <w:rsid w:val="00B84061"/>
    <w:rsid w:val="00B84D65"/>
    <w:rsid w:val="00B84F72"/>
    <w:rsid w:val="00B853DD"/>
    <w:rsid w:val="00B86633"/>
    <w:rsid w:val="00B86CC5"/>
    <w:rsid w:val="00B9051F"/>
    <w:rsid w:val="00B924D0"/>
    <w:rsid w:val="00B9314C"/>
    <w:rsid w:val="00B9326C"/>
    <w:rsid w:val="00B93709"/>
    <w:rsid w:val="00B94E53"/>
    <w:rsid w:val="00B94EEB"/>
    <w:rsid w:val="00B95381"/>
    <w:rsid w:val="00B95393"/>
    <w:rsid w:val="00B953CC"/>
    <w:rsid w:val="00B9652C"/>
    <w:rsid w:val="00B9679E"/>
    <w:rsid w:val="00B96ABA"/>
    <w:rsid w:val="00B96C93"/>
    <w:rsid w:val="00B97E70"/>
    <w:rsid w:val="00BA1D95"/>
    <w:rsid w:val="00BA2713"/>
    <w:rsid w:val="00BA2D95"/>
    <w:rsid w:val="00BA3797"/>
    <w:rsid w:val="00BA5514"/>
    <w:rsid w:val="00BA55DC"/>
    <w:rsid w:val="00BA584C"/>
    <w:rsid w:val="00BA5EBC"/>
    <w:rsid w:val="00BA6D35"/>
    <w:rsid w:val="00BA6DE5"/>
    <w:rsid w:val="00BB02DD"/>
    <w:rsid w:val="00BB0AC9"/>
    <w:rsid w:val="00BB0C4A"/>
    <w:rsid w:val="00BB1B1E"/>
    <w:rsid w:val="00BB2E72"/>
    <w:rsid w:val="00BB47D8"/>
    <w:rsid w:val="00BB4D07"/>
    <w:rsid w:val="00BB50E4"/>
    <w:rsid w:val="00BB5326"/>
    <w:rsid w:val="00BB5785"/>
    <w:rsid w:val="00BB7634"/>
    <w:rsid w:val="00BB78FE"/>
    <w:rsid w:val="00BB7A93"/>
    <w:rsid w:val="00BB7B64"/>
    <w:rsid w:val="00BB7BB3"/>
    <w:rsid w:val="00BC0138"/>
    <w:rsid w:val="00BC0A57"/>
    <w:rsid w:val="00BC0A94"/>
    <w:rsid w:val="00BC0C2E"/>
    <w:rsid w:val="00BC1561"/>
    <w:rsid w:val="00BC1D5E"/>
    <w:rsid w:val="00BC2CF3"/>
    <w:rsid w:val="00BC3C66"/>
    <w:rsid w:val="00BC4ED9"/>
    <w:rsid w:val="00BC57B8"/>
    <w:rsid w:val="00BC5923"/>
    <w:rsid w:val="00BC5ECA"/>
    <w:rsid w:val="00BC62E9"/>
    <w:rsid w:val="00BC6A00"/>
    <w:rsid w:val="00BC6B1F"/>
    <w:rsid w:val="00BD03EA"/>
    <w:rsid w:val="00BD056E"/>
    <w:rsid w:val="00BD061E"/>
    <w:rsid w:val="00BD22DF"/>
    <w:rsid w:val="00BD3296"/>
    <w:rsid w:val="00BD32D9"/>
    <w:rsid w:val="00BD4320"/>
    <w:rsid w:val="00BD4382"/>
    <w:rsid w:val="00BD4F61"/>
    <w:rsid w:val="00BD5042"/>
    <w:rsid w:val="00BD54F8"/>
    <w:rsid w:val="00BD5CC0"/>
    <w:rsid w:val="00BD5E22"/>
    <w:rsid w:val="00BD6227"/>
    <w:rsid w:val="00BD7779"/>
    <w:rsid w:val="00BE0BDA"/>
    <w:rsid w:val="00BE0C8A"/>
    <w:rsid w:val="00BE1202"/>
    <w:rsid w:val="00BE166B"/>
    <w:rsid w:val="00BE1BB6"/>
    <w:rsid w:val="00BE2915"/>
    <w:rsid w:val="00BE3121"/>
    <w:rsid w:val="00BE366A"/>
    <w:rsid w:val="00BE3EED"/>
    <w:rsid w:val="00BE4BA0"/>
    <w:rsid w:val="00BE4CF7"/>
    <w:rsid w:val="00BE501A"/>
    <w:rsid w:val="00BE58E1"/>
    <w:rsid w:val="00BE7577"/>
    <w:rsid w:val="00BE76CF"/>
    <w:rsid w:val="00BE7BAD"/>
    <w:rsid w:val="00BF00AD"/>
    <w:rsid w:val="00BF0984"/>
    <w:rsid w:val="00BF143B"/>
    <w:rsid w:val="00BF1ECB"/>
    <w:rsid w:val="00BF229A"/>
    <w:rsid w:val="00BF2ADA"/>
    <w:rsid w:val="00BF3CA2"/>
    <w:rsid w:val="00BF4BA9"/>
    <w:rsid w:val="00BF5203"/>
    <w:rsid w:val="00BF570D"/>
    <w:rsid w:val="00BF5922"/>
    <w:rsid w:val="00BF667B"/>
    <w:rsid w:val="00BF6F6A"/>
    <w:rsid w:val="00BF7231"/>
    <w:rsid w:val="00BF7706"/>
    <w:rsid w:val="00BF7E41"/>
    <w:rsid w:val="00C00075"/>
    <w:rsid w:val="00C0042E"/>
    <w:rsid w:val="00C01418"/>
    <w:rsid w:val="00C01BF7"/>
    <w:rsid w:val="00C01EF3"/>
    <w:rsid w:val="00C022E2"/>
    <w:rsid w:val="00C02858"/>
    <w:rsid w:val="00C03005"/>
    <w:rsid w:val="00C0356B"/>
    <w:rsid w:val="00C039D9"/>
    <w:rsid w:val="00C04A59"/>
    <w:rsid w:val="00C053C7"/>
    <w:rsid w:val="00C06663"/>
    <w:rsid w:val="00C074BA"/>
    <w:rsid w:val="00C10197"/>
    <w:rsid w:val="00C106D4"/>
    <w:rsid w:val="00C1080E"/>
    <w:rsid w:val="00C10889"/>
    <w:rsid w:val="00C10A7E"/>
    <w:rsid w:val="00C11AE1"/>
    <w:rsid w:val="00C11D5B"/>
    <w:rsid w:val="00C129BA"/>
    <w:rsid w:val="00C12D27"/>
    <w:rsid w:val="00C1378E"/>
    <w:rsid w:val="00C14577"/>
    <w:rsid w:val="00C1524C"/>
    <w:rsid w:val="00C15846"/>
    <w:rsid w:val="00C15CE0"/>
    <w:rsid w:val="00C15E24"/>
    <w:rsid w:val="00C17246"/>
    <w:rsid w:val="00C173FC"/>
    <w:rsid w:val="00C17A28"/>
    <w:rsid w:val="00C200A4"/>
    <w:rsid w:val="00C201B3"/>
    <w:rsid w:val="00C201FE"/>
    <w:rsid w:val="00C218F1"/>
    <w:rsid w:val="00C23564"/>
    <w:rsid w:val="00C23917"/>
    <w:rsid w:val="00C248C5"/>
    <w:rsid w:val="00C24CA4"/>
    <w:rsid w:val="00C263A8"/>
    <w:rsid w:val="00C26A01"/>
    <w:rsid w:val="00C2780D"/>
    <w:rsid w:val="00C27BB0"/>
    <w:rsid w:val="00C27D8D"/>
    <w:rsid w:val="00C311BA"/>
    <w:rsid w:val="00C3126A"/>
    <w:rsid w:val="00C31E39"/>
    <w:rsid w:val="00C32AB3"/>
    <w:rsid w:val="00C32C7A"/>
    <w:rsid w:val="00C33AC9"/>
    <w:rsid w:val="00C348B7"/>
    <w:rsid w:val="00C35A79"/>
    <w:rsid w:val="00C35F31"/>
    <w:rsid w:val="00C35FEE"/>
    <w:rsid w:val="00C36375"/>
    <w:rsid w:val="00C3656E"/>
    <w:rsid w:val="00C36BD4"/>
    <w:rsid w:val="00C370F6"/>
    <w:rsid w:val="00C37146"/>
    <w:rsid w:val="00C37326"/>
    <w:rsid w:val="00C37707"/>
    <w:rsid w:val="00C4000C"/>
    <w:rsid w:val="00C4015B"/>
    <w:rsid w:val="00C402BC"/>
    <w:rsid w:val="00C402C2"/>
    <w:rsid w:val="00C40B4B"/>
    <w:rsid w:val="00C4174F"/>
    <w:rsid w:val="00C4199C"/>
    <w:rsid w:val="00C41B2B"/>
    <w:rsid w:val="00C41C2D"/>
    <w:rsid w:val="00C4236B"/>
    <w:rsid w:val="00C43559"/>
    <w:rsid w:val="00C442F5"/>
    <w:rsid w:val="00C45187"/>
    <w:rsid w:val="00C4624A"/>
    <w:rsid w:val="00C465EB"/>
    <w:rsid w:val="00C46EDD"/>
    <w:rsid w:val="00C47614"/>
    <w:rsid w:val="00C50DBA"/>
    <w:rsid w:val="00C51C4A"/>
    <w:rsid w:val="00C52327"/>
    <w:rsid w:val="00C53E3D"/>
    <w:rsid w:val="00C54351"/>
    <w:rsid w:val="00C5439B"/>
    <w:rsid w:val="00C549B5"/>
    <w:rsid w:val="00C54FB0"/>
    <w:rsid w:val="00C55561"/>
    <w:rsid w:val="00C55E59"/>
    <w:rsid w:val="00C560D5"/>
    <w:rsid w:val="00C56351"/>
    <w:rsid w:val="00C563E1"/>
    <w:rsid w:val="00C56EE4"/>
    <w:rsid w:val="00C60062"/>
    <w:rsid w:val="00C60BD9"/>
    <w:rsid w:val="00C61040"/>
    <w:rsid w:val="00C6139C"/>
    <w:rsid w:val="00C6196F"/>
    <w:rsid w:val="00C61A11"/>
    <w:rsid w:val="00C6236C"/>
    <w:rsid w:val="00C624E2"/>
    <w:rsid w:val="00C62DCB"/>
    <w:rsid w:val="00C632A8"/>
    <w:rsid w:val="00C6333F"/>
    <w:rsid w:val="00C63737"/>
    <w:rsid w:val="00C640C3"/>
    <w:rsid w:val="00C64689"/>
    <w:rsid w:val="00C6469E"/>
    <w:rsid w:val="00C6482E"/>
    <w:rsid w:val="00C64B36"/>
    <w:rsid w:val="00C64C38"/>
    <w:rsid w:val="00C64F7F"/>
    <w:rsid w:val="00C65196"/>
    <w:rsid w:val="00C66329"/>
    <w:rsid w:val="00C6646E"/>
    <w:rsid w:val="00C66BF1"/>
    <w:rsid w:val="00C66CF6"/>
    <w:rsid w:val="00C678FF"/>
    <w:rsid w:val="00C70C5B"/>
    <w:rsid w:val="00C712D3"/>
    <w:rsid w:val="00C712E6"/>
    <w:rsid w:val="00C71696"/>
    <w:rsid w:val="00C72118"/>
    <w:rsid w:val="00C721D6"/>
    <w:rsid w:val="00C7286E"/>
    <w:rsid w:val="00C7313B"/>
    <w:rsid w:val="00C731D9"/>
    <w:rsid w:val="00C73495"/>
    <w:rsid w:val="00C73A3E"/>
    <w:rsid w:val="00C73F55"/>
    <w:rsid w:val="00C7543C"/>
    <w:rsid w:val="00C754B9"/>
    <w:rsid w:val="00C75B81"/>
    <w:rsid w:val="00C75DAB"/>
    <w:rsid w:val="00C75E73"/>
    <w:rsid w:val="00C767C8"/>
    <w:rsid w:val="00C76C64"/>
    <w:rsid w:val="00C77F4C"/>
    <w:rsid w:val="00C80118"/>
    <w:rsid w:val="00C81170"/>
    <w:rsid w:val="00C8177A"/>
    <w:rsid w:val="00C81B4E"/>
    <w:rsid w:val="00C82082"/>
    <w:rsid w:val="00C82F20"/>
    <w:rsid w:val="00C83190"/>
    <w:rsid w:val="00C843EA"/>
    <w:rsid w:val="00C84BAB"/>
    <w:rsid w:val="00C84C48"/>
    <w:rsid w:val="00C858C4"/>
    <w:rsid w:val="00C85A4B"/>
    <w:rsid w:val="00C86392"/>
    <w:rsid w:val="00C86F64"/>
    <w:rsid w:val="00C8708D"/>
    <w:rsid w:val="00C87184"/>
    <w:rsid w:val="00C87455"/>
    <w:rsid w:val="00C879EA"/>
    <w:rsid w:val="00C87A6B"/>
    <w:rsid w:val="00C92043"/>
    <w:rsid w:val="00C928F6"/>
    <w:rsid w:val="00C92903"/>
    <w:rsid w:val="00C92B2F"/>
    <w:rsid w:val="00C92FDC"/>
    <w:rsid w:val="00C94D0F"/>
    <w:rsid w:val="00C94E34"/>
    <w:rsid w:val="00C96214"/>
    <w:rsid w:val="00C9677C"/>
    <w:rsid w:val="00C967B6"/>
    <w:rsid w:val="00C96918"/>
    <w:rsid w:val="00C96B64"/>
    <w:rsid w:val="00CA0136"/>
    <w:rsid w:val="00CA0652"/>
    <w:rsid w:val="00CA0AD1"/>
    <w:rsid w:val="00CA0EE5"/>
    <w:rsid w:val="00CA0FEB"/>
    <w:rsid w:val="00CA120A"/>
    <w:rsid w:val="00CA1E68"/>
    <w:rsid w:val="00CA1E88"/>
    <w:rsid w:val="00CA1EA1"/>
    <w:rsid w:val="00CA2632"/>
    <w:rsid w:val="00CA2A2C"/>
    <w:rsid w:val="00CA2EB5"/>
    <w:rsid w:val="00CA3273"/>
    <w:rsid w:val="00CA3398"/>
    <w:rsid w:val="00CA385B"/>
    <w:rsid w:val="00CA3932"/>
    <w:rsid w:val="00CA3BE0"/>
    <w:rsid w:val="00CA4357"/>
    <w:rsid w:val="00CA4785"/>
    <w:rsid w:val="00CA4BAC"/>
    <w:rsid w:val="00CA4D6E"/>
    <w:rsid w:val="00CA5EE0"/>
    <w:rsid w:val="00CA6318"/>
    <w:rsid w:val="00CA6C44"/>
    <w:rsid w:val="00CA6EED"/>
    <w:rsid w:val="00CA7645"/>
    <w:rsid w:val="00CA7BB3"/>
    <w:rsid w:val="00CB1F46"/>
    <w:rsid w:val="00CB23AE"/>
    <w:rsid w:val="00CB2AA5"/>
    <w:rsid w:val="00CB2E7A"/>
    <w:rsid w:val="00CB36D9"/>
    <w:rsid w:val="00CB3E5D"/>
    <w:rsid w:val="00CB43A9"/>
    <w:rsid w:val="00CB45F3"/>
    <w:rsid w:val="00CB4C0F"/>
    <w:rsid w:val="00CB5F0D"/>
    <w:rsid w:val="00CB644C"/>
    <w:rsid w:val="00CB67BF"/>
    <w:rsid w:val="00CB71FF"/>
    <w:rsid w:val="00CB7AC3"/>
    <w:rsid w:val="00CB7DFB"/>
    <w:rsid w:val="00CC1053"/>
    <w:rsid w:val="00CC1667"/>
    <w:rsid w:val="00CC1A0B"/>
    <w:rsid w:val="00CC238B"/>
    <w:rsid w:val="00CC272D"/>
    <w:rsid w:val="00CC2A14"/>
    <w:rsid w:val="00CC2B62"/>
    <w:rsid w:val="00CC3173"/>
    <w:rsid w:val="00CC366C"/>
    <w:rsid w:val="00CC37C3"/>
    <w:rsid w:val="00CC3A90"/>
    <w:rsid w:val="00CC4DC2"/>
    <w:rsid w:val="00CC56BC"/>
    <w:rsid w:val="00CC5990"/>
    <w:rsid w:val="00CC5994"/>
    <w:rsid w:val="00CC601E"/>
    <w:rsid w:val="00CC62F3"/>
    <w:rsid w:val="00CC63C8"/>
    <w:rsid w:val="00CC6981"/>
    <w:rsid w:val="00CC6C02"/>
    <w:rsid w:val="00CC7B27"/>
    <w:rsid w:val="00CD00F0"/>
    <w:rsid w:val="00CD0A6A"/>
    <w:rsid w:val="00CD0B8B"/>
    <w:rsid w:val="00CD0C40"/>
    <w:rsid w:val="00CD112D"/>
    <w:rsid w:val="00CD1827"/>
    <w:rsid w:val="00CD185B"/>
    <w:rsid w:val="00CD1990"/>
    <w:rsid w:val="00CD1CAF"/>
    <w:rsid w:val="00CD2DC8"/>
    <w:rsid w:val="00CD3002"/>
    <w:rsid w:val="00CD30DF"/>
    <w:rsid w:val="00CD312D"/>
    <w:rsid w:val="00CD37F7"/>
    <w:rsid w:val="00CD52B3"/>
    <w:rsid w:val="00CD5B6A"/>
    <w:rsid w:val="00CD6976"/>
    <w:rsid w:val="00CD73CB"/>
    <w:rsid w:val="00CD7E65"/>
    <w:rsid w:val="00CE001C"/>
    <w:rsid w:val="00CE0563"/>
    <w:rsid w:val="00CE17A0"/>
    <w:rsid w:val="00CE180F"/>
    <w:rsid w:val="00CE2155"/>
    <w:rsid w:val="00CE2387"/>
    <w:rsid w:val="00CE24DB"/>
    <w:rsid w:val="00CE3B12"/>
    <w:rsid w:val="00CE40C8"/>
    <w:rsid w:val="00CE5B83"/>
    <w:rsid w:val="00CE64AE"/>
    <w:rsid w:val="00CE695B"/>
    <w:rsid w:val="00CE6FB8"/>
    <w:rsid w:val="00CE714A"/>
    <w:rsid w:val="00CE74B0"/>
    <w:rsid w:val="00CE7CB4"/>
    <w:rsid w:val="00CE7DF0"/>
    <w:rsid w:val="00CF04E9"/>
    <w:rsid w:val="00CF062F"/>
    <w:rsid w:val="00CF069F"/>
    <w:rsid w:val="00CF086B"/>
    <w:rsid w:val="00CF0A78"/>
    <w:rsid w:val="00CF0CEB"/>
    <w:rsid w:val="00CF148D"/>
    <w:rsid w:val="00CF1667"/>
    <w:rsid w:val="00CF198B"/>
    <w:rsid w:val="00CF21A8"/>
    <w:rsid w:val="00CF230D"/>
    <w:rsid w:val="00CF31E1"/>
    <w:rsid w:val="00CF3FB1"/>
    <w:rsid w:val="00CF4AE7"/>
    <w:rsid w:val="00CF4F05"/>
    <w:rsid w:val="00CF53E5"/>
    <w:rsid w:val="00CF5B7A"/>
    <w:rsid w:val="00CF6930"/>
    <w:rsid w:val="00CF6DD9"/>
    <w:rsid w:val="00CF7351"/>
    <w:rsid w:val="00CF7A01"/>
    <w:rsid w:val="00CF7FEB"/>
    <w:rsid w:val="00D00478"/>
    <w:rsid w:val="00D01676"/>
    <w:rsid w:val="00D01EEE"/>
    <w:rsid w:val="00D02180"/>
    <w:rsid w:val="00D025E3"/>
    <w:rsid w:val="00D026BE"/>
    <w:rsid w:val="00D034AA"/>
    <w:rsid w:val="00D0442F"/>
    <w:rsid w:val="00D0454A"/>
    <w:rsid w:val="00D060F3"/>
    <w:rsid w:val="00D06117"/>
    <w:rsid w:val="00D06761"/>
    <w:rsid w:val="00D07F0B"/>
    <w:rsid w:val="00D100F4"/>
    <w:rsid w:val="00D10AC4"/>
    <w:rsid w:val="00D11455"/>
    <w:rsid w:val="00D11A80"/>
    <w:rsid w:val="00D12016"/>
    <w:rsid w:val="00D1217B"/>
    <w:rsid w:val="00D125DB"/>
    <w:rsid w:val="00D12AC6"/>
    <w:rsid w:val="00D1309B"/>
    <w:rsid w:val="00D1378E"/>
    <w:rsid w:val="00D13B4A"/>
    <w:rsid w:val="00D13DD6"/>
    <w:rsid w:val="00D1417B"/>
    <w:rsid w:val="00D149BC"/>
    <w:rsid w:val="00D14BD7"/>
    <w:rsid w:val="00D151CC"/>
    <w:rsid w:val="00D15951"/>
    <w:rsid w:val="00D15A55"/>
    <w:rsid w:val="00D1646F"/>
    <w:rsid w:val="00D16724"/>
    <w:rsid w:val="00D170DB"/>
    <w:rsid w:val="00D171A6"/>
    <w:rsid w:val="00D17495"/>
    <w:rsid w:val="00D1785B"/>
    <w:rsid w:val="00D1787F"/>
    <w:rsid w:val="00D17990"/>
    <w:rsid w:val="00D2088D"/>
    <w:rsid w:val="00D22484"/>
    <w:rsid w:val="00D229A0"/>
    <w:rsid w:val="00D22DB1"/>
    <w:rsid w:val="00D22EEC"/>
    <w:rsid w:val="00D2398D"/>
    <w:rsid w:val="00D23CD6"/>
    <w:rsid w:val="00D23CE4"/>
    <w:rsid w:val="00D2423B"/>
    <w:rsid w:val="00D24801"/>
    <w:rsid w:val="00D24F79"/>
    <w:rsid w:val="00D251E7"/>
    <w:rsid w:val="00D254C5"/>
    <w:rsid w:val="00D25E8B"/>
    <w:rsid w:val="00D26533"/>
    <w:rsid w:val="00D265C9"/>
    <w:rsid w:val="00D267F0"/>
    <w:rsid w:val="00D2684B"/>
    <w:rsid w:val="00D26AF9"/>
    <w:rsid w:val="00D27043"/>
    <w:rsid w:val="00D277D0"/>
    <w:rsid w:val="00D27F14"/>
    <w:rsid w:val="00D30011"/>
    <w:rsid w:val="00D3041D"/>
    <w:rsid w:val="00D30439"/>
    <w:rsid w:val="00D306C5"/>
    <w:rsid w:val="00D31EEA"/>
    <w:rsid w:val="00D320C6"/>
    <w:rsid w:val="00D323B8"/>
    <w:rsid w:val="00D3250D"/>
    <w:rsid w:val="00D32905"/>
    <w:rsid w:val="00D32B76"/>
    <w:rsid w:val="00D32E39"/>
    <w:rsid w:val="00D331D1"/>
    <w:rsid w:val="00D34112"/>
    <w:rsid w:val="00D34254"/>
    <w:rsid w:val="00D34293"/>
    <w:rsid w:val="00D347E7"/>
    <w:rsid w:val="00D34C36"/>
    <w:rsid w:val="00D35685"/>
    <w:rsid w:val="00D35720"/>
    <w:rsid w:val="00D3645A"/>
    <w:rsid w:val="00D36538"/>
    <w:rsid w:val="00D379EC"/>
    <w:rsid w:val="00D37BEF"/>
    <w:rsid w:val="00D402DE"/>
    <w:rsid w:val="00D40A1C"/>
    <w:rsid w:val="00D40F22"/>
    <w:rsid w:val="00D4118A"/>
    <w:rsid w:val="00D4129A"/>
    <w:rsid w:val="00D418AF"/>
    <w:rsid w:val="00D41E1D"/>
    <w:rsid w:val="00D422BD"/>
    <w:rsid w:val="00D425DD"/>
    <w:rsid w:val="00D42A8D"/>
    <w:rsid w:val="00D440C3"/>
    <w:rsid w:val="00D442F8"/>
    <w:rsid w:val="00D446B6"/>
    <w:rsid w:val="00D44FCD"/>
    <w:rsid w:val="00D4575C"/>
    <w:rsid w:val="00D45D79"/>
    <w:rsid w:val="00D4606C"/>
    <w:rsid w:val="00D4621E"/>
    <w:rsid w:val="00D4673D"/>
    <w:rsid w:val="00D50213"/>
    <w:rsid w:val="00D5055C"/>
    <w:rsid w:val="00D507BD"/>
    <w:rsid w:val="00D507C7"/>
    <w:rsid w:val="00D508EA"/>
    <w:rsid w:val="00D50A1E"/>
    <w:rsid w:val="00D50A5D"/>
    <w:rsid w:val="00D50AE4"/>
    <w:rsid w:val="00D50B08"/>
    <w:rsid w:val="00D50C01"/>
    <w:rsid w:val="00D50C1C"/>
    <w:rsid w:val="00D510F7"/>
    <w:rsid w:val="00D512AE"/>
    <w:rsid w:val="00D51306"/>
    <w:rsid w:val="00D5232F"/>
    <w:rsid w:val="00D529A4"/>
    <w:rsid w:val="00D5382C"/>
    <w:rsid w:val="00D54B4C"/>
    <w:rsid w:val="00D550DF"/>
    <w:rsid w:val="00D55AC1"/>
    <w:rsid w:val="00D56C40"/>
    <w:rsid w:val="00D56CF1"/>
    <w:rsid w:val="00D57D52"/>
    <w:rsid w:val="00D57F69"/>
    <w:rsid w:val="00D6012A"/>
    <w:rsid w:val="00D6036D"/>
    <w:rsid w:val="00D60394"/>
    <w:rsid w:val="00D60483"/>
    <w:rsid w:val="00D61A31"/>
    <w:rsid w:val="00D61AED"/>
    <w:rsid w:val="00D62168"/>
    <w:rsid w:val="00D6220F"/>
    <w:rsid w:val="00D626FB"/>
    <w:rsid w:val="00D6276D"/>
    <w:rsid w:val="00D629C6"/>
    <w:rsid w:val="00D62D28"/>
    <w:rsid w:val="00D62EE8"/>
    <w:rsid w:val="00D64A33"/>
    <w:rsid w:val="00D66583"/>
    <w:rsid w:val="00D66B2B"/>
    <w:rsid w:val="00D67129"/>
    <w:rsid w:val="00D6738D"/>
    <w:rsid w:val="00D67FDA"/>
    <w:rsid w:val="00D7075C"/>
    <w:rsid w:val="00D70D2B"/>
    <w:rsid w:val="00D7146D"/>
    <w:rsid w:val="00D719FA"/>
    <w:rsid w:val="00D720A3"/>
    <w:rsid w:val="00D7239B"/>
    <w:rsid w:val="00D7255F"/>
    <w:rsid w:val="00D72689"/>
    <w:rsid w:val="00D728D2"/>
    <w:rsid w:val="00D72D78"/>
    <w:rsid w:val="00D72F3A"/>
    <w:rsid w:val="00D74BC9"/>
    <w:rsid w:val="00D74DB1"/>
    <w:rsid w:val="00D75529"/>
    <w:rsid w:val="00D757CC"/>
    <w:rsid w:val="00D75CB3"/>
    <w:rsid w:val="00D76003"/>
    <w:rsid w:val="00D7723F"/>
    <w:rsid w:val="00D77377"/>
    <w:rsid w:val="00D77BB9"/>
    <w:rsid w:val="00D77E9B"/>
    <w:rsid w:val="00D81865"/>
    <w:rsid w:val="00D8235F"/>
    <w:rsid w:val="00D8277A"/>
    <w:rsid w:val="00D82B90"/>
    <w:rsid w:val="00D83187"/>
    <w:rsid w:val="00D84B72"/>
    <w:rsid w:val="00D85150"/>
    <w:rsid w:val="00D851CA"/>
    <w:rsid w:val="00D8557A"/>
    <w:rsid w:val="00D85B36"/>
    <w:rsid w:val="00D86A5B"/>
    <w:rsid w:val="00D86C6D"/>
    <w:rsid w:val="00D8706E"/>
    <w:rsid w:val="00D87F32"/>
    <w:rsid w:val="00D9034F"/>
    <w:rsid w:val="00D905F7"/>
    <w:rsid w:val="00D9167E"/>
    <w:rsid w:val="00D93A1C"/>
    <w:rsid w:val="00D950B4"/>
    <w:rsid w:val="00D957E7"/>
    <w:rsid w:val="00D95B64"/>
    <w:rsid w:val="00D95F3A"/>
    <w:rsid w:val="00D962C0"/>
    <w:rsid w:val="00D96328"/>
    <w:rsid w:val="00D967FB"/>
    <w:rsid w:val="00D96AB8"/>
    <w:rsid w:val="00D97916"/>
    <w:rsid w:val="00DA0193"/>
    <w:rsid w:val="00DA0B5C"/>
    <w:rsid w:val="00DA0C08"/>
    <w:rsid w:val="00DA12A7"/>
    <w:rsid w:val="00DA1E20"/>
    <w:rsid w:val="00DA1F0F"/>
    <w:rsid w:val="00DA2420"/>
    <w:rsid w:val="00DA25F1"/>
    <w:rsid w:val="00DA2A85"/>
    <w:rsid w:val="00DA2E8B"/>
    <w:rsid w:val="00DA3334"/>
    <w:rsid w:val="00DA3AB0"/>
    <w:rsid w:val="00DA405A"/>
    <w:rsid w:val="00DA472C"/>
    <w:rsid w:val="00DA4FDF"/>
    <w:rsid w:val="00DA5053"/>
    <w:rsid w:val="00DA5311"/>
    <w:rsid w:val="00DA542D"/>
    <w:rsid w:val="00DA5F68"/>
    <w:rsid w:val="00DA68DA"/>
    <w:rsid w:val="00DA7895"/>
    <w:rsid w:val="00DA7FB5"/>
    <w:rsid w:val="00DB0DD2"/>
    <w:rsid w:val="00DB11DF"/>
    <w:rsid w:val="00DB15DB"/>
    <w:rsid w:val="00DB1D50"/>
    <w:rsid w:val="00DB1E5B"/>
    <w:rsid w:val="00DB3992"/>
    <w:rsid w:val="00DB3D98"/>
    <w:rsid w:val="00DB41C7"/>
    <w:rsid w:val="00DB4C12"/>
    <w:rsid w:val="00DB5E51"/>
    <w:rsid w:val="00DB5F6B"/>
    <w:rsid w:val="00DB6408"/>
    <w:rsid w:val="00DB6D03"/>
    <w:rsid w:val="00DB7551"/>
    <w:rsid w:val="00DB7B6F"/>
    <w:rsid w:val="00DC02AE"/>
    <w:rsid w:val="00DC02D8"/>
    <w:rsid w:val="00DC17C9"/>
    <w:rsid w:val="00DC1BCB"/>
    <w:rsid w:val="00DC1E84"/>
    <w:rsid w:val="00DC1EB0"/>
    <w:rsid w:val="00DC2363"/>
    <w:rsid w:val="00DC262A"/>
    <w:rsid w:val="00DC32EA"/>
    <w:rsid w:val="00DC3A99"/>
    <w:rsid w:val="00DC3EE1"/>
    <w:rsid w:val="00DC4862"/>
    <w:rsid w:val="00DC49DD"/>
    <w:rsid w:val="00DC6231"/>
    <w:rsid w:val="00DC663F"/>
    <w:rsid w:val="00DC6715"/>
    <w:rsid w:val="00DC6867"/>
    <w:rsid w:val="00DC686F"/>
    <w:rsid w:val="00DC708A"/>
    <w:rsid w:val="00DC744C"/>
    <w:rsid w:val="00DC7778"/>
    <w:rsid w:val="00DD0164"/>
    <w:rsid w:val="00DD05D1"/>
    <w:rsid w:val="00DD0CC7"/>
    <w:rsid w:val="00DD1663"/>
    <w:rsid w:val="00DD1771"/>
    <w:rsid w:val="00DD299D"/>
    <w:rsid w:val="00DD2F15"/>
    <w:rsid w:val="00DD3465"/>
    <w:rsid w:val="00DD3EE8"/>
    <w:rsid w:val="00DD4210"/>
    <w:rsid w:val="00DD4AF5"/>
    <w:rsid w:val="00DD4E2F"/>
    <w:rsid w:val="00DD5537"/>
    <w:rsid w:val="00DD6049"/>
    <w:rsid w:val="00DD643D"/>
    <w:rsid w:val="00DD6C46"/>
    <w:rsid w:val="00DD6D58"/>
    <w:rsid w:val="00DD6E12"/>
    <w:rsid w:val="00DD7675"/>
    <w:rsid w:val="00DD7ADC"/>
    <w:rsid w:val="00DE020F"/>
    <w:rsid w:val="00DE0537"/>
    <w:rsid w:val="00DE0921"/>
    <w:rsid w:val="00DE0C67"/>
    <w:rsid w:val="00DE0C94"/>
    <w:rsid w:val="00DE1686"/>
    <w:rsid w:val="00DE35E8"/>
    <w:rsid w:val="00DE3600"/>
    <w:rsid w:val="00DE37B5"/>
    <w:rsid w:val="00DE3868"/>
    <w:rsid w:val="00DE44F9"/>
    <w:rsid w:val="00DE4806"/>
    <w:rsid w:val="00DE4EC9"/>
    <w:rsid w:val="00DE54DD"/>
    <w:rsid w:val="00DE58F0"/>
    <w:rsid w:val="00DE64CB"/>
    <w:rsid w:val="00DE68B3"/>
    <w:rsid w:val="00DE6F88"/>
    <w:rsid w:val="00DE71CB"/>
    <w:rsid w:val="00DE768A"/>
    <w:rsid w:val="00DF0F64"/>
    <w:rsid w:val="00DF1AE1"/>
    <w:rsid w:val="00DF1DEC"/>
    <w:rsid w:val="00DF217E"/>
    <w:rsid w:val="00DF2632"/>
    <w:rsid w:val="00DF29AB"/>
    <w:rsid w:val="00DF2A0C"/>
    <w:rsid w:val="00DF2C9D"/>
    <w:rsid w:val="00DF2D55"/>
    <w:rsid w:val="00DF30F9"/>
    <w:rsid w:val="00DF356F"/>
    <w:rsid w:val="00DF3CC2"/>
    <w:rsid w:val="00DF4015"/>
    <w:rsid w:val="00DF47D7"/>
    <w:rsid w:val="00DF4BDD"/>
    <w:rsid w:val="00DF4CF2"/>
    <w:rsid w:val="00DF4F11"/>
    <w:rsid w:val="00DF50C2"/>
    <w:rsid w:val="00DF63DF"/>
    <w:rsid w:val="00DF7B79"/>
    <w:rsid w:val="00DF7C1C"/>
    <w:rsid w:val="00E00203"/>
    <w:rsid w:val="00E00BC7"/>
    <w:rsid w:val="00E00FB3"/>
    <w:rsid w:val="00E01947"/>
    <w:rsid w:val="00E01CAB"/>
    <w:rsid w:val="00E02505"/>
    <w:rsid w:val="00E02553"/>
    <w:rsid w:val="00E03078"/>
    <w:rsid w:val="00E03186"/>
    <w:rsid w:val="00E032F2"/>
    <w:rsid w:val="00E03846"/>
    <w:rsid w:val="00E0445D"/>
    <w:rsid w:val="00E0446D"/>
    <w:rsid w:val="00E04588"/>
    <w:rsid w:val="00E051A7"/>
    <w:rsid w:val="00E05BB5"/>
    <w:rsid w:val="00E065FB"/>
    <w:rsid w:val="00E0672B"/>
    <w:rsid w:val="00E06938"/>
    <w:rsid w:val="00E07651"/>
    <w:rsid w:val="00E07CD5"/>
    <w:rsid w:val="00E10512"/>
    <w:rsid w:val="00E1086E"/>
    <w:rsid w:val="00E114EB"/>
    <w:rsid w:val="00E1196F"/>
    <w:rsid w:val="00E11C0C"/>
    <w:rsid w:val="00E11FC5"/>
    <w:rsid w:val="00E124A7"/>
    <w:rsid w:val="00E12A86"/>
    <w:rsid w:val="00E12A99"/>
    <w:rsid w:val="00E12EC7"/>
    <w:rsid w:val="00E132AF"/>
    <w:rsid w:val="00E13ABE"/>
    <w:rsid w:val="00E149F0"/>
    <w:rsid w:val="00E151A1"/>
    <w:rsid w:val="00E15555"/>
    <w:rsid w:val="00E15ADA"/>
    <w:rsid w:val="00E16186"/>
    <w:rsid w:val="00E168E1"/>
    <w:rsid w:val="00E16B19"/>
    <w:rsid w:val="00E16C0D"/>
    <w:rsid w:val="00E16C6D"/>
    <w:rsid w:val="00E20124"/>
    <w:rsid w:val="00E2019A"/>
    <w:rsid w:val="00E20390"/>
    <w:rsid w:val="00E209C8"/>
    <w:rsid w:val="00E20B16"/>
    <w:rsid w:val="00E20D46"/>
    <w:rsid w:val="00E20D84"/>
    <w:rsid w:val="00E2178E"/>
    <w:rsid w:val="00E21E4F"/>
    <w:rsid w:val="00E23461"/>
    <w:rsid w:val="00E240B0"/>
    <w:rsid w:val="00E2434D"/>
    <w:rsid w:val="00E2447F"/>
    <w:rsid w:val="00E24E7F"/>
    <w:rsid w:val="00E250F2"/>
    <w:rsid w:val="00E25E92"/>
    <w:rsid w:val="00E27EE9"/>
    <w:rsid w:val="00E307D5"/>
    <w:rsid w:val="00E30D85"/>
    <w:rsid w:val="00E31645"/>
    <w:rsid w:val="00E322B8"/>
    <w:rsid w:val="00E32304"/>
    <w:rsid w:val="00E3324F"/>
    <w:rsid w:val="00E335F8"/>
    <w:rsid w:val="00E34C55"/>
    <w:rsid w:val="00E351B3"/>
    <w:rsid w:val="00E3546B"/>
    <w:rsid w:val="00E3602C"/>
    <w:rsid w:val="00E375C0"/>
    <w:rsid w:val="00E37876"/>
    <w:rsid w:val="00E37DEC"/>
    <w:rsid w:val="00E40162"/>
    <w:rsid w:val="00E40DB5"/>
    <w:rsid w:val="00E41210"/>
    <w:rsid w:val="00E413F0"/>
    <w:rsid w:val="00E41AB7"/>
    <w:rsid w:val="00E422C9"/>
    <w:rsid w:val="00E42641"/>
    <w:rsid w:val="00E42AAA"/>
    <w:rsid w:val="00E42E70"/>
    <w:rsid w:val="00E4313B"/>
    <w:rsid w:val="00E432A0"/>
    <w:rsid w:val="00E45A6F"/>
    <w:rsid w:val="00E46B76"/>
    <w:rsid w:val="00E471EF"/>
    <w:rsid w:val="00E47547"/>
    <w:rsid w:val="00E47FC9"/>
    <w:rsid w:val="00E50BE2"/>
    <w:rsid w:val="00E514D7"/>
    <w:rsid w:val="00E51E38"/>
    <w:rsid w:val="00E5203F"/>
    <w:rsid w:val="00E52412"/>
    <w:rsid w:val="00E52F1C"/>
    <w:rsid w:val="00E539A9"/>
    <w:rsid w:val="00E53CDC"/>
    <w:rsid w:val="00E54063"/>
    <w:rsid w:val="00E54163"/>
    <w:rsid w:val="00E54DFF"/>
    <w:rsid w:val="00E5512F"/>
    <w:rsid w:val="00E55A46"/>
    <w:rsid w:val="00E55B0A"/>
    <w:rsid w:val="00E55B44"/>
    <w:rsid w:val="00E55DAF"/>
    <w:rsid w:val="00E5625D"/>
    <w:rsid w:val="00E567B7"/>
    <w:rsid w:val="00E56B9E"/>
    <w:rsid w:val="00E56EBF"/>
    <w:rsid w:val="00E5729E"/>
    <w:rsid w:val="00E5731B"/>
    <w:rsid w:val="00E60F4A"/>
    <w:rsid w:val="00E61943"/>
    <w:rsid w:val="00E61C91"/>
    <w:rsid w:val="00E622BC"/>
    <w:rsid w:val="00E6257E"/>
    <w:rsid w:val="00E6369F"/>
    <w:rsid w:val="00E63EF5"/>
    <w:rsid w:val="00E6457A"/>
    <w:rsid w:val="00E64643"/>
    <w:rsid w:val="00E64E15"/>
    <w:rsid w:val="00E6501E"/>
    <w:rsid w:val="00E6587C"/>
    <w:rsid w:val="00E66488"/>
    <w:rsid w:val="00E66A84"/>
    <w:rsid w:val="00E67C87"/>
    <w:rsid w:val="00E70D49"/>
    <w:rsid w:val="00E71F91"/>
    <w:rsid w:val="00E7209A"/>
    <w:rsid w:val="00E722C9"/>
    <w:rsid w:val="00E7286E"/>
    <w:rsid w:val="00E73084"/>
    <w:rsid w:val="00E732D6"/>
    <w:rsid w:val="00E73640"/>
    <w:rsid w:val="00E7366A"/>
    <w:rsid w:val="00E739F0"/>
    <w:rsid w:val="00E73EAE"/>
    <w:rsid w:val="00E74487"/>
    <w:rsid w:val="00E74682"/>
    <w:rsid w:val="00E74696"/>
    <w:rsid w:val="00E7479E"/>
    <w:rsid w:val="00E749E8"/>
    <w:rsid w:val="00E74D91"/>
    <w:rsid w:val="00E75282"/>
    <w:rsid w:val="00E75964"/>
    <w:rsid w:val="00E75996"/>
    <w:rsid w:val="00E759A3"/>
    <w:rsid w:val="00E75B12"/>
    <w:rsid w:val="00E75CD4"/>
    <w:rsid w:val="00E76E1D"/>
    <w:rsid w:val="00E771A2"/>
    <w:rsid w:val="00E774F1"/>
    <w:rsid w:val="00E776B1"/>
    <w:rsid w:val="00E776EC"/>
    <w:rsid w:val="00E77936"/>
    <w:rsid w:val="00E800F8"/>
    <w:rsid w:val="00E8027F"/>
    <w:rsid w:val="00E80687"/>
    <w:rsid w:val="00E807E9"/>
    <w:rsid w:val="00E80CF8"/>
    <w:rsid w:val="00E80D41"/>
    <w:rsid w:val="00E828AF"/>
    <w:rsid w:val="00E836B6"/>
    <w:rsid w:val="00E83CA2"/>
    <w:rsid w:val="00E84644"/>
    <w:rsid w:val="00E8488C"/>
    <w:rsid w:val="00E84900"/>
    <w:rsid w:val="00E8545E"/>
    <w:rsid w:val="00E85964"/>
    <w:rsid w:val="00E85D23"/>
    <w:rsid w:val="00E85DAA"/>
    <w:rsid w:val="00E8714B"/>
    <w:rsid w:val="00E87BF0"/>
    <w:rsid w:val="00E87F28"/>
    <w:rsid w:val="00E900A4"/>
    <w:rsid w:val="00E908B2"/>
    <w:rsid w:val="00E90D4F"/>
    <w:rsid w:val="00E91470"/>
    <w:rsid w:val="00E91C20"/>
    <w:rsid w:val="00E9260E"/>
    <w:rsid w:val="00E92ADD"/>
    <w:rsid w:val="00E93649"/>
    <w:rsid w:val="00E940F7"/>
    <w:rsid w:val="00E9447C"/>
    <w:rsid w:val="00E955A9"/>
    <w:rsid w:val="00E95ADC"/>
    <w:rsid w:val="00E95DD9"/>
    <w:rsid w:val="00E965FB"/>
    <w:rsid w:val="00E9794B"/>
    <w:rsid w:val="00E97B41"/>
    <w:rsid w:val="00EA035E"/>
    <w:rsid w:val="00EA0847"/>
    <w:rsid w:val="00EA0B3E"/>
    <w:rsid w:val="00EA0D2E"/>
    <w:rsid w:val="00EA0EB9"/>
    <w:rsid w:val="00EA1007"/>
    <w:rsid w:val="00EA12F6"/>
    <w:rsid w:val="00EA24E0"/>
    <w:rsid w:val="00EA2B40"/>
    <w:rsid w:val="00EA328A"/>
    <w:rsid w:val="00EA3E42"/>
    <w:rsid w:val="00EA4040"/>
    <w:rsid w:val="00EA4826"/>
    <w:rsid w:val="00EA5255"/>
    <w:rsid w:val="00EA54A1"/>
    <w:rsid w:val="00EA54EE"/>
    <w:rsid w:val="00EA5949"/>
    <w:rsid w:val="00EA5A78"/>
    <w:rsid w:val="00EA69D1"/>
    <w:rsid w:val="00EB02D9"/>
    <w:rsid w:val="00EB093F"/>
    <w:rsid w:val="00EB0B4D"/>
    <w:rsid w:val="00EB17E3"/>
    <w:rsid w:val="00EB1E65"/>
    <w:rsid w:val="00EB23D2"/>
    <w:rsid w:val="00EB2792"/>
    <w:rsid w:val="00EB2A24"/>
    <w:rsid w:val="00EB3A8E"/>
    <w:rsid w:val="00EB3CC7"/>
    <w:rsid w:val="00EB410C"/>
    <w:rsid w:val="00EB413B"/>
    <w:rsid w:val="00EB4A22"/>
    <w:rsid w:val="00EB5278"/>
    <w:rsid w:val="00EB5646"/>
    <w:rsid w:val="00EB5E7E"/>
    <w:rsid w:val="00EB735B"/>
    <w:rsid w:val="00EB78D1"/>
    <w:rsid w:val="00EB7973"/>
    <w:rsid w:val="00EB7A84"/>
    <w:rsid w:val="00EB7DEC"/>
    <w:rsid w:val="00EC05A9"/>
    <w:rsid w:val="00EC078D"/>
    <w:rsid w:val="00EC0983"/>
    <w:rsid w:val="00EC27BD"/>
    <w:rsid w:val="00EC2B59"/>
    <w:rsid w:val="00EC2E92"/>
    <w:rsid w:val="00EC4A90"/>
    <w:rsid w:val="00EC5668"/>
    <w:rsid w:val="00EC5694"/>
    <w:rsid w:val="00EC60E0"/>
    <w:rsid w:val="00EC648C"/>
    <w:rsid w:val="00EC7183"/>
    <w:rsid w:val="00EC7A66"/>
    <w:rsid w:val="00EC7CE3"/>
    <w:rsid w:val="00EC7E45"/>
    <w:rsid w:val="00ED0345"/>
    <w:rsid w:val="00ED04F5"/>
    <w:rsid w:val="00ED065B"/>
    <w:rsid w:val="00ED0770"/>
    <w:rsid w:val="00ED1D2F"/>
    <w:rsid w:val="00ED24DC"/>
    <w:rsid w:val="00ED2D21"/>
    <w:rsid w:val="00ED2D79"/>
    <w:rsid w:val="00ED2DAA"/>
    <w:rsid w:val="00ED323A"/>
    <w:rsid w:val="00ED327E"/>
    <w:rsid w:val="00ED32EF"/>
    <w:rsid w:val="00ED39BE"/>
    <w:rsid w:val="00ED3E08"/>
    <w:rsid w:val="00ED4185"/>
    <w:rsid w:val="00ED43E6"/>
    <w:rsid w:val="00ED4AB6"/>
    <w:rsid w:val="00ED5428"/>
    <w:rsid w:val="00ED5C6A"/>
    <w:rsid w:val="00ED5F06"/>
    <w:rsid w:val="00ED5F54"/>
    <w:rsid w:val="00ED61D2"/>
    <w:rsid w:val="00ED72FC"/>
    <w:rsid w:val="00ED74C6"/>
    <w:rsid w:val="00EE0428"/>
    <w:rsid w:val="00EE04A1"/>
    <w:rsid w:val="00EE1DB0"/>
    <w:rsid w:val="00EE224F"/>
    <w:rsid w:val="00EE2D4F"/>
    <w:rsid w:val="00EE2EFE"/>
    <w:rsid w:val="00EE3354"/>
    <w:rsid w:val="00EE3392"/>
    <w:rsid w:val="00EE3560"/>
    <w:rsid w:val="00EE3E30"/>
    <w:rsid w:val="00EE4578"/>
    <w:rsid w:val="00EE4AFA"/>
    <w:rsid w:val="00EE5337"/>
    <w:rsid w:val="00EE540B"/>
    <w:rsid w:val="00EE541F"/>
    <w:rsid w:val="00EE5AE1"/>
    <w:rsid w:val="00EE63C6"/>
    <w:rsid w:val="00EE6EA2"/>
    <w:rsid w:val="00EE701D"/>
    <w:rsid w:val="00EE799C"/>
    <w:rsid w:val="00EF0257"/>
    <w:rsid w:val="00EF0740"/>
    <w:rsid w:val="00EF1236"/>
    <w:rsid w:val="00EF2588"/>
    <w:rsid w:val="00EF312E"/>
    <w:rsid w:val="00EF325B"/>
    <w:rsid w:val="00EF36E7"/>
    <w:rsid w:val="00EF4045"/>
    <w:rsid w:val="00EF49AD"/>
    <w:rsid w:val="00EF61D2"/>
    <w:rsid w:val="00EF666B"/>
    <w:rsid w:val="00EF6720"/>
    <w:rsid w:val="00EF674D"/>
    <w:rsid w:val="00EF6793"/>
    <w:rsid w:val="00EF703F"/>
    <w:rsid w:val="00EF7555"/>
    <w:rsid w:val="00EF77F1"/>
    <w:rsid w:val="00F0048B"/>
    <w:rsid w:val="00F00D57"/>
    <w:rsid w:val="00F013EA"/>
    <w:rsid w:val="00F01F41"/>
    <w:rsid w:val="00F02B65"/>
    <w:rsid w:val="00F02F80"/>
    <w:rsid w:val="00F0375B"/>
    <w:rsid w:val="00F040D6"/>
    <w:rsid w:val="00F0430D"/>
    <w:rsid w:val="00F04F47"/>
    <w:rsid w:val="00F05F2F"/>
    <w:rsid w:val="00F06450"/>
    <w:rsid w:val="00F06687"/>
    <w:rsid w:val="00F06B5A"/>
    <w:rsid w:val="00F07321"/>
    <w:rsid w:val="00F07D50"/>
    <w:rsid w:val="00F11266"/>
    <w:rsid w:val="00F117A1"/>
    <w:rsid w:val="00F121F6"/>
    <w:rsid w:val="00F125AC"/>
    <w:rsid w:val="00F127C0"/>
    <w:rsid w:val="00F1280B"/>
    <w:rsid w:val="00F12D52"/>
    <w:rsid w:val="00F133CB"/>
    <w:rsid w:val="00F133FA"/>
    <w:rsid w:val="00F13A46"/>
    <w:rsid w:val="00F13B3C"/>
    <w:rsid w:val="00F14407"/>
    <w:rsid w:val="00F147B7"/>
    <w:rsid w:val="00F15E9B"/>
    <w:rsid w:val="00F166F5"/>
    <w:rsid w:val="00F16DCC"/>
    <w:rsid w:val="00F1754F"/>
    <w:rsid w:val="00F17665"/>
    <w:rsid w:val="00F177FC"/>
    <w:rsid w:val="00F17CCD"/>
    <w:rsid w:val="00F17D60"/>
    <w:rsid w:val="00F2007D"/>
    <w:rsid w:val="00F2104E"/>
    <w:rsid w:val="00F21396"/>
    <w:rsid w:val="00F21DA1"/>
    <w:rsid w:val="00F225CB"/>
    <w:rsid w:val="00F229A9"/>
    <w:rsid w:val="00F229E4"/>
    <w:rsid w:val="00F241C5"/>
    <w:rsid w:val="00F24370"/>
    <w:rsid w:val="00F24395"/>
    <w:rsid w:val="00F247C8"/>
    <w:rsid w:val="00F24BDF"/>
    <w:rsid w:val="00F25678"/>
    <w:rsid w:val="00F25D21"/>
    <w:rsid w:val="00F264C9"/>
    <w:rsid w:val="00F26F02"/>
    <w:rsid w:val="00F27A17"/>
    <w:rsid w:val="00F27B74"/>
    <w:rsid w:val="00F27F59"/>
    <w:rsid w:val="00F30369"/>
    <w:rsid w:val="00F305EB"/>
    <w:rsid w:val="00F30D22"/>
    <w:rsid w:val="00F30EB5"/>
    <w:rsid w:val="00F31A0C"/>
    <w:rsid w:val="00F31B1B"/>
    <w:rsid w:val="00F35473"/>
    <w:rsid w:val="00F356E5"/>
    <w:rsid w:val="00F36084"/>
    <w:rsid w:val="00F36779"/>
    <w:rsid w:val="00F36F5F"/>
    <w:rsid w:val="00F3704E"/>
    <w:rsid w:val="00F37099"/>
    <w:rsid w:val="00F373A7"/>
    <w:rsid w:val="00F378B8"/>
    <w:rsid w:val="00F40060"/>
    <w:rsid w:val="00F400E3"/>
    <w:rsid w:val="00F4010F"/>
    <w:rsid w:val="00F405AD"/>
    <w:rsid w:val="00F4077A"/>
    <w:rsid w:val="00F41310"/>
    <w:rsid w:val="00F413C9"/>
    <w:rsid w:val="00F418B8"/>
    <w:rsid w:val="00F41B2D"/>
    <w:rsid w:val="00F41C06"/>
    <w:rsid w:val="00F41C13"/>
    <w:rsid w:val="00F41FB2"/>
    <w:rsid w:val="00F4263F"/>
    <w:rsid w:val="00F429DF"/>
    <w:rsid w:val="00F43750"/>
    <w:rsid w:val="00F43AAD"/>
    <w:rsid w:val="00F44047"/>
    <w:rsid w:val="00F446A8"/>
    <w:rsid w:val="00F44BD0"/>
    <w:rsid w:val="00F45904"/>
    <w:rsid w:val="00F45CAE"/>
    <w:rsid w:val="00F463FD"/>
    <w:rsid w:val="00F4693B"/>
    <w:rsid w:val="00F47AE7"/>
    <w:rsid w:val="00F50F8D"/>
    <w:rsid w:val="00F51DAE"/>
    <w:rsid w:val="00F51E48"/>
    <w:rsid w:val="00F52CE7"/>
    <w:rsid w:val="00F52F25"/>
    <w:rsid w:val="00F530A0"/>
    <w:rsid w:val="00F533D4"/>
    <w:rsid w:val="00F54553"/>
    <w:rsid w:val="00F546B3"/>
    <w:rsid w:val="00F56C72"/>
    <w:rsid w:val="00F56D5B"/>
    <w:rsid w:val="00F56E22"/>
    <w:rsid w:val="00F573C8"/>
    <w:rsid w:val="00F574C0"/>
    <w:rsid w:val="00F574DE"/>
    <w:rsid w:val="00F578D8"/>
    <w:rsid w:val="00F578F6"/>
    <w:rsid w:val="00F57AE9"/>
    <w:rsid w:val="00F60B05"/>
    <w:rsid w:val="00F62103"/>
    <w:rsid w:val="00F62150"/>
    <w:rsid w:val="00F63432"/>
    <w:rsid w:val="00F636E8"/>
    <w:rsid w:val="00F6453C"/>
    <w:rsid w:val="00F64976"/>
    <w:rsid w:val="00F64D65"/>
    <w:rsid w:val="00F659E8"/>
    <w:rsid w:val="00F65A70"/>
    <w:rsid w:val="00F65D59"/>
    <w:rsid w:val="00F6634D"/>
    <w:rsid w:val="00F665F4"/>
    <w:rsid w:val="00F66BA3"/>
    <w:rsid w:val="00F66C2E"/>
    <w:rsid w:val="00F66F91"/>
    <w:rsid w:val="00F6723A"/>
    <w:rsid w:val="00F67533"/>
    <w:rsid w:val="00F67B8C"/>
    <w:rsid w:val="00F701E8"/>
    <w:rsid w:val="00F703B7"/>
    <w:rsid w:val="00F703D0"/>
    <w:rsid w:val="00F7063E"/>
    <w:rsid w:val="00F70AD8"/>
    <w:rsid w:val="00F712DD"/>
    <w:rsid w:val="00F71D58"/>
    <w:rsid w:val="00F71E11"/>
    <w:rsid w:val="00F72E82"/>
    <w:rsid w:val="00F73459"/>
    <w:rsid w:val="00F73531"/>
    <w:rsid w:val="00F74376"/>
    <w:rsid w:val="00F74A50"/>
    <w:rsid w:val="00F74DF0"/>
    <w:rsid w:val="00F76227"/>
    <w:rsid w:val="00F77013"/>
    <w:rsid w:val="00F77766"/>
    <w:rsid w:val="00F7783A"/>
    <w:rsid w:val="00F77B42"/>
    <w:rsid w:val="00F80016"/>
    <w:rsid w:val="00F80DC0"/>
    <w:rsid w:val="00F820C6"/>
    <w:rsid w:val="00F823FF"/>
    <w:rsid w:val="00F82796"/>
    <w:rsid w:val="00F8295A"/>
    <w:rsid w:val="00F83229"/>
    <w:rsid w:val="00F8470F"/>
    <w:rsid w:val="00F8560C"/>
    <w:rsid w:val="00F85E7E"/>
    <w:rsid w:val="00F861D5"/>
    <w:rsid w:val="00F86DE7"/>
    <w:rsid w:val="00F87922"/>
    <w:rsid w:val="00F87AE3"/>
    <w:rsid w:val="00F87D05"/>
    <w:rsid w:val="00F87F1F"/>
    <w:rsid w:val="00F87F87"/>
    <w:rsid w:val="00F90120"/>
    <w:rsid w:val="00F90A33"/>
    <w:rsid w:val="00F918FD"/>
    <w:rsid w:val="00F92A2C"/>
    <w:rsid w:val="00F938AB"/>
    <w:rsid w:val="00F93EFA"/>
    <w:rsid w:val="00F9441D"/>
    <w:rsid w:val="00F94EBB"/>
    <w:rsid w:val="00F9628F"/>
    <w:rsid w:val="00F9629A"/>
    <w:rsid w:val="00F966E9"/>
    <w:rsid w:val="00F96CD0"/>
    <w:rsid w:val="00F9723F"/>
    <w:rsid w:val="00F9761C"/>
    <w:rsid w:val="00F97832"/>
    <w:rsid w:val="00FA02D9"/>
    <w:rsid w:val="00FA0C41"/>
    <w:rsid w:val="00FA10B2"/>
    <w:rsid w:val="00FA1596"/>
    <w:rsid w:val="00FA1A88"/>
    <w:rsid w:val="00FA1D6B"/>
    <w:rsid w:val="00FA1EBD"/>
    <w:rsid w:val="00FA28F2"/>
    <w:rsid w:val="00FA2E29"/>
    <w:rsid w:val="00FA2E65"/>
    <w:rsid w:val="00FA3533"/>
    <w:rsid w:val="00FA359D"/>
    <w:rsid w:val="00FA3CD4"/>
    <w:rsid w:val="00FA3E1C"/>
    <w:rsid w:val="00FA402E"/>
    <w:rsid w:val="00FA411E"/>
    <w:rsid w:val="00FA45B6"/>
    <w:rsid w:val="00FA56E0"/>
    <w:rsid w:val="00FA5A13"/>
    <w:rsid w:val="00FA5C02"/>
    <w:rsid w:val="00FA6744"/>
    <w:rsid w:val="00FA6F82"/>
    <w:rsid w:val="00FA766B"/>
    <w:rsid w:val="00FA7819"/>
    <w:rsid w:val="00FA788D"/>
    <w:rsid w:val="00FA7E21"/>
    <w:rsid w:val="00FB0069"/>
    <w:rsid w:val="00FB04F3"/>
    <w:rsid w:val="00FB0642"/>
    <w:rsid w:val="00FB0845"/>
    <w:rsid w:val="00FB0DD9"/>
    <w:rsid w:val="00FB1148"/>
    <w:rsid w:val="00FB1265"/>
    <w:rsid w:val="00FB2654"/>
    <w:rsid w:val="00FB2C13"/>
    <w:rsid w:val="00FB2D61"/>
    <w:rsid w:val="00FB3930"/>
    <w:rsid w:val="00FB41FA"/>
    <w:rsid w:val="00FB5C54"/>
    <w:rsid w:val="00FB5C83"/>
    <w:rsid w:val="00FB5C8F"/>
    <w:rsid w:val="00FB6322"/>
    <w:rsid w:val="00FB733B"/>
    <w:rsid w:val="00FB7C35"/>
    <w:rsid w:val="00FC0039"/>
    <w:rsid w:val="00FC0237"/>
    <w:rsid w:val="00FC02AE"/>
    <w:rsid w:val="00FC038F"/>
    <w:rsid w:val="00FC1324"/>
    <w:rsid w:val="00FC1834"/>
    <w:rsid w:val="00FC19A7"/>
    <w:rsid w:val="00FC233F"/>
    <w:rsid w:val="00FC2370"/>
    <w:rsid w:val="00FC257F"/>
    <w:rsid w:val="00FC2A24"/>
    <w:rsid w:val="00FC3777"/>
    <w:rsid w:val="00FC4F6E"/>
    <w:rsid w:val="00FC55DA"/>
    <w:rsid w:val="00FC5E3C"/>
    <w:rsid w:val="00FD0338"/>
    <w:rsid w:val="00FD0FFB"/>
    <w:rsid w:val="00FD1218"/>
    <w:rsid w:val="00FD28C6"/>
    <w:rsid w:val="00FD2B6D"/>
    <w:rsid w:val="00FD3BDE"/>
    <w:rsid w:val="00FD3DCF"/>
    <w:rsid w:val="00FD4035"/>
    <w:rsid w:val="00FD4862"/>
    <w:rsid w:val="00FD4932"/>
    <w:rsid w:val="00FD4B13"/>
    <w:rsid w:val="00FD55C6"/>
    <w:rsid w:val="00FD5BB9"/>
    <w:rsid w:val="00FD5CF8"/>
    <w:rsid w:val="00FD5EF6"/>
    <w:rsid w:val="00FD60B2"/>
    <w:rsid w:val="00FD60FA"/>
    <w:rsid w:val="00FD6ED4"/>
    <w:rsid w:val="00FD7559"/>
    <w:rsid w:val="00FD7928"/>
    <w:rsid w:val="00FE02AE"/>
    <w:rsid w:val="00FE0A93"/>
    <w:rsid w:val="00FE168F"/>
    <w:rsid w:val="00FE1F02"/>
    <w:rsid w:val="00FE1F93"/>
    <w:rsid w:val="00FE2369"/>
    <w:rsid w:val="00FE24D4"/>
    <w:rsid w:val="00FE2908"/>
    <w:rsid w:val="00FE2DA3"/>
    <w:rsid w:val="00FE3767"/>
    <w:rsid w:val="00FE3769"/>
    <w:rsid w:val="00FE398D"/>
    <w:rsid w:val="00FE41A4"/>
    <w:rsid w:val="00FE469A"/>
    <w:rsid w:val="00FE6094"/>
    <w:rsid w:val="00FE6886"/>
    <w:rsid w:val="00FE6AA9"/>
    <w:rsid w:val="00FF0E03"/>
    <w:rsid w:val="00FF1B81"/>
    <w:rsid w:val="00FF1FDF"/>
    <w:rsid w:val="00FF23CA"/>
    <w:rsid w:val="00FF23EF"/>
    <w:rsid w:val="00FF3475"/>
    <w:rsid w:val="00FF382A"/>
    <w:rsid w:val="00FF3C88"/>
    <w:rsid w:val="00FF3D43"/>
    <w:rsid w:val="00FF430F"/>
    <w:rsid w:val="00FF48A9"/>
    <w:rsid w:val="00FF50F4"/>
    <w:rsid w:val="00FF593D"/>
    <w:rsid w:val="00FF59B2"/>
    <w:rsid w:val="00FF624D"/>
    <w:rsid w:val="00FF680E"/>
    <w:rsid w:val="00FF69CC"/>
    <w:rsid w:val="00FF71AD"/>
    <w:rsid w:val="00FF748B"/>
    <w:rsid w:val="00FF74C9"/>
    <w:rsid w:val="00FF77AF"/>
    <w:rsid w:val="00FF7F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053F6"/>
    <w:rPr>
      <w:sz w:val="26"/>
      <w:szCs w:val="24"/>
    </w:rPr>
  </w:style>
  <w:style w:type="paragraph" w:styleId="Heading1">
    <w:name w:val="heading 1"/>
    <w:basedOn w:val="BodyText"/>
    <w:next w:val="BodyText"/>
    <w:link w:val="Heading1Char"/>
    <w:rsid w:val="00A053F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053F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053F6"/>
    <w:pPr>
      <w:spacing w:before="560" w:line="320" w:lineRule="exact"/>
      <w:ind w:left="0" w:firstLine="0"/>
      <w:outlineLvl w:val="2"/>
    </w:pPr>
    <w:rPr>
      <w:sz w:val="26"/>
    </w:rPr>
  </w:style>
  <w:style w:type="paragraph" w:styleId="Heading4">
    <w:name w:val="heading 4"/>
    <w:basedOn w:val="Heading3"/>
    <w:next w:val="BodyText"/>
    <w:link w:val="Heading4Char"/>
    <w:qFormat/>
    <w:rsid w:val="00A053F6"/>
    <w:pPr>
      <w:spacing w:before="480"/>
      <w:outlineLvl w:val="3"/>
    </w:pPr>
    <w:rPr>
      <w:b w:val="0"/>
      <w:i/>
      <w:sz w:val="24"/>
    </w:rPr>
  </w:style>
  <w:style w:type="paragraph" w:styleId="Heading5">
    <w:name w:val="heading 5"/>
    <w:basedOn w:val="Heading4"/>
    <w:next w:val="BodyText"/>
    <w:link w:val="Heading5Char"/>
    <w:qFormat/>
    <w:rsid w:val="00A053F6"/>
    <w:pPr>
      <w:outlineLvl w:val="4"/>
    </w:pPr>
    <w:rPr>
      <w:rFonts w:ascii="Times New Roman" w:hAnsi="Times New Roman"/>
      <w:sz w:val="26"/>
    </w:rPr>
  </w:style>
  <w:style w:type="paragraph" w:styleId="Heading6">
    <w:name w:val="heading 6"/>
    <w:basedOn w:val="BodyText"/>
    <w:next w:val="BodyText"/>
    <w:rsid w:val="00A053F6"/>
    <w:pPr>
      <w:spacing w:after="60"/>
      <w:jc w:val="left"/>
      <w:outlineLvl w:val="5"/>
    </w:pPr>
    <w:rPr>
      <w:i/>
      <w:sz w:val="22"/>
    </w:rPr>
  </w:style>
  <w:style w:type="paragraph" w:styleId="Heading7">
    <w:name w:val="heading 7"/>
    <w:basedOn w:val="BodyText"/>
    <w:next w:val="BodyText"/>
    <w:rsid w:val="00A053F6"/>
    <w:pPr>
      <w:spacing w:after="60" w:line="240" w:lineRule="auto"/>
      <w:jc w:val="left"/>
      <w:outlineLvl w:val="6"/>
    </w:pPr>
    <w:rPr>
      <w:rFonts w:ascii="Arial" w:hAnsi="Arial"/>
      <w:sz w:val="20"/>
    </w:rPr>
  </w:style>
  <w:style w:type="paragraph" w:styleId="Heading8">
    <w:name w:val="heading 8"/>
    <w:basedOn w:val="BodyText"/>
    <w:next w:val="BodyText"/>
    <w:rsid w:val="00A053F6"/>
    <w:pPr>
      <w:spacing w:after="60" w:line="240" w:lineRule="auto"/>
      <w:jc w:val="left"/>
      <w:outlineLvl w:val="7"/>
    </w:pPr>
    <w:rPr>
      <w:rFonts w:ascii="Arial" w:hAnsi="Arial"/>
      <w:i/>
      <w:sz w:val="20"/>
    </w:rPr>
  </w:style>
  <w:style w:type="paragraph" w:styleId="Heading9">
    <w:name w:val="heading 9"/>
    <w:basedOn w:val="BodyText"/>
    <w:next w:val="BodyText"/>
    <w:rsid w:val="00A053F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05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53F6"/>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053F6"/>
    <w:pPr>
      <w:spacing w:before="240" w:line="320" w:lineRule="atLeast"/>
      <w:jc w:val="both"/>
    </w:pPr>
    <w:rPr>
      <w:sz w:val="26"/>
    </w:rPr>
  </w:style>
  <w:style w:type="paragraph" w:customStyle="1" w:styleId="Chapter">
    <w:name w:val="Chapter"/>
    <w:basedOn w:val="Heading1"/>
    <w:next w:val="BodyText"/>
    <w:link w:val="ChapterChar"/>
    <w:semiHidden/>
    <w:rsid w:val="00A053F6"/>
    <w:pPr>
      <w:ind w:left="0" w:firstLine="0"/>
      <w:outlineLvl w:val="9"/>
    </w:pPr>
  </w:style>
  <w:style w:type="paragraph" w:customStyle="1" w:styleId="SequenceInfo">
    <w:name w:val="Sequence Info"/>
    <w:basedOn w:val="BodyText"/>
    <w:semiHidden/>
    <w:rsid w:val="00A053F6"/>
    <w:rPr>
      <w:vanish/>
      <w:sz w:val="16"/>
    </w:rPr>
  </w:style>
  <w:style w:type="character" w:styleId="CommentReference">
    <w:name w:val="annotation reference"/>
    <w:basedOn w:val="DefaultParagraphFont"/>
    <w:semiHidden/>
    <w:rsid w:val="00A053F6"/>
    <w:rPr>
      <w:b/>
      <w:vanish/>
      <w:color w:val="FF00FF"/>
      <w:sz w:val="20"/>
    </w:rPr>
  </w:style>
  <w:style w:type="paragraph" w:styleId="CommentText">
    <w:name w:val="annotation text"/>
    <w:basedOn w:val="Normal"/>
    <w:link w:val="CommentTextChar"/>
    <w:semiHidden/>
    <w:rsid w:val="00A053F6"/>
    <w:pPr>
      <w:spacing w:before="120" w:line="240" w:lineRule="atLeast"/>
      <w:ind w:left="567" w:hanging="567"/>
    </w:pPr>
    <w:rPr>
      <w:sz w:val="20"/>
    </w:rPr>
  </w:style>
  <w:style w:type="paragraph" w:customStyle="1" w:styleId="Abbreviation">
    <w:name w:val="Abbreviation"/>
    <w:basedOn w:val="BodyText"/>
    <w:rsid w:val="00A053F6"/>
    <w:pPr>
      <w:spacing w:before="120"/>
      <w:ind w:left="2381" w:hanging="2381"/>
      <w:jc w:val="left"/>
    </w:pPr>
  </w:style>
  <w:style w:type="paragraph" w:customStyle="1" w:styleId="Box">
    <w:name w:val="Box"/>
    <w:basedOn w:val="BodyText"/>
    <w:link w:val="BoxChar"/>
    <w:qFormat/>
    <w:rsid w:val="00A053F6"/>
    <w:pPr>
      <w:keepNext/>
      <w:spacing w:before="120" w:line="280" w:lineRule="atLeast"/>
    </w:pPr>
    <w:rPr>
      <w:rFonts w:ascii="Arial" w:hAnsi="Arial"/>
      <w:sz w:val="22"/>
    </w:rPr>
  </w:style>
  <w:style w:type="paragraph" w:customStyle="1" w:styleId="QuoteBullet">
    <w:name w:val="Quote Bullet"/>
    <w:basedOn w:val="Quote"/>
    <w:rsid w:val="00A053F6"/>
    <w:pPr>
      <w:numPr>
        <w:numId w:val="11"/>
      </w:numPr>
    </w:pPr>
  </w:style>
  <w:style w:type="paragraph" w:customStyle="1" w:styleId="BoxListBullet">
    <w:name w:val="Box List Bullet"/>
    <w:basedOn w:val="BodyText"/>
    <w:rsid w:val="00A053F6"/>
    <w:pPr>
      <w:keepNext/>
      <w:numPr>
        <w:numId w:val="6"/>
      </w:numPr>
      <w:spacing w:before="60" w:line="280" w:lineRule="atLeast"/>
    </w:pPr>
    <w:rPr>
      <w:rFonts w:ascii="Arial" w:hAnsi="Arial"/>
      <w:sz w:val="22"/>
    </w:rPr>
  </w:style>
  <w:style w:type="paragraph" w:customStyle="1" w:styleId="BoxListBullet2">
    <w:name w:val="Box List Bullet 2"/>
    <w:basedOn w:val="BodyText"/>
    <w:rsid w:val="00A053F6"/>
    <w:pPr>
      <w:keepNext/>
      <w:numPr>
        <w:numId w:val="3"/>
      </w:numPr>
      <w:spacing w:before="60" w:line="280" w:lineRule="atLeast"/>
    </w:pPr>
    <w:rPr>
      <w:rFonts w:ascii="Arial" w:hAnsi="Arial"/>
      <w:sz w:val="22"/>
    </w:rPr>
  </w:style>
  <w:style w:type="paragraph" w:customStyle="1" w:styleId="BoxListNumber">
    <w:name w:val="Box List Number"/>
    <w:basedOn w:val="BodyText"/>
    <w:rsid w:val="00A053F6"/>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A053F6"/>
    <w:pPr>
      <w:numPr>
        <w:ilvl w:val="1"/>
      </w:numPr>
    </w:pPr>
  </w:style>
  <w:style w:type="paragraph" w:customStyle="1" w:styleId="BoxQuote">
    <w:name w:val="Box Quote"/>
    <w:basedOn w:val="BodyText"/>
    <w:next w:val="Box"/>
    <w:rsid w:val="00A053F6"/>
    <w:pPr>
      <w:keepNext/>
      <w:spacing w:before="60" w:line="260" w:lineRule="exact"/>
      <w:ind w:left="284"/>
    </w:pPr>
    <w:rPr>
      <w:rFonts w:ascii="Arial" w:hAnsi="Arial"/>
      <w:sz w:val="20"/>
    </w:rPr>
  </w:style>
  <w:style w:type="paragraph" w:customStyle="1" w:styleId="BoxSource">
    <w:name w:val="Box Source"/>
    <w:basedOn w:val="Source"/>
    <w:next w:val="BodyText"/>
    <w:rsid w:val="00A053F6"/>
    <w:pPr>
      <w:spacing w:before="180" w:after="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A053F6"/>
    <w:pPr>
      <w:spacing w:after="80" w:line="200" w:lineRule="exact"/>
      <w:ind w:firstLine="0"/>
    </w:pPr>
    <w:rPr>
      <w:b w:val="0"/>
      <w:sz w:val="20"/>
    </w:rPr>
  </w:style>
  <w:style w:type="paragraph" w:customStyle="1" w:styleId="BoxTitle">
    <w:name w:val="Box Title"/>
    <w:basedOn w:val="Caption"/>
    <w:next w:val="BoxSubtitle"/>
    <w:rsid w:val="00A053F6"/>
    <w:pPr>
      <w:spacing w:before="120" w:after="0"/>
      <w:ind w:left="1304" w:hanging="1304"/>
    </w:pPr>
    <w:rPr>
      <w:sz w:val="24"/>
    </w:rPr>
  </w:style>
  <w:style w:type="paragraph" w:styleId="Caption">
    <w:name w:val="caption"/>
    <w:basedOn w:val="Normal"/>
    <w:next w:val="BodyText"/>
    <w:rsid w:val="00A053F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053F6"/>
    <w:pPr>
      <w:ind w:left="907"/>
    </w:pPr>
    <w:rPr>
      <w:rFonts w:ascii="Arial" w:hAnsi="Arial"/>
      <w:b/>
      <w:sz w:val="22"/>
    </w:rPr>
  </w:style>
  <w:style w:type="character" w:customStyle="1" w:styleId="DocumentInfo">
    <w:name w:val="Document Info"/>
    <w:basedOn w:val="DefaultParagraphFont"/>
    <w:semiHidden/>
    <w:rsid w:val="00A053F6"/>
    <w:rPr>
      <w:rFonts w:ascii="Arial" w:hAnsi="Arial"/>
      <w:sz w:val="14"/>
    </w:rPr>
  </w:style>
  <w:style w:type="paragraph" w:styleId="Footer">
    <w:name w:val="footer"/>
    <w:basedOn w:val="BodyText"/>
    <w:semiHidden/>
    <w:rsid w:val="00A053F6"/>
    <w:pPr>
      <w:spacing w:before="80" w:line="200" w:lineRule="exact"/>
      <w:ind w:right="6"/>
      <w:jc w:val="left"/>
    </w:pPr>
    <w:rPr>
      <w:caps/>
      <w:spacing w:val="-4"/>
      <w:sz w:val="16"/>
    </w:rPr>
  </w:style>
  <w:style w:type="character" w:customStyle="1" w:styleId="DraftingNote">
    <w:name w:val="Drafting Note"/>
    <w:basedOn w:val="DefaultParagraphFont"/>
    <w:rsid w:val="00A053F6"/>
    <w:rPr>
      <w:b/>
      <w:color w:val="FF0000"/>
      <w:sz w:val="24"/>
      <w:u w:val="dotted"/>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97916"/>
    <w:rPr>
      <w:sz w:val="26"/>
    </w:rPr>
  </w:style>
  <w:style w:type="paragraph" w:customStyle="1" w:styleId="Figure">
    <w:name w:val="Figure"/>
    <w:basedOn w:val="BodyText"/>
    <w:rsid w:val="00A053F6"/>
    <w:pPr>
      <w:keepNext/>
      <w:spacing w:before="120" w:after="120" w:line="240" w:lineRule="atLeast"/>
      <w:jc w:val="center"/>
    </w:pPr>
  </w:style>
  <w:style w:type="paragraph" w:customStyle="1" w:styleId="FigureTitle">
    <w:name w:val="Figure Title"/>
    <w:basedOn w:val="Caption"/>
    <w:next w:val="Subtitle"/>
    <w:rsid w:val="00A053F6"/>
    <w:rPr>
      <w:sz w:val="24"/>
    </w:rPr>
  </w:style>
  <w:style w:type="paragraph" w:styleId="Subtitle">
    <w:name w:val="Subtitle"/>
    <w:basedOn w:val="Caption"/>
    <w:link w:val="SubtitleChar"/>
    <w:rsid w:val="00A053F6"/>
    <w:pPr>
      <w:spacing w:before="0" w:line="200" w:lineRule="exact"/>
      <w:ind w:firstLine="0"/>
    </w:pPr>
    <w:rPr>
      <w:b w:val="0"/>
      <w:sz w:val="20"/>
    </w:rPr>
  </w:style>
  <w:style w:type="paragraph" w:customStyle="1" w:styleId="Finding">
    <w:name w:val="Finding"/>
    <w:basedOn w:val="BodyText"/>
    <w:rsid w:val="00A053F6"/>
    <w:pPr>
      <w:keepLines/>
      <w:spacing w:before="180"/>
    </w:pPr>
    <w:rPr>
      <w:i/>
    </w:rPr>
  </w:style>
  <w:style w:type="paragraph" w:customStyle="1" w:styleId="FindingBullet">
    <w:name w:val="Finding Bullet"/>
    <w:basedOn w:val="Finding"/>
    <w:rsid w:val="00A053F6"/>
    <w:pPr>
      <w:numPr>
        <w:numId w:val="7"/>
      </w:numPr>
      <w:spacing w:before="80"/>
    </w:pPr>
  </w:style>
  <w:style w:type="paragraph" w:customStyle="1" w:styleId="FindingNoTitle">
    <w:name w:val="Finding NoTitle"/>
    <w:basedOn w:val="Finding"/>
    <w:rsid w:val="00A053F6"/>
    <w:pPr>
      <w:spacing w:before="240"/>
    </w:pPr>
  </w:style>
  <w:style w:type="paragraph" w:customStyle="1" w:styleId="FindingTitle">
    <w:name w:val="Finding Title"/>
    <w:basedOn w:val="RecTitle"/>
    <w:next w:val="Finding"/>
    <w:rsid w:val="00A053F6"/>
    <w:pPr>
      <w:framePr w:wrap="notBeside" w:hAnchor="text"/>
    </w:pPr>
  </w:style>
  <w:style w:type="paragraph" w:customStyle="1" w:styleId="FooterEnd">
    <w:name w:val="Footer End"/>
    <w:basedOn w:val="Footer"/>
    <w:rsid w:val="00A053F6"/>
    <w:pPr>
      <w:spacing w:before="0" w:line="20" w:lineRule="exact"/>
    </w:pPr>
  </w:style>
  <w:style w:type="character" w:styleId="FootnoteReference">
    <w:name w:val="footnote reference"/>
    <w:basedOn w:val="DefaultParagraphFont"/>
    <w:semiHidden/>
    <w:rsid w:val="00A053F6"/>
    <w:rPr>
      <w:rFonts w:ascii="Times New Roman" w:hAnsi="Times New Roman"/>
      <w:position w:val="6"/>
      <w:sz w:val="22"/>
      <w:vertAlign w:val="baseline"/>
    </w:rPr>
  </w:style>
  <w:style w:type="paragraph" w:styleId="FootnoteText">
    <w:name w:val="footnote text"/>
    <w:basedOn w:val="BodyText"/>
    <w:rsid w:val="00A053F6"/>
    <w:pPr>
      <w:tabs>
        <w:tab w:val="left" w:pos="284"/>
      </w:tabs>
      <w:spacing w:before="80" w:line="260" w:lineRule="exact"/>
      <w:ind w:left="284" w:hanging="284"/>
    </w:pPr>
    <w:rPr>
      <w:sz w:val="22"/>
    </w:rPr>
  </w:style>
  <w:style w:type="paragraph" w:styleId="Header">
    <w:name w:val="header"/>
    <w:basedOn w:val="BodyText"/>
    <w:rsid w:val="00A053F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053F6"/>
    <w:pPr>
      <w:spacing w:line="20" w:lineRule="exact"/>
    </w:pPr>
    <w:rPr>
      <w:sz w:val="16"/>
    </w:rPr>
  </w:style>
  <w:style w:type="paragraph" w:customStyle="1" w:styleId="HeaderEven">
    <w:name w:val="Header Even"/>
    <w:basedOn w:val="Header"/>
    <w:semiHidden/>
    <w:rsid w:val="00A053F6"/>
  </w:style>
  <w:style w:type="paragraph" w:customStyle="1" w:styleId="HeaderOdd">
    <w:name w:val="Header Odd"/>
    <w:basedOn w:val="Header"/>
    <w:semiHidden/>
    <w:rsid w:val="00A053F6"/>
  </w:style>
  <w:style w:type="paragraph" w:customStyle="1" w:styleId="InformationRequest">
    <w:name w:val="Information Request"/>
    <w:basedOn w:val="Finding"/>
    <w:next w:val="BodyText"/>
    <w:rsid w:val="00A053F6"/>
    <w:pPr>
      <w:spacing w:before="360" w:after="120"/>
    </w:pPr>
    <w:rPr>
      <w:rFonts w:ascii="Arial" w:hAnsi="Arial"/>
      <w:sz w:val="24"/>
    </w:rPr>
  </w:style>
  <w:style w:type="paragraph" w:styleId="ListBullet">
    <w:name w:val="List Bullet"/>
    <w:basedOn w:val="BodyText"/>
    <w:rsid w:val="00A053F6"/>
    <w:pPr>
      <w:numPr>
        <w:numId w:val="5"/>
      </w:numPr>
      <w:spacing w:before="120"/>
    </w:pPr>
  </w:style>
  <w:style w:type="paragraph" w:styleId="ListBullet2">
    <w:name w:val="List Bullet 2"/>
    <w:basedOn w:val="BodyText"/>
    <w:rsid w:val="00A053F6"/>
    <w:pPr>
      <w:numPr>
        <w:numId w:val="2"/>
      </w:numPr>
      <w:spacing w:before="120"/>
    </w:pPr>
  </w:style>
  <w:style w:type="paragraph" w:styleId="ListBullet3">
    <w:name w:val="List Bullet 3"/>
    <w:basedOn w:val="BodyText"/>
    <w:rsid w:val="00A053F6"/>
    <w:pPr>
      <w:numPr>
        <w:numId w:val="1"/>
      </w:numPr>
      <w:spacing w:before="120"/>
    </w:pPr>
  </w:style>
  <w:style w:type="paragraph" w:styleId="ListNumber">
    <w:name w:val="List Number"/>
    <w:basedOn w:val="BodyText"/>
    <w:rsid w:val="00A053F6"/>
    <w:pPr>
      <w:numPr>
        <w:numId w:val="14"/>
      </w:numPr>
      <w:spacing w:before="120"/>
    </w:pPr>
  </w:style>
  <w:style w:type="paragraph" w:styleId="ListNumber2">
    <w:name w:val="List Number 2"/>
    <w:basedOn w:val="ListNumber"/>
    <w:rsid w:val="00A053F6"/>
    <w:pPr>
      <w:numPr>
        <w:ilvl w:val="1"/>
      </w:numPr>
    </w:pPr>
  </w:style>
  <w:style w:type="paragraph" w:styleId="ListNumber3">
    <w:name w:val="List Number 3"/>
    <w:basedOn w:val="ListNumber2"/>
    <w:rsid w:val="00A053F6"/>
    <w:pPr>
      <w:numPr>
        <w:ilvl w:val="2"/>
      </w:numPr>
    </w:pPr>
  </w:style>
  <w:style w:type="paragraph" w:customStyle="1" w:styleId="Note">
    <w:name w:val="Note"/>
    <w:basedOn w:val="BodyText"/>
    <w:next w:val="BodyText"/>
    <w:link w:val="NoteChar"/>
    <w:rsid w:val="00A053F6"/>
    <w:pPr>
      <w:keepLines/>
      <w:spacing w:before="80" w:line="220" w:lineRule="exact"/>
    </w:pPr>
    <w:rPr>
      <w:rFonts w:ascii="Arial" w:hAnsi="Arial"/>
      <w:sz w:val="18"/>
    </w:rPr>
  </w:style>
  <w:style w:type="character" w:customStyle="1" w:styleId="NoteLabel">
    <w:name w:val="Note Label"/>
    <w:basedOn w:val="DefaultParagraphFont"/>
    <w:rsid w:val="00A053F6"/>
    <w:rPr>
      <w:rFonts w:ascii="Arial" w:hAnsi="Arial"/>
      <w:b/>
      <w:position w:val="6"/>
      <w:sz w:val="18"/>
    </w:rPr>
  </w:style>
  <w:style w:type="character" w:styleId="PageNumber">
    <w:name w:val="page number"/>
    <w:basedOn w:val="DefaultParagraphFont"/>
    <w:rsid w:val="00A053F6"/>
    <w:rPr>
      <w:rFonts w:ascii="Arial" w:hAnsi="Arial"/>
      <w:b/>
      <w:sz w:val="16"/>
    </w:rPr>
  </w:style>
  <w:style w:type="paragraph" w:customStyle="1" w:styleId="PartDivider">
    <w:name w:val="Part Divider"/>
    <w:basedOn w:val="BodyText"/>
    <w:next w:val="BodyText"/>
    <w:semiHidden/>
    <w:rsid w:val="00A053F6"/>
    <w:pPr>
      <w:spacing w:before="0" w:line="40" w:lineRule="exact"/>
      <w:jc w:val="right"/>
    </w:pPr>
    <w:rPr>
      <w:smallCaps/>
      <w:sz w:val="16"/>
    </w:rPr>
  </w:style>
  <w:style w:type="paragraph" w:customStyle="1" w:styleId="PartNumber">
    <w:name w:val="Part Number"/>
    <w:basedOn w:val="BodyText"/>
    <w:next w:val="BodyText"/>
    <w:semiHidden/>
    <w:rsid w:val="00A053F6"/>
    <w:pPr>
      <w:spacing w:before="4000" w:line="320" w:lineRule="exact"/>
      <w:ind w:left="6634"/>
      <w:jc w:val="right"/>
    </w:pPr>
    <w:rPr>
      <w:smallCaps/>
      <w:spacing w:val="60"/>
      <w:sz w:val="32"/>
    </w:rPr>
  </w:style>
  <w:style w:type="paragraph" w:customStyle="1" w:styleId="PartTitle">
    <w:name w:val="Part Title"/>
    <w:basedOn w:val="BodyText"/>
    <w:semiHidden/>
    <w:rsid w:val="00A053F6"/>
    <w:pPr>
      <w:spacing w:before="160" w:after="1360" w:line="520" w:lineRule="exact"/>
      <w:ind w:right="2381"/>
      <w:jc w:val="right"/>
    </w:pPr>
    <w:rPr>
      <w:smallCaps/>
      <w:sz w:val="52"/>
    </w:rPr>
  </w:style>
  <w:style w:type="paragraph" w:styleId="Quote">
    <w:name w:val="Quote"/>
    <w:basedOn w:val="BodyText"/>
    <w:next w:val="BodyText"/>
    <w:qFormat/>
    <w:rsid w:val="00A053F6"/>
    <w:pPr>
      <w:spacing w:before="120" w:line="280" w:lineRule="exact"/>
      <w:ind w:left="340"/>
    </w:pPr>
    <w:rPr>
      <w:sz w:val="24"/>
    </w:rPr>
  </w:style>
  <w:style w:type="paragraph" w:customStyle="1" w:styleId="Rec">
    <w:name w:val="Rec"/>
    <w:basedOn w:val="BodyText"/>
    <w:rsid w:val="00A053F6"/>
    <w:pPr>
      <w:keepLines/>
      <w:spacing w:before="180"/>
    </w:pPr>
    <w:rPr>
      <w:b/>
      <w:i/>
    </w:rPr>
  </w:style>
  <w:style w:type="paragraph" w:customStyle="1" w:styleId="RecBullet">
    <w:name w:val="Rec Bullet"/>
    <w:basedOn w:val="Rec"/>
    <w:rsid w:val="00A053F6"/>
    <w:pPr>
      <w:numPr>
        <w:numId w:val="8"/>
      </w:numPr>
      <w:spacing w:before="80"/>
    </w:pPr>
  </w:style>
  <w:style w:type="paragraph" w:customStyle="1" w:styleId="RecTitle">
    <w:name w:val="Rec Title"/>
    <w:basedOn w:val="BodyText"/>
    <w:next w:val="Normal"/>
    <w:rsid w:val="00A053F6"/>
    <w:pPr>
      <w:keepNext/>
      <w:keepLines/>
    </w:pPr>
    <w:rPr>
      <w:caps/>
      <w:sz w:val="20"/>
    </w:rPr>
  </w:style>
  <w:style w:type="paragraph" w:customStyle="1" w:styleId="RecB">
    <w:name w:val="RecB"/>
    <w:basedOn w:val="Normal"/>
    <w:rsid w:val="00A053F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053F6"/>
    <w:pPr>
      <w:numPr>
        <w:numId w:val="9"/>
      </w:numPr>
      <w:spacing w:before="80"/>
    </w:pPr>
  </w:style>
  <w:style w:type="paragraph" w:customStyle="1" w:styleId="RecBNoTitle">
    <w:name w:val="RecB NoTitle"/>
    <w:basedOn w:val="RecB"/>
    <w:rsid w:val="00A053F6"/>
    <w:pPr>
      <w:spacing w:before="240"/>
    </w:pPr>
  </w:style>
  <w:style w:type="paragraph" w:customStyle="1" w:styleId="Reference">
    <w:name w:val="Reference"/>
    <w:basedOn w:val="BodyText"/>
    <w:rsid w:val="00A053F6"/>
    <w:pPr>
      <w:spacing w:before="120"/>
      <w:ind w:left="340" w:hanging="340"/>
    </w:pPr>
  </w:style>
  <w:style w:type="paragraph" w:customStyle="1" w:styleId="SideNote">
    <w:name w:val="Side Note"/>
    <w:basedOn w:val="BodyText"/>
    <w:next w:val="BodyText"/>
    <w:semiHidden/>
    <w:rsid w:val="00A053F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053F6"/>
    <w:pPr>
      <w:framePr w:wrap="around"/>
      <w:numPr>
        <w:numId w:val="4"/>
      </w:numPr>
      <w:tabs>
        <w:tab w:val="left" w:pos="227"/>
      </w:tabs>
    </w:pPr>
  </w:style>
  <w:style w:type="paragraph" w:customStyle="1" w:styleId="SideNoteGraphic">
    <w:name w:val="Side Note Graphic"/>
    <w:basedOn w:val="SideNote"/>
    <w:next w:val="BodyText"/>
    <w:semiHidden/>
    <w:rsid w:val="00A053F6"/>
    <w:pPr>
      <w:framePr w:wrap="around"/>
    </w:pPr>
  </w:style>
  <w:style w:type="paragraph" w:customStyle="1" w:styleId="Source">
    <w:name w:val="Source"/>
    <w:basedOn w:val="Note"/>
    <w:next w:val="BodyText"/>
    <w:rsid w:val="00A053F6"/>
    <w:pPr>
      <w:spacing w:after="120"/>
    </w:pPr>
  </w:style>
  <w:style w:type="paragraph" w:customStyle="1" w:styleId="TableBodyText">
    <w:name w:val="Table Body Text"/>
    <w:basedOn w:val="BodyText"/>
    <w:rsid w:val="00A053F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A053F6"/>
    <w:pPr>
      <w:numPr>
        <w:numId w:val="10"/>
      </w:numPr>
      <w:jc w:val="left"/>
    </w:pPr>
  </w:style>
  <w:style w:type="paragraph" w:customStyle="1" w:styleId="TableColumnHeading">
    <w:name w:val="Table Column Heading"/>
    <w:basedOn w:val="TableBodyText"/>
    <w:rsid w:val="00A053F6"/>
    <w:pPr>
      <w:spacing w:before="80" w:after="80"/>
    </w:pPr>
    <w:rPr>
      <w:i/>
    </w:rPr>
  </w:style>
  <w:style w:type="paragraph" w:styleId="TableofFigures">
    <w:name w:val="table of figures"/>
    <w:basedOn w:val="TOC3"/>
    <w:next w:val="BodyText"/>
    <w:semiHidden/>
    <w:rsid w:val="00A053F6"/>
    <w:pPr>
      <w:ind w:left="737" w:hanging="737"/>
    </w:pPr>
  </w:style>
  <w:style w:type="paragraph" w:styleId="TOC3">
    <w:name w:val="toc 3"/>
    <w:basedOn w:val="TOC2"/>
    <w:semiHidden/>
    <w:rsid w:val="00A053F6"/>
    <w:pPr>
      <w:spacing w:before="60"/>
      <w:ind w:left="1190" w:hanging="680"/>
    </w:pPr>
    <w:rPr>
      <w:b w:val="0"/>
    </w:rPr>
  </w:style>
  <w:style w:type="paragraph" w:customStyle="1" w:styleId="TableTitle">
    <w:name w:val="Table Title"/>
    <w:basedOn w:val="Caption"/>
    <w:next w:val="Subtitle"/>
    <w:rsid w:val="00A053F6"/>
    <w:rPr>
      <w:sz w:val="24"/>
    </w:rPr>
  </w:style>
  <w:style w:type="paragraph" w:customStyle="1" w:styleId="TableUnitsRow">
    <w:name w:val="Table Units Row"/>
    <w:basedOn w:val="TableBodyText"/>
    <w:rsid w:val="00A053F6"/>
    <w:pPr>
      <w:spacing w:before="80" w:after="80"/>
    </w:pPr>
  </w:style>
  <w:style w:type="paragraph" w:styleId="TOC1">
    <w:name w:val="toc 1"/>
    <w:basedOn w:val="Normal"/>
    <w:next w:val="TOC2"/>
    <w:rsid w:val="00A053F6"/>
    <w:pPr>
      <w:tabs>
        <w:tab w:val="right" w:pos="8789"/>
      </w:tabs>
      <w:spacing w:before="480" w:after="60" w:line="320" w:lineRule="exact"/>
      <w:ind w:left="1191" w:right="851" w:hanging="1191"/>
    </w:pPr>
    <w:rPr>
      <w:b/>
      <w:caps/>
    </w:rPr>
  </w:style>
  <w:style w:type="paragraph" w:styleId="TOC2">
    <w:name w:val="toc 2"/>
    <w:basedOn w:val="BodyText"/>
    <w:rsid w:val="00A053F6"/>
    <w:pPr>
      <w:tabs>
        <w:tab w:val="right" w:pos="8789"/>
      </w:tabs>
      <w:ind w:left="510" w:right="851" w:hanging="510"/>
      <w:jc w:val="left"/>
    </w:pPr>
    <w:rPr>
      <w:b/>
    </w:rPr>
  </w:style>
  <w:style w:type="paragraph" w:styleId="TOC4">
    <w:name w:val="toc 4"/>
    <w:basedOn w:val="TOC3"/>
    <w:semiHidden/>
    <w:rsid w:val="00A053F6"/>
    <w:pPr>
      <w:ind w:left="1191" w:firstLine="0"/>
    </w:pPr>
  </w:style>
  <w:style w:type="paragraph" w:customStyle="1" w:styleId="BoxContinued">
    <w:name w:val="Box Continued"/>
    <w:basedOn w:val="BodyText"/>
    <w:next w:val="BodyText"/>
    <w:link w:val="BoxContinuedChar"/>
    <w:semiHidden/>
    <w:rsid w:val="00A053F6"/>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053F6"/>
  </w:style>
  <w:style w:type="paragraph" w:customStyle="1" w:styleId="BoxHeading1">
    <w:name w:val="Box Heading 1"/>
    <w:basedOn w:val="BodyText"/>
    <w:next w:val="Box"/>
    <w:link w:val="BoxHeading1Char"/>
    <w:rsid w:val="00A053F6"/>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053F6"/>
    <w:rPr>
      <w:b w:val="0"/>
      <w:i/>
    </w:rPr>
  </w:style>
  <w:style w:type="character" w:customStyle="1" w:styleId="BoxChar">
    <w:name w:val="Box Char"/>
    <w:basedOn w:val="BodyTextChar"/>
    <w:link w:val="Box"/>
    <w:rsid w:val="00D97916"/>
    <w:rPr>
      <w:rFonts w:ascii="Arial" w:hAnsi="Arial"/>
      <w:sz w:val="22"/>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i/>
      <w:sz w:val="24"/>
    </w:rPr>
  </w:style>
  <w:style w:type="character" w:customStyle="1" w:styleId="Heading5Char">
    <w:name w:val="Heading 5 Char"/>
    <w:basedOn w:val="Heading4Char"/>
    <w:link w:val="Heading5"/>
    <w:rsid w:val="00874687"/>
    <w:rPr>
      <w:rFonts w:ascii="Arial" w:hAnsi="Arial"/>
      <w:b w:val="0"/>
      <w:i/>
      <w:sz w:val="26"/>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A053F6"/>
    <w:pPr>
      <w:spacing w:after="140"/>
      <w:jc w:val="both"/>
    </w:pPr>
    <w:rPr>
      <w:rFonts w:ascii="Arial" w:hAnsi="Arial"/>
      <w:sz w:val="24"/>
      <w:lang w:eastAsia="en-US"/>
    </w:rPr>
  </w:style>
  <w:style w:type="paragraph" w:customStyle="1" w:styleId="Jurisdictioncommentsheading">
    <w:name w:val="Jurisdiction comments heading"/>
    <w:rsid w:val="00A053F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053F6"/>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sz w:val="24"/>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BF3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A053F6"/>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rsid w:val="00FD0338"/>
    <w:pPr>
      <w:spacing w:after="120" w:line="480" w:lineRule="auto"/>
    </w:pPr>
  </w:style>
  <w:style w:type="paragraph" w:customStyle="1" w:styleId="Pa6">
    <w:name w:val="Pa6"/>
    <w:basedOn w:val="Normal"/>
    <w:next w:val="Normal"/>
    <w:rsid w:val="00CB36D9"/>
    <w:pPr>
      <w:autoSpaceDE w:val="0"/>
      <w:autoSpaceDN w:val="0"/>
      <w:adjustRightInd w:val="0"/>
      <w:spacing w:line="191" w:lineRule="atLeast"/>
    </w:pPr>
    <w:rPr>
      <w:rFonts w:ascii="Helvetica 45 Light" w:hAnsi="Helvetica 45 Light"/>
      <w:sz w:val="24"/>
      <w:lang w:val="en-US" w:eastAsia="en-US"/>
    </w:r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A053F6"/>
    <w:pPr>
      <w:keepNext/>
      <w:spacing w:before="360" w:line="80" w:lineRule="exact"/>
      <w:jc w:val="left"/>
    </w:pPr>
  </w:style>
  <w:style w:type="paragraph" w:customStyle="1" w:styleId="RecBBullet2">
    <w:name w:val="RecB Bullet 2"/>
    <w:basedOn w:val="ListBullet2"/>
    <w:semiHidden/>
    <w:rsid w:val="00A053F6"/>
    <w:pPr>
      <w:pBdr>
        <w:left w:val="single" w:sz="24" w:space="29" w:color="C0C0C0"/>
      </w:pBdr>
    </w:pPr>
    <w:rPr>
      <w:b/>
      <w:i/>
    </w:rPr>
  </w:style>
  <w:style w:type="character" w:customStyle="1" w:styleId="BalloonTextChar">
    <w:name w:val="Balloon Text Char"/>
    <w:basedOn w:val="DefaultParagraphFont"/>
    <w:link w:val="BalloonText"/>
    <w:rsid w:val="00A053F6"/>
    <w:rPr>
      <w:rFonts w:ascii="Tahoma" w:hAnsi="Tahoma" w:cs="Tahoma"/>
      <w:sz w:val="16"/>
      <w:szCs w:val="16"/>
    </w:rPr>
  </w:style>
  <w:style w:type="character" w:customStyle="1" w:styleId="SubtitleChar">
    <w:name w:val="Subtitle Char"/>
    <w:basedOn w:val="DefaultParagraphFont"/>
    <w:link w:val="Subtitle"/>
    <w:rsid w:val="00A053F6"/>
    <w:rPr>
      <w:rFonts w:ascii="Arial" w:hAnsi="Arial"/>
      <w:szCs w:val="24"/>
    </w:rPr>
  </w:style>
  <w:style w:type="paragraph" w:customStyle="1" w:styleId="BoxListBullet3">
    <w:name w:val="Box List Bullet 3"/>
    <w:basedOn w:val="ListBullet3"/>
    <w:rsid w:val="00A053F6"/>
    <w:pPr>
      <w:numPr>
        <w:numId w:val="2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A053F6"/>
    <w:rPr>
      <w:i/>
      <w:iCs/>
    </w:rPr>
  </w:style>
  <w:style w:type="paragraph" w:customStyle="1" w:styleId="BoxQuoteBullet">
    <w:name w:val="Box Quote Bullet"/>
    <w:basedOn w:val="BoxQuote"/>
    <w:next w:val="Box"/>
    <w:rsid w:val="00A053F6"/>
    <w:pPr>
      <w:numPr>
        <w:numId w:val="18"/>
      </w:numPr>
      <w:ind w:left="568" w:hanging="284"/>
    </w:pPr>
  </w:style>
  <w:style w:type="paragraph" w:customStyle="1" w:styleId="InformationRequestBullet">
    <w:name w:val="Information Request Bullet"/>
    <w:basedOn w:val="ListBullet"/>
    <w:next w:val="BodyText"/>
    <w:rsid w:val="00A053F6"/>
    <w:pPr>
      <w:numPr>
        <w:numId w:val="19"/>
      </w:numPr>
      <w:ind w:left="340" w:hanging="340"/>
    </w:pPr>
    <w:rPr>
      <w:rFonts w:ascii="Arial" w:hAnsi="Arial"/>
      <w:i/>
      <w:sz w:val="24"/>
    </w:rPr>
  </w:style>
  <w:style w:type="paragraph" w:customStyle="1" w:styleId="BoxSpaceBelow">
    <w:name w:val="Box Space Below"/>
    <w:basedOn w:val="Box"/>
    <w:rsid w:val="00A053F6"/>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053F6"/>
    <w:rPr>
      <w:sz w:val="26"/>
      <w:szCs w:val="24"/>
    </w:rPr>
  </w:style>
  <w:style w:type="paragraph" w:styleId="Heading1">
    <w:name w:val="heading 1"/>
    <w:basedOn w:val="BodyText"/>
    <w:next w:val="BodyText"/>
    <w:link w:val="Heading1Char"/>
    <w:rsid w:val="00A053F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053F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053F6"/>
    <w:pPr>
      <w:spacing w:before="560" w:line="320" w:lineRule="exact"/>
      <w:ind w:left="0" w:firstLine="0"/>
      <w:outlineLvl w:val="2"/>
    </w:pPr>
    <w:rPr>
      <w:sz w:val="26"/>
    </w:rPr>
  </w:style>
  <w:style w:type="paragraph" w:styleId="Heading4">
    <w:name w:val="heading 4"/>
    <w:basedOn w:val="Heading3"/>
    <w:next w:val="BodyText"/>
    <w:link w:val="Heading4Char"/>
    <w:qFormat/>
    <w:rsid w:val="00A053F6"/>
    <w:pPr>
      <w:spacing w:before="480"/>
      <w:outlineLvl w:val="3"/>
    </w:pPr>
    <w:rPr>
      <w:b w:val="0"/>
      <w:i/>
      <w:sz w:val="24"/>
    </w:rPr>
  </w:style>
  <w:style w:type="paragraph" w:styleId="Heading5">
    <w:name w:val="heading 5"/>
    <w:basedOn w:val="Heading4"/>
    <w:next w:val="BodyText"/>
    <w:link w:val="Heading5Char"/>
    <w:qFormat/>
    <w:rsid w:val="00A053F6"/>
    <w:pPr>
      <w:outlineLvl w:val="4"/>
    </w:pPr>
    <w:rPr>
      <w:rFonts w:ascii="Times New Roman" w:hAnsi="Times New Roman"/>
      <w:sz w:val="26"/>
    </w:rPr>
  </w:style>
  <w:style w:type="paragraph" w:styleId="Heading6">
    <w:name w:val="heading 6"/>
    <w:basedOn w:val="BodyText"/>
    <w:next w:val="BodyText"/>
    <w:rsid w:val="00A053F6"/>
    <w:pPr>
      <w:spacing w:after="60"/>
      <w:jc w:val="left"/>
      <w:outlineLvl w:val="5"/>
    </w:pPr>
    <w:rPr>
      <w:i/>
      <w:sz w:val="22"/>
    </w:rPr>
  </w:style>
  <w:style w:type="paragraph" w:styleId="Heading7">
    <w:name w:val="heading 7"/>
    <w:basedOn w:val="BodyText"/>
    <w:next w:val="BodyText"/>
    <w:rsid w:val="00A053F6"/>
    <w:pPr>
      <w:spacing w:after="60" w:line="240" w:lineRule="auto"/>
      <w:jc w:val="left"/>
      <w:outlineLvl w:val="6"/>
    </w:pPr>
    <w:rPr>
      <w:rFonts w:ascii="Arial" w:hAnsi="Arial"/>
      <w:sz w:val="20"/>
    </w:rPr>
  </w:style>
  <w:style w:type="paragraph" w:styleId="Heading8">
    <w:name w:val="heading 8"/>
    <w:basedOn w:val="BodyText"/>
    <w:next w:val="BodyText"/>
    <w:rsid w:val="00A053F6"/>
    <w:pPr>
      <w:spacing w:after="60" w:line="240" w:lineRule="auto"/>
      <w:jc w:val="left"/>
      <w:outlineLvl w:val="7"/>
    </w:pPr>
    <w:rPr>
      <w:rFonts w:ascii="Arial" w:hAnsi="Arial"/>
      <w:i/>
      <w:sz w:val="20"/>
    </w:rPr>
  </w:style>
  <w:style w:type="paragraph" w:styleId="Heading9">
    <w:name w:val="heading 9"/>
    <w:basedOn w:val="BodyText"/>
    <w:next w:val="BodyText"/>
    <w:rsid w:val="00A053F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05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53F6"/>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053F6"/>
    <w:pPr>
      <w:spacing w:before="240" w:line="320" w:lineRule="atLeast"/>
      <w:jc w:val="both"/>
    </w:pPr>
    <w:rPr>
      <w:sz w:val="26"/>
    </w:rPr>
  </w:style>
  <w:style w:type="paragraph" w:customStyle="1" w:styleId="Chapter">
    <w:name w:val="Chapter"/>
    <w:basedOn w:val="Heading1"/>
    <w:next w:val="BodyText"/>
    <w:link w:val="ChapterChar"/>
    <w:semiHidden/>
    <w:rsid w:val="00A053F6"/>
    <w:pPr>
      <w:ind w:left="0" w:firstLine="0"/>
      <w:outlineLvl w:val="9"/>
    </w:pPr>
  </w:style>
  <w:style w:type="paragraph" w:customStyle="1" w:styleId="SequenceInfo">
    <w:name w:val="Sequence Info"/>
    <w:basedOn w:val="BodyText"/>
    <w:semiHidden/>
    <w:rsid w:val="00A053F6"/>
    <w:rPr>
      <w:vanish/>
      <w:sz w:val="16"/>
    </w:rPr>
  </w:style>
  <w:style w:type="character" w:styleId="CommentReference">
    <w:name w:val="annotation reference"/>
    <w:basedOn w:val="DefaultParagraphFont"/>
    <w:semiHidden/>
    <w:rsid w:val="00A053F6"/>
    <w:rPr>
      <w:b/>
      <w:vanish/>
      <w:color w:val="FF00FF"/>
      <w:sz w:val="20"/>
    </w:rPr>
  </w:style>
  <w:style w:type="paragraph" w:styleId="CommentText">
    <w:name w:val="annotation text"/>
    <w:basedOn w:val="Normal"/>
    <w:link w:val="CommentTextChar"/>
    <w:semiHidden/>
    <w:rsid w:val="00A053F6"/>
    <w:pPr>
      <w:spacing w:before="120" w:line="240" w:lineRule="atLeast"/>
      <w:ind w:left="567" w:hanging="567"/>
    </w:pPr>
    <w:rPr>
      <w:sz w:val="20"/>
    </w:rPr>
  </w:style>
  <w:style w:type="paragraph" w:customStyle="1" w:styleId="Abbreviation">
    <w:name w:val="Abbreviation"/>
    <w:basedOn w:val="BodyText"/>
    <w:rsid w:val="00A053F6"/>
    <w:pPr>
      <w:spacing w:before="120"/>
      <w:ind w:left="2381" w:hanging="2381"/>
      <w:jc w:val="left"/>
    </w:pPr>
  </w:style>
  <w:style w:type="paragraph" w:customStyle="1" w:styleId="Box">
    <w:name w:val="Box"/>
    <w:basedOn w:val="BodyText"/>
    <w:link w:val="BoxChar"/>
    <w:qFormat/>
    <w:rsid w:val="00A053F6"/>
    <w:pPr>
      <w:keepNext/>
      <w:spacing w:before="120" w:line="280" w:lineRule="atLeast"/>
    </w:pPr>
    <w:rPr>
      <w:rFonts w:ascii="Arial" w:hAnsi="Arial"/>
      <w:sz w:val="22"/>
    </w:rPr>
  </w:style>
  <w:style w:type="paragraph" w:customStyle="1" w:styleId="QuoteBullet">
    <w:name w:val="Quote Bullet"/>
    <w:basedOn w:val="Quote"/>
    <w:rsid w:val="00A053F6"/>
    <w:pPr>
      <w:numPr>
        <w:numId w:val="11"/>
      </w:numPr>
    </w:pPr>
  </w:style>
  <w:style w:type="paragraph" w:customStyle="1" w:styleId="BoxListBullet">
    <w:name w:val="Box List Bullet"/>
    <w:basedOn w:val="BodyText"/>
    <w:rsid w:val="00A053F6"/>
    <w:pPr>
      <w:keepNext/>
      <w:numPr>
        <w:numId w:val="6"/>
      </w:numPr>
      <w:spacing w:before="60" w:line="280" w:lineRule="atLeast"/>
    </w:pPr>
    <w:rPr>
      <w:rFonts w:ascii="Arial" w:hAnsi="Arial"/>
      <w:sz w:val="22"/>
    </w:rPr>
  </w:style>
  <w:style w:type="paragraph" w:customStyle="1" w:styleId="BoxListBullet2">
    <w:name w:val="Box List Bullet 2"/>
    <w:basedOn w:val="BodyText"/>
    <w:rsid w:val="00A053F6"/>
    <w:pPr>
      <w:keepNext/>
      <w:numPr>
        <w:numId w:val="3"/>
      </w:numPr>
      <w:spacing w:before="60" w:line="280" w:lineRule="atLeast"/>
    </w:pPr>
    <w:rPr>
      <w:rFonts w:ascii="Arial" w:hAnsi="Arial"/>
      <w:sz w:val="22"/>
    </w:rPr>
  </w:style>
  <w:style w:type="paragraph" w:customStyle="1" w:styleId="BoxListNumber">
    <w:name w:val="Box List Number"/>
    <w:basedOn w:val="BodyText"/>
    <w:rsid w:val="00A053F6"/>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A053F6"/>
    <w:pPr>
      <w:numPr>
        <w:ilvl w:val="1"/>
      </w:numPr>
    </w:pPr>
  </w:style>
  <w:style w:type="paragraph" w:customStyle="1" w:styleId="BoxQuote">
    <w:name w:val="Box Quote"/>
    <w:basedOn w:val="BodyText"/>
    <w:next w:val="Box"/>
    <w:rsid w:val="00A053F6"/>
    <w:pPr>
      <w:keepNext/>
      <w:spacing w:before="60" w:line="260" w:lineRule="exact"/>
      <w:ind w:left="284"/>
    </w:pPr>
    <w:rPr>
      <w:rFonts w:ascii="Arial" w:hAnsi="Arial"/>
      <w:sz w:val="20"/>
    </w:rPr>
  </w:style>
  <w:style w:type="paragraph" w:customStyle="1" w:styleId="BoxSource">
    <w:name w:val="Box Source"/>
    <w:basedOn w:val="Source"/>
    <w:next w:val="BodyText"/>
    <w:rsid w:val="00A053F6"/>
    <w:pPr>
      <w:spacing w:before="180" w:after="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A053F6"/>
    <w:pPr>
      <w:spacing w:after="80" w:line="200" w:lineRule="exact"/>
      <w:ind w:firstLine="0"/>
    </w:pPr>
    <w:rPr>
      <w:b w:val="0"/>
      <w:sz w:val="20"/>
    </w:rPr>
  </w:style>
  <w:style w:type="paragraph" w:customStyle="1" w:styleId="BoxTitle">
    <w:name w:val="Box Title"/>
    <w:basedOn w:val="Caption"/>
    <w:next w:val="BoxSubtitle"/>
    <w:rsid w:val="00A053F6"/>
    <w:pPr>
      <w:spacing w:before="120" w:after="0"/>
      <w:ind w:left="1304" w:hanging="1304"/>
    </w:pPr>
    <w:rPr>
      <w:sz w:val="24"/>
    </w:rPr>
  </w:style>
  <w:style w:type="paragraph" w:styleId="Caption">
    <w:name w:val="caption"/>
    <w:basedOn w:val="Normal"/>
    <w:next w:val="BodyText"/>
    <w:rsid w:val="00A053F6"/>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053F6"/>
    <w:pPr>
      <w:ind w:left="907"/>
    </w:pPr>
    <w:rPr>
      <w:rFonts w:ascii="Arial" w:hAnsi="Arial"/>
      <w:b/>
      <w:sz w:val="22"/>
    </w:rPr>
  </w:style>
  <w:style w:type="character" w:customStyle="1" w:styleId="DocumentInfo">
    <w:name w:val="Document Info"/>
    <w:basedOn w:val="DefaultParagraphFont"/>
    <w:semiHidden/>
    <w:rsid w:val="00A053F6"/>
    <w:rPr>
      <w:rFonts w:ascii="Arial" w:hAnsi="Arial"/>
      <w:sz w:val="14"/>
    </w:rPr>
  </w:style>
  <w:style w:type="paragraph" w:styleId="Footer">
    <w:name w:val="footer"/>
    <w:basedOn w:val="BodyText"/>
    <w:semiHidden/>
    <w:rsid w:val="00A053F6"/>
    <w:pPr>
      <w:spacing w:before="80" w:line="200" w:lineRule="exact"/>
      <w:ind w:right="6"/>
      <w:jc w:val="left"/>
    </w:pPr>
    <w:rPr>
      <w:caps/>
      <w:spacing w:val="-4"/>
      <w:sz w:val="16"/>
    </w:rPr>
  </w:style>
  <w:style w:type="character" w:customStyle="1" w:styleId="DraftingNote">
    <w:name w:val="Drafting Note"/>
    <w:basedOn w:val="DefaultParagraphFont"/>
    <w:rsid w:val="00A053F6"/>
    <w:rPr>
      <w:b/>
      <w:color w:val="FF0000"/>
      <w:sz w:val="24"/>
      <w:u w:val="dotted"/>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97916"/>
    <w:rPr>
      <w:sz w:val="26"/>
    </w:rPr>
  </w:style>
  <w:style w:type="paragraph" w:customStyle="1" w:styleId="Figure">
    <w:name w:val="Figure"/>
    <w:basedOn w:val="BodyText"/>
    <w:rsid w:val="00A053F6"/>
    <w:pPr>
      <w:keepNext/>
      <w:spacing w:before="120" w:after="120" w:line="240" w:lineRule="atLeast"/>
      <w:jc w:val="center"/>
    </w:pPr>
  </w:style>
  <w:style w:type="paragraph" w:customStyle="1" w:styleId="FigureTitle">
    <w:name w:val="Figure Title"/>
    <w:basedOn w:val="Caption"/>
    <w:next w:val="Subtitle"/>
    <w:rsid w:val="00A053F6"/>
    <w:rPr>
      <w:sz w:val="24"/>
    </w:rPr>
  </w:style>
  <w:style w:type="paragraph" w:styleId="Subtitle">
    <w:name w:val="Subtitle"/>
    <w:basedOn w:val="Caption"/>
    <w:link w:val="SubtitleChar"/>
    <w:rsid w:val="00A053F6"/>
    <w:pPr>
      <w:spacing w:before="0" w:line="200" w:lineRule="exact"/>
      <w:ind w:firstLine="0"/>
    </w:pPr>
    <w:rPr>
      <w:b w:val="0"/>
      <w:sz w:val="20"/>
    </w:rPr>
  </w:style>
  <w:style w:type="paragraph" w:customStyle="1" w:styleId="Finding">
    <w:name w:val="Finding"/>
    <w:basedOn w:val="BodyText"/>
    <w:rsid w:val="00A053F6"/>
    <w:pPr>
      <w:keepLines/>
      <w:spacing w:before="180"/>
    </w:pPr>
    <w:rPr>
      <w:i/>
    </w:rPr>
  </w:style>
  <w:style w:type="paragraph" w:customStyle="1" w:styleId="FindingBullet">
    <w:name w:val="Finding Bullet"/>
    <w:basedOn w:val="Finding"/>
    <w:rsid w:val="00A053F6"/>
    <w:pPr>
      <w:numPr>
        <w:numId w:val="7"/>
      </w:numPr>
      <w:spacing w:before="80"/>
    </w:pPr>
  </w:style>
  <w:style w:type="paragraph" w:customStyle="1" w:styleId="FindingNoTitle">
    <w:name w:val="Finding NoTitle"/>
    <w:basedOn w:val="Finding"/>
    <w:rsid w:val="00A053F6"/>
    <w:pPr>
      <w:spacing w:before="240"/>
    </w:pPr>
  </w:style>
  <w:style w:type="paragraph" w:customStyle="1" w:styleId="FindingTitle">
    <w:name w:val="Finding Title"/>
    <w:basedOn w:val="RecTitle"/>
    <w:next w:val="Finding"/>
    <w:rsid w:val="00A053F6"/>
    <w:pPr>
      <w:framePr w:wrap="notBeside" w:hAnchor="text"/>
    </w:pPr>
  </w:style>
  <w:style w:type="paragraph" w:customStyle="1" w:styleId="FooterEnd">
    <w:name w:val="Footer End"/>
    <w:basedOn w:val="Footer"/>
    <w:rsid w:val="00A053F6"/>
    <w:pPr>
      <w:spacing w:before="0" w:line="20" w:lineRule="exact"/>
    </w:pPr>
  </w:style>
  <w:style w:type="character" w:styleId="FootnoteReference">
    <w:name w:val="footnote reference"/>
    <w:basedOn w:val="DefaultParagraphFont"/>
    <w:semiHidden/>
    <w:rsid w:val="00A053F6"/>
    <w:rPr>
      <w:rFonts w:ascii="Times New Roman" w:hAnsi="Times New Roman"/>
      <w:position w:val="6"/>
      <w:sz w:val="22"/>
      <w:vertAlign w:val="baseline"/>
    </w:rPr>
  </w:style>
  <w:style w:type="paragraph" w:styleId="FootnoteText">
    <w:name w:val="footnote text"/>
    <w:basedOn w:val="BodyText"/>
    <w:rsid w:val="00A053F6"/>
    <w:pPr>
      <w:tabs>
        <w:tab w:val="left" w:pos="284"/>
      </w:tabs>
      <w:spacing w:before="80" w:line="260" w:lineRule="exact"/>
      <w:ind w:left="284" w:hanging="284"/>
    </w:pPr>
    <w:rPr>
      <w:sz w:val="22"/>
    </w:rPr>
  </w:style>
  <w:style w:type="paragraph" w:styleId="Header">
    <w:name w:val="header"/>
    <w:basedOn w:val="BodyText"/>
    <w:rsid w:val="00A053F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053F6"/>
    <w:pPr>
      <w:spacing w:line="20" w:lineRule="exact"/>
    </w:pPr>
    <w:rPr>
      <w:sz w:val="16"/>
    </w:rPr>
  </w:style>
  <w:style w:type="paragraph" w:customStyle="1" w:styleId="HeaderEven">
    <w:name w:val="Header Even"/>
    <w:basedOn w:val="Header"/>
    <w:semiHidden/>
    <w:rsid w:val="00A053F6"/>
  </w:style>
  <w:style w:type="paragraph" w:customStyle="1" w:styleId="HeaderOdd">
    <w:name w:val="Header Odd"/>
    <w:basedOn w:val="Header"/>
    <w:semiHidden/>
    <w:rsid w:val="00A053F6"/>
  </w:style>
  <w:style w:type="paragraph" w:customStyle="1" w:styleId="InformationRequest">
    <w:name w:val="Information Request"/>
    <w:basedOn w:val="Finding"/>
    <w:next w:val="BodyText"/>
    <w:rsid w:val="00A053F6"/>
    <w:pPr>
      <w:spacing w:before="360" w:after="120"/>
    </w:pPr>
    <w:rPr>
      <w:rFonts w:ascii="Arial" w:hAnsi="Arial"/>
      <w:sz w:val="24"/>
    </w:rPr>
  </w:style>
  <w:style w:type="paragraph" w:styleId="ListBullet">
    <w:name w:val="List Bullet"/>
    <w:basedOn w:val="BodyText"/>
    <w:rsid w:val="00A053F6"/>
    <w:pPr>
      <w:numPr>
        <w:numId w:val="5"/>
      </w:numPr>
      <w:spacing w:before="120"/>
    </w:pPr>
  </w:style>
  <w:style w:type="paragraph" w:styleId="ListBullet2">
    <w:name w:val="List Bullet 2"/>
    <w:basedOn w:val="BodyText"/>
    <w:rsid w:val="00A053F6"/>
    <w:pPr>
      <w:numPr>
        <w:numId w:val="2"/>
      </w:numPr>
      <w:spacing w:before="120"/>
    </w:pPr>
  </w:style>
  <w:style w:type="paragraph" w:styleId="ListBullet3">
    <w:name w:val="List Bullet 3"/>
    <w:basedOn w:val="BodyText"/>
    <w:rsid w:val="00A053F6"/>
    <w:pPr>
      <w:numPr>
        <w:numId w:val="1"/>
      </w:numPr>
      <w:spacing w:before="120"/>
    </w:pPr>
  </w:style>
  <w:style w:type="paragraph" w:styleId="ListNumber">
    <w:name w:val="List Number"/>
    <w:basedOn w:val="BodyText"/>
    <w:rsid w:val="00A053F6"/>
    <w:pPr>
      <w:numPr>
        <w:numId w:val="14"/>
      </w:numPr>
      <w:spacing w:before="120"/>
    </w:pPr>
  </w:style>
  <w:style w:type="paragraph" w:styleId="ListNumber2">
    <w:name w:val="List Number 2"/>
    <w:basedOn w:val="ListNumber"/>
    <w:rsid w:val="00A053F6"/>
    <w:pPr>
      <w:numPr>
        <w:ilvl w:val="1"/>
      </w:numPr>
    </w:pPr>
  </w:style>
  <w:style w:type="paragraph" w:styleId="ListNumber3">
    <w:name w:val="List Number 3"/>
    <w:basedOn w:val="ListNumber2"/>
    <w:rsid w:val="00A053F6"/>
    <w:pPr>
      <w:numPr>
        <w:ilvl w:val="2"/>
      </w:numPr>
    </w:pPr>
  </w:style>
  <w:style w:type="paragraph" w:customStyle="1" w:styleId="Note">
    <w:name w:val="Note"/>
    <w:basedOn w:val="BodyText"/>
    <w:next w:val="BodyText"/>
    <w:link w:val="NoteChar"/>
    <w:rsid w:val="00A053F6"/>
    <w:pPr>
      <w:keepLines/>
      <w:spacing w:before="80" w:line="220" w:lineRule="exact"/>
    </w:pPr>
    <w:rPr>
      <w:rFonts w:ascii="Arial" w:hAnsi="Arial"/>
      <w:sz w:val="18"/>
    </w:rPr>
  </w:style>
  <w:style w:type="character" w:customStyle="1" w:styleId="NoteLabel">
    <w:name w:val="Note Label"/>
    <w:basedOn w:val="DefaultParagraphFont"/>
    <w:rsid w:val="00A053F6"/>
    <w:rPr>
      <w:rFonts w:ascii="Arial" w:hAnsi="Arial"/>
      <w:b/>
      <w:position w:val="6"/>
      <w:sz w:val="18"/>
    </w:rPr>
  </w:style>
  <w:style w:type="character" w:styleId="PageNumber">
    <w:name w:val="page number"/>
    <w:basedOn w:val="DefaultParagraphFont"/>
    <w:rsid w:val="00A053F6"/>
    <w:rPr>
      <w:rFonts w:ascii="Arial" w:hAnsi="Arial"/>
      <w:b/>
      <w:sz w:val="16"/>
    </w:rPr>
  </w:style>
  <w:style w:type="paragraph" w:customStyle="1" w:styleId="PartDivider">
    <w:name w:val="Part Divider"/>
    <w:basedOn w:val="BodyText"/>
    <w:next w:val="BodyText"/>
    <w:semiHidden/>
    <w:rsid w:val="00A053F6"/>
    <w:pPr>
      <w:spacing w:before="0" w:line="40" w:lineRule="exact"/>
      <w:jc w:val="right"/>
    </w:pPr>
    <w:rPr>
      <w:smallCaps/>
      <w:sz w:val="16"/>
    </w:rPr>
  </w:style>
  <w:style w:type="paragraph" w:customStyle="1" w:styleId="PartNumber">
    <w:name w:val="Part Number"/>
    <w:basedOn w:val="BodyText"/>
    <w:next w:val="BodyText"/>
    <w:semiHidden/>
    <w:rsid w:val="00A053F6"/>
    <w:pPr>
      <w:spacing w:before="4000" w:line="320" w:lineRule="exact"/>
      <w:ind w:left="6634"/>
      <w:jc w:val="right"/>
    </w:pPr>
    <w:rPr>
      <w:smallCaps/>
      <w:spacing w:val="60"/>
      <w:sz w:val="32"/>
    </w:rPr>
  </w:style>
  <w:style w:type="paragraph" w:customStyle="1" w:styleId="PartTitle">
    <w:name w:val="Part Title"/>
    <w:basedOn w:val="BodyText"/>
    <w:semiHidden/>
    <w:rsid w:val="00A053F6"/>
    <w:pPr>
      <w:spacing w:before="160" w:after="1360" w:line="520" w:lineRule="exact"/>
      <w:ind w:right="2381"/>
      <w:jc w:val="right"/>
    </w:pPr>
    <w:rPr>
      <w:smallCaps/>
      <w:sz w:val="52"/>
    </w:rPr>
  </w:style>
  <w:style w:type="paragraph" w:styleId="Quote">
    <w:name w:val="Quote"/>
    <w:basedOn w:val="BodyText"/>
    <w:next w:val="BodyText"/>
    <w:qFormat/>
    <w:rsid w:val="00A053F6"/>
    <w:pPr>
      <w:spacing w:before="120" w:line="280" w:lineRule="exact"/>
      <w:ind w:left="340"/>
    </w:pPr>
    <w:rPr>
      <w:sz w:val="24"/>
    </w:rPr>
  </w:style>
  <w:style w:type="paragraph" w:customStyle="1" w:styleId="Rec">
    <w:name w:val="Rec"/>
    <w:basedOn w:val="BodyText"/>
    <w:rsid w:val="00A053F6"/>
    <w:pPr>
      <w:keepLines/>
      <w:spacing w:before="180"/>
    </w:pPr>
    <w:rPr>
      <w:b/>
      <w:i/>
    </w:rPr>
  </w:style>
  <w:style w:type="paragraph" w:customStyle="1" w:styleId="RecBullet">
    <w:name w:val="Rec Bullet"/>
    <w:basedOn w:val="Rec"/>
    <w:rsid w:val="00A053F6"/>
    <w:pPr>
      <w:numPr>
        <w:numId w:val="8"/>
      </w:numPr>
      <w:spacing w:before="80"/>
    </w:pPr>
  </w:style>
  <w:style w:type="paragraph" w:customStyle="1" w:styleId="RecTitle">
    <w:name w:val="Rec Title"/>
    <w:basedOn w:val="BodyText"/>
    <w:next w:val="Normal"/>
    <w:rsid w:val="00A053F6"/>
    <w:pPr>
      <w:keepNext/>
      <w:keepLines/>
    </w:pPr>
    <w:rPr>
      <w:caps/>
      <w:sz w:val="20"/>
    </w:rPr>
  </w:style>
  <w:style w:type="paragraph" w:customStyle="1" w:styleId="RecB">
    <w:name w:val="RecB"/>
    <w:basedOn w:val="Normal"/>
    <w:rsid w:val="00A053F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053F6"/>
    <w:pPr>
      <w:numPr>
        <w:numId w:val="9"/>
      </w:numPr>
      <w:spacing w:before="80"/>
    </w:pPr>
  </w:style>
  <w:style w:type="paragraph" w:customStyle="1" w:styleId="RecBNoTitle">
    <w:name w:val="RecB NoTitle"/>
    <w:basedOn w:val="RecB"/>
    <w:rsid w:val="00A053F6"/>
    <w:pPr>
      <w:spacing w:before="240"/>
    </w:pPr>
  </w:style>
  <w:style w:type="paragraph" w:customStyle="1" w:styleId="Reference">
    <w:name w:val="Reference"/>
    <w:basedOn w:val="BodyText"/>
    <w:rsid w:val="00A053F6"/>
    <w:pPr>
      <w:spacing w:before="120"/>
      <w:ind w:left="340" w:hanging="340"/>
    </w:pPr>
  </w:style>
  <w:style w:type="paragraph" w:customStyle="1" w:styleId="SideNote">
    <w:name w:val="Side Note"/>
    <w:basedOn w:val="BodyText"/>
    <w:next w:val="BodyText"/>
    <w:semiHidden/>
    <w:rsid w:val="00A053F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053F6"/>
    <w:pPr>
      <w:framePr w:wrap="around"/>
      <w:numPr>
        <w:numId w:val="4"/>
      </w:numPr>
      <w:tabs>
        <w:tab w:val="left" w:pos="227"/>
      </w:tabs>
    </w:pPr>
  </w:style>
  <w:style w:type="paragraph" w:customStyle="1" w:styleId="SideNoteGraphic">
    <w:name w:val="Side Note Graphic"/>
    <w:basedOn w:val="SideNote"/>
    <w:next w:val="BodyText"/>
    <w:semiHidden/>
    <w:rsid w:val="00A053F6"/>
    <w:pPr>
      <w:framePr w:wrap="around"/>
    </w:pPr>
  </w:style>
  <w:style w:type="paragraph" w:customStyle="1" w:styleId="Source">
    <w:name w:val="Source"/>
    <w:basedOn w:val="Note"/>
    <w:next w:val="BodyText"/>
    <w:rsid w:val="00A053F6"/>
    <w:pPr>
      <w:spacing w:after="120"/>
    </w:pPr>
  </w:style>
  <w:style w:type="paragraph" w:customStyle="1" w:styleId="TableBodyText">
    <w:name w:val="Table Body Text"/>
    <w:basedOn w:val="BodyText"/>
    <w:rsid w:val="00A053F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A053F6"/>
    <w:pPr>
      <w:numPr>
        <w:numId w:val="10"/>
      </w:numPr>
      <w:jc w:val="left"/>
    </w:pPr>
  </w:style>
  <w:style w:type="paragraph" w:customStyle="1" w:styleId="TableColumnHeading">
    <w:name w:val="Table Column Heading"/>
    <w:basedOn w:val="TableBodyText"/>
    <w:rsid w:val="00A053F6"/>
    <w:pPr>
      <w:spacing w:before="80" w:after="80"/>
    </w:pPr>
    <w:rPr>
      <w:i/>
    </w:rPr>
  </w:style>
  <w:style w:type="paragraph" w:styleId="TableofFigures">
    <w:name w:val="table of figures"/>
    <w:basedOn w:val="TOC3"/>
    <w:next w:val="BodyText"/>
    <w:semiHidden/>
    <w:rsid w:val="00A053F6"/>
    <w:pPr>
      <w:ind w:left="737" w:hanging="737"/>
    </w:pPr>
  </w:style>
  <w:style w:type="paragraph" w:styleId="TOC3">
    <w:name w:val="toc 3"/>
    <w:basedOn w:val="TOC2"/>
    <w:semiHidden/>
    <w:rsid w:val="00A053F6"/>
    <w:pPr>
      <w:spacing w:before="60"/>
      <w:ind w:left="1190" w:hanging="680"/>
    </w:pPr>
    <w:rPr>
      <w:b w:val="0"/>
    </w:rPr>
  </w:style>
  <w:style w:type="paragraph" w:customStyle="1" w:styleId="TableTitle">
    <w:name w:val="Table Title"/>
    <w:basedOn w:val="Caption"/>
    <w:next w:val="Subtitle"/>
    <w:rsid w:val="00A053F6"/>
    <w:rPr>
      <w:sz w:val="24"/>
    </w:rPr>
  </w:style>
  <w:style w:type="paragraph" w:customStyle="1" w:styleId="TableUnitsRow">
    <w:name w:val="Table Units Row"/>
    <w:basedOn w:val="TableBodyText"/>
    <w:rsid w:val="00A053F6"/>
    <w:pPr>
      <w:spacing w:before="80" w:after="80"/>
    </w:pPr>
  </w:style>
  <w:style w:type="paragraph" w:styleId="TOC1">
    <w:name w:val="toc 1"/>
    <w:basedOn w:val="Normal"/>
    <w:next w:val="TOC2"/>
    <w:rsid w:val="00A053F6"/>
    <w:pPr>
      <w:tabs>
        <w:tab w:val="right" w:pos="8789"/>
      </w:tabs>
      <w:spacing w:before="480" w:after="60" w:line="320" w:lineRule="exact"/>
      <w:ind w:left="1191" w:right="851" w:hanging="1191"/>
    </w:pPr>
    <w:rPr>
      <w:b/>
      <w:caps/>
    </w:rPr>
  </w:style>
  <w:style w:type="paragraph" w:styleId="TOC2">
    <w:name w:val="toc 2"/>
    <w:basedOn w:val="BodyText"/>
    <w:rsid w:val="00A053F6"/>
    <w:pPr>
      <w:tabs>
        <w:tab w:val="right" w:pos="8789"/>
      </w:tabs>
      <w:ind w:left="510" w:right="851" w:hanging="510"/>
      <w:jc w:val="left"/>
    </w:pPr>
    <w:rPr>
      <w:b/>
    </w:rPr>
  </w:style>
  <w:style w:type="paragraph" w:styleId="TOC4">
    <w:name w:val="toc 4"/>
    <w:basedOn w:val="TOC3"/>
    <w:semiHidden/>
    <w:rsid w:val="00A053F6"/>
    <w:pPr>
      <w:ind w:left="1191" w:firstLine="0"/>
    </w:pPr>
  </w:style>
  <w:style w:type="paragraph" w:customStyle="1" w:styleId="BoxContinued">
    <w:name w:val="Box Continued"/>
    <w:basedOn w:val="BodyText"/>
    <w:next w:val="BodyText"/>
    <w:link w:val="BoxContinuedChar"/>
    <w:semiHidden/>
    <w:rsid w:val="00A053F6"/>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053F6"/>
  </w:style>
  <w:style w:type="paragraph" w:customStyle="1" w:styleId="BoxHeading1">
    <w:name w:val="Box Heading 1"/>
    <w:basedOn w:val="BodyText"/>
    <w:next w:val="Box"/>
    <w:link w:val="BoxHeading1Char"/>
    <w:rsid w:val="00A053F6"/>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053F6"/>
    <w:rPr>
      <w:b w:val="0"/>
      <w:i/>
    </w:rPr>
  </w:style>
  <w:style w:type="character" w:customStyle="1" w:styleId="BoxChar">
    <w:name w:val="Box Char"/>
    <w:basedOn w:val="BodyTextChar"/>
    <w:link w:val="Box"/>
    <w:rsid w:val="00D97916"/>
    <w:rPr>
      <w:rFonts w:ascii="Arial" w:hAnsi="Arial"/>
      <w:sz w:val="22"/>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i/>
      <w:sz w:val="24"/>
    </w:rPr>
  </w:style>
  <w:style w:type="character" w:customStyle="1" w:styleId="Heading5Char">
    <w:name w:val="Heading 5 Char"/>
    <w:basedOn w:val="Heading4Char"/>
    <w:link w:val="Heading5"/>
    <w:rsid w:val="00874687"/>
    <w:rPr>
      <w:rFonts w:ascii="Arial" w:hAnsi="Arial"/>
      <w:b w:val="0"/>
      <w:i/>
      <w:sz w:val="26"/>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A053F6"/>
    <w:pPr>
      <w:spacing w:after="140"/>
      <w:jc w:val="both"/>
    </w:pPr>
    <w:rPr>
      <w:rFonts w:ascii="Arial" w:hAnsi="Arial"/>
      <w:sz w:val="24"/>
      <w:lang w:eastAsia="en-US"/>
    </w:rPr>
  </w:style>
  <w:style w:type="paragraph" w:customStyle="1" w:styleId="Jurisdictioncommentsheading">
    <w:name w:val="Jurisdiction comments heading"/>
    <w:rsid w:val="00A053F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053F6"/>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sz w:val="24"/>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BF3C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A053F6"/>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rsid w:val="00FD0338"/>
    <w:pPr>
      <w:spacing w:after="120" w:line="480" w:lineRule="auto"/>
    </w:pPr>
  </w:style>
  <w:style w:type="paragraph" w:customStyle="1" w:styleId="Pa6">
    <w:name w:val="Pa6"/>
    <w:basedOn w:val="Normal"/>
    <w:next w:val="Normal"/>
    <w:rsid w:val="00CB36D9"/>
    <w:pPr>
      <w:autoSpaceDE w:val="0"/>
      <w:autoSpaceDN w:val="0"/>
      <w:adjustRightInd w:val="0"/>
      <w:spacing w:line="191" w:lineRule="atLeast"/>
    </w:pPr>
    <w:rPr>
      <w:rFonts w:ascii="Helvetica 45 Light" w:hAnsi="Helvetica 45 Light"/>
      <w:sz w:val="24"/>
      <w:lang w:val="en-US" w:eastAsia="en-US"/>
    </w:r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A053F6"/>
    <w:pPr>
      <w:keepNext/>
      <w:spacing w:before="360" w:line="80" w:lineRule="exact"/>
      <w:jc w:val="left"/>
    </w:pPr>
  </w:style>
  <w:style w:type="paragraph" w:customStyle="1" w:styleId="RecBBullet2">
    <w:name w:val="RecB Bullet 2"/>
    <w:basedOn w:val="ListBullet2"/>
    <w:semiHidden/>
    <w:rsid w:val="00A053F6"/>
    <w:pPr>
      <w:pBdr>
        <w:left w:val="single" w:sz="24" w:space="29" w:color="C0C0C0"/>
      </w:pBdr>
    </w:pPr>
    <w:rPr>
      <w:b/>
      <w:i/>
    </w:rPr>
  </w:style>
  <w:style w:type="character" w:customStyle="1" w:styleId="BalloonTextChar">
    <w:name w:val="Balloon Text Char"/>
    <w:basedOn w:val="DefaultParagraphFont"/>
    <w:link w:val="BalloonText"/>
    <w:rsid w:val="00A053F6"/>
    <w:rPr>
      <w:rFonts w:ascii="Tahoma" w:hAnsi="Tahoma" w:cs="Tahoma"/>
      <w:sz w:val="16"/>
      <w:szCs w:val="16"/>
    </w:rPr>
  </w:style>
  <w:style w:type="character" w:customStyle="1" w:styleId="SubtitleChar">
    <w:name w:val="Subtitle Char"/>
    <w:basedOn w:val="DefaultParagraphFont"/>
    <w:link w:val="Subtitle"/>
    <w:rsid w:val="00A053F6"/>
    <w:rPr>
      <w:rFonts w:ascii="Arial" w:hAnsi="Arial"/>
      <w:szCs w:val="24"/>
    </w:rPr>
  </w:style>
  <w:style w:type="paragraph" w:customStyle="1" w:styleId="BoxListBullet3">
    <w:name w:val="Box List Bullet 3"/>
    <w:basedOn w:val="ListBullet3"/>
    <w:rsid w:val="00A053F6"/>
    <w:pPr>
      <w:numPr>
        <w:numId w:val="2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A053F6"/>
    <w:rPr>
      <w:i/>
      <w:iCs/>
    </w:rPr>
  </w:style>
  <w:style w:type="paragraph" w:customStyle="1" w:styleId="BoxQuoteBullet">
    <w:name w:val="Box Quote Bullet"/>
    <w:basedOn w:val="BoxQuote"/>
    <w:next w:val="Box"/>
    <w:rsid w:val="00A053F6"/>
    <w:pPr>
      <w:numPr>
        <w:numId w:val="18"/>
      </w:numPr>
      <w:ind w:left="568" w:hanging="284"/>
    </w:pPr>
  </w:style>
  <w:style w:type="paragraph" w:customStyle="1" w:styleId="InformationRequestBullet">
    <w:name w:val="Information Request Bullet"/>
    <w:basedOn w:val="ListBullet"/>
    <w:next w:val="BodyText"/>
    <w:rsid w:val="00A053F6"/>
    <w:pPr>
      <w:numPr>
        <w:numId w:val="19"/>
      </w:numPr>
      <w:ind w:left="340" w:hanging="340"/>
    </w:pPr>
    <w:rPr>
      <w:rFonts w:ascii="Arial" w:hAnsi="Arial"/>
      <w:i/>
      <w:sz w:val="24"/>
    </w:rPr>
  </w:style>
  <w:style w:type="paragraph" w:customStyle="1" w:styleId="BoxSpaceBelow">
    <w:name w:val="Box Space Below"/>
    <w:basedOn w:val="Box"/>
    <w:rsid w:val="00A053F6"/>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4791">
      <w:bodyDiv w:val="1"/>
      <w:marLeft w:val="0"/>
      <w:marRight w:val="0"/>
      <w:marTop w:val="0"/>
      <w:marBottom w:val="0"/>
      <w:divBdr>
        <w:top w:val="none" w:sz="0" w:space="0" w:color="auto"/>
        <w:left w:val="none" w:sz="0" w:space="0" w:color="auto"/>
        <w:bottom w:val="none" w:sz="0" w:space="0" w:color="auto"/>
        <w:right w:val="none" w:sz="0" w:space="0" w:color="auto"/>
      </w:divBdr>
    </w:div>
    <w:div w:id="407338677">
      <w:bodyDiv w:val="1"/>
      <w:marLeft w:val="0"/>
      <w:marRight w:val="0"/>
      <w:marTop w:val="0"/>
      <w:marBottom w:val="0"/>
      <w:divBdr>
        <w:top w:val="none" w:sz="0" w:space="0" w:color="auto"/>
        <w:left w:val="none" w:sz="0" w:space="0" w:color="auto"/>
        <w:bottom w:val="none" w:sz="0" w:space="0" w:color="auto"/>
        <w:right w:val="none" w:sz="0" w:space="0" w:color="auto"/>
      </w:divBdr>
    </w:div>
    <w:div w:id="628123775">
      <w:bodyDiv w:val="1"/>
      <w:marLeft w:val="0"/>
      <w:marRight w:val="0"/>
      <w:marTop w:val="0"/>
      <w:marBottom w:val="0"/>
      <w:divBdr>
        <w:top w:val="none" w:sz="0" w:space="0" w:color="auto"/>
        <w:left w:val="none" w:sz="0" w:space="0" w:color="auto"/>
        <w:bottom w:val="none" w:sz="0" w:space="0" w:color="auto"/>
        <w:right w:val="none" w:sz="0" w:space="0" w:color="auto"/>
      </w:divBdr>
    </w:div>
    <w:div w:id="734594340">
      <w:bodyDiv w:val="1"/>
      <w:marLeft w:val="0"/>
      <w:marRight w:val="0"/>
      <w:marTop w:val="0"/>
      <w:marBottom w:val="0"/>
      <w:divBdr>
        <w:top w:val="none" w:sz="0" w:space="0" w:color="auto"/>
        <w:left w:val="none" w:sz="0" w:space="0" w:color="auto"/>
        <w:bottom w:val="none" w:sz="0" w:space="0" w:color="auto"/>
        <w:right w:val="none" w:sz="0" w:space="0" w:color="auto"/>
      </w:divBdr>
    </w:div>
    <w:div w:id="835535440">
      <w:bodyDiv w:val="1"/>
      <w:marLeft w:val="0"/>
      <w:marRight w:val="0"/>
      <w:marTop w:val="0"/>
      <w:marBottom w:val="0"/>
      <w:divBdr>
        <w:top w:val="none" w:sz="0" w:space="0" w:color="auto"/>
        <w:left w:val="none" w:sz="0" w:space="0" w:color="auto"/>
        <w:bottom w:val="none" w:sz="0" w:space="0" w:color="auto"/>
        <w:right w:val="none" w:sz="0" w:space="0" w:color="auto"/>
      </w:divBdr>
    </w:div>
    <w:div w:id="901253529">
      <w:bodyDiv w:val="1"/>
      <w:marLeft w:val="0"/>
      <w:marRight w:val="0"/>
      <w:marTop w:val="0"/>
      <w:marBottom w:val="0"/>
      <w:divBdr>
        <w:top w:val="none" w:sz="0" w:space="0" w:color="auto"/>
        <w:left w:val="none" w:sz="0" w:space="0" w:color="auto"/>
        <w:bottom w:val="none" w:sz="0" w:space="0" w:color="auto"/>
        <w:right w:val="none" w:sz="0" w:space="0" w:color="auto"/>
      </w:divBdr>
    </w:div>
    <w:div w:id="1083455532">
      <w:bodyDiv w:val="1"/>
      <w:marLeft w:val="0"/>
      <w:marRight w:val="0"/>
      <w:marTop w:val="0"/>
      <w:marBottom w:val="0"/>
      <w:divBdr>
        <w:top w:val="none" w:sz="0" w:space="0" w:color="auto"/>
        <w:left w:val="none" w:sz="0" w:space="0" w:color="auto"/>
        <w:bottom w:val="none" w:sz="0" w:space="0" w:color="auto"/>
        <w:right w:val="none" w:sz="0" w:space="0" w:color="auto"/>
      </w:divBdr>
    </w:div>
    <w:div w:id="1101417784">
      <w:bodyDiv w:val="1"/>
      <w:marLeft w:val="0"/>
      <w:marRight w:val="0"/>
      <w:marTop w:val="0"/>
      <w:marBottom w:val="0"/>
      <w:divBdr>
        <w:top w:val="none" w:sz="0" w:space="0" w:color="auto"/>
        <w:left w:val="none" w:sz="0" w:space="0" w:color="auto"/>
        <w:bottom w:val="none" w:sz="0" w:space="0" w:color="auto"/>
        <w:right w:val="none" w:sz="0" w:space="0" w:color="auto"/>
      </w:divBdr>
    </w:div>
    <w:div w:id="1337032543">
      <w:bodyDiv w:val="1"/>
      <w:marLeft w:val="0"/>
      <w:marRight w:val="0"/>
      <w:marTop w:val="0"/>
      <w:marBottom w:val="0"/>
      <w:divBdr>
        <w:top w:val="none" w:sz="0" w:space="0" w:color="auto"/>
        <w:left w:val="none" w:sz="0" w:space="0" w:color="auto"/>
        <w:bottom w:val="none" w:sz="0" w:space="0" w:color="auto"/>
        <w:right w:val="none" w:sz="0" w:space="0" w:color="auto"/>
      </w:divBdr>
    </w:div>
    <w:div w:id="1547520069">
      <w:bodyDiv w:val="1"/>
      <w:marLeft w:val="0"/>
      <w:marRight w:val="0"/>
      <w:marTop w:val="0"/>
      <w:marBottom w:val="0"/>
      <w:divBdr>
        <w:top w:val="none" w:sz="0" w:space="0" w:color="auto"/>
        <w:left w:val="none" w:sz="0" w:space="0" w:color="auto"/>
        <w:bottom w:val="none" w:sz="0" w:space="0" w:color="auto"/>
        <w:right w:val="none" w:sz="0" w:space="0" w:color="auto"/>
      </w:divBdr>
    </w:div>
    <w:div w:id="1723477634">
      <w:bodyDiv w:val="1"/>
      <w:marLeft w:val="0"/>
      <w:marRight w:val="0"/>
      <w:marTop w:val="0"/>
      <w:marBottom w:val="0"/>
      <w:divBdr>
        <w:top w:val="none" w:sz="0" w:space="0" w:color="auto"/>
        <w:left w:val="none" w:sz="0" w:space="0" w:color="auto"/>
        <w:bottom w:val="none" w:sz="0" w:space="0" w:color="auto"/>
        <w:right w:val="none" w:sz="0" w:space="0" w:color="auto"/>
      </w:divBdr>
    </w:div>
    <w:div w:id="1828863206">
      <w:bodyDiv w:val="1"/>
      <w:marLeft w:val="0"/>
      <w:marRight w:val="0"/>
      <w:marTop w:val="0"/>
      <w:marBottom w:val="0"/>
      <w:divBdr>
        <w:top w:val="none" w:sz="0" w:space="0" w:color="auto"/>
        <w:left w:val="none" w:sz="0" w:space="0" w:color="auto"/>
        <w:bottom w:val="none" w:sz="0" w:space="0" w:color="auto"/>
        <w:right w:val="none" w:sz="0" w:space="0" w:color="auto"/>
      </w:divBdr>
    </w:div>
    <w:div w:id="212114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7.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chart" Target="charts/chart4.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3.xml"/><Relationship Id="rId22" Type="http://schemas.openxmlformats.org/officeDocument/2006/relationships/image" Target="media/image11.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5%20Current%20Report%20-%20WIP\2014%20Report\2.%202014%20Steering%20Committee%20Draft\2014%20SC%20Draft%20Attach7A%20-%20Tables%2026-29%20Courts.xlsm"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'2013 figures'!$A$21</c:f>
              <c:strCache>
                <c:ptCount val="1"/>
                <c:pt idx="0">
                  <c:v>Magistrates courts</c:v>
                </c:pt>
              </c:strCache>
            </c:strRef>
          </c:tx>
          <c:spPr>
            <a:solidFill>
              <a:sysClr val="window" lastClr="FFFFFF">
                <a:lumMod val="75000"/>
              </a:sysClr>
            </a:solidFill>
            <a:ln>
              <a:solidFill>
                <a:srgbClr val="000000"/>
              </a:solidFill>
            </a:ln>
          </c:spPr>
          <c:invertIfNegative val="0"/>
          <c:cat>
            <c:strRef>
              <c:f>'2013 figures'!$B$20:$J$20</c:f>
              <c:strCache>
                <c:ptCount val="9"/>
                <c:pt idx="0">
                  <c:v>NSW</c:v>
                </c:pt>
                <c:pt idx="1">
                  <c:v>Vic</c:v>
                </c:pt>
                <c:pt idx="2">
                  <c:v>Qld</c:v>
                </c:pt>
                <c:pt idx="3">
                  <c:v>WA</c:v>
                </c:pt>
                <c:pt idx="4">
                  <c:v>SA</c:v>
                </c:pt>
                <c:pt idx="5">
                  <c:v>Tas</c:v>
                </c:pt>
                <c:pt idx="6">
                  <c:v>ACT</c:v>
                </c:pt>
                <c:pt idx="7">
                  <c:v>NT</c:v>
                </c:pt>
                <c:pt idx="8">
                  <c:v>Total</c:v>
                </c:pt>
              </c:strCache>
            </c:strRef>
          </c:cat>
          <c:val>
            <c:numRef>
              <c:f>'2013 figures'!$B$21:$J$21</c:f>
              <c:numCache>
                <c:formatCode>0.0</c:formatCode>
                <c:ptCount val="9"/>
                <c:pt idx="0">
                  <c:v>56.177405504753011</c:v>
                </c:pt>
                <c:pt idx="1">
                  <c:v>46.852779129568759</c:v>
                </c:pt>
                <c:pt idx="2">
                  <c:v>58.873579361454077</c:v>
                </c:pt>
                <c:pt idx="3">
                  <c:v>60.898927639233932</c:v>
                </c:pt>
                <c:pt idx="4">
                  <c:v>50.604683841111743</c:v>
                </c:pt>
                <c:pt idx="5">
                  <c:v>55.429337061633468</c:v>
                </c:pt>
                <c:pt idx="6">
                  <c:v>55.917685302318787</c:v>
                </c:pt>
                <c:pt idx="7">
                  <c:v>56.420727298402916</c:v>
                </c:pt>
                <c:pt idx="8">
                  <c:v>54.798247670793451</c:v>
                </c:pt>
              </c:numCache>
            </c:numRef>
          </c:val>
        </c:ser>
        <c:ser>
          <c:idx val="1"/>
          <c:order val="1"/>
          <c:tx>
            <c:strRef>
              <c:f>'2013 figures'!$A$22</c:f>
              <c:strCache>
                <c:ptCount val="1"/>
                <c:pt idx="0">
                  <c:v>District/county courts</c:v>
                </c:pt>
              </c:strCache>
            </c:strRef>
          </c:tx>
          <c:spPr>
            <a:pattFill prst="wdUpDiag">
              <a:fgClr>
                <a:schemeClr val="tx1"/>
              </a:fgClr>
              <a:bgClr>
                <a:schemeClr val="bg1"/>
              </a:bgClr>
            </a:pattFill>
            <a:ln>
              <a:solidFill>
                <a:sysClr val="windowText" lastClr="000000"/>
              </a:solidFill>
            </a:ln>
          </c:spPr>
          <c:invertIfNegative val="0"/>
          <c:cat>
            <c:strRef>
              <c:f>'2013 figures'!$B$20:$J$20</c:f>
              <c:strCache>
                <c:ptCount val="9"/>
                <c:pt idx="0">
                  <c:v>NSW</c:v>
                </c:pt>
                <c:pt idx="1">
                  <c:v>Vic</c:v>
                </c:pt>
                <c:pt idx="2">
                  <c:v>Qld</c:v>
                </c:pt>
                <c:pt idx="3">
                  <c:v>WA</c:v>
                </c:pt>
                <c:pt idx="4">
                  <c:v>SA</c:v>
                </c:pt>
                <c:pt idx="5">
                  <c:v>Tas</c:v>
                </c:pt>
                <c:pt idx="6">
                  <c:v>ACT</c:v>
                </c:pt>
                <c:pt idx="7">
                  <c:v>NT</c:v>
                </c:pt>
                <c:pt idx="8">
                  <c:v>Total</c:v>
                </c:pt>
              </c:strCache>
            </c:strRef>
          </c:cat>
          <c:val>
            <c:numRef>
              <c:f>'2013 figures'!$B$22:$J$22</c:f>
              <c:numCache>
                <c:formatCode>0.0</c:formatCode>
                <c:ptCount val="9"/>
                <c:pt idx="0">
                  <c:v>33.749629651948155</c:v>
                </c:pt>
                <c:pt idx="1">
                  <c:v>41.672031734872157</c:v>
                </c:pt>
                <c:pt idx="2">
                  <c:v>30.06606352734239</c:v>
                </c:pt>
                <c:pt idx="3">
                  <c:v>28.79571684644171</c:v>
                </c:pt>
                <c:pt idx="4">
                  <c:v>35.502683352916222</c:v>
                </c:pt>
                <c:pt idx="5" formatCode="###\ ###\ ##0,;\-###\ ###\ ##0,;&quot;–&quot;">
                  <c:v>0</c:v>
                </c:pt>
                <c:pt idx="6" formatCode="###\ ###\ ##0,;\-###\ ###\ ##0,;&quot;–&quot;">
                  <c:v>0</c:v>
                </c:pt>
                <c:pt idx="7" formatCode="###\ ###\ ##0,;\-###\ ###\ ##0,;&quot;–&quot;">
                  <c:v>0</c:v>
                </c:pt>
                <c:pt idx="8">
                  <c:v>31.935795996152322</c:v>
                </c:pt>
              </c:numCache>
            </c:numRef>
          </c:val>
        </c:ser>
        <c:ser>
          <c:idx val="2"/>
          <c:order val="2"/>
          <c:tx>
            <c:strRef>
              <c:f>'2013 figures'!$A$23</c:f>
              <c:strCache>
                <c:ptCount val="1"/>
                <c:pt idx="0">
                  <c:v>Supreme courts</c:v>
                </c:pt>
              </c:strCache>
            </c:strRef>
          </c:tx>
          <c:spPr>
            <a:solidFill>
              <a:schemeClr val="bg1">
                <a:lumMod val="50000"/>
              </a:schemeClr>
            </a:solidFill>
            <a:ln>
              <a:solidFill>
                <a:sysClr val="windowText" lastClr="000000"/>
              </a:solidFill>
            </a:ln>
          </c:spPr>
          <c:invertIfNegative val="0"/>
          <c:cat>
            <c:strRef>
              <c:f>'2013 figures'!$B$20:$J$20</c:f>
              <c:strCache>
                <c:ptCount val="9"/>
                <c:pt idx="0">
                  <c:v>NSW</c:v>
                </c:pt>
                <c:pt idx="1">
                  <c:v>Vic</c:v>
                </c:pt>
                <c:pt idx="2">
                  <c:v>Qld</c:v>
                </c:pt>
                <c:pt idx="3">
                  <c:v>WA</c:v>
                </c:pt>
                <c:pt idx="4">
                  <c:v>SA</c:v>
                </c:pt>
                <c:pt idx="5">
                  <c:v>Tas</c:v>
                </c:pt>
                <c:pt idx="6">
                  <c:v>ACT</c:v>
                </c:pt>
                <c:pt idx="7">
                  <c:v>NT</c:v>
                </c:pt>
                <c:pt idx="8">
                  <c:v>Total</c:v>
                </c:pt>
              </c:strCache>
            </c:strRef>
          </c:cat>
          <c:val>
            <c:numRef>
              <c:f>'2013 figures'!$B$23:$J$23</c:f>
              <c:numCache>
                <c:formatCode>0.0</c:formatCode>
                <c:ptCount val="9"/>
                <c:pt idx="0">
                  <c:v>10.072964843298834</c:v>
                </c:pt>
                <c:pt idx="1">
                  <c:v>11.47518913555909</c:v>
                </c:pt>
                <c:pt idx="2">
                  <c:v>11.060357111203528</c:v>
                </c:pt>
                <c:pt idx="3">
                  <c:v>10.305355514324349</c:v>
                </c:pt>
                <c:pt idx="4">
                  <c:v>13.892632805972038</c:v>
                </c:pt>
                <c:pt idx="5">
                  <c:v>44.570662938366539</c:v>
                </c:pt>
                <c:pt idx="6">
                  <c:v>44.08231469768122</c:v>
                </c:pt>
                <c:pt idx="7">
                  <c:v>43.579272701597084</c:v>
                </c:pt>
                <c:pt idx="8">
                  <c:v>13.265956333054223</c:v>
                </c:pt>
              </c:numCache>
            </c:numRef>
          </c:val>
        </c:ser>
        <c:dLbls>
          <c:showLegendKey val="0"/>
          <c:showVal val="0"/>
          <c:showCatName val="0"/>
          <c:showSerName val="0"/>
          <c:showPercent val="0"/>
          <c:showBubbleSize val="0"/>
        </c:dLbls>
        <c:gapWidth val="150"/>
        <c:overlap val="100"/>
        <c:axId val="214240640"/>
        <c:axId val="192484480"/>
      </c:barChart>
      <c:catAx>
        <c:axId val="214240640"/>
        <c:scaling>
          <c:orientation val="minMax"/>
        </c:scaling>
        <c:delete val="0"/>
        <c:axPos val="b"/>
        <c:majorTickMark val="out"/>
        <c:minorTickMark val="none"/>
        <c:tickLblPos val="nextTo"/>
        <c:crossAx val="192484480"/>
        <c:crosses val="autoZero"/>
        <c:auto val="1"/>
        <c:lblAlgn val="ctr"/>
        <c:lblOffset val="100"/>
        <c:noMultiLvlLbl val="0"/>
      </c:catAx>
      <c:valAx>
        <c:axId val="192484480"/>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214240640"/>
        <c:crosses val="autoZero"/>
        <c:crossBetween val="between"/>
        <c:majorUnit val="2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'2013 figures'!$A$53</c:f>
              <c:strCache>
                <c:ptCount val="1"/>
                <c:pt idx="0">
                  <c:v>Criminal</c:v>
                </c:pt>
              </c:strCache>
            </c:strRef>
          </c:tx>
          <c:spPr>
            <a:solidFill>
              <a:sysClr val="window" lastClr="FFFFFF">
                <a:lumMod val="75000"/>
              </a:sysClr>
            </a:solidFill>
            <a:ln>
              <a:solidFill>
                <a:srgbClr val="000000"/>
              </a:solidFill>
            </a:ln>
          </c:spPr>
          <c:invertIfNegative val="0"/>
          <c:cat>
            <c:strRef>
              <c:f>'2013 figures'!$B$52:$K$52</c:f>
              <c:strCache>
                <c:ptCount val="10"/>
                <c:pt idx="0">
                  <c:v>NSW</c:v>
                </c:pt>
                <c:pt idx="1">
                  <c:v>Vic</c:v>
                </c:pt>
                <c:pt idx="2">
                  <c:v>Qld</c:v>
                </c:pt>
                <c:pt idx="3">
                  <c:v>WA</c:v>
                </c:pt>
                <c:pt idx="4">
                  <c:v>SA</c:v>
                </c:pt>
                <c:pt idx="5">
                  <c:v>Tas</c:v>
                </c:pt>
                <c:pt idx="6">
                  <c:v>ACT</c:v>
                </c:pt>
                <c:pt idx="7">
                  <c:v>NT</c:v>
                </c:pt>
                <c:pt idx="8">
                  <c:v>FCA</c:v>
                </c:pt>
                <c:pt idx="9">
                  <c:v>Total</c:v>
                </c:pt>
              </c:strCache>
            </c:strRef>
          </c:cat>
          <c:val>
            <c:numRef>
              <c:f>'2013 figures'!$B$53:$K$53</c:f>
              <c:numCache>
                <c:formatCode>0</c:formatCode>
                <c:ptCount val="10"/>
                <c:pt idx="0">
                  <c:v>39058.139534883718</c:v>
                </c:pt>
                <c:pt idx="1">
                  <c:v>45088.744588744587</c:v>
                </c:pt>
                <c:pt idx="2">
                  <c:v>12230.253353204173</c:v>
                </c:pt>
                <c:pt idx="3">
                  <c:v>18711.647727272728</c:v>
                </c:pt>
                <c:pt idx="4">
                  <c:v>27843.393366249999</c:v>
                </c:pt>
                <c:pt idx="5">
                  <c:v>13638.146167557932</c:v>
                </c:pt>
                <c:pt idx="6">
                  <c:v>13248.099773242631</c:v>
                </c:pt>
                <c:pt idx="7">
                  <c:v>21197.197452229299</c:v>
                </c:pt>
                <c:pt idx="8">
                  <c:v>0</c:v>
                </c:pt>
                <c:pt idx="9">
                  <c:v>21395.338748408856</c:v>
                </c:pt>
              </c:numCache>
            </c:numRef>
          </c:val>
        </c:ser>
        <c:ser>
          <c:idx val="1"/>
          <c:order val="1"/>
          <c:tx>
            <c:strRef>
              <c:f>'2013 figures'!$A$54</c:f>
              <c:strCache>
                <c:ptCount val="1"/>
                <c:pt idx="0">
                  <c:v>Civil</c:v>
                </c:pt>
              </c:strCache>
            </c:strRef>
          </c:tx>
          <c:spPr>
            <a:pattFill prst="wdUpDiag">
              <a:fgClr>
                <a:schemeClr val="tx1"/>
              </a:fgClr>
              <a:bgClr>
                <a:schemeClr val="bg1"/>
              </a:bgClr>
            </a:pattFill>
            <a:ln>
              <a:solidFill>
                <a:sysClr val="windowText" lastClr="000000"/>
              </a:solidFill>
            </a:ln>
          </c:spPr>
          <c:invertIfNegative val="0"/>
          <c:cat>
            <c:strRef>
              <c:f>'2013 figures'!$B$52:$K$52</c:f>
              <c:strCache>
                <c:ptCount val="10"/>
                <c:pt idx="0">
                  <c:v>NSW</c:v>
                </c:pt>
                <c:pt idx="1">
                  <c:v>Vic</c:v>
                </c:pt>
                <c:pt idx="2">
                  <c:v>Qld</c:v>
                </c:pt>
                <c:pt idx="3">
                  <c:v>WA</c:v>
                </c:pt>
                <c:pt idx="4">
                  <c:v>SA</c:v>
                </c:pt>
                <c:pt idx="5">
                  <c:v>Tas</c:v>
                </c:pt>
                <c:pt idx="6">
                  <c:v>ACT</c:v>
                </c:pt>
                <c:pt idx="7">
                  <c:v>NT</c:v>
                </c:pt>
                <c:pt idx="8">
                  <c:v>FCA</c:v>
                </c:pt>
                <c:pt idx="9">
                  <c:v>Total</c:v>
                </c:pt>
              </c:strCache>
            </c:strRef>
          </c:cat>
          <c:val>
            <c:numRef>
              <c:f>'2013 figures'!$B$54:$K$54</c:f>
              <c:numCache>
                <c:formatCode>0</c:formatCode>
                <c:ptCount val="10"/>
                <c:pt idx="0">
                  <c:v>5901.1394639704704</c:v>
                </c:pt>
                <c:pt idx="1">
                  <c:v>6284.2733908427335</c:v>
                </c:pt>
                <c:pt idx="2">
                  <c:v>4748.9983502238983</c:v>
                </c:pt>
                <c:pt idx="3">
                  <c:v>9115.7112526539277</c:v>
                </c:pt>
                <c:pt idx="4">
                  <c:v>7435.5731963246553</c:v>
                </c:pt>
                <c:pt idx="5">
                  <c:v>4583.7320574162677</c:v>
                </c:pt>
                <c:pt idx="6">
                  <c:v>6485.7447795823664</c:v>
                </c:pt>
                <c:pt idx="7">
                  <c:v>18382.71812080537</c:v>
                </c:pt>
                <c:pt idx="8">
                  <c:v>14526.388041488713</c:v>
                </c:pt>
                <c:pt idx="9">
                  <c:v>7745.3375863625342</c:v>
                </c:pt>
              </c:numCache>
            </c:numRef>
          </c:val>
        </c:ser>
        <c:dLbls>
          <c:showLegendKey val="0"/>
          <c:showVal val="0"/>
          <c:showCatName val="0"/>
          <c:showSerName val="0"/>
          <c:showPercent val="0"/>
          <c:showBubbleSize val="0"/>
        </c:dLbls>
        <c:gapWidth val="150"/>
        <c:axId val="192526592"/>
        <c:axId val="192528384"/>
      </c:barChart>
      <c:catAx>
        <c:axId val="192526592"/>
        <c:scaling>
          <c:orientation val="minMax"/>
        </c:scaling>
        <c:delete val="0"/>
        <c:axPos val="b"/>
        <c:majorTickMark val="out"/>
        <c:minorTickMark val="none"/>
        <c:tickLblPos val="nextTo"/>
        <c:crossAx val="192528384"/>
        <c:crosses val="autoZero"/>
        <c:auto val="1"/>
        <c:lblAlgn val="ctr"/>
        <c:lblOffset val="100"/>
        <c:noMultiLvlLbl val="0"/>
      </c:catAx>
      <c:valAx>
        <c:axId val="192528384"/>
        <c:scaling>
          <c:orientation val="minMax"/>
          <c:max val="50000"/>
        </c:scaling>
        <c:delete val="0"/>
        <c:axPos val="l"/>
        <c:majorGridlines/>
        <c:title>
          <c:tx>
            <c:rich>
              <a:bodyPr rot="-5400000" vert="horz"/>
              <a:lstStyle/>
              <a:p>
                <a:pPr>
                  <a:defRPr/>
                </a:pPr>
                <a:r>
                  <a:rPr lang="en-US"/>
                  <a:t>$/finalisation</a:t>
                </a:r>
              </a:p>
            </c:rich>
          </c:tx>
          <c:overlay val="0"/>
        </c:title>
        <c:numFmt formatCode="##\ ##0" sourceLinked="0"/>
        <c:majorTickMark val="out"/>
        <c:minorTickMark val="none"/>
        <c:tickLblPos val="nextTo"/>
        <c:spPr>
          <a:ln>
            <a:solidFill>
              <a:schemeClr val="tx1"/>
            </a:solidFill>
          </a:ln>
        </c:spPr>
        <c:crossAx val="192526592"/>
        <c:crosses val="autoZero"/>
        <c:crossBetween val="between"/>
        <c:majorUnit val="1000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'2013 figures'!$A$49</c:f>
              <c:strCache>
                <c:ptCount val="1"/>
                <c:pt idx="0">
                  <c:v>Criminal</c:v>
                </c:pt>
              </c:strCache>
            </c:strRef>
          </c:tx>
          <c:spPr>
            <a:solidFill>
              <a:sysClr val="window" lastClr="FFFFFF">
                <a:lumMod val="75000"/>
              </a:sysClr>
            </a:solidFill>
            <a:ln>
              <a:solidFill>
                <a:srgbClr val="000000"/>
              </a:solidFill>
            </a:ln>
          </c:spPr>
          <c:invertIfNegative val="0"/>
          <c:cat>
            <c:strRef>
              <c:f>'2013 figures'!$B$48:$K$48</c:f>
              <c:strCache>
                <c:ptCount val="10"/>
                <c:pt idx="0">
                  <c:v>NSW</c:v>
                </c:pt>
                <c:pt idx="1">
                  <c:v>Vic</c:v>
                </c:pt>
                <c:pt idx="2">
                  <c:v>Qld</c:v>
                </c:pt>
                <c:pt idx="3">
                  <c:v>WA</c:v>
                </c:pt>
                <c:pt idx="4">
                  <c:v>SA</c:v>
                </c:pt>
                <c:pt idx="5">
                  <c:v>Tas</c:v>
                </c:pt>
                <c:pt idx="6">
                  <c:v>ACT</c:v>
                </c:pt>
                <c:pt idx="7">
                  <c:v>NT</c:v>
                </c:pt>
                <c:pt idx="8">
                  <c:v>FCA</c:v>
                </c:pt>
                <c:pt idx="9">
                  <c:v>Total</c:v>
                </c:pt>
              </c:strCache>
            </c:strRef>
          </c:cat>
          <c:val>
            <c:numRef>
              <c:f>'2013 figures'!$B$49:$K$49</c:f>
              <c:numCache>
                <c:formatCode>0</c:formatCode>
                <c:ptCount val="10"/>
                <c:pt idx="0">
                  <c:v>38874.031007751939</c:v>
                </c:pt>
                <c:pt idx="1">
                  <c:v>45088.744588744587</c:v>
                </c:pt>
                <c:pt idx="2">
                  <c:v>12088.673621460506</c:v>
                </c:pt>
                <c:pt idx="3">
                  <c:v>18619.31818181818</c:v>
                </c:pt>
                <c:pt idx="4">
                  <c:v>26413.589794821426</c:v>
                </c:pt>
                <c:pt idx="5">
                  <c:v>13638.146167557932</c:v>
                </c:pt>
                <c:pt idx="6">
                  <c:v>13146.0589569161</c:v>
                </c:pt>
                <c:pt idx="7">
                  <c:v>20704.373673036094</c:v>
                </c:pt>
                <c:pt idx="8">
                  <c:v>0</c:v>
                </c:pt>
                <c:pt idx="9">
                  <c:v>21166.177978700598</c:v>
                </c:pt>
              </c:numCache>
            </c:numRef>
          </c:val>
        </c:ser>
        <c:ser>
          <c:idx val="1"/>
          <c:order val="1"/>
          <c:tx>
            <c:strRef>
              <c:f>'2013 figures'!$A$50</c:f>
              <c:strCache>
                <c:ptCount val="1"/>
                <c:pt idx="0">
                  <c:v>Civil</c:v>
                </c:pt>
              </c:strCache>
            </c:strRef>
          </c:tx>
          <c:spPr>
            <a:pattFill prst="wdUpDiag">
              <a:fgClr>
                <a:schemeClr val="tx1"/>
              </a:fgClr>
              <a:bgClr>
                <a:schemeClr val="bg1"/>
              </a:bgClr>
            </a:pattFill>
            <a:ln>
              <a:solidFill>
                <a:sysClr val="windowText" lastClr="000000"/>
              </a:solidFill>
            </a:ln>
          </c:spPr>
          <c:invertIfNegative val="0"/>
          <c:cat>
            <c:strRef>
              <c:f>'2013 figures'!$B$48:$K$48</c:f>
              <c:strCache>
                <c:ptCount val="10"/>
                <c:pt idx="0">
                  <c:v>NSW</c:v>
                </c:pt>
                <c:pt idx="1">
                  <c:v>Vic</c:v>
                </c:pt>
                <c:pt idx="2">
                  <c:v>Qld</c:v>
                </c:pt>
                <c:pt idx="3">
                  <c:v>WA</c:v>
                </c:pt>
                <c:pt idx="4">
                  <c:v>SA</c:v>
                </c:pt>
                <c:pt idx="5">
                  <c:v>Tas</c:v>
                </c:pt>
                <c:pt idx="6">
                  <c:v>ACT</c:v>
                </c:pt>
                <c:pt idx="7">
                  <c:v>NT</c:v>
                </c:pt>
                <c:pt idx="8">
                  <c:v>FCA</c:v>
                </c:pt>
                <c:pt idx="9">
                  <c:v>Total</c:v>
                </c:pt>
              </c:strCache>
            </c:strRef>
          </c:cat>
          <c:val>
            <c:numRef>
              <c:f>'2013 figures'!$B$50:$K$50</c:f>
              <c:numCache>
                <c:formatCode>0</c:formatCode>
                <c:ptCount val="10"/>
                <c:pt idx="0">
                  <c:v>3550.6339271385009</c:v>
                </c:pt>
                <c:pt idx="1">
                  <c:v>4960.4512276045125</c:v>
                </c:pt>
                <c:pt idx="2">
                  <c:v>3110.0636342210701</c:v>
                </c:pt>
                <c:pt idx="3">
                  <c:v>7230.8067940552019</c:v>
                </c:pt>
                <c:pt idx="4">
                  <c:v>3832.2385868300153</c:v>
                </c:pt>
                <c:pt idx="5">
                  <c:v>3841.1483253588517</c:v>
                </c:pt>
                <c:pt idx="6">
                  <c:v>5095.9535962877026</c:v>
                </c:pt>
                <c:pt idx="7">
                  <c:v>17218.288590604028</c:v>
                </c:pt>
                <c:pt idx="8">
                  <c:v>11427.242220866381</c:v>
                </c:pt>
                <c:pt idx="9">
                  <c:v>5620.7396546037216</c:v>
                </c:pt>
              </c:numCache>
            </c:numRef>
          </c:val>
        </c:ser>
        <c:dLbls>
          <c:showLegendKey val="0"/>
          <c:showVal val="0"/>
          <c:showCatName val="0"/>
          <c:showSerName val="0"/>
          <c:showPercent val="0"/>
          <c:showBubbleSize val="0"/>
        </c:dLbls>
        <c:gapWidth val="150"/>
        <c:axId val="214569728"/>
        <c:axId val="214571264"/>
      </c:barChart>
      <c:catAx>
        <c:axId val="214569728"/>
        <c:scaling>
          <c:orientation val="minMax"/>
        </c:scaling>
        <c:delete val="0"/>
        <c:axPos val="b"/>
        <c:majorTickMark val="out"/>
        <c:minorTickMark val="none"/>
        <c:tickLblPos val="nextTo"/>
        <c:crossAx val="214571264"/>
        <c:crosses val="autoZero"/>
        <c:auto val="1"/>
        <c:lblAlgn val="ctr"/>
        <c:lblOffset val="100"/>
        <c:noMultiLvlLbl val="0"/>
      </c:catAx>
      <c:valAx>
        <c:axId val="214571264"/>
        <c:scaling>
          <c:orientation val="minMax"/>
          <c:max val="50000"/>
        </c:scaling>
        <c:delete val="0"/>
        <c:axPos val="l"/>
        <c:majorGridlines/>
        <c:title>
          <c:tx>
            <c:rich>
              <a:bodyPr rot="-5400000" vert="horz"/>
              <a:lstStyle/>
              <a:p>
                <a:pPr>
                  <a:defRPr/>
                </a:pPr>
                <a:r>
                  <a:rPr lang="en-US"/>
                  <a:t>$/finalisation</a:t>
                </a:r>
              </a:p>
            </c:rich>
          </c:tx>
          <c:overlay val="0"/>
        </c:title>
        <c:numFmt formatCode="##\ ##0" sourceLinked="0"/>
        <c:majorTickMark val="out"/>
        <c:minorTickMark val="none"/>
        <c:tickLblPos val="nextTo"/>
        <c:spPr>
          <a:ln>
            <a:solidFill>
              <a:schemeClr val="tx1"/>
            </a:solidFill>
          </a:ln>
        </c:spPr>
        <c:crossAx val="214569728"/>
        <c:crosses val="autoZero"/>
        <c:crossBetween val="between"/>
        <c:majorUnit val="1000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'2013 figures'!$A$215</c:f>
              <c:strCache>
                <c:ptCount val="1"/>
                <c:pt idx="0">
                  <c:v>Gross expenditure</c:v>
                </c:pt>
              </c:strCache>
            </c:strRef>
          </c:tx>
          <c:spPr>
            <a:solidFill>
              <a:sysClr val="window" lastClr="FFFFFF">
                <a:lumMod val="75000"/>
              </a:sysClr>
            </a:solidFill>
            <a:ln>
              <a:solidFill>
                <a:srgbClr val="000000"/>
              </a:solidFill>
            </a:ln>
          </c:spPr>
          <c:invertIfNegative val="0"/>
          <c:cat>
            <c:strRef>
              <c:f>'2013 figures'!$B$214:$D$214</c:f>
              <c:strCache>
                <c:ptCount val="3"/>
                <c:pt idx="0">
                  <c:v>Family Court of WA</c:v>
                </c:pt>
                <c:pt idx="1">
                  <c:v>Family Court of Australia</c:v>
                </c:pt>
                <c:pt idx="2">
                  <c:v>Federal Circuit Court of Australia</c:v>
                </c:pt>
              </c:strCache>
            </c:strRef>
          </c:cat>
          <c:val>
            <c:numRef>
              <c:f>'2013 figures'!$B$215:$D$215</c:f>
              <c:numCache>
                <c:formatCode>0</c:formatCode>
                <c:ptCount val="3"/>
                <c:pt idx="0">
                  <c:v>1831.3770765185043</c:v>
                </c:pt>
                <c:pt idx="1">
                  <c:v>5098.9512083724776</c:v>
                </c:pt>
                <c:pt idx="2">
                  <c:v>1151.6151352097434</c:v>
                </c:pt>
              </c:numCache>
            </c:numRef>
          </c:val>
        </c:ser>
        <c:ser>
          <c:idx val="1"/>
          <c:order val="1"/>
          <c:tx>
            <c:strRef>
              <c:f>'2013 figures'!$A$216</c:f>
              <c:strCache>
                <c:ptCount val="1"/>
                <c:pt idx="0">
                  <c:v>Net expenditure</c:v>
                </c:pt>
              </c:strCache>
            </c:strRef>
          </c:tx>
          <c:spPr>
            <a:pattFill prst="wdUpDiag">
              <a:fgClr>
                <a:schemeClr val="tx1"/>
              </a:fgClr>
              <a:bgClr>
                <a:schemeClr val="bg1"/>
              </a:bgClr>
            </a:pattFill>
            <a:ln>
              <a:solidFill>
                <a:sysClr val="windowText" lastClr="000000"/>
              </a:solidFill>
            </a:ln>
          </c:spPr>
          <c:invertIfNegative val="0"/>
          <c:cat>
            <c:strRef>
              <c:f>'2013 figures'!$B$214:$D$214</c:f>
              <c:strCache>
                <c:ptCount val="3"/>
                <c:pt idx="0">
                  <c:v>Family Court of WA</c:v>
                </c:pt>
                <c:pt idx="1">
                  <c:v>Family Court of Australia</c:v>
                </c:pt>
                <c:pt idx="2">
                  <c:v>Federal Circuit Court of Australia</c:v>
                </c:pt>
              </c:strCache>
            </c:strRef>
          </c:cat>
          <c:val>
            <c:numRef>
              <c:f>'2013 figures'!$B$216:$D$216</c:f>
              <c:numCache>
                <c:formatCode>0</c:formatCode>
                <c:ptCount val="3"/>
                <c:pt idx="0">
                  <c:v>1536.3992046693604</c:v>
                </c:pt>
                <c:pt idx="1">
                  <c:v>4780.6494460037839</c:v>
                </c:pt>
                <c:pt idx="2">
                  <c:v>719.29733732318914</c:v>
                </c:pt>
              </c:numCache>
            </c:numRef>
          </c:val>
        </c:ser>
        <c:dLbls>
          <c:showLegendKey val="0"/>
          <c:showVal val="0"/>
          <c:showCatName val="0"/>
          <c:showSerName val="0"/>
          <c:showPercent val="0"/>
          <c:showBubbleSize val="0"/>
        </c:dLbls>
        <c:gapWidth val="150"/>
        <c:axId val="214604416"/>
        <c:axId val="214704512"/>
      </c:barChart>
      <c:catAx>
        <c:axId val="214604416"/>
        <c:scaling>
          <c:orientation val="minMax"/>
        </c:scaling>
        <c:delete val="0"/>
        <c:axPos val="b"/>
        <c:majorTickMark val="out"/>
        <c:minorTickMark val="none"/>
        <c:tickLblPos val="nextTo"/>
        <c:crossAx val="214704512"/>
        <c:crosses val="autoZero"/>
        <c:auto val="1"/>
        <c:lblAlgn val="ctr"/>
        <c:lblOffset val="100"/>
        <c:noMultiLvlLbl val="0"/>
      </c:catAx>
      <c:valAx>
        <c:axId val="214704512"/>
        <c:scaling>
          <c:orientation val="minMax"/>
          <c:max val="8000"/>
        </c:scaling>
        <c:delete val="0"/>
        <c:axPos val="l"/>
        <c:majorGridlines/>
        <c:title>
          <c:tx>
            <c:rich>
              <a:bodyPr rot="-5400000" vert="horz"/>
              <a:lstStyle/>
              <a:p>
                <a:pPr>
                  <a:defRPr/>
                </a:pPr>
                <a:r>
                  <a:rPr lang="en-US"/>
                  <a:t>$/finalisation</a:t>
                </a:r>
              </a:p>
            </c:rich>
          </c:tx>
          <c:overlay val="0"/>
        </c:title>
        <c:numFmt formatCode="##\ ##0" sourceLinked="0"/>
        <c:majorTickMark val="out"/>
        <c:minorTickMark val="none"/>
        <c:tickLblPos val="nextTo"/>
        <c:spPr>
          <a:ln>
            <a:solidFill>
              <a:schemeClr val="tx1"/>
            </a:solidFill>
          </a:ln>
        </c:spPr>
        <c:crossAx val="214604416"/>
        <c:crosses val="autoZero"/>
        <c:crossBetween val="between"/>
        <c:majorUnit val="200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3D65C-0FFE-4301-8456-8EF5EF44D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TotalTime>
  <Pages>55</Pages>
  <Words>23237</Words>
  <Characters>126557</Characters>
  <Application>Microsoft Office Word</Application>
  <DocSecurity>0</DocSecurity>
  <Lines>1054</Lines>
  <Paragraphs>298</Paragraphs>
  <ScaleCrop>false</ScaleCrop>
  <HeadingPairs>
    <vt:vector size="2" baseType="variant">
      <vt:variant>
        <vt:lpstr>Title</vt:lpstr>
      </vt:variant>
      <vt:variant>
        <vt:i4>1</vt:i4>
      </vt:variant>
    </vt:vector>
  </HeadingPairs>
  <TitlesOfParts>
    <vt:vector size="1" baseType="lpstr">
      <vt:lpstr>COURT ADMINISTRATION</vt:lpstr>
    </vt:vector>
  </TitlesOfParts>
  <Company>GB</Company>
  <LinksUpToDate>false</LinksUpToDate>
  <CharactersWithSpaces>149496</CharactersWithSpaces>
  <SharedDoc>false</SharedDoc>
  <HLinks>
    <vt:vector size="48" baseType="variant">
      <vt:variant>
        <vt:i4>1048637</vt:i4>
      </vt:variant>
      <vt:variant>
        <vt:i4>44</vt:i4>
      </vt:variant>
      <vt:variant>
        <vt:i4>0</vt:i4>
      </vt:variant>
      <vt:variant>
        <vt:i4>5</vt:i4>
      </vt:variant>
      <vt:variant>
        <vt:lpwstr/>
      </vt:variant>
      <vt:variant>
        <vt:lpwstr>_Toc239740230</vt:lpwstr>
      </vt:variant>
      <vt:variant>
        <vt:i4>1114173</vt:i4>
      </vt:variant>
      <vt:variant>
        <vt:i4>38</vt:i4>
      </vt:variant>
      <vt:variant>
        <vt:i4>0</vt:i4>
      </vt:variant>
      <vt:variant>
        <vt:i4>5</vt:i4>
      </vt:variant>
      <vt:variant>
        <vt:lpwstr/>
      </vt:variant>
      <vt:variant>
        <vt:lpwstr>_Toc239740229</vt:lpwstr>
      </vt:variant>
      <vt:variant>
        <vt:i4>1114173</vt:i4>
      </vt:variant>
      <vt:variant>
        <vt:i4>32</vt:i4>
      </vt:variant>
      <vt:variant>
        <vt:i4>0</vt:i4>
      </vt:variant>
      <vt:variant>
        <vt:i4>5</vt:i4>
      </vt:variant>
      <vt:variant>
        <vt:lpwstr/>
      </vt:variant>
      <vt:variant>
        <vt:lpwstr>_Toc239740228</vt:lpwstr>
      </vt:variant>
      <vt:variant>
        <vt:i4>1114173</vt:i4>
      </vt:variant>
      <vt:variant>
        <vt:i4>26</vt:i4>
      </vt:variant>
      <vt:variant>
        <vt:i4>0</vt:i4>
      </vt:variant>
      <vt:variant>
        <vt:i4>5</vt:i4>
      </vt:variant>
      <vt:variant>
        <vt:lpwstr/>
      </vt:variant>
      <vt:variant>
        <vt:lpwstr>_Toc239740227</vt:lpwstr>
      </vt:variant>
      <vt:variant>
        <vt:i4>1114173</vt:i4>
      </vt:variant>
      <vt:variant>
        <vt:i4>20</vt:i4>
      </vt:variant>
      <vt:variant>
        <vt:i4>0</vt:i4>
      </vt:variant>
      <vt:variant>
        <vt:i4>5</vt:i4>
      </vt:variant>
      <vt:variant>
        <vt:lpwstr/>
      </vt:variant>
      <vt:variant>
        <vt:lpwstr>_Toc239740226</vt:lpwstr>
      </vt:variant>
      <vt:variant>
        <vt:i4>1114173</vt:i4>
      </vt:variant>
      <vt:variant>
        <vt:i4>14</vt:i4>
      </vt:variant>
      <vt:variant>
        <vt:i4>0</vt:i4>
      </vt:variant>
      <vt:variant>
        <vt:i4>5</vt:i4>
      </vt:variant>
      <vt:variant>
        <vt:lpwstr/>
      </vt:variant>
      <vt:variant>
        <vt:lpwstr>_Toc239740225</vt:lpwstr>
      </vt:variant>
      <vt:variant>
        <vt:i4>1114173</vt:i4>
      </vt:variant>
      <vt:variant>
        <vt:i4>8</vt:i4>
      </vt:variant>
      <vt:variant>
        <vt:i4>0</vt:i4>
      </vt:variant>
      <vt:variant>
        <vt:i4>5</vt:i4>
      </vt:variant>
      <vt:variant>
        <vt:lpwstr/>
      </vt:variant>
      <vt:variant>
        <vt:lpwstr>_Toc239740224</vt:lpwstr>
      </vt:variant>
      <vt:variant>
        <vt:i4>1114173</vt:i4>
      </vt:variant>
      <vt:variant>
        <vt:i4>2</vt:i4>
      </vt:variant>
      <vt:variant>
        <vt:i4>0</vt:i4>
      </vt:variant>
      <vt:variant>
        <vt:i4>5</vt:i4>
      </vt:variant>
      <vt:variant>
        <vt:lpwstr/>
      </vt:variant>
      <vt:variant>
        <vt:lpwstr>_Toc239740223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 ADMINISTRATION</dc:title>
  <dc:subject>REPORT ON GOVERNMENT SERVICES 2014</dc:subject>
  <dc:creator>Steering Committee for the Review of Government Service Provision</dc:creator>
  <dc:description>7.</dc:description>
  <cp:lastModifiedBy>Frech, Tanya</cp:lastModifiedBy>
  <cp:revision>9</cp:revision>
  <cp:lastPrinted>2013-11-27T05:16:00Z</cp:lastPrinted>
  <dcterms:created xsi:type="dcterms:W3CDTF">2014-01-13T00:33:00Z</dcterms:created>
  <dcterms:modified xsi:type="dcterms:W3CDTF">2014-01-21T00:58:00Z</dcterms:modified>
</cp:coreProperties>
</file>