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EC42DB" w:rsidP="00EC42DB">
      <w:pPr>
        <w:pStyle w:val="Heading1"/>
      </w:pPr>
      <w:bookmarkStart w:id="0" w:name="ChapterNumber"/>
      <w:bookmarkStart w:id="1" w:name="_GoBack"/>
      <w:bookmarkEnd w:id="1"/>
      <w:r>
        <w:t>11</w:t>
      </w:r>
      <w:bookmarkEnd w:id="0"/>
      <w:r>
        <w:tab/>
      </w:r>
      <w:bookmarkStart w:id="2" w:name="ChapterTitle"/>
      <w:r>
        <w:t>Primary and community health</w:t>
      </w:r>
      <w:bookmarkEnd w:id="2"/>
    </w:p>
    <w:p w:rsidR="003A1729" w:rsidRDefault="002906D8" w:rsidP="00E27C2F">
      <w:pPr>
        <w:pStyle w:val="TOC1"/>
        <w:rPr>
          <w:noProof/>
        </w:rPr>
      </w:pPr>
      <w:bookmarkStart w:id="3" w:name="begin"/>
      <w:bookmarkEnd w:id="3"/>
      <w:r>
        <w:t>CONTENTS</w:t>
      </w:r>
    </w:p>
    <w:p w:rsidR="003A1729" w:rsidRDefault="003A1729" w:rsidP="002B65CB">
      <w:pPr>
        <w:pStyle w:val="TOC2"/>
        <w:rPr>
          <w:b w:val="0"/>
          <w:noProof/>
          <w:sz w:val="24"/>
          <w:szCs w:val="24"/>
        </w:rPr>
      </w:pPr>
      <w:r w:rsidRPr="009C224E">
        <w:rPr>
          <w:noProof/>
        </w:rPr>
        <w:t>11.1</w:t>
      </w:r>
      <w:r w:rsidR="002B65CB" w:rsidRPr="002B65CB">
        <w:rPr>
          <w:noProof/>
        </w:rPr>
        <w:tab/>
      </w:r>
      <w:r w:rsidRPr="009C224E">
        <w:rPr>
          <w:noProof/>
        </w:rPr>
        <w:t>Profile of primary and community health</w:t>
      </w:r>
      <w:r>
        <w:rPr>
          <w:noProof/>
          <w:webHidden/>
        </w:rPr>
        <w:tab/>
      </w:r>
      <w:r w:rsidR="00A102A5">
        <w:rPr>
          <w:noProof/>
          <w:webHidden/>
        </w:rPr>
        <w:t>11.</w:t>
      </w:r>
      <w:r w:rsidR="00731C58">
        <w:rPr>
          <w:noProof/>
          <w:webHidden/>
        </w:rPr>
        <w:t>3</w:t>
      </w:r>
    </w:p>
    <w:p w:rsidR="003A1729" w:rsidRDefault="003A1729" w:rsidP="00E27C2F">
      <w:pPr>
        <w:pStyle w:val="TOC2"/>
        <w:rPr>
          <w:b w:val="0"/>
          <w:noProof/>
          <w:sz w:val="24"/>
          <w:szCs w:val="24"/>
        </w:rPr>
      </w:pPr>
      <w:r w:rsidRPr="009C224E">
        <w:rPr>
          <w:noProof/>
        </w:rPr>
        <w:t>11.2</w:t>
      </w:r>
      <w:r>
        <w:rPr>
          <w:b w:val="0"/>
          <w:noProof/>
          <w:sz w:val="24"/>
          <w:szCs w:val="24"/>
        </w:rPr>
        <w:tab/>
      </w:r>
      <w:r w:rsidRPr="009C224E">
        <w:rPr>
          <w:noProof/>
        </w:rPr>
        <w:t>Framework of performance indicators</w:t>
      </w:r>
      <w:r>
        <w:rPr>
          <w:noProof/>
          <w:webHidden/>
        </w:rPr>
        <w:tab/>
      </w:r>
      <w:r w:rsidR="00A102A5">
        <w:rPr>
          <w:noProof/>
          <w:webHidden/>
        </w:rPr>
        <w:t>11.</w:t>
      </w:r>
      <w:r w:rsidR="00C44281">
        <w:rPr>
          <w:noProof/>
          <w:webHidden/>
        </w:rPr>
        <w:t>1</w:t>
      </w:r>
      <w:r w:rsidR="005645F7">
        <w:rPr>
          <w:noProof/>
          <w:webHidden/>
        </w:rPr>
        <w:t>7</w:t>
      </w:r>
    </w:p>
    <w:p w:rsidR="003A1729" w:rsidRDefault="003A1729" w:rsidP="00E27C2F">
      <w:pPr>
        <w:pStyle w:val="TOC2"/>
        <w:rPr>
          <w:b w:val="0"/>
          <w:noProof/>
          <w:sz w:val="24"/>
          <w:szCs w:val="24"/>
        </w:rPr>
      </w:pPr>
      <w:r w:rsidRPr="009C224E">
        <w:rPr>
          <w:noProof/>
        </w:rPr>
        <w:t>11.3</w:t>
      </w:r>
      <w:r>
        <w:rPr>
          <w:b w:val="0"/>
          <w:noProof/>
          <w:sz w:val="24"/>
          <w:szCs w:val="24"/>
        </w:rPr>
        <w:tab/>
      </w:r>
      <w:r w:rsidRPr="009C224E">
        <w:rPr>
          <w:noProof/>
        </w:rPr>
        <w:t>Key performance indicator results</w:t>
      </w:r>
      <w:r>
        <w:rPr>
          <w:noProof/>
          <w:webHidden/>
        </w:rPr>
        <w:tab/>
      </w:r>
      <w:r w:rsidR="00A102A5">
        <w:rPr>
          <w:noProof/>
          <w:webHidden/>
        </w:rPr>
        <w:t>11.</w:t>
      </w:r>
      <w:r w:rsidR="005645F7">
        <w:rPr>
          <w:noProof/>
          <w:webHidden/>
        </w:rPr>
        <w:t>20</w:t>
      </w:r>
    </w:p>
    <w:p w:rsidR="003A1729" w:rsidRDefault="003A1729" w:rsidP="00E27C2F">
      <w:pPr>
        <w:pStyle w:val="TOC2"/>
        <w:rPr>
          <w:b w:val="0"/>
          <w:noProof/>
          <w:sz w:val="24"/>
          <w:szCs w:val="24"/>
        </w:rPr>
      </w:pPr>
      <w:r w:rsidRPr="009C224E">
        <w:rPr>
          <w:noProof/>
        </w:rPr>
        <w:t>11.4</w:t>
      </w:r>
      <w:r>
        <w:rPr>
          <w:b w:val="0"/>
          <w:noProof/>
          <w:sz w:val="24"/>
          <w:szCs w:val="24"/>
        </w:rPr>
        <w:tab/>
      </w:r>
      <w:r w:rsidRPr="009C224E">
        <w:rPr>
          <w:noProof/>
        </w:rPr>
        <w:t>Future directions in performance reporting</w:t>
      </w:r>
      <w:r>
        <w:rPr>
          <w:noProof/>
          <w:webHidden/>
        </w:rPr>
        <w:tab/>
      </w:r>
      <w:r w:rsidR="00A102A5">
        <w:rPr>
          <w:noProof/>
          <w:webHidden/>
        </w:rPr>
        <w:t>11.</w:t>
      </w:r>
      <w:r w:rsidR="005645F7">
        <w:rPr>
          <w:noProof/>
          <w:webHidden/>
        </w:rPr>
        <w:t>100</w:t>
      </w:r>
    </w:p>
    <w:p w:rsidR="003A1729" w:rsidRDefault="003A1729" w:rsidP="00E27C2F">
      <w:pPr>
        <w:pStyle w:val="TOC2"/>
        <w:rPr>
          <w:b w:val="0"/>
          <w:noProof/>
          <w:sz w:val="24"/>
          <w:szCs w:val="24"/>
        </w:rPr>
      </w:pPr>
      <w:r w:rsidRPr="009C224E">
        <w:rPr>
          <w:noProof/>
        </w:rPr>
        <w:t>11.5</w:t>
      </w:r>
      <w:r>
        <w:rPr>
          <w:b w:val="0"/>
          <w:noProof/>
          <w:sz w:val="24"/>
          <w:szCs w:val="24"/>
        </w:rPr>
        <w:tab/>
      </w:r>
      <w:r w:rsidRPr="009C224E">
        <w:rPr>
          <w:noProof/>
        </w:rPr>
        <w:t>Definitions of</w:t>
      </w:r>
      <w:r w:rsidR="00602984">
        <w:rPr>
          <w:noProof/>
        </w:rPr>
        <w:t xml:space="preserve"> key terms</w:t>
      </w:r>
      <w:r>
        <w:rPr>
          <w:noProof/>
          <w:webHidden/>
        </w:rPr>
        <w:tab/>
      </w:r>
      <w:r w:rsidR="00A102A5">
        <w:rPr>
          <w:noProof/>
          <w:webHidden/>
        </w:rPr>
        <w:t>11.</w:t>
      </w:r>
      <w:r w:rsidR="005645F7">
        <w:rPr>
          <w:noProof/>
          <w:webHidden/>
        </w:rPr>
        <w:t>102</w:t>
      </w:r>
    </w:p>
    <w:p w:rsidR="003A1729" w:rsidRDefault="003A1729" w:rsidP="00E27C2F">
      <w:pPr>
        <w:pStyle w:val="TOC2"/>
        <w:rPr>
          <w:b w:val="0"/>
          <w:noProof/>
          <w:sz w:val="24"/>
          <w:szCs w:val="24"/>
        </w:rPr>
      </w:pPr>
      <w:r w:rsidRPr="009C224E">
        <w:rPr>
          <w:noProof/>
        </w:rPr>
        <w:t>11.6</w:t>
      </w:r>
      <w:r>
        <w:rPr>
          <w:b w:val="0"/>
          <w:noProof/>
          <w:sz w:val="24"/>
          <w:szCs w:val="24"/>
        </w:rPr>
        <w:tab/>
      </w:r>
      <w:r w:rsidRPr="009C224E">
        <w:rPr>
          <w:noProof/>
        </w:rPr>
        <w:t>List of attachment tables</w:t>
      </w:r>
      <w:r>
        <w:rPr>
          <w:noProof/>
          <w:webHidden/>
        </w:rPr>
        <w:tab/>
      </w:r>
      <w:r w:rsidR="00A102A5">
        <w:rPr>
          <w:noProof/>
          <w:webHidden/>
        </w:rPr>
        <w:t>11.</w:t>
      </w:r>
      <w:r w:rsidR="00E7596E">
        <w:rPr>
          <w:noProof/>
          <w:webHidden/>
        </w:rPr>
        <w:t>10</w:t>
      </w:r>
      <w:r w:rsidR="005645F7">
        <w:rPr>
          <w:noProof/>
          <w:webHidden/>
        </w:rPr>
        <w:t>6</w:t>
      </w:r>
    </w:p>
    <w:p w:rsidR="003A1729" w:rsidRDefault="003A1729" w:rsidP="00E27C2F">
      <w:pPr>
        <w:pStyle w:val="TOC2"/>
        <w:rPr>
          <w:b w:val="0"/>
          <w:noProof/>
          <w:sz w:val="24"/>
          <w:szCs w:val="24"/>
        </w:rPr>
      </w:pPr>
      <w:r w:rsidRPr="009C224E">
        <w:rPr>
          <w:noProof/>
        </w:rPr>
        <w:t>11.7</w:t>
      </w:r>
      <w:r>
        <w:rPr>
          <w:b w:val="0"/>
          <w:noProof/>
          <w:sz w:val="24"/>
          <w:szCs w:val="24"/>
        </w:rPr>
        <w:tab/>
      </w:r>
      <w:r w:rsidRPr="009C224E">
        <w:rPr>
          <w:noProof/>
        </w:rPr>
        <w:t>References</w:t>
      </w:r>
      <w:r>
        <w:rPr>
          <w:noProof/>
          <w:webHidden/>
        </w:rPr>
        <w:tab/>
      </w:r>
      <w:r w:rsidR="00A102A5">
        <w:rPr>
          <w:noProof/>
          <w:webHidden/>
        </w:rPr>
        <w:t>11.</w:t>
      </w:r>
      <w:r w:rsidR="005645F7">
        <w:rPr>
          <w:noProof/>
          <w:webHidden/>
        </w:rPr>
        <w:t>110</w:t>
      </w:r>
    </w:p>
    <w:p w:rsidR="00744FCC" w:rsidRDefault="00744FCC" w:rsidP="00E27C2F">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4FCC" w:rsidTr="0097746A">
        <w:trPr>
          <w:cantSplit/>
        </w:trPr>
        <w:tc>
          <w:tcPr>
            <w:tcW w:w="8771" w:type="dxa"/>
            <w:tcBorders>
              <w:top w:val="single" w:sz="6" w:space="0" w:color="auto"/>
              <w:left w:val="single" w:sz="6" w:space="0" w:color="auto"/>
              <w:bottom w:val="nil"/>
              <w:right w:val="single" w:sz="6" w:space="0" w:color="auto"/>
            </w:tcBorders>
            <w:shd w:val="clear" w:color="auto" w:fill="E6E6E6"/>
          </w:tcPr>
          <w:p w:rsidR="00744FCC" w:rsidRDefault="00744FCC" w:rsidP="00744FCC">
            <w:pPr>
              <w:pStyle w:val="BoxTitle"/>
            </w:pPr>
            <w:r w:rsidRPr="00744FCC">
              <w:t>Attachment tables</w:t>
            </w:r>
          </w:p>
        </w:tc>
      </w:tr>
      <w:tr w:rsidR="00744FCC" w:rsidTr="00744FCC">
        <w:trPr>
          <w:cantSplit/>
        </w:trPr>
        <w:tc>
          <w:tcPr>
            <w:tcW w:w="8771" w:type="dxa"/>
            <w:tcBorders>
              <w:top w:val="nil"/>
              <w:left w:val="single" w:sz="6" w:space="0" w:color="auto"/>
              <w:bottom w:val="nil"/>
              <w:right w:val="single" w:sz="6" w:space="0" w:color="auto"/>
            </w:tcBorders>
            <w:shd w:val="clear" w:color="auto" w:fill="E6E6E6"/>
          </w:tcPr>
          <w:p w:rsidR="00744FCC" w:rsidRDefault="00744FCC" w:rsidP="00744FCC">
            <w:pPr>
              <w:pStyle w:val="Box"/>
            </w:pPr>
            <w:r w:rsidRPr="00744FCC">
              <w:t>Attachment tables are identified in references throughout this chapter by a ‘</w:t>
            </w:r>
            <w:r w:rsidR="00EF6FFF">
              <w:t>11</w:t>
            </w:r>
            <w:r w:rsidR="001559E7">
              <w:t>A’ pre</w:t>
            </w:r>
            <w:r w:rsidRPr="00744FCC">
              <w:t xml:space="preserve">fix (for example, table </w:t>
            </w:r>
            <w:r w:rsidR="00426227">
              <w:t>11</w:t>
            </w:r>
            <w:r w:rsidRPr="0097746A">
              <w:t>A</w:t>
            </w:r>
            <w:r w:rsidR="00DF0D30">
              <w:t>.1</w:t>
            </w:r>
            <w:r w:rsidRPr="00744FCC">
              <w:t>). A full list of attachment tables is provided at the end of this chapter, and the attachment tables are available from the Revie</w:t>
            </w:r>
            <w:r w:rsidR="00380F34">
              <w:t>w website at www.pc.gov.au/gsp</w:t>
            </w:r>
            <w:r w:rsidRPr="00744FCC">
              <w:t>.</w:t>
            </w:r>
          </w:p>
        </w:tc>
      </w:tr>
      <w:tr w:rsidR="00744FCC" w:rsidTr="00744FCC">
        <w:trPr>
          <w:cantSplit/>
        </w:trPr>
        <w:tc>
          <w:tcPr>
            <w:tcW w:w="8771" w:type="dxa"/>
            <w:tcBorders>
              <w:top w:val="nil"/>
              <w:left w:val="single" w:sz="6" w:space="0" w:color="auto"/>
              <w:bottom w:val="single" w:sz="6" w:space="0" w:color="auto"/>
              <w:right w:val="single" w:sz="6" w:space="0" w:color="auto"/>
            </w:tcBorders>
            <w:shd w:val="clear" w:color="auto" w:fill="E6E6E6"/>
          </w:tcPr>
          <w:p w:rsidR="00744FCC" w:rsidRDefault="00744FCC">
            <w:pPr>
              <w:pStyle w:val="Box"/>
              <w:spacing w:before="0" w:line="120" w:lineRule="exact"/>
            </w:pPr>
          </w:p>
        </w:tc>
      </w:tr>
      <w:tr w:rsidR="00744FCC" w:rsidTr="00744FCC">
        <w:tc>
          <w:tcPr>
            <w:tcW w:w="8771" w:type="dxa"/>
            <w:tcBorders>
              <w:top w:val="nil"/>
              <w:left w:val="nil"/>
              <w:bottom w:val="nil"/>
              <w:right w:val="nil"/>
            </w:tcBorders>
          </w:tcPr>
          <w:p w:rsidR="00744FCC" w:rsidRDefault="00744FCC">
            <w:pPr>
              <w:pStyle w:val="Box"/>
              <w:keepNext w:val="0"/>
              <w:spacing w:before="60" w:after="60" w:line="80" w:lineRule="exact"/>
              <w:rPr>
                <w:b/>
                <w:color w:val="FF00FF"/>
                <w:sz w:val="14"/>
              </w:rPr>
            </w:pPr>
          </w:p>
        </w:tc>
      </w:tr>
    </w:tbl>
    <w:p w:rsidR="003D59EC" w:rsidRPr="000E768B" w:rsidRDefault="00465531" w:rsidP="00C8787E">
      <w:pPr>
        <w:pStyle w:val="BodyText"/>
      </w:pPr>
      <w:r>
        <w:t>Pr</w:t>
      </w:r>
      <w:r w:rsidR="006E10EC">
        <w:t>i</w:t>
      </w:r>
      <w:r w:rsidR="00CE64FC">
        <w:t xml:space="preserve">mary and community </w:t>
      </w:r>
      <w:r w:rsidR="00CE64FC" w:rsidRPr="00C8787E">
        <w:t>health</w:t>
      </w:r>
      <w:r w:rsidR="00CE64FC">
        <w:t xml:space="preserve"> services </w:t>
      </w:r>
      <w:r w:rsidR="00A80815">
        <w:t xml:space="preserve">include </w:t>
      </w:r>
      <w:r w:rsidR="0059083B">
        <w:t xml:space="preserve">general practice, allied health services, dentistry, alcohol and other drug treatment, maternal and child health, the Pharmaceutical Benefits Scheme (PBS) and a range of other community health services. </w:t>
      </w:r>
      <w:r w:rsidR="00193426">
        <w:t>Reporting in t</w:t>
      </w:r>
      <w:r w:rsidR="004133AF">
        <w:t>his chapter focus</w:t>
      </w:r>
      <w:r w:rsidR="00636772">
        <w:t>es</w:t>
      </w:r>
      <w:r w:rsidR="004133AF">
        <w:t xml:space="preserve"> </w:t>
      </w:r>
      <w:r w:rsidR="00193426">
        <w:t xml:space="preserve">mainly </w:t>
      </w:r>
      <w:r w:rsidR="004133AF">
        <w:t xml:space="preserve">on general practice, </w:t>
      </w:r>
      <w:r w:rsidR="004133AF" w:rsidRPr="004133AF">
        <w:t>primary healthcare services</w:t>
      </w:r>
      <w:r w:rsidR="00785DB5">
        <w:t xml:space="preserve"> targeted </w:t>
      </w:r>
      <w:r w:rsidR="00726F8F">
        <w:t>to</w:t>
      </w:r>
      <w:r w:rsidR="004133AF" w:rsidRPr="004133AF">
        <w:t xml:space="preserve"> Indigenous </w:t>
      </w:r>
      <w:r w:rsidR="0004553E">
        <w:t>Australians</w:t>
      </w:r>
      <w:r w:rsidR="004133AF" w:rsidRPr="004133AF">
        <w:t>,</w:t>
      </w:r>
      <w:r w:rsidR="004133AF">
        <w:t xml:space="preserve"> public dental services, drug and alcohol treatment </w:t>
      </w:r>
      <w:r w:rsidR="0059083B">
        <w:t>and</w:t>
      </w:r>
      <w:r w:rsidR="004133AF">
        <w:t xml:space="preserve"> the PBS.</w:t>
      </w:r>
      <w:r w:rsidR="005D6317">
        <w:t xml:space="preserve"> </w:t>
      </w:r>
      <w:r w:rsidR="003D59EC">
        <w:t>The scope of t</w:t>
      </w:r>
      <w:r w:rsidR="0059083B">
        <w:t>his chapter does not extend to:</w:t>
      </w:r>
    </w:p>
    <w:p w:rsidR="002A4BFF" w:rsidRDefault="00CB7721" w:rsidP="00C8787E">
      <w:pPr>
        <w:pStyle w:val="ListBullet"/>
      </w:pPr>
      <w:r>
        <w:t xml:space="preserve">public hospital emergency departments and </w:t>
      </w:r>
      <w:r w:rsidRPr="00C8787E">
        <w:t>outpatient</w:t>
      </w:r>
      <w:r>
        <w:t xml:space="preserve"> services (reported in chapter 10, ‘Public hospitals’)</w:t>
      </w:r>
    </w:p>
    <w:p w:rsidR="00CB7721" w:rsidRDefault="00CB7721" w:rsidP="00C90EA0">
      <w:pPr>
        <w:pStyle w:val="ListBullet"/>
      </w:pPr>
      <w:r>
        <w:t>community mental health services (reported in chapter 12, ‘</w:t>
      </w:r>
      <w:r w:rsidRPr="004D7297">
        <w:t>Mental health management</w:t>
      </w:r>
      <w:r w:rsidR="00CB13EC">
        <w:t>’)</w:t>
      </w:r>
    </w:p>
    <w:p w:rsidR="0091167E" w:rsidRDefault="003D59EC" w:rsidP="003D59EC">
      <w:pPr>
        <w:pStyle w:val="ListBullet"/>
      </w:pPr>
      <w:r>
        <w:t>Home and Community Care program services (</w:t>
      </w:r>
      <w:r w:rsidR="000131BB">
        <w:t>reported in</w:t>
      </w:r>
      <w:r>
        <w:t xml:space="preserve"> chapter</w:t>
      </w:r>
      <w:r w:rsidR="00687033">
        <w:t> </w:t>
      </w:r>
      <w:r>
        <w:t>13, ‘Aged care’</w:t>
      </w:r>
      <w:r w:rsidR="0091167E" w:rsidRPr="0091167E">
        <w:t xml:space="preserve"> </w:t>
      </w:r>
      <w:r w:rsidR="0091167E">
        <w:t>and chapter</w:t>
      </w:r>
      <w:r w:rsidR="00304646">
        <w:t xml:space="preserve"> 14, ‘Services for people with</w:t>
      </w:r>
      <w:r w:rsidR="0091167E">
        <w:t xml:space="preserve"> disability’</w:t>
      </w:r>
      <w:r>
        <w:t>)</w:t>
      </w:r>
      <w:r w:rsidR="0091167E">
        <w:t>.</w:t>
      </w:r>
    </w:p>
    <w:p w:rsidR="004133AF" w:rsidRPr="00944E91" w:rsidRDefault="003D59EC" w:rsidP="005B1C1E">
      <w:pPr>
        <w:pStyle w:val="BodyText"/>
      </w:pPr>
      <w:r>
        <w:lastRenderedPageBreak/>
        <w:t xml:space="preserve">The primary and community health sector is the part of the healthcare system most frequently used by Australians. It is important in </w:t>
      </w:r>
      <w:r w:rsidR="004133AF">
        <w:t xml:space="preserve">preventative </w:t>
      </w:r>
      <w:r w:rsidR="00B70372">
        <w:t>healthcare</w:t>
      </w:r>
      <w:r w:rsidR="004133AF">
        <w:t xml:space="preserve"> and in the detection and management of illness and injury</w:t>
      </w:r>
      <w:r w:rsidR="00906506">
        <w:t>,</w:t>
      </w:r>
      <w:r w:rsidR="004133AF">
        <w:t xml:space="preserve"> through direct service provision </w:t>
      </w:r>
      <w:r w:rsidR="007D3F1C">
        <w:t>and</w:t>
      </w:r>
      <w:r w:rsidR="004133AF">
        <w:t xml:space="preserve"> </w:t>
      </w:r>
      <w:r w:rsidR="00334C30">
        <w:t xml:space="preserve">through </w:t>
      </w:r>
      <w:r w:rsidR="004133AF">
        <w:t xml:space="preserve">referral to </w:t>
      </w:r>
      <w:r w:rsidR="007D3F1C">
        <w:t xml:space="preserve">acute (hospital) or </w:t>
      </w:r>
      <w:r w:rsidR="00906506">
        <w:t>other healthcare</w:t>
      </w:r>
      <w:r w:rsidR="007D3F1C">
        <w:t xml:space="preserve"> services</w:t>
      </w:r>
      <w:r w:rsidR="00D77EA9">
        <w:t xml:space="preserve">, </w:t>
      </w:r>
      <w:r w:rsidR="00560F0D">
        <w:t>as appropriate.</w:t>
      </w:r>
    </w:p>
    <w:p w:rsidR="003D59EC" w:rsidRDefault="001666F1" w:rsidP="009E68AD">
      <w:pPr>
        <w:pStyle w:val="BodyText"/>
      </w:pPr>
      <w:r>
        <w:t>Major</w:t>
      </w:r>
      <w:r w:rsidR="003D59EC">
        <w:t xml:space="preserve"> improvements in reporting o</w:t>
      </w:r>
      <w:r>
        <w:t>n</w:t>
      </w:r>
      <w:r w:rsidR="003D59EC">
        <w:t xml:space="preserve"> primary and community health </w:t>
      </w:r>
      <w:r w:rsidR="009E68AD" w:rsidRPr="009E68AD">
        <w:t xml:space="preserve">in this edition </w:t>
      </w:r>
      <w:r>
        <w:t>include</w:t>
      </w:r>
      <w:r w:rsidR="003D59EC">
        <w:t>:</w:t>
      </w:r>
    </w:p>
    <w:p w:rsidR="00E17949" w:rsidRPr="00CB403A" w:rsidRDefault="00E17949" w:rsidP="00D84F95">
      <w:pPr>
        <w:pStyle w:val="ListBullet"/>
      </w:pPr>
      <w:r w:rsidRPr="00CB403A">
        <w:t xml:space="preserve">PBS expenditure </w:t>
      </w:r>
      <w:r w:rsidR="008378FB" w:rsidRPr="00CB403A">
        <w:t xml:space="preserve">on </w:t>
      </w:r>
      <w:r w:rsidR="00CB403A">
        <w:t xml:space="preserve">medicines supplied </w:t>
      </w:r>
      <w:r w:rsidR="005C2533" w:rsidRPr="00CB403A">
        <w:t>under s.100</w:t>
      </w:r>
      <w:r w:rsidR="00D84F95" w:rsidRPr="00D84F95">
        <w:t xml:space="preserve"> of the </w:t>
      </w:r>
      <w:r w:rsidR="00D84F95" w:rsidRPr="00D84F95">
        <w:rPr>
          <w:i/>
        </w:rPr>
        <w:t>National Health Act 1953</w:t>
      </w:r>
      <w:r w:rsidR="00D84F95" w:rsidRPr="00D84F95">
        <w:t xml:space="preserve"> [Cwlth]</w:t>
      </w:r>
      <w:r w:rsidR="005C2533" w:rsidRPr="00CB403A">
        <w:t xml:space="preserve"> </w:t>
      </w:r>
      <w:r w:rsidR="00CB403A">
        <w:t xml:space="preserve">to </w:t>
      </w:r>
      <w:r w:rsidR="008378FB" w:rsidRPr="00CB403A">
        <w:t xml:space="preserve">remote </w:t>
      </w:r>
      <w:r w:rsidR="00CB403A">
        <w:t xml:space="preserve">Aboriginal Medical Services are </w:t>
      </w:r>
      <w:r w:rsidR="008378FB" w:rsidRPr="00CB403A">
        <w:t xml:space="preserve">reported for </w:t>
      </w:r>
      <w:r w:rsidR="005C2533">
        <w:t xml:space="preserve">the first </w:t>
      </w:r>
      <w:r w:rsidR="00EC5BF6">
        <w:t>time</w:t>
      </w:r>
    </w:p>
    <w:p w:rsidR="009B2D8A" w:rsidRPr="00CB403A" w:rsidRDefault="00CB403A" w:rsidP="00944E91">
      <w:pPr>
        <w:pStyle w:val="ListBullet"/>
      </w:pPr>
      <w:r>
        <w:t xml:space="preserve">government expenditure on </w:t>
      </w:r>
      <w:r w:rsidR="009B2D8A" w:rsidRPr="00CB403A">
        <w:t xml:space="preserve">dental </w:t>
      </w:r>
      <w:r>
        <w:t>services</w:t>
      </w:r>
      <w:r w:rsidR="009B2D8A" w:rsidRPr="00CB403A">
        <w:t xml:space="preserve"> </w:t>
      </w:r>
      <w:r w:rsidR="005C2533">
        <w:t>by</w:t>
      </w:r>
      <w:r>
        <w:t xml:space="preserve"> </w:t>
      </w:r>
      <w:r w:rsidR="00660EB4">
        <w:t>s</w:t>
      </w:r>
      <w:r>
        <w:t>tate</w:t>
      </w:r>
      <w:r w:rsidR="00660EB4">
        <w:t xml:space="preserve"> and t</w:t>
      </w:r>
      <w:r>
        <w:t>erritor</w:t>
      </w:r>
      <w:r w:rsidR="005C2533">
        <w:t>y</w:t>
      </w:r>
      <w:r>
        <w:t xml:space="preserve"> are reported for the first time</w:t>
      </w:r>
    </w:p>
    <w:p w:rsidR="00304646" w:rsidRDefault="005C2533" w:rsidP="004D42BF">
      <w:pPr>
        <w:pStyle w:val="ListBullet"/>
      </w:pPr>
      <w:r>
        <w:t xml:space="preserve">reporting </w:t>
      </w:r>
      <w:r w:rsidR="003E6E94">
        <w:t xml:space="preserve">on episodes of treatment </w:t>
      </w:r>
      <w:r w:rsidR="00144EB1">
        <w:t>for</w:t>
      </w:r>
      <w:r>
        <w:t xml:space="preserve"> a</w:t>
      </w:r>
      <w:r w:rsidRPr="00AF1536">
        <w:t>lcohol and other drug</w:t>
      </w:r>
      <w:r w:rsidR="003E6E94">
        <w:t>s</w:t>
      </w:r>
    </w:p>
    <w:p w:rsidR="005C2533" w:rsidRPr="00CB403A" w:rsidRDefault="005C2533" w:rsidP="005C2533">
      <w:pPr>
        <w:pStyle w:val="ListBullet"/>
      </w:pPr>
      <w:r w:rsidRPr="00CB403A">
        <w:t>Aus</w:t>
      </w:r>
      <w:r>
        <w:t xml:space="preserve">tralian </w:t>
      </w:r>
      <w:r w:rsidRPr="00CB403A">
        <w:t>Gov</w:t>
      </w:r>
      <w:r>
        <w:t>erment</w:t>
      </w:r>
      <w:r w:rsidRPr="00CB403A">
        <w:t xml:space="preserve"> exp</w:t>
      </w:r>
      <w:r>
        <w:t>enditure</w:t>
      </w:r>
      <w:r w:rsidRPr="00CB403A">
        <w:t xml:space="preserve"> on Indigenous primary healthcare services </w:t>
      </w:r>
      <w:r>
        <w:t xml:space="preserve">is </w:t>
      </w:r>
      <w:r w:rsidRPr="00CB403A">
        <w:t>reported</w:t>
      </w:r>
      <w:r w:rsidR="00EC5BF6">
        <w:t xml:space="preserve"> for the first time</w:t>
      </w:r>
    </w:p>
    <w:p w:rsidR="00A40D41" w:rsidRPr="00CB403A" w:rsidRDefault="00CB403A" w:rsidP="00944E91">
      <w:pPr>
        <w:pStyle w:val="ListBullet"/>
      </w:pPr>
      <w:r>
        <w:t xml:space="preserve">data for the availability of public </w:t>
      </w:r>
      <w:r w:rsidRPr="00CB403A">
        <w:t xml:space="preserve">dental hygienists </w:t>
      </w:r>
      <w:r>
        <w:t>are reported for the first time</w:t>
      </w:r>
      <w:r w:rsidR="00660EB4">
        <w:t>,</w:t>
      </w:r>
      <w:r>
        <w:t xml:space="preserve"> alongside </w:t>
      </w:r>
      <w:r w:rsidR="00094E03">
        <w:t>existing reporting</w:t>
      </w:r>
      <w:r>
        <w:t xml:space="preserve"> for public</w:t>
      </w:r>
      <w:r w:rsidR="005C2533">
        <w:t xml:space="preserve"> dentists and dental therapists</w:t>
      </w:r>
    </w:p>
    <w:p w:rsidR="004E6C48" w:rsidRDefault="005C2533" w:rsidP="00944E91">
      <w:pPr>
        <w:pStyle w:val="ListBullet"/>
      </w:pPr>
      <w:r>
        <w:t>an</w:t>
      </w:r>
      <w:r w:rsidR="004E6C48">
        <w:t xml:space="preserve"> </w:t>
      </w:r>
      <w:r>
        <w:t xml:space="preserve">updated </w:t>
      </w:r>
      <w:r w:rsidR="004E6C48">
        <w:t>Australian geographical location classification system for reporting D</w:t>
      </w:r>
      <w:r w:rsidR="00350DA3">
        <w:t>epartment of Human Services (D</w:t>
      </w:r>
      <w:r w:rsidR="004E6C48">
        <w:t>HS</w:t>
      </w:r>
      <w:r w:rsidR="00350DA3">
        <w:t>)</w:t>
      </w:r>
      <w:r w:rsidR="000C5413">
        <w:t xml:space="preserve"> — </w:t>
      </w:r>
      <w:r w:rsidR="004E6C48">
        <w:t>Medicare data</w:t>
      </w:r>
      <w:r w:rsidR="00350DA3">
        <w:t xml:space="preserve"> is used</w:t>
      </w:r>
      <w:r w:rsidR="004E6C48">
        <w:t>, improving reporting for</w:t>
      </w:r>
      <w:r w:rsidR="00AF1536">
        <w:t xml:space="preserve"> the following measures</w:t>
      </w:r>
    </w:p>
    <w:p w:rsidR="00A00B6D" w:rsidRDefault="00A00B6D" w:rsidP="00A00B6D">
      <w:pPr>
        <w:pStyle w:val="ListBullet2"/>
      </w:pPr>
      <w:r w:rsidRPr="00A00B6D">
        <w:t xml:space="preserve">PBS expenditure per person </w:t>
      </w:r>
      <w:r>
        <w:t>by region</w:t>
      </w:r>
    </w:p>
    <w:p w:rsidR="004E6C48" w:rsidRDefault="004E6C48" w:rsidP="00A00B6D">
      <w:pPr>
        <w:pStyle w:val="ListBullet2"/>
      </w:pPr>
      <w:r>
        <w:t xml:space="preserve">availability of </w:t>
      </w:r>
      <w:r w:rsidR="00925525">
        <w:t>general practitioners (</w:t>
      </w:r>
      <w:r>
        <w:t>GPs</w:t>
      </w:r>
      <w:r w:rsidR="00925525">
        <w:t>)</w:t>
      </w:r>
      <w:r>
        <w:t xml:space="preserve"> by region</w:t>
      </w:r>
    </w:p>
    <w:p w:rsidR="00A00B6D" w:rsidRDefault="00A00B6D" w:rsidP="00A00B6D">
      <w:pPr>
        <w:pStyle w:val="ListBullet2"/>
      </w:pPr>
      <w:r>
        <w:t>GP bulk billing rates by region</w:t>
      </w:r>
    </w:p>
    <w:p w:rsidR="00AF1536" w:rsidRDefault="00AF1536" w:rsidP="00AF1536">
      <w:pPr>
        <w:pStyle w:val="ListBullet2"/>
      </w:pPr>
      <w:r>
        <w:t>GPs with vocational registration by region</w:t>
      </w:r>
    </w:p>
    <w:p w:rsidR="004E6C48" w:rsidRDefault="00AF1536" w:rsidP="00AF1536">
      <w:pPr>
        <w:pStyle w:val="ListBullet2"/>
      </w:pPr>
      <w:r>
        <w:t xml:space="preserve">proportion of </w:t>
      </w:r>
      <w:r w:rsidR="003A1D3E">
        <w:t xml:space="preserve">practices registered for the </w:t>
      </w:r>
      <w:r w:rsidR="003A1D3E" w:rsidRPr="000C2AB6">
        <w:t xml:space="preserve">Practice Incentives Program </w:t>
      </w:r>
      <w:r w:rsidR="003A1D3E">
        <w:t>(</w:t>
      </w:r>
      <w:r>
        <w:t>PIP</w:t>
      </w:r>
      <w:r w:rsidR="003A1D3E">
        <w:t>)</w:t>
      </w:r>
      <w:r>
        <w:t xml:space="preserve"> using electronic health systems by region</w:t>
      </w:r>
    </w:p>
    <w:p w:rsidR="00CB403A" w:rsidRPr="005C2533" w:rsidRDefault="00A313DC" w:rsidP="00CB403A">
      <w:pPr>
        <w:pStyle w:val="ListBullet"/>
        <w:rPr>
          <w:rStyle w:val="DraftingNote"/>
          <w:b w:val="0"/>
          <w:color w:val="auto"/>
          <w:sz w:val="26"/>
          <w:u w:val="none"/>
        </w:rPr>
      </w:pPr>
      <w:r w:rsidRPr="00CB403A">
        <w:t xml:space="preserve">age-standardised data </w:t>
      </w:r>
      <w:r w:rsidR="00CB403A" w:rsidRPr="00CB403A">
        <w:t xml:space="preserve">are </w:t>
      </w:r>
      <w:r w:rsidRPr="00CB403A">
        <w:t>reported for the first time for</w:t>
      </w:r>
      <w:r w:rsidR="005C2533">
        <w:t xml:space="preserve"> the indicators ‘u</w:t>
      </w:r>
      <w:r w:rsidR="00AD2EF7">
        <w:t xml:space="preserve">se of </w:t>
      </w:r>
      <w:r w:rsidR="00AD2EF7" w:rsidRPr="00CB403A">
        <w:t>pathology tests and diagnostic imaging</w:t>
      </w:r>
      <w:r w:rsidR="005C2533">
        <w:t>’ and ‘</w:t>
      </w:r>
      <w:r w:rsidR="00CB403A">
        <w:t>cost to government of general practice per person</w:t>
      </w:r>
      <w:r w:rsidR="00EC5BF6">
        <w:t>’</w:t>
      </w:r>
    </w:p>
    <w:p w:rsidR="005C2533" w:rsidRPr="00CB403A" w:rsidRDefault="005C2533" w:rsidP="005C2533">
      <w:pPr>
        <w:pStyle w:val="ListBullet"/>
      </w:pPr>
      <w:r w:rsidRPr="00CB403A">
        <w:t xml:space="preserve">data </w:t>
      </w:r>
      <w:r>
        <w:t>are</w:t>
      </w:r>
      <w:r w:rsidRPr="00CB403A">
        <w:t xml:space="preserve"> available </w:t>
      </w:r>
      <w:r>
        <w:t xml:space="preserve">for </w:t>
      </w:r>
      <w:r w:rsidRPr="00CB403A">
        <w:t xml:space="preserve">all people for </w:t>
      </w:r>
      <w:r>
        <w:t>the measure n</w:t>
      </w:r>
      <w:r w:rsidRPr="00A00B6D">
        <w:t xml:space="preserve">umber of filled prescriptions by GPs for selected antibiotics </w:t>
      </w:r>
      <w:r>
        <w:t>(previously concession card holders only)</w:t>
      </w:r>
    </w:p>
    <w:p w:rsidR="00003CF7" w:rsidRDefault="00003CF7" w:rsidP="007B472D">
      <w:pPr>
        <w:pStyle w:val="ListBullet"/>
      </w:pPr>
      <w:r>
        <w:t xml:space="preserve">data for </w:t>
      </w:r>
      <w:r w:rsidRPr="00003CF7">
        <w:t xml:space="preserve">the proportion of people with diabetes with HbA1c (glycosolated haemoglobin) below 7 per cent </w:t>
      </w:r>
      <w:r>
        <w:t>are reported for the first time</w:t>
      </w:r>
    </w:p>
    <w:p w:rsidR="003A03CC" w:rsidRDefault="003A03CC" w:rsidP="00881031">
      <w:pPr>
        <w:pStyle w:val="ListBullet"/>
      </w:pPr>
      <w:r w:rsidRPr="00944E91">
        <w:t xml:space="preserve">extending time series for </w:t>
      </w:r>
      <w:r w:rsidR="003A1D3E">
        <w:t xml:space="preserve">reporting on </w:t>
      </w:r>
      <w:r w:rsidRPr="00944E91">
        <w:t>some indicators</w:t>
      </w:r>
    </w:p>
    <w:p w:rsidR="003A03CC" w:rsidRPr="00CB403A" w:rsidRDefault="003A03CC" w:rsidP="003A03CC">
      <w:pPr>
        <w:pStyle w:val="ListBullet"/>
      </w:pPr>
      <w:r w:rsidRPr="00944E91">
        <w:lastRenderedPageBreak/>
        <w:t xml:space="preserve">data quality information (DQI) available for the first time for </w:t>
      </w:r>
      <w:r>
        <w:t>the indicators ‘availability of PBS medicines’ and ‘notifications of selected childhood diseases’, as well as for additional measures under the ‘child immunisation coverage’ indicator.</w:t>
      </w:r>
    </w:p>
    <w:p w:rsidR="00061391" w:rsidRPr="00A64966" w:rsidRDefault="00EC42DB" w:rsidP="003D59EC">
      <w:pPr>
        <w:pStyle w:val="Heading2"/>
      </w:pPr>
      <w:bookmarkStart w:id="4" w:name="_Toc208034411"/>
      <w:bookmarkStart w:id="5" w:name="_Toc208048537"/>
      <w:bookmarkStart w:id="6" w:name="_Toc274941099"/>
      <w:r>
        <w:t>11.</w:t>
      </w:r>
      <w:r w:rsidR="00C44281">
        <w:rPr>
          <w:noProof/>
        </w:rPr>
        <w:t>1</w:t>
      </w:r>
      <w:r w:rsidR="00A64966">
        <w:tab/>
      </w:r>
      <w:r w:rsidR="003D59EC">
        <w:t>Profile of primary</w:t>
      </w:r>
      <w:r w:rsidR="00A64966" w:rsidRPr="00A64966">
        <w:t xml:space="preserve"> and community health</w:t>
      </w:r>
      <w:bookmarkEnd w:id="4"/>
      <w:bookmarkEnd w:id="5"/>
      <w:bookmarkEnd w:id="6"/>
    </w:p>
    <w:p w:rsidR="003D59EC" w:rsidRDefault="003D59EC" w:rsidP="003D59EC">
      <w:pPr>
        <w:pStyle w:val="Heading3"/>
      </w:pPr>
      <w:r>
        <w:t>Definitions, roles and responsibilities</w:t>
      </w:r>
    </w:p>
    <w:p w:rsidR="00870025" w:rsidRDefault="000127B7" w:rsidP="000127B7">
      <w:pPr>
        <w:pStyle w:val="BodyText"/>
      </w:pPr>
      <w:r w:rsidRPr="000127B7">
        <w:t xml:space="preserve">Primary and community healthcare services are delivered by a range of health and allied health professionals in various private, not-for-profit and government service settings. Those funded largely by governments include general practice, community health services, the PBS and public dental services. The Australian Government </w:t>
      </w:r>
      <w:r w:rsidR="00870025">
        <w:t xml:space="preserve">also </w:t>
      </w:r>
      <w:r w:rsidRPr="000127B7">
        <w:t xml:space="preserve">provides some funding </w:t>
      </w:r>
      <w:r w:rsidR="0055058A">
        <w:t>through</w:t>
      </w:r>
      <w:r w:rsidR="0055058A" w:rsidRPr="00870025">
        <w:t xml:space="preserve"> </w:t>
      </w:r>
      <w:r w:rsidR="0055058A">
        <w:t>DHS</w:t>
      </w:r>
      <w:r w:rsidR="0055058A" w:rsidRPr="00F464AC">
        <w:t xml:space="preserve"> Medicare</w:t>
      </w:r>
      <w:r w:rsidR="0055058A" w:rsidRPr="000127B7">
        <w:t xml:space="preserve"> </w:t>
      </w:r>
      <w:r w:rsidRPr="000127B7">
        <w:t>for private dental and allied health services</w:t>
      </w:r>
      <w:r w:rsidR="00870025">
        <w:t xml:space="preserve"> — for the general community, through the private health rebate, and for </w:t>
      </w:r>
      <w:r w:rsidR="00870025" w:rsidRPr="00870025">
        <w:t xml:space="preserve">people with </w:t>
      </w:r>
      <w:r w:rsidR="0055058A">
        <w:t xml:space="preserve">specific conditions or needs (for example, </w:t>
      </w:r>
      <w:r w:rsidR="00870025" w:rsidRPr="00870025">
        <w:t>long-term health conditions and/or mental health problems</w:t>
      </w:r>
      <w:r w:rsidR="0055058A">
        <w:t>)</w:t>
      </w:r>
      <w:r w:rsidR="00870025">
        <w:t xml:space="preserve">. </w:t>
      </w:r>
      <w:r w:rsidR="00870025" w:rsidRPr="00F464AC">
        <w:t>Funding of private dental services for people with long</w:t>
      </w:r>
      <w:r w:rsidR="00870025" w:rsidRPr="00F464AC">
        <w:noBreakHyphen/>
        <w:t>term health conditions</w:t>
      </w:r>
      <w:r w:rsidR="001339E2">
        <w:t xml:space="preserve"> through DHS</w:t>
      </w:r>
      <w:r w:rsidR="00870025">
        <w:t xml:space="preserve"> Medicare ceased 1 </w:t>
      </w:r>
      <w:r w:rsidR="00870025" w:rsidRPr="00F464AC">
        <w:t>December 2012.</w:t>
      </w:r>
    </w:p>
    <w:p w:rsidR="00274C2E" w:rsidRDefault="00274C2E" w:rsidP="004D42BF">
      <w:pPr>
        <w:pStyle w:val="BodyText"/>
      </w:pPr>
      <w:r w:rsidRPr="004D42BF">
        <w:t xml:space="preserve">The Australian Government also funds </w:t>
      </w:r>
      <w:r w:rsidR="004E28F5" w:rsidRPr="004D42BF">
        <w:t>a national network of 61 </w:t>
      </w:r>
      <w:r w:rsidRPr="004D42BF">
        <w:t>Medicare Locals</w:t>
      </w:r>
      <w:r w:rsidR="00057135" w:rsidRPr="004D42BF">
        <w:t>, established</w:t>
      </w:r>
      <w:r w:rsidR="004E28F5" w:rsidRPr="004D42BF">
        <w:t xml:space="preserve"> under the National Health Reform </w:t>
      </w:r>
      <w:r w:rsidR="009E67A3" w:rsidRPr="004D42BF">
        <w:t>a</w:t>
      </w:r>
      <w:r w:rsidR="004E28F5" w:rsidRPr="004D42BF">
        <w:t>genda</w:t>
      </w:r>
      <w:r w:rsidR="00057135" w:rsidRPr="004D42BF">
        <w:t>. These</w:t>
      </w:r>
      <w:r w:rsidR="004E28F5" w:rsidRPr="004D42BF">
        <w:t xml:space="preserve"> </w:t>
      </w:r>
      <w:r w:rsidR="001B6B6B" w:rsidRPr="004D42BF">
        <w:t xml:space="preserve">independent </w:t>
      </w:r>
      <w:r w:rsidRPr="004D42BF">
        <w:t>primary health care organisations</w:t>
      </w:r>
      <w:r w:rsidR="004E28F5" w:rsidRPr="004D42BF">
        <w:t xml:space="preserve"> </w:t>
      </w:r>
      <w:r w:rsidR="00057135" w:rsidRPr="004D42BF">
        <w:t>have</w:t>
      </w:r>
      <w:r w:rsidR="001B6B6B" w:rsidRPr="004D42BF">
        <w:t xml:space="preserve"> responsibility </w:t>
      </w:r>
      <w:r w:rsidR="004E28F5" w:rsidRPr="004D42BF">
        <w:t xml:space="preserve">to coordinate primary health care delivery and </w:t>
      </w:r>
      <w:r w:rsidR="00ED77AB" w:rsidRPr="004D42BF">
        <w:t>address</w:t>
      </w:r>
      <w:r w:rsidR="004E28F5" w:rsidRPr="004D42BF">
        <w:t xml:space="preserve"> health care needs and service gaps within their boundaries. </w:t>
      </w:r>
      <w:r w:rsidR="00057135" w:rsidRPr="004D42BF">
        <w:t>Established progressively from 1 July 2011, all 61 Medicare Locals have been operating across the country since 1 July 2012 with the support of a national body, the Australian Medicare Local Alliance</w:t>
      </w:r>
      <w:r w:rsidR="004E28F5" w:rsidRPr="004D42BF">
        <w:t xml:space="preserve">. </w:t>
      </w:r>
      <w:r w:rsidRPr="004D42BF">
        <w:t>Medicare Locals evolved from the</w:t>
      </w:r>
      <w:r w:rsidRPr="00274C2E">
        <w:t xml:space="preserve"> Divisions of General Practice Program (DGPP) which</w:t>
      </w:r>
      <w:r w:rsidR="00427486">
        <w:t>,</w:t>
      </w:r>
      <w:r w:rsidRPr="00274C2E">
        <w:t xml:space="preserve"> over </w:t>
      </w:r>
      <w:r w:rsidR="00427486">
        <w:t xml:space="preserve">a </w:t>
      </w:r>
      <w:r w:rsidRPr="00274C2E">
        <w:t>20 year</w:t>
      </w:r>
      <w:r w:rsidR="00427486">
        <w:t xml:space="preserve"> period,</w:t>
      </w:r>
      <w:r w:rsidRPr="00274C2E">
        <w:t xml:space="preserve"> aim</w:t>
      </w:r>
      <w:r>
        <w:t>ed</w:t>
      </w:r>
      <w:r w:rsidRPr="00274C2E">
        <w:t xml:space="preserve"> to support </w:t>
      </w:r>
      <w:r w:rsidR="00427486">
        <w:t xml:space="preserve">networks of </w:t>
      </w:r>
      <w:r w:rsidRPr="00274C2E">
        <w:t>general practice</w:t>
      </w:r>
      <w:r w:rsidR="00427486">
        <w:t>s</w:t>
      </w:r>
      <w:r w:rsidRPr="00274C2E">
        <w:t xml:space="preserve"> </w:t>
      </w:r>
      <w:r w:rsidR="00427486">
        <w:t>within defined geographical boundaries</w:t>
      </w:r>
      <w:r>
        <w:t xml:space="preserve"> </w:t>
      </w:r>
      <w:r w:rsidRPr="00274C2E">
        <w:t xml:space="preserve">to improve health service delivery </w:t>
      </w:r>
      <w:r>
        <w:t>and respond</w:t>
      </w:r>
      <w:r w:rsidRPr="00274C2E">
        <w:t xml:space="preserve"> to health service challenges at the local level</w:t>
      </w:r>
      <w:r>
        <w:t>.</w:t>
      </w:r>
    </w:p>
    <w:p w:rsidR="00E737C1" w:rsidRDefault="00E737C1" w:rsidP="00AE71D5">
      <w:pPr>
        <w:pStyle w:val="BodyText"/>
      </w:pPr>
      <w:r>
        <w:t>Definitions for common health terms are provided in section 11.5.</w:t>
      </w:r>
    </w:p>
    <w:p w:rsidR="00906506" w:rsidRDefault="00906506" w:rsidP="00906506">
      <w:pPr>
        <w:pStyle w:val="Heading4"/>
      </w:pPr>
      <w:r>
        <w:t>General practice</w:t>
      </w:r>
    </w:p>
    <w:p w:rsidR="00906506" w:rsidRPr="00B87582" w:rsidRDefault="00906506" w:rsidP="00F82AF2">
      <w:pPr>
        <w:pStyle w:val="BodyText"/>
      </w:pPr>
      <w:r>
        <w:t xml:space="preserve">General practice is a major provider of primary healthcare in </w:t>
      </w:r>
      <w:smartTag w:uri="urn:schemas-microsoft-com:office:smarttags" w:element="place">
        <w:smartTag w:uri="urn:schemas-microsoft-com:office:smarttags" w:element="country-region">
          <w:r>
            <w:t>Australia</w:t>
          </w:r>
        </w:smartTag>
      </w:smartTag>
      <w:r>
        <w:t xml:space="preserve">. It is defined by </w:t>
      </w:r>
      <w:r w:rsidR="00071F6A">
        <w:t>t</w:t>
      </w:r>
      <w:r>
        <w:t xml:space="preserve">he </w:t>
      </w:r>
      <w:smartTag w:uri="urn:schemas-microsoft-com:office:smarttags" w:element="place">
        <w:smartTag w:uri="urn:schemas-microsoft-com:office:smarttags" w:element="PlaceName">
          <w:r>
            <w:t>Royal</w:t>
          </w:r>
        </w:smartTag>
        <w:r>
          <w:t xml:space="preserve"> </w:t>
        </w:r>
        <w:smartTag w:uri="urn:schemas-microsoft-com:office:smarttags" w:element="PlaceName">
          <w:r>
            <w:t>Australian</w:t>
          </w:r>
        </w:smartTag>
        <w:r>
          <w:t xml:space="preserve"> </w:t>
        </w:r>
        <w:smartTag w:uri="urn:schemas-microsoft-com:office:smarttags" w:element="PlaceType">
          <w:r>
            <w:t>College</w:t>
          </w:r>
        </w:smartTag>
      </w:smartTag>
      <w:r>
        <w:t xml:space="preserve"> of General Practitioners (RACGP) as</w:t>
      </w:r>
      <w:r w:rsidR="00071F6A">
        <w:t xml:space="preserve"> </w:t>
      </w:r>
      <w:r w:rsidR="00071F6A" w:rsidRPr="00A4635B">
        <w:t>provid</w:t>
      </w:r>
      <w:r w:rsidR="00A4635B" w:rsidRPr="00A4635B">
        <w:t>ing</w:t>
      </w:r>
      <w:r w:rsidR="00071F6A" w:rsidRPr="00A4635B">
        <w:t xml:space="preserve"> </w:t>
      </w:r>
      <w:r w:rsidR="004F3EBB">
        <w:t>‘</w:t>
      </w:r>
      <w:r w:rsidR="00071F6A" w:rsidRPr="00A4635B">
        <w:t xml:space="preserve">person centred, continuing, comprehensive and coordinated whole person health care to individuals and families in their </w:t>
      </w:r>
      <w:r w:rsidR="00071F6A" w:rsidRPr="00D90FA2">
        <w:t>communities</w:t>
      </w:r>
      <w:r w:rsidR="004F3EBB" w:rsidRPr="00D90FA2">
        <w:t>’</w:t>
      </w:r>
      <w:r w:rsidR="00071F6A" w:rsidRPr="00A4635B">
        <w:t xml:space="preserve"> (RACGP </w:t>
      </w:r>
      <w:r w:rsidR="00071F6A" w:rsidRPr="00706DB3">
        <w:t>2011</w:t>
      </w:r>
      <w:r w:rsidR="00071F6A" w:rsidRPr="00A4635B">
        <w:t>).</w:t>
      </w:r>
      <w:r w:rsidR="00071F6A">
        <w:t xml:space="preserve"> </w:t>
      </w:r>
      <w:r w:rsidR="001E4D53">
        <w:t>G</w:t>
      </w:r>
      <w:r>
        <w:t xml:space="preserve">eneral </w:t>
      </w:r>
      <w:r>
        <w:lastRenderedPageBreak/>
        <w:t xml:space="preserve">practice is the </w:t>
      </w:r>
      <w:r w:rsidRPr="001D0866">
        <w:t>business structure within which one or more general practitioners (GPs) and other</w:t>
      </w:r>
      <w:r>
        <w:t xml:space="preserve"> staff, such as practice nurses, provide and supervise </w:t>
      </w:r>
      <w:r w:rsidRPr="00D90FA2">
        <w:t>healthcare</w:t>
      </w:r>
      <w:r>
        <w:t xml:space="preserve"> for patients presenting to the practice. General practices are predominantly privately owned, by GPs or corporate entities</w:t>
      </w:r>
      <w:r w:rsidR="00781915">
        <w:t>.</w:t>
      </w:r>
    </w:p>
    <w:p w:rsidR="000454E4" w:rsidRDefault="000454E4" w:rsidP="00F82AF2">
      <w:pPr>
        <w:pStyle w:val="BodyText"/>
        <w:keepNext/>
      </w:pPr>
      <w:r>
        <w:t xml:space="preserve">General practitioners must be registered with the Medical Board of Australia. General practice data reported in this chapter relate mainly to </w:t>
      </w:r>
      <w:r w:rsidRPr="00D90FA2">
        <w:t>services</w:t>
      </w:r>
      <w:r>
        <w:t xml:space="preserve"> provided by those </w:t>
      </w:r>
      <w:r w:rsidR="00354C9B">
        <w:t xml:space="preserve">general </w:t>
      </w:r>
      <w:r w:rsidRPr="00D90FA2">
        <w:t>practitioners</w:t>
      </w:r>
      <w:r w:rsidRPr="000454E4">
        <w:t xml:space="preserve"> </w:t>
      </w:r>
      <w:r w:rsidR="00354C9B">
        <w:t>who</w:t>
      </w:r>
      <w:r w:rsidRPr="000454E4">
        <w:t xml:space="preserve"> are recognised </w:t>
      </w:r>
      <w:r w:rsidRPr="00D90FA2">
        <w:t>for</w:t>
      </w:r>
      <w:r w:rsidRPr="000454E4">
        <w:t xml:space="preserve"> Medicare as defined below</w:t>
      </w:r>
      <w:r>
        <w:t>:</w:t>
      </w:r>
    </w:p>
    <w:p w:rsidR="007F2C0D" w:rsidRPr="007F2C0D" w:rsidRDefault="007F2C0D" w:rsidP="00F82AF2">
      <w:pPr>
        <w:pStyle w:val="ListBullet"/>
      </w:pPr>
      <w:r w:rsidRPr="007F2C0D">
        <w:t xml:space="preserve">vocationally registered GPs — </w:t>
      </w:r>
      <w:r>
        <w:t xml:space="preserve">GPs who are </w:t>
      </w:r>
      <w:r w:rsidRPr="007F2C0D">
        <w:t xml:space="preserve">recognised under s.3F of the </w:t>
      </w:r>
      <w:r w:rsidRPr="000454E4">
        <w:rPr>
          <w:i/>
        </w:rPr>
        <w:t>Health Insurance Act 1973</w:t>
      </w:r>
      <w:r w:rsidRPr="007F2C0D">
        <w:t xml:space="preserve"> (Cwlth), hold </w:t>
      </w:r>
      <w:r w:rsidRPr="00D90FA2">
        <w:t>Fellowship</w:t>
      </w:r>
      <w:r w:rsidRPr="007F2C0D">
        <w:t xml:space="preserve"> of the RACGP </w:t>
      </w:r>
      <w:r w:rsidRPr="00D90FA2">
        <w:t>or</w:t>
      </w:r>
      <w:r w:rsidRPr="007F2C0D">
        <w:t xml:space="preserve"> equivalent, or hold a recognised training placement</w:t>
      </w:r>
    </w:p>
    <w:p w:rsidR="002A4BFF" w:rsidRDefault="00906506" w:rsidP="00F82AF2">
      <w:pPr>
        <w:pStyle w:val="ListBullet"/>
      </w:pPr>
      <w:r>
        <w:t>other medical practitioners (</w:t>
      </w:r>
      <w:r w:rsidRPr="00D90FA2">
        <w:t>OMP</w:t>
      </w:r>
      <w:r>
        <w:t xml:space="preserve">) — medical practitioners who are not vocationally </w:t>
      </w:r>
      <w:r w:rsidR="007E0C78">
        <w:t>registered</w:t>
      </w:r>
      <w:r>
        <w:t xml:space="preserve"> GPs.</w:t>
      </w:r>
    </w:p>
    <w:p w:rsidR="00906506" w:rsidRDefault="00906506" w:rsidP="00F82AF2">
      <w:pPr>
        <w:pStyle w:val="BodyText"/>
      </w:pPr>
      <w:r>
        <w:t>Services provided in general practice include:</w:t>
      </w:r>
    </w:p>
    <w:p w:rsidR="00906506" w:rsidRDefault="00906506" w:rsidP="00C60B1C">
      <w:pPr>
        <w:pStyle w:val="ListBullet"/>
      </w:pPr>
      <w:r>
        <w:t>diagnosis and treatment of illness (both chronic and acute) and injury</w:t>
      </w:r>
    </w:p>
    <w:p w:rsidR="00906506" w:rsidRDefault="00906506" w:rsidP="00C60B1C">
      <w:pPr>
        <w:pStyle w:val="ListBullet"/>
      </w:pPr>
      <w:r>
        <w:t>preventative care through to palliative care</w:t>
      </w:r>
    </w:p>
    <w:p w:rsidR="00906506" w:rsidRDefault="00F47752" w:rsidP="00C60B1C">
      <w:pPr>
        <w:pStyle w:val="ListBullet"/>
      </w:pPr>
      <w:r>
        <w:t>referrals</w:t>
      </w:r>
      <w:r w:rsidR="00906506">
        <w:t xml:space="preserve"> to consultants, allied health professionals, community health services and hospitals.</w:t>
      </w:r>
    </w:p>
    <w:p w:rsidR="000D5DA4" w:rsidRDefault="000D5DA4" w:rsidP="00C60B1C">
      <w:pPr>
        <w:pStyle w:val="BodyText"/>
      </w:pPr>
      <w:r>
        <w:t xml:space="preserve">The Australian Government provides the majority of general practice income through </w:t>
      </w:r>
      <w:r w:rsidR="00F85E30">
        <w:t xml:space="preserve">DHS </w:t>
      </w:r>
      <w:r>
        <w:t xml:space="preserve">Medicare, including fee-for-service payments via the Medicare Benefits Schedule (MBS) and other </w:t>
      </w:r>
      <w:r w:rsidRPr="00C8787E">
        <w:t>payments</w:t>
      </w:r>
      <w:r>
        <w:t xml:space="preserve">. </w:t>
      </w:r>
      <w:r w:rsidRPr="000D5DA4">
        <w:t xml:space="preserve">Through its funding role, the Australian Government seeks to influence the supply, regional distribution and quality of general practice services. </w:t>
      </w:r>
      <w:r w:rsidRPr="00C60B1C">
        <w:t xml:space="preserve">State and Territory governments </w:t>
      </w:r>
      <w:r w:rsidR="000D2484" w:rsidRPr="00C60B1C">
        <w:t>also provide some</w:t>
      </w:r>
      <w:r w:rsidRPr="00C60B1C">
        <w:t xml:space="preserve"> </w:t>
      </w:r>
      <w:r w:rsidR="000D2484" w:rsidRPr="00C60B1C">
        <w:t xml:space="preserve">funding to influence </w:t>
      </w:r>
      <w:r w:rsidR="002002CD" w:rsidRPr="00C60B1C">
        <w:t xml:space="preserve">general practice services, particularly </w:t>
      </w:r>
      <w:r w:rsidR="000D2484" w:rsidRPr="00C60B1C">
        <w:t>regional distribution</w:t>
      </w:r>
      <w:r w:rsidR="002002CD" w:rsidRPr="00C60B1C">
        <w:t>,</w:t>
      </w:r>
      <w:r w:rsidR="000D2484" w:rsidRPr="00C60B1C">
        <w:t xml:space="preserve"> </w:t>
      </w:r>
      <w:r w:rsidR="002002CD" w:rsidRPr="00C60B1C">
        <w:t xml:space="preserve">within </w:t>
      </w:r>
      <w:r w:rsidR="000D2484" w:rsidRPr="00C60B1C">
        <w:t>jurisdiction</w:t>
      </w:r>
      <w:r w:rsidR="002002CD" w:rsidRPr="00C60B1C">
        <w:t>s</w:t>
      </w:r>
      <w:r w:rsidRPr="00C60B1C">
        <w:t>.</w:t>
      </w:r>
    </w:p>
    <w:p w:rsidR="00906506" w:rsidRDefault="00906506" w:rsidP="00C60B1C">
      <w:pPr>
        <w:pStyle w:val="BodyText"/>
      </w:pPr>
      <w:r>
        <w:t xml:space="preserve">While the majority of GPs provide services as part of a general practice, some are employed by hospitals, community health services </w:t>
      </w:r>
      <w:r w:rsidR="00A57E9F">
        <w:t>or other organisations</w:t>
      </w:r>
      <w:r>
        <w:t>.</w:t>
      </w:r>
    </w:p>
    <w:p w:rsidR="005160BB" w:rsidRDefault="005160BB" w:rsidP="005160BB">
      <w:pPr>
        <w:pStyle w:val="Heading4"/>
      </w:pPr>
      <w:r>
        <w:t>Pharmaceutical Benefits Scheme and Repatriation</w:t>
      </w:r>
      <w:r w:rsidR="00C14EF3">
        <w:t xml:space="preserve"> Pharmaceutical Benefits Scheme</w:t>
      </w:r>
    </w:p>
    <w:p w:rsidR="005160BB" w:rsidRPr="00944E91" w:rsidRDefault="005160BB" w:rsidP="009F1275">
      <w:pPr>
        <w:pStyle w:val="BodyText"/>
      </w:pPr>
      <w:r>
        <w:t xml:space="preserve">The Australian Government subsidises the cost of </w:t>
      </w:r>
      <w:r w:rsidRPr="002601B5">
        <w:t xml:space="preserve">around </w:t>
      </w:r>
      <w:r w:rsidRPr="004D27CE">
        <w:t>80</w:t>
      </w:r>
      <w:r w:rsidR="008B6FA4" w:rsidRPr="004D27CE">
        <w:t> </w:t>
      </w:r>
      <w:r w:rsidRPr="002601B5">
        <w:t>per</w:t>
      </w:r>
      <w:r w:rsidR="008B6FA4">
        <w:t> </w:t>
      </w:r>
      <w:r>
        <w:t xml:space="preserve">cent of prescription </w:t>
      </w:r>
      <w:r w:rsidRPr="003C3AB2">
        <w:t>medicines through the PBS</w:t>
      </w:r>
      <w:r w:rsidR="004758FB" w:rsidRPr="003C3AB2">
        <w:t xml:space="preserve"> </w:t>
      </w:r>
      <w:r w:rsidRPr="003C3AB2">
        <w:t>(</w:t>
      </w:r>
      <w:r w:rsidR="006C2E5E">
        <w:t>Department of Health</w:t>
      </w:r>
      <w:r w:rsidR="008B6FA4" w:rsidRPr="003C3AB2">
        <w:t> </w:t>
      </w:r>
      <w:r w:rsidRPr="003C3AB2">
        <w:t>20</w:t>
      </w:r>
      <w:r w:rsidR="002601B5" w:rsidRPr="003C3AB2">
        <w:t>1</w:t>
      </w:r>
      <w:r w:rsidRPr="003C3AB2">
        <w:t>0). The PBS aims to provide affordable, reliable and timely access to</w:t>
      </w:r>
      <w:r>
        <w:t xml:space="preserve"> </w:t>
      </w:r>
      <w:r w:rsidRPr="005C4BE7">
        <w:t xml:space="preserve">prescription medicines for all Australians. Users make a co-payment, </w:t>
      </w:r>
      <w:r w:rsidR="00832157" w:rsidRPr="005C4BE7">
        <w:t xml:space="preserve">which </w:t>
      </w:r>
      <w:r w:rsidR="00832157" w:rsidRPr="004D141C">
        <w:t>in 201</w:t>
      </w:r>
      <w:r w:rsidR="004D141C" w:rsidRPr="004D141C">
        <w:t>3</w:t>
      </w:r>
      <w:r w:rsidR="00832157" w:rsidRPr="004D141C">
        <w:t xml:space="preserve"> wa</w:t>
      </w:r>
      <w:r w:rsidR="00AC376A" w:rsidRPr="004D141C">
        <w:t>s</w:t>
      </w:r>
      <w:r w:rsidRPr="004D141C">
        <w:t xml:space="preserve"> $5.</w:t>
      </w:r>
      <w:r w:rsidR="004D141C" w:rsidRPr="004D141C">
        <w:t>9</w:t>
      </w:r>
      <w:r w:rsidRPr="004D141C">
        <w:t>0 for concession card holders and</w:t>
      </w:r>
      <w:r w:rsidR="00FD136E" w:rsidRPr="004D141C">
        <w:t xml:space="preserve"> up to</w:t>
      </w:r>
      <w:r w:rsidR="004D141C" w:rsidRPr="004D141C">
        <w:t xml:space="preserve"> $36.10 </w:t>
      </w:r>
      <w:r w:rsidRPr="004D141C">
        <w:t>for general consumers</w:t>
      </w:r>
      <w:r w:rsidR="000E7EBD" w:rsidRPr="004D141C">
        <w:t xml:space="preserve"> (</w:t>
      </w:r>
      <w:r w:rsidR="00B513D7">
        <w:t>Department of Health</w:t>
      </w:r>
      <w:r w:rsidR="000E7EBD" w:rsidRPr="004D141C">
        <w:t> 201</w:t>
      </w:r>
      <w:r w:rsidR="004D141C" w:rsidRPr="004D141C">
        <w:t>3</w:t>
      </w:r>
      <w:r w:rsidR="00127E31">
        <w:t>a</w:t>
      </w:r>
      <w:r w:rsidR="000E7EBD" w:rsidRPr="004D141C">
        <w:t>)</w:t>
      </w:r>
      <w:r w:rsidRPr="004D141C">
        <w:t xml:space="preserve">. The Australian Government pays the remaining cost of medicines eligible for the subsidy. </w:t>
      </w:r>
      <w:r w:rsidRPr="004D141C">
        <w:lastRenderedPageBreak/>
        <w:t>Co</w:t>
      </w:r>
      <w:r w:rsidR="007E2484">
        <w:noBreakHyphen/>
      </w:r>
      <w:r w:rsidRPr="004D141C">
        <w:t xml:space="preserve">payment amounts are normally adjusted </w:t>
      </w:r>
      <w:r w:rsidR="00234DDC" w:rsidRPr="004D141C">
        <w:t>by the rate of</w:t>
      </w:r>
      <w:r w:rsidRPr="004D141C">
        <w:t xml:space="preserve"> inflation on 1</w:t>
      </w:r>
      <w:r w:rsidR="008B6FA4" w:rsidRPr="004D141C">
        <w:t> </w:t>
      </w:r>
      <w:r w:rsidR="006001A5">
        <w:t>January each year</w:t>
      </w:r>
      <w:r w:rsidR="003C7A03" w:rsidRPr="004D141C">
        <w:t xml:space="preserve"> </w:t>
      </w:r>
      <w:r w:rsidR="000A30B3" w:rsidRPr="004D141C">
        <w:t>(</w:t>
      </w:r>
      <w:r w:rsidR="00B513D7">
        <w:t>Department of Health</w:t>
      </w:r>
      <w:r w:rsidR="000A30B3" w:rsidRPr="004D141C">
        <w:t> </w:t>
      </w:r>
      <w:r w:rsidR="004D141C" w:rsidRPr="004D141C">
        <w:t>2013</w:t>
      </w:r>
      <w:r w:rsidR="00127E31">
        <w:t>a</w:t>
      </w:r>
      <w:r w:rsidR="000A30B3" w:rsidRPr="005C4BE7">
        <w:t>)</w:t>
      </w:r>
      <w:r w:rsidR="003C7A03">
        <w:t>.</w:t>
      </w:r>
    </w:p>
    <w:p w:rsidR="000332DD" w:rsidRPr="003F0089" w:rsidRDefault="005160BB" w:rsidP="00DC37CF">
      <w:pPr>
        <w:pStyle w:val="BodyText"/>
      </w:pPr>
      <w:r>
        <w:t xml:space="preserve">Co-payments are also subject to a safety net threshold. Once </w:t>
      </w:r>
      <w:r w:rsidR="00F37E48">
        <w:t xml:space="preserve">consumer </w:t>
      </w:r>
      <w:r>
        <w:t xml:space="preserve">spending </w:t>
      </w:r>
      <w:r w:rsidRPr="005C4BE7">
        <w:t xml:space="preserve">within a calendar year has reached the threshold, PBS medicines are generally cheaper or </w:t>
      </w:r>
      <w:r w:rsidR="00F37E48" w:rsidRPr="005C4BE7">
        <w:t>fully subsidised</w:t>
      </w:r>
      <w:r w:rsidRPr="005C4BE7">
        <w:t xml:space="preserve"> for the rest of the calendar year. The </w:t>
      </w:r>
      <w:r w:rsidR="00993AA0" w:rsidRPr="004D141C">
        <w:t>201</w:t>
      </w:r>
      <w:r w:rsidR="004D141C" w:rsidRPr="004D141C">
        <w:t>3</w:t>
      </w:r>
      <w:r w:rsidR="00993AA0" w:rsidRPr="005C4BE7">
        <w:t xml:space="preserve"> </w:t>
      </w:r>
      <w:r w:rsidRPr="005C4BE7">
        <w:t xml:space="preserve">safety net threshold </w:t>
      </w:r>
      <w:r w:rsidR="00101349" w:rsidRPr="004D141C">
        <w:t>wa</w:t>
      </w:r>
      <w:r w:rsidRPr="004D141C">
        <w:t>s $</w:t>
      </w:r>
      <w:r w:rsidR="00AC573D" w:rsidRPr="004D141C">
        <w:t>1</w:t>
      </w:r>
      <w:r w:rsidR="00FD136E" w:rsidRPr="004D141C">
        <w:t>3</w:t>
      </w:r>
      <w:r w:rsidR="004D141C" w:rsidRPr="004D141C">
        <w:t>90.60</w:t>
      </w:r>
      <w:r w:rsidRPr="004D141C">
        <w:t xml:space="preserve"> for general consumers and $</w:t>
      </w:r>
      <w:r w:rsidR="00EC623F" w:rsidRPr="004D141C">
        <w:t>3</w:t>
      </w:r>
      <w:r w:rsidR="004D141C" w:rsidRPr="004D141C">
        <w:t>54</w:t>
      </w:r>
      <w:r w:rsidRPr="004D141C">
        <w:t>.00 for</w:t>
      </w:r>
      <w:r w:rsidRPr="005C4BE7">
        <w:t xml:space="preserve"> concession card holders (</w:t>
      </w:r>
      <w:r w:rsidR="00B513D7">
        <w:t>Department of Health</w:t>
      </w:r>
      <w:r w:rsidR="00405F7F" w:rsidRPr="005C4BE7">
        <w:t> </w:t>
      </w:r>
      <w:r w:rsidR="003C7A03" w:rsidRPr="005C4BE7">
        <w:t>2</w:t>
      </w:r>
      <w:r w:rsidR="004D141C" w:rsidRPr="004D141C">
        <w:t>013</w:t>
      </w:r>
      <w:r w:rsidR="00127E31">
        <w:t>a</w:t>
      </w:r>
      <w:r w:rsidR="002F3634" w:rsidRPr="005C4BE7">
        <w:t>).</w:t>
      </w:r>
    </w:p>
    <w:p w:rsidR="003B5698" w:rsidRDefault="003B5698" w:rsidP="003B5698">
      <w:pPr>
        <w:pStyle w:val="BodyText"/>
      </w:pPr>
      <w:r>
        <w:t>The Repatriation Pharmaceutical Benefits Scheme (RPBS) provides subsidised pharmaceutical</w:t>
      </w:r>
      <w:r w:rsidR="000332DD">
        <w:t xml:space="preserve"> medicines, dressings and other</w:t>
      </w:r>
      <w:r>
        <w:t xml:space="preserve"> items to war veterans and war widows. </w:t>
      </w:r>
      <w:r w:rsidRPr="003B5698">
        <w:t>The RPBS is administered by the Department of Veterans’ Affairs (DVA).</w:t>
      </w:r>
      <w:r>
        <w:t xml:space="preserve"> </w:t>
      </w:r>
      <w:r w:rsidR="00F47752">
        <w:t>D</w:t>
      </w:r>
      <w:r>
        <w:t>rugs eligible for subsidy under the RPBS may not be eligible under the PBS.</w:t>
      </w:r>
    </w:p>
    <w:p w:rsidR="003B5698" w:rsidRDefault="003B5698" w:rsidP="003B5698">
      <w:pPr>
        <w:pStyle w:val="Heading4"/>
      </w:pPr>
      <w:r>
        <w:t>Community health services</w:t>
      </w:r>
    </w:p>
    <w:p w:rsidR="003B5698" w:rsidRDefault="003B5698" w:rsidP="00DA6A4B">
      <w:pPr>
        <w:pStyle w:val="BodyText"/>
      </w:pPr>
      <w:r>
        <w:t xml:space="preserve">Community health services usually comprise multidisciplinary teams of salaried health </w:t>
      </w:r>
      <w:r w:rsidR="00FA744E">
        <w:t xml:space="preserve">and allied health </w:t>
      </w:r>
      <w:r>
        <w:t>professionals</w:t>
      </w:r>
      <w:r w:rsidR="00F47752">
        <w:t>,</w:t>
      </w:r>
      <w:r>
        <w:t xml:space="preserve"> who aim to protect and promote the health of particular communities (</w:t>
      </w:r>
      <w:r w:rsidRPr="00662363">
        <w:t>Quality</w:t>
      </w:r>
      <w:r w:rsidR="00F47752" w:rsidRPr="00662363">
        <w:t xml:space="preserve"> Improvement Council</w:t>
      </w:r>
      <w:r w:rsidR="008B6FA4" w:rsidRPr="00662363">
        <w:t> </w:t>
      </w:r>
      <w:r w:rsidR="00F47752" w:rsidRPr="00662363">
        <w:t>1998</w:t>
      </w:r>
      <w:r w:rsidR="00F47752">
        <w:t xml:space="preserve">). The services may be </w:t>
      </w:r>
      <w:r>
        <w:t>provided directly by governments (including local governments) or indirectly, through a local health service or community organisation funded by government. State and Territory governments are responsible for most community health services</w:t>
      </w:r>
      <w:r w:rsidR="00523425">
        <w:t xml:space="preserve">. The Australian Government’s main role in the community health services covered in this chapter is in health services for Indigenous </w:t>
      </w:r>
      <w:r w:rsidR="006E4E2B">
        <w:t>Australians</w:t>
      </w:r>
      <w:r w:rsidR="00523425">
        <w:t>.</w:t>
      </w:r>
      <w:r w:rsidR="008D0BB5">
        <w:t xml:space="preserve"> In addition, t</w:t>
      </w:r>
      <w:r w:rsidR="00523425">
        <w:t>he</w:t>
      </w:r>
      <w:r w:rsidR="00EA4312" w:rsidRPr="00EA4312">
        <w:t xml:space="preserve"> Australian Government provide</w:t>
      </w:r>
      <w:r w:rsidR="00523425">
        <w:t>s</w:t>
      </w:r>
      <w:r w:rsidR="00EA4312" w:rsidRPr="00EA4312">
        <w:t xml:space="preserve"> targeted support </w:t>
      </w:r>
      <w:r w:rsidR="00523425">
        <w:t>to improve</w:t>
      </w:r>
      <w:r w:rsidR="00EA4312" w:rsidRPr="00EA4312">
        <w:t xml:space="preserve"> access to community health services in rural and remote areas</w:t>
      </w:r>
      <w:r w:rsidR="008D0BB5">
        <w:t>.</w:t>
      </w:r>
      <w:r>
        <w:t xml:space="preserve"> There is no national strategy for community health and there is considerable variation in the services provided across jurisdictions</w:t>
      </w:r>
      <w:r w:rsidR="008D0BB5">
        <w:t>.</w:t>
      </w:r>
    </w:p>
    <w:p w:rsidR="003B5698" w:rsidRDefault="003B5698" w:rsidP="003B5698">
      <w:pPr>
        <w:pStyle w:val="Heading4"/>
      </w:pPr>
      <w:r>
        <w:t>Allied health services</w:t>
      </w:r>
    </w:p>
    <w:p w:rsidR="00882DD7" w:rsidRPr="00802593" w:rsidRDefault="00B70372" w:rsidP="00DA6A4B">
      <w:pPr>
        <w:pStyle w:val="BodyText"/>
      </w:pPr>
      <w:r>
        <w:t xml:space="preserve">Allied health services include, but are not limited to, physiotherapy, psychology, occupational therapy, audiology, podiatry and osteopathy. </w:t>
      </w:r>
      <w:r w:rsidR="00802593">
        <w:t xml:space="preserve">While some allied health professionals are employed in community health services, </w:t>
      </w:r>
      <w:r w:rsidR="00CD7D5C">
        <w:t>a</w:t>
      </w:r>
      <w:r w:rsidR="008D7805">
        <w:t xml:space="preserve">llied health services are delivered </w:t>
      </w:r>
      <w:r w:rsidR="00CD7D5C">
        <w:t>mainly</w:t>
      </w:r>
      <w:r w:rsidR="008D7805">
        <w:t xml:space="preserve"> </w:t>
      </w:r>
      <w:r w:rsidR="000D2CB1">
        <w:t xml:space="preserve">in the private sector. Governments </w:t>
      </w:r>
      <w:r w:rsidR="00802593">
        <w:t xml:space="preserve">provide some funding for private </w:t>
      </w:r>
      <w:r w:rsidR="006B5C79">
        <w:t xml:space="preserve">allied health </w:t>
      </w:r>
      <w:r w:rsidR="00802593">
        <w:t>services through insurance schemes and private insurance rebates</w:t>
      </w:r>
      <w:r w:rsidR="000D2CB1">
        <w:t xml:space="preserve">. </w:t>
      </w:r>
      <w:r w:rsidR="003B5698">
        <w:t xml:space="preserve">The Australian Government also </w:t>
      </w:r>
      <w:r w:rsidR="00802593">
        <w:t xml:space="preserve">makes </w:t>
      </w:r>
      <w:r w:rsidR="00A70E9B">
        <w:t>some</w:t>
      </w:r>
      <w:r w:rsidR="00802593">
        <w:t xml:space="preserve"> allied health services available </w:t>
      </w:r>
      <w:r w:rsidR="007A5585">
        <w:t xml:space="preserve">under </w:t>
      </w:r>
      <w:r w:rsidR="00053635">
        <w:t>the MBS</w:t>
      </w:r>
      <w:r w:rsidR="007A5585">
        <w:t xml:space="preserve"> </w:t>
      </w:r>
      <w:r w:rsidR="00802593">
        <w:t>to</w:t>
      </w:r>
      <w:r w:rsidR="003B5698">
        <w:t xml:space="preserve"> </w:t>
      </w:r>
      <w:r w:rsidR="006B1D45">
        <w:t>patients</w:t>
      </w:r>
      <w:r w:rsidR="003B5698">
        <w:t xml:space="preserve"> </w:t>
      </w:r>
      <w:r w:rsidR="006B1D45">
        <w:t xml:space="preserve">with particular needs — for example, people </w:t>
      </w:r>
      <w:r w:rsidR="003B5698">
        <w:t>with chronic conditions and complex care ne</w:t>
      </w:r>
      <w:r w:rsidR="006B1D45">
        <w:t xml:space="preserve">eds — </w:t>
      </w:r>
      <w:r w:rsidR="00802593">
        <w:t>and improves access to</w:t>
      </w:r>
      <w:r w:rsidR="00802593" w:rsidRPr="00865E22">
        <w:t xml:space="preserve"> allied health services in rural and remote areas.</w:t>
      </w:r>
    </w:p>
    <w:p w:rsidR="00317379" w:rsidRDefault="00317379" w:rsidP="00317379">
      <w:pPr>
        <w:pStyle w:val="Heading4"/>
      </w:pPr>
      <w:r>
        <w:lastRenderedPageBreak/>
        <w:t>Dental services</w:t>
      </w:r>
    </w:p>
    <w:p w:rsidR="00A341A4" w:rsidRDefault="00A341A4" w:rsidP="00DC37CF">
      <w:pPr>
        <w:pStyle w:val="BodyText"/>
      </w:pPr>
      <w:r w:rsidRPr="005613CC">
        <w:t xml:space="preserve">State and Territory governments </w:t>
      </w:r>
      <w:r>
        <w:t>and t</w:t>
      </w:r>
      <w:r w:rsidR="00444EC3" w:rsidRPr="005613CC">
        <w:t xml:space="preserve">he Australian Government have different roles in supporting dental services in </w:t>
      </w:r>
      <w:smartTag w:uri="urn:schemas-microsoft-com:office:smarttags" w:element="place">
        <w:smartTag w:uri="urn:schemas-microsoft-com:office:smarttags" w:element="country-region">
          <w:r w:rsidR="00444EC3" w:rsidRPr="005613CC">
            <w:t>Australia</w:t>
          </w:r>
        </w:smartTag>
      </w:smartTag>
      <w:r w:rsidR="00444EC3" w:rsidRPr="005613CC">
        <w:t xml:space="preserve">’s mixed system of public and private dental healthcare. State and Territory governments have the main responsibility for the delivery of major public dental programs, primarily directed at children and disadvantaged adults. </w:t>
      </w:r>
      <w:r w:rsidR="009B71C4" w:rsidRPr="005613CC">
        <w:t>Each jurisdiction determines its own eligibility requirements for accessing public dental services, usually requiring a person to hold a concession card issued by Centrelink.</w:t>
      </w:r>
      <w:r>
        <w:t xml:space="preserve"> </w:t>
      </w:r>
    </w:p>
    <w:p w:rsidR="00444EC3" w:rsidRPr="00944E91" w:rsidRDefault="00A341A4" w:rsidP="00C31369">
      <w:pPr>
        <w:pStyle w:val="BodyText"/>
      </w:pPr>
      <w:r w:rsidRPr="005613CC">
        <w:t>The Australian Government supports the provision of dental services primarily through the private health in</w:t>
      </w:r>
      <w:r>
        <w:t>surance rebate and, through DHS</w:t>
      </w:r>
      <w:r w:rsidRPr="005613CC">
        <w:t xml:space="preserve"> Medicare, for a limited range of oral surgical procedures. Private dental services were also funded through DHS Medicare for people with chronic conditions and complex care needs until 1 December 2012. </w:t>
      </w:r>
      <w:r w:rsidR="00C31369">
        <w:t>T</w:t>
      </w:r>
      <w:r w:rsidRPr="005613CC">
        <w:t>he Australian Government provides funding for the dental care of war veterans and members of the Australian Defence Force</w:t>
      </w:r>
      <w:r>
        <w:t xml:space="preserve"> and</w:t>
      </w:r>
      <w:r w:rsidRPr="005613CC">
        <w:t xml:space="preserve"> has a role in the provision of dental services through Indigenou</w:t>
      </w:r>
      <w:r>
        <w:t>s Primary Health Care Services.</w:t>
      </w:r>
      <w:r w:rsidR="00C31369">
        <w:t xml:space="preserve"> </w:t>
      </w:r>
    </w:p>
    <w:p w:rsidR="003D59EC" w:rsidRDefault="003D59EC" w:rsidP="003D59EC">
      <w:pPr>
        <w:pStyle w:val="Heading3"/>
      </w:pPr>
      <w:r>
        <w:t>Funding</w:t>
      </w:r>
    </w:p>
    <w:p w:rsidR="003D59EC" w:rsidRDefault="003D59EC" w:rsidP="003D59EC">
      <w:pPr>
        <w:pStyle w:val="Heading4"/>
      </w:pPr>
      <w:r>
        <w:t>General practice</w:t>
      </w:r>
    </w:p>
    <w:p w:rsidR="00A35024" w:rsidRPr="00D10D92" w:rsidRDefault="005D50B7" w:rsidP="00D10D92">
      <w:pPr>
        <w:pStyle w:val="BodyText"/>
      </w:pPr>
      <w:r>
        <w:t>T</w:t>
      </w:r>
      <w:r w:rsidR="00574B4E" w:rsidRPr="00760127">
        <w:t xml:space="preserve">he Australian Government </w:t>
      </w:r>
      <w:r w:rsidR="00EE0F69" w:rsidRPr="00760127">
        <w:t>funds</w:t>
      </w:r>
      <w:r w:rsidR="00574B4E" w:rsidRPr="00760127">
        <w:t xml:space="preserve"> the majority of general practice </w:t>
      </w:r>
      <w:r w:rsidR="00EE0F69" w:rsidRPr="00760127">
        <w:t>services</w:t>
      </w:r>
      <w:r w:rsidR="00574B4E" w:rsidRPr="00760127">
        <w:t xml:space="preserve">, primarily through </w:t>
      </w:r>
      <w:r w:rsidR="00F85E30">
        <w:t xml:space="preserve">DHS </w:t>
      </w:r>
      <w:r w:rsidR="00B31F28" w:rsidRPr="00BE60D3">
        <w:t xml:space="preserve">Medicare </w:t>
      </w:r>
      <w:r w:rsidR="00574B4E" w:rsidRPr="00760127">
        <w:t>and the DVA</w:t>
      </w:r>
      <w:r w:rsidR="00856881" w:rsidRPr="00760127">
        <w:t>.</w:t>
      </w:r>
      <w:r w:rsidR="00574B4E" w:rsidRPr="00760127">
        <w:t xml:space="preserve"> </w:t>
      </w:r>
      <w:r w:rsidR="00053635">
        <w:t xml:space="preserve">The remainder comes </w:t>
      </w:r>
      <w:r w:rsidR="00535726">
        <w:br/>
      </w:r>
      <w:r w:rsidR="00053635">
        <w:t xml:space="preserve">from insurance schemes, patient contributions, and State and Territory </w:t>
      </w:r>
      <w:r w:rsidR="00535726">
        <w:br/>
      </w:r>
      <w:r w:rsidR="00053635">
        <w:t xml:space="preserve">government programs. </w:t>
      </w:r>
      <w:r w:rsidR="001B5E2C" w:rsidRPr="00760127">
        <w:t xml:space="preserve">The annual </w:t>
      </w:r>
      <w:r w:rsidR="001B5E2C" w:rsidRPr="00F64B64">
        <w:rPr>
          <w:i/>
        </w:rPr>
        <w:t xml:space="preserve">Bettering the Evaluation and Care </w:t>
      </w:r>
      <w:r w:rsidR="00535726">
        <w:rPr>
          <w:i/>
        </w:rPr>
        <w:br/>
      </w:r>
      <w:r w:rsidR="001B5E2C" w:rsidRPr="00F64B64">
        <w:rPr>
          <w:i/>
        </w:rPr>
        <w:t>of Health</w:t>
      </w:r>
      <w:r w:rsidR="001B5E2C" w:rsidRPr="00760127">
        <w:t xml:space="preserve"> (BEACH) survey of general </w:t>
      </w:r>
      <w:r w:rsidR="001B5E2C" w:rsidRPr="00A552DE">
        <w:t xml:space="preserve">practice activity in Australia found </w:t>
      </w:r>
      <w:r w:rsidR="005C2BA2">
        <w:br/>
      </w:r>
      <w:r w:rsidR="001B5E2C" w:rsidRPr="00A552DE">
        <w:t xml:space="preserve">that </w:t>
      </w:r>
      <w:r w:rsidR="001B5E2C" w:rsidRPr="005C2BA2">
        <w:t>95.</w:t>
      </w:r>
      <w:r w:rsidR="003B2A3B">
        <w:t>8</w:t>
      </w:r>
      <w:r w:rsidR="008B6FA4" w:rsidRPr="00A552DE">
        <w:t> </w:t>
      </w:r>
      <w:r w:rsidR="001B5E2C" w:rsidRPr="00A552DE">
        <w:t>per</w:t>
      </w:r>
      <w:r w:rsidR="008B6FA4" w:rsidRPr="00A552DE">
        <w:t> </w:t>
      </w:r>
      <w:r w:rsidR="001B5E2C" w:rsidRPr="00A552DE">
        <w:t xml:space="preserve">cent of all </w:t>
      </w:r>
      <w:r w:rsidR="00A552DE" w:rsidRPr="00A552DE">
        <w:t xml:space="preserve">general practice </w:t>
      </w:r>
      <w:r w:rsidR="001B5E2C" w:rsidRPr="00A552DE">
        <w:t xml:space="preserve">encounters in </w:t>
      </w:r>
      <w:r w:rsidR="001B5E2C" w:rsidRPr="005C2BA2">
        <w:t>20</w:t>
      </w:r>
      <w:r w:rsidR="009D1300" w:rsidRPr="005C2BA2">
        <w:t>1</w:t>
      </w:r>
      <w:r w:rsidR="005C2BA2" w:rsidRPr="005C2BA2">
        <w:t>2</w:t>
      </w:r>
      <w:r w:rsidR="001B5E2C" w:rsidRPr="005C2BA2">
        <w:t>-</w:t>
      </w:r>
      <w:r w:rsidR="009D1300" w:rsidRPr="005C2BA2">
        <w:t>1</w:t>
      </w:r>
      <w:r w:rsidR="005C2BA2" w:rsidRPr="005C2BA2">
        <w:t>3</w:t>
      </w:r>
      <w:r w:rsidR="001B5E2C" w:rsidRPr="00A552DE">
        <w:t xml:space="preserve"> were for services </w:t>
      </w:r>
      <w:r w:rsidR="005C2BA2">
        <w:br/>
      </w:r>
      <w:r w:rsidR="001B5E2C" w:rsidRPr="00A552DE">
        <w:t>at least partly funded by Medicare</w:t>
      </w:r>
      <w:r w:rsidR="00B5735F" w:rsidRPr="00A552DE">
        <w:t xml:space="preserve"> </w:t>
      </w:r>
      <w:r w:rsidR="001B5E2C" w:rsidRPr="00A552DE">
        <w:t xml:space="preserve">or the DVA </w:t>
      </w:r>
      <w:r w:rsidR="0091333B" w:rsidRPr="00A552DE">
        <w:t>(Britt </w:t>
      </w:r>
      <w:r w:rsidR="0091333B" w:rsidRPr="00A552DE">
        <w:rPr>
          <w:i/>
        </w:rPr>
        <w:t>et </w:t>
      </w:r>
      <w:r w:rsidR="0061403C" w:rsidRPr="00A552DE">
        <w:rPr>
          <w:i/>
        </w:rPr>
        <w:t>al</w:t>
      </w:r>
      <w:r w:rsidR="008B6FA4" w:rsidRPr="00A552DE">
        <w:t>. </w:t>
      </w:r>
      <w:r w:rsidR="0061403C" w:rsidRPr="005C2BA2">
        <w:t>20</w:t>
      </w:r>
      <w:r w:rsidR="0040109A" w:rsidRPr="005C2BA2">
        <w:t>1</w:t>
      </w:r>
      <w:r w:rsidR="005C2BA2" w:rsidRPr="005C2BA2">
        <w:t>3</w:t>
      </w:r>
      <w:r w:rsidR="0061403C" w:rsidRPr="00A552DE">
        <w:t xml:space="preserve">) </w:t>
      </w:r>
      <w:r w:rsidR="001B5E2C" w:rsidRPr="00A552DE">
        <w:t>(table</w:t>
      </w:r>
      <w:r w:rsidR="00445562" w:rsidRPr="00A552DE">
        <w:t> 11.1</w:t>
      </w:r>
      <w:r w:rsidR="000C6015">
        <w:t>).</w:t>
      </w:r>
      <w:r w:rsidR="00A35024">
        <w:rPr>
          <w:rFonts w:ascii="Arial" w:hAnsi="Arial"/>
          <w:sz w:val="24"/>
        </w:rPr>
        <w:br w:type="page"/>
      </w:r>
    </w:p>
    <w:p w:rsidR="00CC02EF" w:rsidRPr="00535726" w:rsidRDefault="003D59EC" w:rsidP="006F4479">
      <w:pPr>
        <w:pStyle w:val="BodyText"/>
        <w:keepNext/>
      </w:pPr>
      <w:r w:rsidRPr="00535726">
        <w:rPr>
          <w:rFonts w:ascii="Arial" w:hAnsi="Arial"/>
          <w:sz w:val="24"/>
          <w:szCs w:val="24"/>
        </w:rPr>
        <w:lastRenderedPageBreak/>
        <w:t xml:space="preserve">Table </w:t>
      </w:r>
      <w:bookmarkStart w:id="7" w:name="OLE_LINK4"/>
      <w:r w:rsidR="00EC42DB" w:rsidRPr="00535726">
        <w:rPr>
          <w:rFonts w:ascii="Arial" w:hAnsi="Arial"/>
          <w:sz w:val="24"/>
          <w:szCs w:val="24"/>
        </w:rPr>
        <w:t>11.</w:t>
      </w:r>
      <w:r w:rsidR="00C44281">
        <w:rPr>
          <w:rFonts w:ascii="Arial" w:hAnsi="Arial"/>
          <w:noProof/>
          <w:sz w:val="24"/>
          <w:szCs w:val="24"/>
        </w:rPr>
        <w:t>1</w:t>
      </w:r>
      <w:bookmarkEnd w:id="7"/>
      <w:r w:rsidRPr="00535726">
        <w:rPr>
          <w:rFonts w:ascii="Arial" w:hAnsi="Arial"/>
          <w:sz w:val="24"/>
          <w:szCs w:val="24"/>
        </w:rPr>
        <w:tab/>
      </w:r>
      <w:r w:rsidRPr="00535726">
        <w:rPr>
          <w:rFonts w:ascii="Arial" w:hAnsi="Arial"/>
          <w:b/>
          <w:sz w:val="24"/>
          <w:szCs w:val="24"/>
        </w:rPr>
        <w:t>G</w:t>
      </w:r>
      <w:r w:rsidR="008F442F" w:rsidRPr="00535726">
        <w:rPr>
          <w:rFonts w:ascii="Arial" w:hAnsi="Arial"/>
          <w:b/>
          <w:sz w:val="24"/>
          <w:szCs w:val="24"/>
        </w:rPr>
        <w:t>eneral practice</w:t>
      </w:r>
      <w:r w:rsidRPr="00535726">
        <w:rPr>
          <w:rFonts w:ascii="Arial" w:hAnsi="Arial"/>
          <w:b/>
          <w:sz w:val="24"/>
          <w:szCs w:val="24"/>
        </w:rPr>
        <w:t xml:space="preserve"> encounters</w:t>
      </w:r>
      <w:r w:rsidR="008F442F" w:rsidRPr="00535726">
        <w:rPr>
          <w:rFonts w:ascii="Arial" w:hAnsi="Arial"/>
          <w:b/>
          <w:sz w:val="24"/>
          <w:szCs w:val="24"/>
        </w:rPr>
        <w:t xml:space="preserve"> and</w:t>
      </w:r>
      <w:r w:rsidRPr="00535726">
        <w:rPr>
          <w:rFonts w:ascii="Arial" w:hAnsi="Arial"/>
          <w:b/>
          <w:sz w:val="24"/>
          <w:szCs w:val="24"/>
        </w:rPr>
        <w:t xml:space="preserve"> </w:t>
      </w:r>
      <w:r w:rsidR="008F442F" w:rsidRPr="00535726">
        <w:rPr>
          <w:rFonts w:ascii="Arial" w:hAnsi="Arial"/>
          <w:b/>
          <w:sz w:val="24"/>
          <w:szCs w:val="24"/>
        </w:rPr>
        <w:t xml:space="preserve">funding </w:t>
      </w:r>
      <w:r w:rsidRPr="00535726">
        <w:rPr>
          <w:rFonts w:ascii="Arial" w:hAnsi="Arial"/>
          <w:b/>
          <w:sz w:val="24"/>
          <w:szCs w:val="24"/>
        </w:rPr>
        <w:t>source</w:t>
      </w:r>
      <w:r w:rsidR="00686B09" w:rsidRPr="00535726">
        <w:rPr>
          <w:rFonts w:ascii="Arial" w:hAnsi="Arial"/>
          <w:b/>
          <w:sz w:val="24"/>
          <w:szCs w:val="24"/>
        </w:rPr>
        <w:t>s</w:t>
      </w:r>
      <w:r w:rsidRPr="00535726">
        <w:rPr>
          <w:rFonts w:ascii="Arial" w:hAnsi="Arial"/>
          <w:b/>
          <w:sz w:val="24"/>
          <w:szCs w:val="24"/>
        </w:rPr>
        <w:t xml:space="preserve">, </w:t>
      </w:r>
      <w:r w:rsidR="00702A07" w:rsidRPr="00535726">
        <w:rPr>
          <w:rFonts w:ascii="Arial" w:hAnsi="Arial"/>
          <w:b/>
          <w:sz w:val="24"/>
          <w:szCs w:val="24"/>
        </w:rPr>
        <w:t xml:space="preserve">April </w:t>
      </w:r>
      <w:r w:rsidRPr="00535726">
        <w:rPr>
          <w:rFonts w:ascii="Arial" w:hAnsi="Arial"/>
          <w:b/>
          <w:sz w:val="24"/>
          <w:szCs w:val="24"/>
        </w:rPr>
        <w:t>20</w:t>
      </w:r>
      <w:r w:rsidR="00626F3B" w:rsidRPr="00535726">
        <w:rPr>
          <w:rFonts w:ascii="Arial" w:hAnsi="Arial"/>
          <w:b/>
          <w:sz w:val="24"/>
          <w:szCs w:val="24"/>
        </w:rPr>
        <w:t>1</w:t>
      </w:r>
      <w:r w:rsidR="00AD2721">
        <w:rPr>
          <w:rFonts w:ascii="Arial" w:hAnsi="Arial"/>
          <w:b/>
          <w:sz w:val="24"/>
          <w:szCs w:val="24"/>
        </w:rPr>
        <w:t>2</w:t>
      </w:r>
      <w:r w:rsidR="00227C34">
        <w:rPr>
          <w:rFonts w:ascii="Arial" w:hAnsi="Arial"/>
          <w:b/>
          <w:sz w:val="24"/>
          <w:szCs w:val="24"/>
        </w:rPr>
        <w:t xml:space="preserve"> to </w:t>
      </w:r>
      <w:r w:rsidR="00227C34">
        <w:rPr>
          <w:rFonts w:ascii="Arial" w:hAnsi="Arial"/>
          <w:b/>
          <w:sz w:val="24"/>
          <w:szCs w:val="24"/>
        </w:rPr>
        <w:tab/>
      </w:r>
      <w:r w:rsidR="00227C34">
        <w:rPr>
          <w:rFonts w:ascii="Arial" w:hAnsi="Arial"/>
          <w:b/>
          <w:sz w:val="24"/>
          <w:szCs w:val="24"/>
        </w:rPr>
        <w:tab/>
      </w:r>
      <w:r w:rsidR="00227C34">
        <w:rPr>
          <w:rFonts w:ascii="Arial" w:hAnsi="Arial"/>
          <w:b/>
          <w:sz w:val="24"/>
          <w:szCs w:val="24"/>
        </w:rPr>
        <w:tab/>
      </w:r>
      <w:r w:rsidR="00535726">
        <w:rPr>
          <w:rFonts w:ascii="Arial" w:hAnsi="Arial"/>
          <w:b/>
          <w:sz w:val="24"/>
          <w:szCs w:val="24"/>
        </w:rPr>
        <w:tab/>
        <w:t>M</w:t>
      </w:r>
      <w:r w:rsidR="00702A07" w:rsidRPr="00535726">
        <w:rPr>
          <w:rFonts w:ascii="Arial" w:hAnsi="Arial"/>
          <w:b/>
          <w:sz w:val="24"/>
          <w:szCs w:val="24"/>
        </w:rPr>
        <w:t>arch 20</w:t>
      </w:r>
      <w:r w:rsidR="001D722B" w:rsidRPr="00535726">
        <w:rPr>
          <w:rFonts w:ascii="Arial" w:hAnsi="Arial"/>
          <w:b/>
          <w:sz w:val="24"/>
          <w:szCs w:val="24"/>
        </w:rPr>
        <w:t>1</w:t>
      </w:r>
      <w:r w:rsidR="00AD2721">
        <w:rPr>
          <w:rFonts w:ascii="Arial" w:hAnsi="Arial"/>
          <w:b/>
          <w:sz w:val="24"/>
          <w:szCs w:val="24"/>
        </w:rPr>
        <w:t>3</w:t>
      </w:r>
      <w:r w:rsidRPr="00535726">
        <w:rPr>
          <w:rStyle w:val="NoteLabel"/>
        </w:rPr>
        <w:t>a, b</w:t>
      </w:r>
    </w:p>
    <w:tbl>
      <w:tblPr>
        <w:tblW w:w="8789" w:type="dxa"/>
        <w:tblLayout w:type="fixed"/>
        <w:tblCellMar>
          <w:left w:w="0" w:type="dxa"/>
          <w:right w:w="0" w:type="dxa"/>
        </w:tblCellMar>
        <w:tblLook w:val="0000" w:firstRow="0" w:lastRow="0" w:firstColumn="0" w:lastColumn="0" w:noHBand="0" w:noVBand="0"/>
      </w:tblPr>
      <w:tblGrid>
        <w:gridCol w:w="4073"/>
        <w:gridCol w:w="1172"/>
        <w:gridCol w:w="1411"/>
        <w:gridCol w:w="1082"/>
        <w:gridCol w:w="1051"/>
      </w:tblGrid>
      <w:tr w:rsidR="00CC02EF" w:rsidRPr="00760127" w:rsidTr="004C3F96">
        <w:tc>
          <w:tcPr>
            <w:tcW w:w="4073" w:type="dxa"/>
            <w:tcBorders>
              <w:top w:val="single" w:sz="4" w:space="0" w:color="auto"/>
              <w:bottom w:val="single" w:sz="4" w:space="0" w:color="auto"/>
            </w:tcBorders>
            <w:shd w:val="clear" w:color="auto" w:fill="auto"/>
          </w:tcPr>
          <w:p w:rsidR="00CC02EF" w:rsidRPr="00CC02EF" w:rsidRDefault="00CC02EF" w:rsidP="00CC02EF">
            <w:pPr>
              <w:rPr>
                <w:rFonts w:ascii="Arial" w:hAnsi="Arial" w:cs="Arial"/>
                <w:sz w:val="20"/>
                <w:szCs w:val="20"/>
              </w:rPr>
            </w:pPr>
          </w:p>
        </w:tc>
        <w:tc>
          <w:tcPr>
            <w:tcW w:w="1172" w:type="dxa"/>
            <w:tcBorders>
              <w:top w:val="single" w:sz="4" w:space="0" w:color="auto"/>
              <w:bottom w:val="single" w:sz="4" w:space="0" w:color="auto"/>
            </w:tcBorders>
            <w:shd w:val="clear" w:color="auto" w:fill="auto"/>
            <w:tcMar>
              <w:right w:w="57" w:type="dxa"/>
            </w:tcMar>
            <w:vAlign w:val="bottom"/>
          </w:tcPr>
          <w:p w:rsidR="00CC02EF" w:rsidRPr="00CC02EF" w:rsidRDefault="00CC02EF" w:rsidP="00B24674">
            <w:pPr>
              <w:spacing w:after="40"/>
              <w:ind w:left="11" w:right="57"/>
              <w:jc w:val="right"/>
              <w:rPr>
                <w:rFonts w:ascii="Arial" w:hAnsi="Arial" w:cs="Arial"/>
                <w:i/>
                <w:sz w:val="20"/>
                <w:szCs w:val="20"/>
              </w:rPr>
            </w:pPr>
            <w:r w:rsidRPr="00CC02EF">
              <w:rPr>
                <w:rFonts w:ascii="Arial" w:hAnsi="Arial" w:cs="Arial"/>
                <w:i/>
                <w:sz w:val="20"/>
                <w:szCs w:val="20"/>
              </w:rPr>
              <w:t>Number</w:t>
            </w:r>
            <w:r w:rsidR="00B24674" w:rsidRPr="00B24674">
              <w:rPr>
                <w:rStyle w:val="NoteLabel"/>
              </w:rPr>
              <w:t>c</w:t>
            </w:r>
          </w:p>
        </w:tc>
        <w:tc>
          <w:tcPr>
            <w:tcW w:w="1411" w:type="dxa"/>
            <w:tcBorders>
              <w:top w:val="single" w:sz="4" w:space="0" w:color="auto"/>
              <w:bottom w:val="single" w:sz="4" w:space="0" w:color="auto"/>
            </w:tcBorders>
            <w:shd w:val="clear" w:color="auto" w:fill="auto"/>
            <w:tcMar>
              <w:right w:w="57" w:type="dxa"/>
            </w:tcMar>
            <w:vAlign w:val="bottom"/>
          </w:tcPr>
          <w:p w:rsidR="00CC02EF" w:rsidRPr="00CC02EF" w:rsidRDefault="00CC02EF" w:rsidP="003933DA">
            <w:pPr>
              <w:spacing w:after="40"/>
              <w:ind w:left="11" w:right="57"/>
              <w:jc w:val="right"/>
              <w:rPr>
                <w:rFonts w:ascii="Arial" w:hAnsi="Arial" w:cs="Arial"/>
                <w:i/>
                <w:sz w:val="20"/>
                <w:szCs w:val="20"/>
              </w:rPr>
            </w:pPr>
            <w:r w:rsidRPr="00CC02EF">
              <w:rPr>
                <w:rFonts w:ascii="Arial" w:hAnsi="Arial" w:cs="Arial"/>
                <w:i/>
                <w:sz w:val="20"/>
                <w:szCs w:val="20"/>
              </w:rPr>
              <w:t>Per cent of all encounters</w:t>
            </w:r>
            <w:r w:rsidR="00B24674">
              <w:rPr>
                <w:rStyle w:val="NoteLabel"/>
              </w:rPr>
              <w:t>d</w:t>
            </w:r>
          </w:p>
        </w:tc>
        <w:tc>
          <w:tcPr>
            <w:tcW w:w="1082" w:type="dxa"/>
            <w:tcBorders>
              <w:top w:val="single" w:sz="4" w:space="0" w:color="auto"/>
              <w:bottom w:val="single" w:sz="4" w:space="0" w:color="auto"/>
            </w:tcBorders>
            <w:shd w:val="clear" w:color="auto" w:fill="auto"/>
            <w:tcMar>
              <w:right w:w="57" w:type="dxa"/>
            </w:tcMar>
            <w:vAlign w:val="bottom"/>
          </w:tcPr>
          <w:p w:rsidR="00CC02EF" w:rsidRPr="00CC02EF" w:rsidRDefault="00CC02EF" w:rsidP="00533801">
            <w:pPr>
              <w:spacing w:after="40" w:line="220" w:lineRule="atLeast"/>
              <w:ind w:left="6" w:right="57"/>
              <w:jc w:val="right"/>
              <w:rPr>
                <w:rFonts w:ascii="Arial" w:hAnsi="Arial" w:cs="Arial"/>
                <w:i/>
                <w:sz w:val="20"/>
                <w:szCs w:val="20"/>
              </w:rPr>
            </w:pPr>
            <w:r w:rsidRPr="00CC02EF">
              <w:rPr>
                <w:rFonts w:ascii="Arial" w:hAnsi="Arial" w:cs="Arial"/>
                <w:i/>
                <w:sz w:val="20"/>
                <w:szCs w:val="20"/>
              </w:rPr>
              <w:t>95% LCL</w:t>
            </w:r>
          </w:p>
        </w:tc>
        <w:tc>
          <w:tcPr>
            <w:tcW w:w="1051" w:type="dxa"/>
            <w:tcBorders>
              <w:top w:val="single" w:sz="4" w:space="0" w:color="auto"/>
              <w:bottom w:val="single" w:sz="4" w:space="0" w:color="auto"/>
            </w:tcBorders>
            <w:shd w:val="clear" w:color="auto" w:fill="auto"/>
            <w:tcMar>
              <w:right w:w="57" w:type="dxa"/>
            </w:tcMar>
            <w:vAlign w:val="bottom"/>
          </w:tcPr>
          <w:p w:rsidR="00CC02EF" w:rsidRPr="00CC02EF" w:rsidRDefault="00CC02EF" w:rsidP="00533801">
            <w:pPr>
              <w:spacing w:after="40" w:line="220" w:lineRule="atLeast"/>
              <w:ind w:left="6" w:right="57"/>
              <w:jc w:val="right"/>
              <w:rPr>
                <w:rFonts w:ascii="Arial" w:hAnsi="Arial" w:cs="Arial"/>
                <w:i/>
                <w:sz w:val="20"/>
                <w:szCs w:val="20"/>
              </w:rPr>
            </w:pPr>
            <w:r w:rsidRPr="00CC02EF">
              <w:rPr>
                <w:rFonts w:ascii="Arial" w:hAnsi="Arial" w:cs="Arial"/>
                <w:i/>
                <w:sz w:val="20"/>
                <w:szCs w:val="20"/>
              </w:rPr>
              <w:t>95% UCL</w:t>
            </w:r>
          </w:p>
        </w:tc>
      </w:tr>
      <w:tr w:rsidR="000B5ABD" w:rsidRPr="006735AC" w:rsidTr="00D2083E">
        <w:tc>
          <w:tcPr>
            <w:tcW w:w="4073" w:type="dxa"/>
            <w:shd w:val="clear" w:color="auto" w:fill="auto"/>
            <w:vAlign w:val="bottom"/>
          </w:tcPr>
          <w:p w:rsidR="000B5ABD" w:rsidRPr="006735AC" w:rsidRDefault="000B5ABD" w:rsidP="003F62A5">
            <w:pPr>
              <w:spacing w:afterLines="40" w:after="96"/>
              <w:ind w:right="57"/>
              <w:rPr>
                <w:rFonts w:ascii="Arial" w:hAnsi="Arial" w:cs="Arial"/>
                <w:sz w:val="20"/>
                <w:szCs w:val="20"/>
              </w:rPr>
            </w:pPr>
            <w:r w:rsidRPr="006735AC">
              <w:rPr>
                <w:rFonts w:ascii="Arial" w:hAnsi="Arial" w:cs="Arial"/>
                <w:sz w:val="20"/>
                <w:szCs w:val="20"/>
              </w:rPr>
              <w:t>Total encounters for which BEACH data were recorded</w:t>
            </w:r>
            <w:r>
              <w:rPr>
                <w:rStyle w:val="NoteLabel"/>
              </w:rPr>
              <w:t>e</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90</w:t>
            </w:r>
            <w:r w:rsidR="003A1D3E">
              <w:rPr>
                <w:rFonts w:ascii="Arial" w:hAnsi="Arial" w:cs="Arial"/>
                <w:sz w:val="20"/>
                <w:szCs w:val="20"/>
              </w:rPr>
              <w:t> </w:t>
            </w:r>
            <w:r w:rsidRPr="000B5ABD">
              <w:rPr>
                <w:rFonts w:ascii="Arial" w:hAnsi="Arial" w:cs="Arial"/>
                <w:sz w:val="20"/>
                <w:szCs w:val="20"/>
              </w:rPr>
              <w:t>077</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100</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w:t>
            </w:r>
          </w:p>
        </w:tc>
      </w:tr>
      <w:tr w:rsidR="000B5ABD" w:rsidRPr="00760127" w:rsidTr="00D2083E">
        <w:tc>
          <w:tcPr>
            <w:tcW w:w="4073" w:type="dxa"/>
            <w:shd w:val="clear" w:color="auto" w:fill="auto"/>
            <w:vAlign w:val="bottom"/>
          </w:tcPr>
          <w:p w:rsidR="000B5ABD" w:rsidRDefault="000B5ABD" w:rsidP="003F62A5">
            <w:pPr>
              <w:tabs>
                <w:tab w:val="left" w:pos="238"/>
              </w:tabs>
              <w:spacing w:afterLines="40" w:after="96"/>
              <w:ind w:right="57"/>
              <w:rPr>
                <w:rFonts w:ascii="Arial" w:hAnsi="Arial" w:cs="Arial"/>
                <w:sz w:val="20"/>
                <w:szCs w:val="20"/>
              </w:rPr>
            </w:pPr>
            <w:r>
              <w:rPr>
                <w:rFonts w:ascii="Arial" w:hAnsi="Arial" w:cs="Arial"/>
                <w:sz w:val="20"/>
                <w:szCs w:val="20"/>
              </w:rPr>
              <w:tab/>
              <w:t>Direct encounters</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88</w:t>
            </w:r>
            <w:r w:rsidR="003A1D3E">
              <w:rPr>
                <w:rFonts w:ascii="Arial" w:hAnsi="Arial" w:cs="Arial"/>
                <w:sz w:val="20"/>
                <w:szCs w:val="20"/>
              </w:rPr>
              <w:t> </w:t>
            </w:r>
            <w:r w:rsidRPr="000B5ABD">
              <w:rPr>
                <w:rFonts w:ascii="Arial" w:hAnsi="Arial" w:cs="Arial"/>
                <w:sz w:val="20"/>
                <w:szCs w:val="20"/>
              </w:rPr>
              <w:t>568</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98.3</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98.1</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98.6</w:t>
            </w:r>
          </w:p>
        </w:tc>
      </w:tr>
      <w:tr w:rsidR="000B5ABD" w:rsidRPr="00760127" w:rsidTr="00D2083E">
        <w:tc>
          <w:tcPr>
            <w:tcW w:w="4073" w:type="dxa"/>
            <w:shd w:val="clear" w:color="auto" w:fill="auto"/>
            <w:vAlign w:val="bottom"/>
          </w:tcPr>
          <w:p w:rsidR="000B5ABD" w:rsidRDefault="000B5ABD" w:rsidP="003F62A5">
            <w:pPr>
              <w:tabs>
                <w:tab w:val="left" w:pos="490"/>
              </w:tabs>
              <w:spacing w:afterLines="40" w:after="96"/>
              <w:ind w:right="57"/>
              <w:rPr>
                <w:rFonts w:ascii="Arial" w:hAnsi="Arial" w:cs="Arial"/>
                <w:sz w:val="20"/>
                <w:szCs w:val="20"/>
              </w:rPr>
            </w:pPr>
            <w:r>
              <w:rPr>
                <w:rFonts w:ascii="Arial" w:hAnsi="Arial" w:cs="Arial"/>
                <w:sz w:val="20"/>
                <w:szCs w:val="20"/>
              </w:rPr>
              <w:tab/>
              <w:t>No charge</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334</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0.4</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0.3</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0.4</w:t>
            </w:r>
          </w:p>
        </w:tc>
      </w:tr>
      <w:tr w:rsidR="000B5ABD" w:rsidRPr="00760127" w:rsidTr="00D2083E">
        <w:tc>
          <w:tcPr>
            <w:tcW w:w="4073" w:type="dxa"/>
            <w:shd w:val="clear" w:color="auto" w:fill="auto"/>
            <w:vAlign w:val="bottom"/>
          </w:tcPr>
          <w:p w:rsidR="000B5ABD" w:rsidRPr="00CC02EF" w:rsidRDefault="001339E2" w:rsidP="00C4544F">
            <w:pPr>
              <w:tabs>
                <w:tab w:val="left" w:pos="476"/>
              </w:tabs>
              <w:spacing w:afterLines="40" w:after="96"/>
              <w:rPr>
                <w:rFonts w:ascii="Arial" w:hAnsi="Arial" w:cs="Arial"/>
                <w:sz w:val="20"/>
                <w:szCs w:val="20"/>
              </w:rPr>
            </w:pPr>
            <w:r>
              <w:rPr>
                <w:rFonts w:ascii="Arial" w:hAnsi="Arial" w:cs="Arial"/>
                <w:sz w:val="20"/>
                <w:szCs w:val="20"/>
              </w:rPr>
              <w:tab/>
              <w:t>DHS</w:t>
            </w:r>
            <w:r w:rsidR="000B5ABD">
              <w:rPr>
                <w:rFonts w:ascii="Arial" w:hAnsi="Arial" w:cs="Arial"/>
                <w:sz w:val="20"/>
                <w:szCs w:val="20"/>
              </w:rPr>
              <w:t xml:space="preserve"> </w:t>
            </w:r>
            <w:r w:rsidR="000B5ABD" w:rsidRPr="00CC02EF">
              <w:rPr>
                <w:rFonts w:ascii="Arial" w:hAnsi="Arial" w:cs="Arial"/>
                <w:sz w:val="20"/>
                <w:szCs w:val="20"/>
              </w:rPr>
              <w:t>Medicare</w:t>
            </w:r>
            <w:r w:rsidR="000B5ABD">
              <w:rPr>
                <w:rFonts w:ascii="Arial" w:hAnsi="Arial" w:cs="Arial"/>
                <w:sz w:val="20"/>
                <w:szCs w:val="20"/>
              </w:rPr>
              <w:t xml:space="preserve"> or DVA</w:t>
            </w:r>
            <w:r w:rsidR="000B5ABD" w:rsidRPr="00CC02EF">
              <w:rPr>
                <w:rFonts w:ascii="Arial" w:hAnsi="Arial" w:cs="Arial"/>
                <w:sz w:val="20"/>
                <w:szCs w:val="20"/>
              </w:rPr>
              <w:t xml:space="preserve"> paid</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85</w:t>
            </w:r>
            <w:r w:rsidR="003A1D3E">
              <w:rPr>
                <w:rFonts w:ascii="Arial" w:hAnsi="Arial" w:cs="Arial"/>
                <w:sz w:val="20"/>
                <w:szCs w:val="20"/>
              </w:rPr>
              <w:t> </w:t>
            </w:r>
            <w:r w:rsidRPr="000B5ABD">
              <w:rPr>
                <w:rFonts w:ascii="Arial" w:hAnsi="Arial" w:cs="Arial"/>
                <w:sz w:val="20"/>
                <w:szCs w:val="20"/>
              </w:rPr>
              <w:t>870</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95.3</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94.9</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95.8</w:t>
            </w:r>
          </w:p>
        </w:tc>
      </w:tr>
      <w:tr w:rsidR="000B5ABD" w:rsidRPr="00760127" w:rsidTr="00D2083E">
        <w:tc>
          <w:tcPr>
            <w:tcW w:w="4073" w:type="dxa"/>
            <w:shd w:val="clear" w:color="auto" w:fill="auto"/>
            <w:vAlign w:val="bottom"/>
          </w:tcPr>
          <w:p w:rsidR="000B5ABD" w:rsidRPr="00CC02EF" w:rsidRDefault="000B5ABD" w:rsidP="003F62A5">
            <w:pPr>
              <w:tabs>
                <w:tab w:val="left" w:pos="490"/>
              </w:tabs>
              <w:spacing w:afterLines="40" w:after="96"/>
              <w:rPr>
                <w:rFonts w:ascii="Arial" w:hAnsi="Arial" w:cs="Arial"/>
                <w:sz w:val="20"/>
                <w:szCs w:val="20"/>
              </w:rPr>
            </w:pPr>
            <w:r>
              <w:rPr>
                <w:rFonts w:ascii="Arial" w:hAnsi="Arial" w:cs="Arial"/>
                <w:sz w:val="20"/>
                <w:szCs w:val="20"/>
              </w:rPr>
              <w:tab/>
            </w:r>
            <w:r w:rsidRPr="00CC02EF">
              <w:rPr>
                <w:rFonts w:ascii="Arial" w:hAnsi="Arial" w:cs="Arial"/>
                <w:sz w:val="20"/>
                <w:szCs w:val="20"/>
              </w:rPr>
              <w:t>Workers compensation paid</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1580</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1.8</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1.6</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1.9</w:t>
            </w:r>
          </w:p>
        </w:tc>
      </w:tr>
      <w:tr w:rsidR="000B5ABD" w:rsidRPr="00760127" w:rsidTr="00D2083E">
        <w:tc>
          <w:tcPr>
            <w:tcW w:w="4073" w:type="dxa"/>
            <w:shd w:val="clear" w:color="auto" w:fill="auto"/>
            <w:vAlign w:val="bottom"/>
          </w:tcPr>
          <w:p w:rsidR="000B5ABD" w:rsidRPr="00CC02EF" w:rsidRDefault="000B5ABD" w:rsidP="003F62A5">
            <w:pPr>
              <w:tabs>
                <w:tab w:val="left" w:pos="462"/>
              </w:tabs>
              <w:spacing w:afterLines="40" w:after="96"/>
              <w:rPr>
                <w:rFonts w:ascii="Arial" w:hAnsi="Arial" w:cs="Arial"/>
                <w:sz w:val="20"/>
                <w:szCs w:val="20"/>
              </w:rPr>
            </w:pPr>
            <w:r>
              <w:rPr>
                <w:rFonts w:ascii="Arial" w:hAnsi="Arial" w:cs="Arial"/>
                <w:sz w:val="20"/>
                <w:szCs w:val="20"/>
              </w:rPr>
              <w:tab/>
            </w:r>
            <w:r w:rsidRPr="00CC02EF">
              <w:rPr>
                <w:rFonts w:ascii="Arial" w:hAnsi="Arial" w:cs="Arial"/>
                <w:sz w:val="20"/>
                <w:szCs w:val="20"/>
              </w:rPr>
              <w:t>Other paid (for example, hospital, State)</w:t>
            </w:r>
          </w:p>
        </w:tc>
        <w:tc>
          <w:tcPr>
            <w:tcW w:w="117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785</w:t>
            </w:r>
          </w:p>
        </w:tc>
        <w:tc>
          <w:tcPr>
            <w:tcW w:w="141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0.9</w:t>
            </w:r>
          </w:p>
        </w:tc>
        <w:tc>
          <w:tcPr>
            <w:tcW w:w="1082"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0.6</w:t>
            </w:r>
          </w:p>
        </w:tc>
        <w:tc>
          <w:tcPr>
            <w:tcW w:w="1051" w:type="dxa"/>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1.2</w:t>
            </w:r>
          </w:p>
        </w:tc>
      </w:tr>
      <w:tr w:rsidR="000B5ABD" w:rsidRPr="00760127" w:rsidTr="00D2083E">
        <w:tc>
          <w:tcPr>
            <w:tcW w:w="4073" w:type="dxa"/>
            <w:tcBorders>
              <w:bottom w:val="single" w:sz="4" w:space="0" w:color="auto"/>
            </w:tcBorders>
            <w:shd w:val="clear" w:color="auto" w:fill="auto"/>
            <w:vAlign w:val="bottom"/>
          </w:tcPr>
          <w:p w:rsidR="000B5ABD" w:rsidRPr="00CC02EF" w:rsidRDefault="000B5ABD" w:rsidP="003F62A5">
            <w:pPr>
              <w:tabs>
                <w:tab w:val="left" w:pos="284"/>
              </w:tabs>
              <w:spacing w:afterLines="40" w:after="96"/>
              <w:rPr>
                <w:rFonts w:ascii="Arial" w:hAnsi="Arial" w:cs="Arial"/>
                <w:sz w:val="20"/>
                <w:szCs w:val="20"/>
              </w:rPr>
            </w:pPr>
            <w:r>
              <w:rPr>
                <w:rFonts w:ascii="Arial" w:hAnsi="Arial" w:cs="Arial"/>
                <w:sz w:val="20"/>
                <w:szCs w:val="20"/>
              </w:rPr>
              <w:tab/>
            </w:r>
            <w:r w:rsidRPr="00CC02EF">
              <w:rPr>
                <w:rFonts w:ascii="Arial" w:hAnsi="Arial" w:cs="Arial"/>
                <w:sz w:val="20"/>
                <w:szCs w:val="20"/>
              </w:rPr>
              <w:t>Indirect encounters</w:t>
            </w:r>
            <w:r>
              <w:rPr>
                <w:rStyle w:val="NoteLabel"/>
              </w:rPr>
              <w:t>f</w:t>
            </w:r>
          </w:p>
        </w:tc>
        <w:tc>
          <w:tcPr>
            <w:tcW w:w="1172" w:type="dxa"/>
            <w:tcBorders>
              <w:bottom w:val="single" w:sz="4" w:space="0" w:color="auto"/>
            </w:tcBorders>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1506</w:t>
            </w:r>
          </w:p>
        </w:tc>
        <w:tc>
          <w:tcPr>
            <w:tcW w:w="1411" w:type="dxa"/>
            <w:tcBorders>
              <w:bottom w:val="single" w:sz="4" w:space="0" w:color="auto"/>
            </w:tcBorders>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1.7</w:t>
            </w:r>
          </w:p>
        </w:tc>
        <w:tc>
          <w:tcPr>
            <w:tcW w:w="1082" w:type="dxa"/>
            <w:tcBorders>
              <w:bottom w:val="single" w:sz="4" w:space="0" w:color="auto"/>
            </w:tcBorders>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1.4</w:t>
            </w:r>
          </w:p>
        </w:tc>
        <w:tc>
          <w:tcPr>
            <w:tcW w:w="1051" w:type="dxa"/>
            <w:tcBorders>
              <w:bottom w:val="single" w:sz="4" w:space="0" w:color="auto"/>
            </w:tcBorders>
            <w:shd w:val="clear" w:color="auto" w:fill="auto"/>
            <w:tcMar>
              <w:right w:w="57" w:type="dxa"/>
            </w:tcMar>
            <w:vAlign w:val="bottom"/>
          </w:tcPr>
          <w:p w:rsidR="000B5ABD" w:rsidRPr="000B5ABD" w:rsidRDefault="000B5ABD" w:rsidP="000B5ABD">
            <w:pPr>
              <w:spacing w:afterLines="40" w:after="96" w:line="220" w:lineRule="atLeast"/>
              <w:ind w:left="6" w:right="11"/>
              <w:jc w:val="right"/>
              <w:rPr>
                <w:rFonts w:ascii="Arial" w:hAnsi="Arial" w:cs="Arial"/>
                <w:sz w:val="20"/>
                <w:szCs w:val="20"/>
              </w:rPr>
            </w:pPr>
            <w:r w:rsidRPr="000B5ABD">
              <w:rPr>
                <w:rFonts w:ascii="Arial" w:hAnsi="Arial" w:cs="Arial"/>
                <w:sz w:val="20"/>
                <w:szCs w:val="20"/>
              </w:rPr>
              <w:t>1.9</w:t>
            </w:r>
          </w:p>
        </w:tc>
      </w:tr>
    </w:tbl>
    <w:p w:rsidR="003D59EC" w:rsidRPr="00E70DD2" w:rsidRDefault="00847EB9" w:rsidP="005A7314">
      <w:pPr>
        <w:pStyle w:val="Note"/>
        <w:rPr>
          <w:b/>
        </w:rPr>
      </w:pPr>
      <w:r w:rsidRPr="00E70DD2">
        <w:t>LCL = lower confidence limit. UCL = upper confidence limit.</w:t>
      </w:r>
      <w:r w:rsidR="00E70DD2">
        <w:t xml:space="preserve"> </w:t>
      </w:r>
      <w:r w:rsidR="00F85E30">
        <w:t>DVA = </w:t>
      </w:r>
      <w:r w:rsidR="00E70DD2" w:rsidRPr="00E70DD2">
        <w:t>D</w:t>
      </w:r>
      <w:r w:rsidR="00E70DD2">
        <w:t>epartment of Veterans’ Affairs.</w:t>
      </w:r>
      <w:r w:rsidRPr="00E70DD2">
        <w:t xml:space="preserve"> </w:t>
      </w:r>
      <w:r w:rsidRPr="00E70DD2">
        <w:rPr>
          <w:rStyle w:val="NoteLabel"/>
        </w:rPr>
        <w:t>a</w:t>
      </w:r>
      <w:r w:rsidR="008A5AB9" w:rsidRPr="00E70DD2">
        <w:rPr>
          <w:rStyle w:val="NoteLabel"/>
        </w:rPr>
        <w:t> </w:t>
      </w:r>
      <w:r w:rsidR="004C2473" w:rsidRPr="00E70DD2">
        <w:t xml:space="preserve">An encounter is any professional interchange between a patient and a </w:t>
      </w:r>
      <w:r w:rsidR="004C2473">
        <w:t xml:space="preserve">GP or </w:t>
      </w:r>
      <w:r w:rsidR="004C2473" w:rsidRPr="00DB7772">
        <w:t xml:space="preserve">other health professional </w:t>
      </w:r>
      <w:r w:rsidR="004C2473">
        <w:t>(other health professionals include</w:t>
      </w:r>
      <w:r w:rsidR="004C2473" w:rsidRPr="00DB7772">
        <w:t xml:space="preserve"> practice nurses, Aboriginal health wo</w:t>
      </w:r>
      <w:r w:rsidR="004C2473">
        <w:t>rkers and allied health service professionals)</w:t>
      </w:r>
      <w:r w:rsidR="004C2473" w:rsidRPr="00E70DD2">
        <w:t xml:space="preserve">. </w:t>
      </w:r>
      <w:r w:rsidRPr="00E70DD2">
        <w:rPr>
          <w:rStyle w:val="NoteLabel"/>
        </w:rPr>
        <w:t>b</w:t>
      </w:r>
      <w:r w:rsidRPr="00E70DD2">
        <w:t xml:space="preserve"> </w:t>
      </w:r>
      <w:r w:rsidR="004C2473" w:rsidRPr="00E70DD2">
        <w:t xml:space="preserve">Data from the BEACH survey may not be directly comparable with other data on medical practitioners in this Report. </w:t>
      </w:r>
      <w:r w:rsidRPr="00E70DD2">
        <w:rPr>
          <w:rStyle w:val="NoteLabel"/>
        </w:rPr>
        <w:t>c</w:t>
      </w:r>
      <w:r w:rsidR="008A5AB9" w:rsidRPr="00E70DD2">
        <w:rPr>
          <w:rStyle w:val="NoteLabel"/>
        </w:rPr>
        <w:t> </w:t>
      </w:r>
      <w:r w:rsidRPr="00E70DD2">
        <w:t xml:space="preserve"> </w:t>
      </w:r>
      <w:r w:rsidR="004C2473" w:rsidRPr="00E70DD2">
        <w:t>Number of encounters after post stratification weighting for GP activity and GP age and sex.</w:t>
      </w:r>
      <w:r w:rsidR="004C2473">
        <w:t xml:space="preserve"> </w:t>
      </w:r>
      <w:r w:rsidRPr="00E70DD2">
        <w:rPr>
          <w:rStyle w:val="NoteLabel"/>
        </w:rPr>
        <w:t>d</w:t>
      </w:r>
      <w:r w:rsidR="00CF74D7" w:rsidRPr="00E70DD2">
        <w:t xml:space="preserve"> </w:t>
      </w:r>
      <w:r w:rsidR="004C2473" w:rsidRPr="00E70DD2">
        <w:t>Missing data removed</w:t>
      </w:r>
      <w:r w:rsidR="004C2473">
        <w:t xml:space="preserve"> from analysis (</w:t>
      </w:r>
      <w:r w:rsidR="004C2473">
        <w:rPr>
          <w:i/>
        </w:rPr>
        <w:t>n</w:t>
      </w:r>
      <w:r w:rsidR="004C2473">
        <w:t xml:space="preserve"> = </w:t>
      </w:r>
      <w:r w:rsidR="006E67EB">
        <w:t>8487</w:t>
      </w:r>
      <w:r w:rsidR="004C2473">
        <w:t>)</w:t>
      </w:r>
      <w:r w:rsidR="004C2473" w:rsidRPr="00E70DD2">
        <w:t>.</w:t>
      </w:r>
      <w:r w:rsidR="004C2473">
        <w:t xml:space="preserve"> </w:t>
      </w:r>
      <w:r w:rsidRPr="00E70DD2">
        <w:rPr>
          <w:rStyle w:val="NoteLabel"/>
        </w:rPr>
        <w:t>e</w:t>
      </w:r>
      <w:r w:rsidR="008A5AB9" w:rsidRPr="00E70DD2">
        <w:rPr>
          <w:rStyle w:val="NoteLabel"/>
        </w:rPr>
        <w:t> </w:t>
      </w:r>
      <w:r w:rsidRPr="00E70DD2">
        <w:t xml:space="preserve"> </w:t>
      </w:r>
      <w:r w:rsidR="00B24674">
        <w:t xml:space="preserve">Includes </w:t>
      </w:r>
      <w:r w:rsidR="00DE115E">
        <w:t>2</w:t>
      </w:r>
      <w:r w:rsidR="00B24674">
        <w:t xml:space="preserve"> encounters for which direct/indirect was not specified. </w:t>
      </w:r>
      <w:r w:rsidRPr="00E70DD2">
        <w:rPr>
          <w:rStyle w:val="NoteLabel"/>
        </w:rPr>
        <w:t>f</w:t>
      </w:r>
      <w:r w:rsidR="003E5525">
        <w:t xml:space="preserve"> </w:t>
      </w:r>
      <w:r w:rsidR="00B24674">
        <w:t>F</w:t>
      </w:r>
      <w:r w:rsidR="00B24674" w:rsidRPr="00E70DD2">
        <w:t>or indirect encounters, the patient is not seen but a service is provided (for example, a prescription or referral).</w:t>
      </w:r>
      <w:r w:rsidRPr="00E70DD2">
        <w:t xml:space="preserve"> </w:t>
      </w:r>
      <w:r w:rsidR="00E70DD2" w:rsidRPr="00E70DD2">
        <w:t>.</w:t>
      </w:r>
      <w:r w:rsidR="006C57E2" w:rsidRPr="00E70DD2">
        <w:t>. </w:t>
      </w:r>
      <w:r w:rsidRPr="00E70DD2">
        <w:t>Not</w:t>
      </w:r>
      <w:r w:rsidR="008A5AB9" w:rsidRPr="00E70DD2">
        <w:t> </w:t>
      </w:r>
      <w:r w:rsidRPr="00E70DD2">
        <w:t>applicable.</w:t>
      </w:r>
    </w:p>
    <w:p w:rsidR="001A2085" w:rsidRPr="00445562" w:rsidRDefault="003D59EC" w:rsidP="005A7314">
      <w:pPr>
        <w:pStyle w:val="Source"/>
      </w:pPr>
      <w:r w:rsidRPr="00924DFC">
        <w:rPr>
          <w:i/>
        </w:rPr>
        <w:t>Source</w:t>
      </w:r>
      <w:r w:rsidRPr="00924DFC">
        <w:t>:</w:t>
      </w:r>
      <w:r w:rsidR="00847EB9" w:rsidRPr="00924DFC">
        <w:t xml:space="preserve"> Britt </w:t>
      </w:r>
      <w:r w:rsidR="00847EB9" w:rsidRPr="00924DFC">
        <w:rPr>
          <w:i/>
        </w:rPr>
        <w:t>et al</w:t>
      </w:r>
      <w:r w:rsidR="00EA1759" w:rsidRPr="00924DFC">
        <w:t>.</w:t>
      </w:r>
      <w:r w:rsidR="00847EB9" w:rsidRPr="00924DFC">
        <w:t xml:space="preserve"> (20</w:t>
      </w:r>
      <w:r w:rsidR="00150F51" w:rsidRPr="00924DFC">
        <w:t>1</w:t>
      </w:r>
      <w:r w:rsidR="00924DFC" w:rsidRPr="00924DFC">
        <w:t>3</w:t>
      </w:r>
      <w:r w:rsidR="00847EB9" w:rsidRPr="00924DFC">
        <w:t>)</w:t>
      </w:r>
      <w:r w:rsidR="00C169B1" w:rsidRPr="00924DFC">
        <w:t xml:space="preserve"> </w:t>
      </w:r>
      <w:r w:rsidR="00C169B1" w:rsidRPr="00924DFC">
        <w:rPr>
          <w:i/>
        </w:rPr>
        <w:t xml:space="preserve">General practice activity in </w:t>
      </w:r>
      <w:smartTag w:uri="urn:schemas-microsoft-com:office:smarttags" w:element="country-region">
        <w:r w:rsidR="00C169B1" w:rsidRPr="00924DFC">
          <w:rPr>
            <w:i/>
          </w:rPr>
          <w:t>Australia</w:t>
        </w:r>
      </w:smartTag>
      <w:r w:rsidR="00C169B1" w:rsidRPr="00924DFC">
        <w:rPr>
          <w:i/>
        </w:rPr>
        <w:t xml:space="preserve"> 20</w:t>
      </w:r>
      <w:r w:rsidR="000709D5" w:rsidRPr="00924DFC">
        <w:rPr>
          <w:i/>
        </w:rPr>
        <w:t>1</w:t>
      </w:r>
      <w:r w:rsidR="00924DFC" w:rsidRPr="00924DFC">
        <w:rPr>
          <w:i/>
        </w:rPr>
        <w:t>2</w:t>
      </w:r>
      <w:r w:rsidR="00C740BA" w:rsidRPr="00924DFC">
        <w:rPr>
          <w:i/>
        </w:rPr>
        <w:noBreakHyphen/>
      </w:r>
      <w:r w:rsidR="00150F51" w:rsidRPr="00924DFC">
        <w:rPr>
          <w:i/>
        </w:rPr>
        <w:t>1</w:t>
      </w:r>
      <w:r w:rsidR="00924DFC" w:rsidRPr="00924DFC">
        <w:rPr>
          <w:i/>
        </w:rPr>
        <w:t>3</w:t>
      </w:r>
      <w:r w:rsidR="00C169B1" w:rsidRPr="00924DFC">
        <w:t xml:space="preserve">, </w:t>
      </w:r>
      <w:smartTag w:uri="urn:schemas-microsoft-com:office:smarttags" w:element="place">
        <w:smartTag w:uri="urn:schemas-microsoft-com:office:smarttags" w:element="PlaceName">
          <w:r w:rsidR="000709D5" w:rsidRPr="00924DFC">
            <w:t>Sydney</w:t>
          </w:r>
        </w:smartTag>
        <w:r w:rsidR="000709D5" w:rsidRPr="00924DFC">
          <w:t xml:space="preserve"> </w:t>
        </w:r>
        <w:smartTag w:uri="urn:schemas-microsoft-com:office:smarttags" w:element="PlaceName">
          <w:r w:rsidR="000709D5" w:rsidRPr="00924DFC">
            <w:t>University</w:t>
          </w:r>
        </w:smartTag>
      </w:smartTag>
      <w:r w:rsidR="008B6FA4" w:rsidRPr="00924DFC">
        <w:t>; table </w:t>
      </w:r>
      <w:r w:rsidR="00847EB9" w:rsidRPr="00924DFC">
        <w:t>11A.1.</w:t>
      </w:r>
    </w:p>
    <w:p w:rsidR="000C2AB6" w:rsidRDefault="000C2AB6" w:rsidP="004D42BF">
      <w:pPr>
        <w:pStyle w:val="BodyText"/>
      </w:pPr>
      <w:r>
        <w:t>The</w:t>
      </w:r>
      <w:r w:rsidRPr="000C2AB6">
        <w:t xml:space="preserve"> </w:t>
      </w:r>
      <w:r>
        <w:t xml:space="preserve">Australian Government </w:t>
      </w:r>
      <w:r w:rsidR="00A513FB">
        <w:t xml:space="preserve">also </w:t>
      </w:r>
      <w:r>
        <w:t>provides funding for general practice services under initiatives such as</w:t>
      </w:r>
      <w:r w:rsidR="003A1D3E">
        <w:t xml:space="preserve"> </w:t>
      </w:r>
      <w:r w:rsidRPr="000C2AB6">
        <w:t xml:space="preserve">the </w:t>
      </w:r>
      <w:r w:rsidR="003A1D3E">
        <w:t xml:space="preserve">PIP, </w:t>
      </w:r>
      <w:r w:rsidRPr="000C2AB6">
        <w:t>the General Practice Immunisation Incentive</w:t>
      </w:r>
      <w:r w:rsidR="001D2859">
        <w:t>s</w:t>
      </w:r>
      <w:r w:rsidRPr="000C2AB6">
        <w:t xml:space="preserve"> Scheme (GPII</w:t>
      </w:r>
      <w:r w:rsidRPr="004D42BF">
        <w:t>)</w:t>
      </w:r>
      <w:r w:rsidR="003A1D3E" w:rsidRPr="004D42BF">
        <w:t xml:space="preserve"> </w:t>
      </w:r>
      <w:r w:rsidR="009528CB" w:rsidRPr="004D42BF">
        <w:t>(</w:t>
      </w:r>
      <w:r w:rsidR="006D5CFA" w:rsidRPr="004D42BF">
        <w:t xml:space="preserve">effective </w:t>
      </w:r>
      <w:r w:rsidR="00CC5304" w:rsidRPr="004D42BF">
        <w:t>to 30</w:t>
      </w:r>
      <w:r w:rsidR="009528CB" w:rsidRPr="004D42BF">
        <w:t xml:space="preserve"> June 2013) </w:t>
      </w:r>
      <w:r w:rsidR="003A1D3E" w:rsidRPr="004D42BF">
        <w:t>and</w:t>
      </w:r>
      <w:r w:rsidR="003A1D3E">
        <w:t xml:space="preserve"> </w:t>
      </w:r>
      <w:r w:rsidR="00A14928" w:rsidRPr="00A07D95">
        <w:t>Medicare Locals</w:t>
      </w:r>
      <w:r w:rsidRPr="000C2AB6">
        <w:t>.</w:t>
      </w:r>
    </w:p>
    <w:p w:rsidR="00566740" w:rsidRPr="00221681" w:rsidRDefault="0024319B" w:rsidP="00221681">
      <w:pPr>
        <w:pStyle w:val="BodyText"/>
        <w:rPr>
          <w:rStyle w:val="DraftingNote"/>
          <w:b w:val="0"/>
          <w:color w:val="auto"/>
          <w:sz w:val="26"/>
          <w:u w:val="none"/>
        </w:rPr>
      </w:pPr>
      <w:r w:rsidRPr="00555654">
        <w:t xml:space="preserve">Australian Government </w:t>
      </w:r>
      <w:r w:rsidR="00361FD5">
        <w:t xml:space="preserve">total </w:t>
      </w:r>
      <w:r w:rsidR="00AC7408" w:rsidRPr="00555654">
        <w:t>expenditure on</w:t>
      </w:r>
      <w:r w:rsidRPr="00555654">
        <w:t xml:space="preserve"> </w:t>
      </w:r>
      <w:r w:rsidR="00AC7408" w:rsidRPr="00555654">
        <w:t xml:space="preserve">general practice </w:t>
      </w:r>
      <w:r w:rsidR="00AC7408" w:rsidRPr="00FF5E21">
        <w:t>in</w:t>
      </w:r>
      <w:r w:rsidR="00361FD5">
        <w:t xml:space="preserve"> 2012-</w:t>
      </w:r>
      <w:r w:rsidR="00361FD5" w:rsidRPr="00361FD5">
        <w:t xml:space="preserve">13 </w:t>
      </w:r>
      <w:r w:rsidR="00361FD5">
        <w:t xml:space="preserve">was </w:t>
      </w:r>
      <w:r w:rsidRPr="00361FD5">
        <w:t>$</w:t>
      </w:r>
      <w:r w:rsidR="00DF697B" w:rsidRPr="00361FD5">
        <w:t>7</w:t>
      </w:r>
      <w:r w:rsidR="00361FD5" w:rsidRPr="00361FD5">
        <w:t>.4</w:t>
      </w:r>
      <w:r w:rsidR="001244FC" w:rsidRPr="00361FD5">
        <w:t> </w:t>
      </w:r>
      <w:r w:rsidRPr="00361FD5">
        <w:t>billion</w:t>
      </w:r>
      <w:r w:rsidR="00361FD5">
        <w:t xml:space="preserve"> (</w:t>
      </w:r>
      <w:r w:rsidR="00361FD5" w:rsidRPr="00390232">
        <w:t>table 11A.2</w:t>
      </w:r>
      <w:r w:rsidR="00361FD5">
        <w:t>).</w:t>
      </w:r>
      <w:r w:rsidRPr="00361FD5">
        <w:t xml:space="preserve"> </w:t>
      </w:r>
      <w:r w:rsidR="00361FD5">
        <w:t xml:space="preserve">This includes </w:t>
      </w:r>
      <w:r w:rsidR="0047167A">
        <w:t xml:space="preserve">fee-for-service </w:t>
      </w:r>
      <w:r w:rsidR="00361FD5" w:rsidRPr="00361FD5">
        <w:t xml:space="preserve">expenditure </w:t>
      </w:r>
      <w:r w:rsidR="00863E40">
        <w:t xml:space="preserve">($6.8 billion, or 92 per cent of the total expenditure) </w:t>
      </w:r>
      <w:r w:rsidR="0047167A">
        <w:t xml:space="preserve">through </w:t>
      </w:r>
      <w:r w:rsidR="00350DA3">
        <w:t>DHS</w:t>
      </w:r>
      <w:r w:rsidR="005857F8">
        <w:t xml:space="preserve"> </w:t>
      </w:r>
      <w:r w:rsidR="00361FD5" w:rsidRPr="00361FD5">
        <w:t>Medicare</w:t>
      </w:r>
      <w:r w:rsidR="0047167A">
        <w:t xml:space="preserve"> and</w:t>
      </w:r>
      <w:r w:rsidR="0047167A" w:rsidRPr="0047167A">
        <w:t xml:space="preserve"> </w:t>
      </w:r>
      <w:r w:rsidR="0047167A" w:rsidRPr="00361FD5">
        <w:t xml:space="preserve">the Department of Veteran's Affairs (DVA), </w:t>
      </w:r>
      <w:r w:rsidR="0047167A">
        <w:t xml:space="preserve">as well as expenditure on the PIP, </w:t>
      </w:r>
      <w:r w:rsidR="00361FD5" w:rsidRPr="00361FD5">
        <w:t>GPII and Medicare Locals</w:t>
      </w:r>
      <w:r w:rsidR="00221681">
        <w:t xml:space="preserve"> ($0.6 billion, or 8 </w:t>
      </w:r>
      <w:r w:rsidR="00863E40">
        <w:t>per</w:t>
      </w:r>
      <w:r w:rsidR="00221681">
        <w:t> </w:t>
      </w:r>
      <w:r w:rsidR="00863E40">
        <w:t>cent</w:t>
      </w:r>
      <w:r w:rsidR="00221681" w:rsidRPr="00221681">
        <w:t xml:space="preserve"> </w:t>
      </w:r>
      <w:r w:rsidR="00221681">
        <w:t>of the total expenditure</w:t>
      </w:r>
      <w:r w:rsidR="00863E40">
        <w:t>).</w:t>
      </w:r>
    </w:p>
    <w:p w:rsidR="00A43955" w:rsidRPr="00727A5C" w:rsidRDefault="00CA7456" w:rsidP="00EA1719">
      <w:pPr>
        <w:pStyle w:val="BodyText"/>
        <w:rPr>
          <w:rStyle w:val="DraftingNote"/>
        </w:rPr>
      </w:pPr>
      <w:r w:rsidRPr="00CA7456">
        <w:t xml:space="preserve">Age standardisation </w:t>
      </w:r>
      <w:r w:rsidR="00C04ABE">
        <w:t>can be applied to fee-for-service expenditure on general practice</w:t>
      </w:r>
      <w:r w:rsidR="00C04ABE" w:rsidRPr="00CA7456">
        <w:t xml:space="preserve"> </w:t>
      </w:r>
      <w:r w:rsidR="00C04ABE">
        <w:t>to adjust</w:t>
      </w:r>
      <w:r w:rsidRPr="00CA7456">
        <w:t xml:space="preserve"> for the effect </w:t>
      </w:r>
      <w:r w:rsidR="00A43955" w:rsidRPr="00CA7456">
        <w:t xml:space="preserve">of variations in age profiles </w:t>
      </w:r>
      <w:r w:rsidR="00CC5304">
        <w:t>on rates (see c</w:t>
      </w:r>
      <w:r w:rsidR="00A43955">
        <w:t>hapter 2 for de</w:t>
      </w:r>
      <w:r w:rsidR="00863E40">
        <w:t>tails</w:t>
      </w:r>
      <w:r w:rsidR="00C04ABE">
        <w:t>)</w:t>
      </w:r>
      <w:r w:rsidR="00D70DD0">
        <w:t>. The age-standardised expenditure on general practice per person was</w:t>
      </w:r>
      <w:r w:rsidR="00221681">
        <w:t xml:space="preserve"> </w:t>
      </w:r>
      <w:r w:rsidR="00221681" w:rsidRPr="00DF697B">
        <w:t>$</w:t>
      </w:r>
      <w:r w:rsidR="00221681">
        <w:t>286 in 2012</w:t>
      </w:r>
      <w:r w:rsidR="00221681">
        <w:noBreakHyphen/>
        <w:t>13.</w:t>
      </w:r>
    </w:p>
    <w:p w:rsidR="00AC7408" w:rsidRPr="00944E91" w:rsidRDefault="00AC7408" w:rsidP="00EA1719">
      <w:pPr>
        <w:pStyle w:val="BodyText"/>
      </w:pPr>
      <w:r>
        <w:t xml:space="preserve">Not all Australian Government funding of primary healthcare services is captured in these data. </w:t>
      </w:r>
      <w:r w:rsidR="00CA6C38">
        <w:t>F</w:t>
      </w:r>
      <w:r>
        <w:t xml:space="preserve">unding is </w:t>
      </w:r>
      <w:r w:rsidR="00CA6C38">
        <w:t xml:space="preserve">also </w:t>
      </w:r>
      <w:r>
        <w:t>provided for services delivered in non</w:t>
      </w:r>
      <w:r>
        <w:noBreakHyphen/>
        <w:t>general practice settings</w:t>
      </w:r>
      <w:r w:rsidR="00CA6C38">
        <w:t xml:space="preserve">, particularly in </w:t>
      </w:r>
      <w:r w:rsidR="00CA6C38" w:rsidRPr="003D59EC">
        <w:t>rural and remote areas</w:t>
      </w:r>
      <w:r w:rsidR="002B3B97">
        <w:t>,</w:t>
      </w:r>
      <w:r>
        <w:t xml:space="preserve"> </w:t>
      </w:r>
      <w:r w:rsidR="00F47752">
        <w:t>f</w:t>
      </w:r>
      <w:r w:rsidR="00CA6C38">
        <w:t>or example,</w:t>
      </w:r>
      <w:r>
        <w:t xml:space="preserve"> </w:t>
      </w:r>
      <w:r w:rsidR="002B3B97">
        <w:t xml:space="preserve">in </w:t>
      </w:r>
      <w:r w:rsidRPr="003D59EC">
        <w:t>hospital emergency departments</w:t>
      </w:r>
      <w:r w:rsidRPr="00AF63F2">
        <w:t xml:space="preserve">, Indigenous primary healthcare </w:t>
      </w:r>
      <w:r w:rsidR="00523425" w:rsidRPr="00AF63F2">
        <w:t xml:space="preserve">and other community health </w:t>
      </w:r>
      <w:r w:rsidRPr="00AF63F2">
        <w:t>services</w:t>
      </w:r>
      <w:r w:rsidR="0026215F" w:rsidRPr="00AF63F2">
        <w:t xml:space="preserve"> </w:t>
      </w:r>
      <w:r w:rsidR="00AF63F2">
        <w:t>a</w:t>
      </w:r>
      <w:r w:rsidR="00523425">
        <w:t xml:space="preserve">nd the </w:t>
      </w:r>
      <w:r w:rsidR="00523425" w:rsidRPr="00523425">
        <w:t>Royal Flying Doctor Service</w:t>
      </w:r>
      <w:r w:rsidR="008A5F56">
        <w:t>.</w:t>
      </w:r>
      <w:r>
        <w:t xml:space="preserve"> </w:t>
      </w:r>
      <w:r w:rsidR="00CA6C38">
        <w:t xml:space="preserve">Thus, expenditure on general practice understates expenditure on primary healthcare, particularly in jurisdictions with large populations of </w:t>
      </w:r>
      <w:r w:rsidR="006E4E2B">
        <w:t>Indigenous Australians</w:t>
      </w:r>
      <w:r w:rsidR="00CA6C38">
        <w:t xml:space="preserve"> and people </w:t>
      </w:r>
      <w:r w:rsidR="006418D0">
        <w:t xml:space="preserve">living </w:t>
      </w:r>
      <w:r w:rsidR="00CA6C38">
        <w:t xml:space="preserve">in rural and </w:t>
      </w:r>
      <w:r w:rsidR="00B60601">
        <w:t>remote areas.</w:t>
      </w:r>
    </w:p>
    <w:p w:rsidR="00B61A9C" w:rsidRPr="00C052BA" w:rsidRDefault="00B61A9C" w:rsidP="00445562">
      <w:pPr>
        <w:pStyle w:val="BodyText"/>
      </w:pPr>
      <w:r w:rsidRPr="00B61A9C">
        <w:lastRenderedPageBreak/>
        <w:t xml:space="preserve">State and Territory governments provide funding for general practice through a number of programs. Generally, this funding is provided indirectly through support services for GPs (such as assistance with housing and relocation, education </w:t>
      </w:r>
      <w:r w:rsidR="009C1A15">
        <w:t>p</w:t>
      </w:r>
      <w:r w:rsidRPr="00B61A9C">
        <w:t>rograms and employment assistance for spouses and family members of doctors in rural areas) or education and support services for public health issues such as diabetes management, smoking cessation, sexual health, and mental health and counselling. Non</w:t>
      </w:r>
      <w:r w:rsidR="00F47752">
        <w:noBreakHyphen/>
      </w:r>
      <w:r w:rsidRPr="00B61A9C">
        <w:t xml:space="preserve">government sources — insurance </w:t>
      </w:r>
      <w:r w:rsidRPr="004372E4">
        <w:t>schemes (such as</w:t>
      </w:r>
      <w:r w:rsidR="00555B68" w:rsidRPr="004372E4">
        <w:t>,</w:t>
      </w:r>
      <w:r w:rsidRPr="004372E4">
        <w:t xml:space="preserve"> workers compensation and third party insurance) and private</w:t>
      </w:r>
      <w:r w:rsidRPr="00B61A9C">
        <w:t xml:space="preserve"> individuals</w:t>
      </w:r>
      <w:r w:rsidR="004253BA">
        <w:t xml:space="preserve"> — also provide payments to GPs.</w:t>
      </w:r>
    </w:p>
    <w:p w:rsidR="001B61DB" w:rsidRDefault="001B61DB" w:rsidP="001B61DB">
      <w:pPr>
        <w:pStyle w:val="Heading4"/>
      </w:pPr>
      <w:r w:rsidRPr="001B61DB">
        <w:t>Pharmaceutical Benefits Scheme and Repatriation Pharmaceutical Benefits Scheme</w:t>
      </w:r>
    </w:p>
    <w:p w:rsidR="0063246E" w:rsidRPr="00BD4DA5" w:rsidRDefault="0063246E" w:rsidP="00BD4DA5">
      <w:pPr>
        <w:pStyle w:val="BodyText"/>
        <w:rPr>
          <w:rStyle w:val="DraftingNote"/>
          <w:b w:val="0"/>
          <w:color w:val="auto"/>
          <w:sz w:val="26"/>
          <w:u w:val="none"/>
        </w:rPr>
      </w:pPr>
      <w:r w:rsidRPr="00011CE2">
        <w:t>Australian Government expenditure on the PBS and RPBS was around $7.5 billion in 2012</w:t>
      </w:r>
      <w:r w:rsidRPr="00011CE2">
        <w:noBreakHyphen/>
        <w:t>13</w:t>
      </w:r>
      <w:r>
        <w:t xml:space="preserve"> (tables 11A.</w:t>
      </w:r>
      <w:r w:rsidR="00514F14">
        <w:t>4</w:t>
      </w:r>
      <w:r>
        <w:t xml:space="preserve"> and 11A.</w:t>
      </w:r>
      <w:r w:rsidR="00514F14">
        <w:t>5</w:t>
      </w:r>
      <w:r>
        <w:t>)</w:t>
      </w:r>
      <w:r w:rsidRPr="00011CE2">
        <w:t xml:space="preserve">. </w:t>
      </w:r>
      <w:r>
        <w:t xml:space="preserve">Expenditure on the PBS was </w:t>
      </w:r>
      <w:r w:rsidRPr="00011CE2">
        <w:t>$7.1 billion</w:t>
      </w:r>
      <w:r>
        <w:t xml:space="preserve"> </w:t>
      </w:r>
      <w:r w:rsidRPr="00011CE2">
        <w:t>— $309 per person</w:t>
      </w:r>
      <w:r w:rsidR="00363D50">
        <w:t xml:space="preserve"> </w:t>
      </w:r>
      <w:r w:rsidRPr="00011CE2">
        <w:t xml:space="preserve">— </w:t>
      </w:r>
      <w:r>
        <w:t>in 2012-13, lower than in the preceding four years</w:t>
      </w:r>
      <w:r w:rsidR="00A83C41">
        <w:t xml:space="preserve"> </w:t>
      </w:r>
      <w:r w:rsidR="0022284D">
        <w:t>in which</w:t>
      </w:r>
      <w:r w:rsidR="00A83C41">
        <w:t xml:space="preserve"> expenditure </w:t>
      </w:r>
      <w:r w:rsidR="00D46C13">
        <w:t xml:space="preserve">was relatively stable, </w:t>
      </w:r>
      <w:r w:rsidR="00A83C41">
        <w:t>fluctuat</w:t>
      </w:r>
      <w:r w:rsidR="00D46C13">
        <w:t>ing</w:t>
      </w:r>
      <w:r w:rsidR="00A83C41">
        <w:t xml:space="preserve"> between $336 and $342</w:t>
      </w:r>
      <w:r>
        <w:t xml:space="preserve"> </w:t>
      </w:r>
      <w:r w:rsidR="00A83C41">
        <w:t xml:space="preserve">per person </w:t>
      </w:r>
      <w:r w:rsidR="0022284D">
        <w:t>(in 2012</w:t>
      </w:r>
      <w:r w:rsidR="0022284D">
        <w:noBreakHyphen/>
        <w:t>13 dollars) (figure</w:t>
      </w:r>
      <w:r w:rsidR="00C72C0F">
        <w:t> </w:t>
      </w:r>
      <w:r w:rsidR="000D59AD">
        <w:t>11.</w:t>
      </w:r>
      <w:r w:rsidR="00C72C0F">
        <w:t>1</w:t>
      </w:r>
      <w:r>
        <w:t>). Over the same period, the proportion of PBS expenditure that is concessional rose from 77.9 to</w:t>
      </w:r>
      <w:r w:rsidRPr="00011CE2">
        <w:t xml:space="preserve"> 78.5 per cent</w:t>
      </w:r>
      <w:r>
        <w:t xml:space="preserve"> (tables 11A</w:t>
      </w:r>
      <w:r w:rsidR="000D59AD">
        <w:t>.</w:t>
      </w:r>
      <w:r>
        <w:t>3 and 11A.</w:t>
      </w:r>
      <w:r w:rsidR="00514F14">
        <w:t>5</w:t>
      </w:r>
      <w:r>
        <w:t>)</w:t>
      </w:r>
      <w:r w:rsidRPr="00011CE2">
        <w:t>.</w:t>
      </w:r>
    </w:p>
    <w:p w:rsidR="00757142" w:rsidRDefault="00757142">
      <w:pPr>
        <w:pStyle w:val="FigureTitle"/>
      </w:pPr>
      <w:r>
        <w:rPr>
          <w:b w:val="0"/>
        </w:rPr>
        <w:lastRenderedPageBreak/>
        <w:t>Figure 11.</w:t>
      </w:r>
      <w:r w:rsidR="00AF26EF">
        <w:rPr>
          <w:b w:val="0"/>
          <w:noProof/>
        </w:rPr>
        <w:t>1</w:t>
      </w:r>
      <w:r>
        <w:tab/>
      </w:r>
      <w:r w:rsidR="00B3594B">
        <w:t>PBS expenditure per person</w:t>
      </w:r>
      <w:r w:rsidR="00B3594B" w:rsidRPr="00EA61E4">
        <w:t xml:space="preserve"> </w:t>
      </w:r>
      <w:r w:rsidR="00B3594B">
        <w:t>(</w:t>
      </w:r>
      <w:r w:rsidR="00B3594B" w:rsidRPr="00EA61E4">
        <w:t>201</w:t>
      </w:r>
      <w:r w:rsidR="00B3594B">
        <w:t>2</w:t>
      </w:r>
      <w:r w:rsidR="00B3594B" w:rsidRPr="00EA61E4">
        <w:noBreakHyphen/>
        <w:t>1</w:t>
      </w:r>
      <w:r w:rsidR="00B3594B">
        <w:t>3 dollars)</w:t>
      </w:r>
      <w:r w:rsidR="00B3594B" w:rsidRPr="00F42C50">
        <w:rPr>
          <w:rStyle w:val="NoteLabel"/>
          <w:b/>
        </w:rPr>
        <w:t>a</w:t>
      </w:r>
      <w:r w:rsidR="00B3594B">
        <w:rPr>
          <w:rStyle w:val="NoteLabel"/>
          <w:b/>
        </w:rPr>
        <w:t>, b, c, d, e, f,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57142">
        <w:tc>
          <w:tcPr>
            <w:tcW w:w="8777" w:type="dxa"/>
          </w:tcPr>
          <w:p w:rsidR="00757142" w:rsidRDefault="00350BAF">
            <w:pPr>
              <w:pStyle w:val="Figure"/>
            </w:pPr>
            <w:r>
              <w:rPr>
                <w:noProof/>
              </w:rPr>
              <w:drawing>
                <wp:inline distT="0" distB="0" distL="0" distR="0">
                  <wp:extent cx="5400040" cy="2872105"/>
                  <wp:effectExtent l="0" t="0" r="0" b="4445"/>
                  <wp:docPr id="8" name="Picture 8" descr="Figure 11.1 PBS expenditure per person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872105"/>
                          </a:xfrm>
                          <a:prstGeom prst="rect">
                            <a:avLst/>
                          </a:prstGeom>
                          <a:noFill/>
                          <a:ln>
                            <a:noFill/>
                          </a:ln>
                        </pic:spPr>
                      </pic:pic>
                    </a:graphicData>
                  </a:graphic>
                </wp:inline>
              </w:drawing>
            </w:r>
          </w:p>
        </w:tc>
      </w:tr>
    </w:tbl>
    <w:p w:rsidR="00B3594B" w:rsidRPr="00C71091" w:rsidRDefault="00B3594B" w:rsidP="00C71091">
      <w:pPr>
        <w:pStyle w:val="Note"/>
      </w:pPr>
      <w:r w:rsidRPr="001C6EF4">
        <w:rPr>
          <w:rStyle w:val="NoteLabel"/>
        </w:rPr>
        <w:t>a</w:t>
      </w:r>
      <w:r w:rsidRPr="001C6EF4">
        <w:t> </w:t>
      </w:r>
      <w:r>
        <w:t>D</w:t>
      </w:r>
      <w:r w:rsidRPr="001C6EF4">
        <w:t xml:space="preserve">ata are adjusted to 2012-13 dollars using the General Government Final Consumption Expenditure (GGFCE) chain price deflator (2012-13 = 100) (table 2A.51). </w:t>
      </w:r>
      <w:r w:rsidRPr="001C6EF4">
        <w:rPr>
          <w:rStyle w:val="NoteLabel"/>
        </w:rPr>
        <w:t>b </w:t>
      </w:r>
      <w:r>
        <w:t xml:space="preserve">Rates are derived using </w:t>
      </w:r>
      <w:r w:rsidRPr="00363D50">
        <w:t xml:space="preserve">the </w:t>
      </w:r>
      <w:r w:rsidR="00886237" w:rsidRPr="00886237">
        <w:t xml:space="preserve">Australian Bureau of Statistics </w:t>
      </w:r>
      <w:r w:rsidR="00886237">
        <w:t>(</w:t>
      </w:r>
      <w:r w:rsidRPr="00363D50">
        <w:t>ABS</w:t>
      </w:r>
      <w:r w:rsidR="00886237">
        <w:t>)</w:t>
      </w:r>
      <w:r w:rsidRPr="00363D50">
        <w:t xml:space="preserve"> ERP</w:t>
      </w:r>
      <w:r>
        <w:t xml:space="preserve"> for 31 December</w:t>
      </w:r>
      <w:r w:rsidRPr="00363D50">
        <w:t xml:space="preserve"> 2012</w:t>
      </w:r>
      <w:r>
        <w:t xml:space="preserve"> and are not comp</w:t>
      </w:r>
      <w:r w:rsidR="00CA25A8">
        <w:t>arable with rates in figure 11.6</w:t>
      </w:r>
      <w:r>
        <w:t xml:space="preserve"> that are derived using the 30 June 2012 ERP. </w:t>
      </w:r>
      <w:r>
        <w:rPr>
          <w:rStyle w:val="NoteLabel"/>
        </w:rPr>
        <w:t>c</w:t>
      </w:r>
      <w:r w:rsidRPr="001C6EF4">
        <w:rPr>
          <w:rStyle w:val="NoteLabel"/>
        </w:rPr>
        <w:t> </w:t>
      </w:r>
      <w:r>
        <w:t>S</w:t>
      </w:r>
      <w:r w:rsidRPr="001C6EF4">
        <w:t xml:space="preserve">tate and Territory data are only </w:t>
      </w:r>
      <w:r w:rsidRPr="006043D4">
        <w:t xml:space="preserve">available on a cash basis for general and concessional categories. Data are not directly comparable to those published in </w:t>
      </w:r>
      <w:r w:rsidR="00B513D7">
        <w:t>the Department of Health</w:t>
      </w:r>
      <w:r w:rsidRPr="006043D4">
        <w:t>’s annual report which are prepared on an accrual accounting basis and include other categories administered under special arrangements (</w:t>
      </w:r>
      <w:r>
        <w:t>s</w:t>
      </w:r>
      <w:r w:rsidRPr="00363D50">
        <w:t xml:space="preserve">uch as medications </w:t>
      </w:r>
      <w:r w:rsidR="00490BCC">
        <w:t>supplied</w:t>
      </w:r>
      <w:r w:rsidRPr="00363D50">
        <w:t xml:space="preserve"> to remote and very remote areas under s.100 of the </w:t>
      </w:r>
      <w:r w:rsidRPr="00363D50">
        <w:rPr>
          <w:i/>
        </w:rPr>
        <w:t>National Health Act 1953</w:t>
      </w:r>
      <w:r w:rsidRPr="00363D50">
        <w:t xml:space="preserve"> [Cwlth]</w:t>
      </w:r>
      <w:r>
        <w:t xml:space="preserve"> — costing </w:t>
      </w:r>
      <w:r w:rsidRPr="00363D50">
        <w:t xml:space="preserve">$36.9 million </w:t>
      </w:r>
      <w:r>
        <w:t>for 2012-13, of which the NT accounted for 51 per cent [table 11A.6]</w:t>
      </w:r>
      <w:r w:rsidRPr="00363D50">
        <w:t>)</w:t>
      </w:r>
      <w:r w:rsidRPr="006043D4">
        <w:t xml:space="preserve">. </w:t>
      </w:r>
      <w:r>
        <w:rPr>
          <w:rStyle w:val="NoteLabel"/>
        </w:rPr>
        <w:t>d</w:t>
      </w:r>
      <w:r w:rsidRPr="006043D4">
        <w:rPr>
          <w:rStyle w:val="NoteLabel"/>
        </w:rPr>
        <w:t> </w:t>
      </w:r>
      <w:r w:rsidRPr="006043D4">
        <w:t xml:space="preserve"> Includes PBS general ordinary and safety net. </w:t>
      </w:r>
      <w:r>
        <w:rPr>
          <w:rStyle w:val="NoteLabel"/>
        </w:rPr>
        <w:t>e</w:t>
      </w:r>
      <w:r w:rsidRPr="001238C6">
        <w:rPr>
          <w:rStyle w:val="NoteLabel"/>
        </w:rPr>
        <w:t> </w:t>
      </w:r>
      <w:r w:rsidRPr="006043D4">
        <w:t xml:space="preserve">Includes PBS concessional ordinary and concessional free safety net. </w:t>
      </w:r>
      <w:r>
        <w:rPr>
          <w:rStyle w:val="NoteLabel"/>
        </w:rPr>
        <w:t>f</w:t>
      </w:r>
      <w:r w:rsidRPr="006043D4">
        <w:t xml:space="preserve"> Includes RPBS general ordinary and safety net. </w:t>
      </w:r>
      <w:r>
        <w:rPr>
          <w:rStyle w:val="NoteLabel"/>
        </w:rPr>
        <w:t>g</w:t>
      </w:r>
      <w:r w:rsidRPr="006043D4">
        <w:rPr>
          <w:rStyle w:val="NoteLabel"/>
        </w:rPr>
        <w:t> </w:t>
      </w:r>
      <w:r w:rsidRPr="006043D4">
        <w:t>Excludes PBS doctor’s bag.</w:t>
      </w:r>
    </w:p>
    <w:p w:rsidR="00757142" w:rsidRDefault="00B3594B" w:rsidP="00B3594B">
      <w:pPr>
        <w:pStyle w:val="Note"/>
      </w:pPr>
      <w:r w:rsidRPr="006043D4">
        <w:rPr>
          <w:i/>
        </w:rPr>
        <w:t>Source</w:t>
      </w:r>
      <w:r w:rsidRPr="009E7901">
        <w:t xml:space="preserve">: </w:t>
      </w:r>
      <w:r w:rsidR="00B513D7">
        <w:t>Department of Health</w:t>
      </w:r>
      <w:r w:rsidRPr="009E7901">
        <w:t xml:space="preserve"> (unpublish</w:t>
      </w:r>
      <w:r>
        <w:t>ed) PBS Statistics; tables 11A.4</w:t>
      </w:r>
      <w:r w:rsidRPr="009E7901">
        <w:t xml:space="preserve"> and 11A.</w:t>
      </w:r>
      <w:r>
        <w:t>5</w:t>
      </w:r>
      <w:r w:rsidRPr="009E7901">
        <w:t>.</w:t>
      </w:r>
      <w:r w:rsidR="00757142" w:rsidRPr="00167F06">
        <w:t xml:space="preserve"> </w:t>
      </w:r>
    </w:p>
    <w:p w:rsidR="00083F1C" w:rsidRDefault="00083F1C" w:rsidP="00083F1C">
      <w:pPr>
        <w:pStyle w:val="Heading4"/>
      </w:pPr>
      <w:r>
        <w:t>Community health services</w:t>
      </w:r>
    </w:p>
    <w:p w:rsidR="00CA359A" w:rsidRPr="00944E91" w:rsidRDefault="00502AD9" w:rsidP="00A93102">
      <w:pPr>
        <w:pStyle w:val="BodyText"/>
      </w:pPr>
      <w:r w:rsidRPr="00502AD9">
        <w:t xml:space="preserve">Overall government expenditure data </w:t>
      </w:r>
      <w:r>
        <w:t xml:space="preserve">relating only to the </w:t>
      </w:r>
      <w:r w:rsidR="00BB29CB">
        <w:t xml:space="preserve">primary and community health </w:t>
      </w:r>
      <w:r>
        <w:t xml:space="preserve">services covered in this chapter </w:t>
      </w:r>
      <w:r w:rsidRPr="00502AD9">
        <w:t xml:space="preserve">are not available. Expenditure data reported here also cover </w:t>
      </w:r>
      <w:r w:rsidR="008E3200">
        <w:t xml:space="preserve">public health </w:t>
      </w:r>
      <w:r w:rsidRPr="00502AD9">
        <w:t xml:space="preserve">services such as food safety regulation and media campaigns to promote health awareness, as well as private dental services (funded by health insurance premium rebates and </w:t>
      </w:r>
      <w:r>
        <w:t>non</w:t>
      </w:r>
      <w:r>
        <w:noBreakHyphen/>
      </w:r>
      <w:r w:rsidRPr="00502AD9">
        <w:t xml:space="preserve">government expenditure) </w:t>
      </w:r>
      <w:r w:rsidR="00952C05">
        <w:t>(table </w:t>
      </w:r>
      <w:r w:rsidR="00952C05" w:rsidRPr="0058422C">
        <w:t>11.</w:t>
      </w:r>
      <w:r w:rsidR="009821C3">
        <w:t>2</w:t>
      </w:r>
      <w:r w:rsidR="00952C05">
        <w:t>).</w:t>
      </w:r>
    </w:p>
    <w:p w:rsidR="00006E5B" w:rsidRDefault="00083F1C" w:rsidP="00584945">
      <w:pPr>
        <w:pStyle w:val="BodyText"/>
      </w:pPr>
      <w:r w:rsidRPr="00571D83">
        <w:t xml:space="preserve">In </w:t>
      </w:r>
      <w:r w:rsidR="006D474F" w:rsidRPr="00DA4E8F">
        <w:t>20</w:t>
      </w:r>
      <w:r w:rsidR="00571D83" w:rsidRPr="00DA4E8F">
        <w:t>1</w:t>
      </w:r>
      <w:r w:rsidR="00DA4E8F" w:rsidRPr="00DA4E8F">
        <w:t>1</w:t>
      </w:r>
      <w:r w:rsidR="006D474F" w:rsidRPr="00DA4E8F">
        <w:t>-</w:t>
      </w:r>
      <w:r w:rsidR="008525F7" w:rsidRPr="00DA4E8F">
        <w:t>1</w:t>
      </w:r>
      <w:r w:rsidR="00DA4E8F" w:rsidRPr="00DA4E8F">
        <w:t>2</w:t>
      </w:r>
      <w:r w:rsidRPr="00571D83">
        <w:t xml:space="preserve">, government expenditure on community and public health was </w:t>
      </w:r>
      <w:r w:rsidRPr="00DA4E8F">
        <w:t>$</w:t>
      </w:r>
      <w:r w:rsidR="006D06A0" w:rsidRPr="00DA4E8F">
        <w:t>9</w:t>
      </w:r>
      <w:r w:rsidR="00BB29CB">
        <w:t>.3</w:t>
      </w:r>
      <w:r w:rsidR="006D474F" w:rsidRPr="00DA4E8F">
        <w:t> </w:t>
      </w:r>
      <w:r w:rsidRPr="00DA4E8F">
        <w:t>billion</w:t>
      </w:r>
      <w:r w:rsidR="005604DE" w:rsidRPr="00571D83">
        <w:t>, of which</w:t>
      </w:r>
      <w:r w:rsidRPr="00571D83">
        <w:t xml:space="preserve"> State, Territory and local government</w:t>
      </w:r>
      <w:r w:rsidR="005604DE" w:rsidRPr="00571D83">
        <w:t>s</w:t>
      </w:r>
      <w:r w:rsidRPr="00571D83">
        <w:t xml:space="preserve"> </w:t>
      </w:r>
      <w:r w:rsidRPr="00DA4E8F">
        <w:t>provid</w:t>
      </w:r>
      <w:r w:rsidR="005604DE" w:rsidRPr="00DA4E8F">
        <w:t>ed</w:t>
      </w:r>
      <w:r w:rsidRPr="00DA4E8F">
        <w:t xml:space="preserve"> </w:t>
      </w:r>
      <w:r w:rsidR="007E5822" w:rsidRPr="00DA4E8F">
        <w:t>7</w:t>
      </w:r>
      <w:r w:rsidR="00DA4E8F" w:rsidRPr="00DA4E8F">
        <w:t>0</w:t>
      </w:r>
      <w:r w:rsidR="007E5822" w:rsidRPr="00DA4E8F">
        <w:t>.</w:t>
      </w:r>
      <w:r w:rsidR="00571D83" w:rsidRPr="00DA4E8F">
        <w:t>8</w:t>
      </w:r>
      <w:r w:rsidR="006D474F" w:rsidRPr="00DA4E8F">
        <w:t> </w:t>
      </w:r>
      <w:r w:rsidRPr="00DA4E8F">
        <w:t>per</w:t>
      </w:r>
      <w:r w:rsidR="008A5AB9" w:rsidRPr="00DA4E8F">
        <w:t> </w:t>
      </w:r>
      <w:r w:rsidRPr="00DA4E8F">
        <w:t>cent</w:t>
      </w:r>
      <w:r w:rsidR="005604DE" w:rsidRPr="00571D83">
        <w:t>,</w:t>
      </w:r>
      <w:r w:rsidRPr="00571D83">
        <w:t xml:space="preserve"> and the Australian Government </w:t>
      </w:r>
      <w:r w:rsidR="00DA4E8F" w:rsidRPr="00DA4E8F">
        <w:t>29</w:t>
      </w:r>
      <w:r w:rsidR="00571D83" w:rsidRPr="00DA4E8F">
        <w:t>.2</w:t>
      </w:r>
      <w:r w:rsidR="006D474F" w:rsidRPr="00DA4E8F">
        <w:t> </w:t>
      </w:r>
      <w:r w:rsidRPr="00571D83">
        <w:t>per</w:t>
      </w:r>
      <w:r w:rsidR="008A5AB9" w:rsidRPr="00571D83">
        <w:t> </w:t>
      </w:r>
      <w:r w:rsidRPr="00571D83">
        <w:t>cent (table</w:t>
      </w:r>
      <w:r w:rsidR="008A5AB9" w:rsidRPr="00571D83">
        <w:t> </w:t>
      </w:r>
      <w:r w:rsidR="00300AE2" w:rsidRPr="00571D83">
        <w:t>11</w:t>
      </w:r>
      <w:r w:rsidR="00300AE2" w:rsidRPr="00225F14">
        <w:t>.</w:t>
      </w:r>
      <w:r w:rsidR="009821C3">
        <w:t>2</w:t>
      </w:r>
      <w:r w:rsidRPr="00225F14">
        <w:t xml:space="preserve">). </w:t>
      </w:r>
      <w:r w:rsidR="00267380">
        <w:t xml:space="preserve">In that year, </w:t>
      </w:r>
      <w:r w:rsidR="00FE130D" w:rsidRPr="00225F14">
        <w:t xml:space="preserve">Australian </w:t>
      </w:r>
      <w:r w:rsidR="00FE130D" w:rsidRPr="00DA256B">
        <w:t>Government direct outlay expenditure</w:t>
      </w:r>
      <w:r w:rsidR="00CC72F8" w:rsidRPr="00DA256B">
        <w:t xml:space="preserve"> on dental services, predominantly through the DVA and </w:t>
      </w:r>
      <w:r w:rsidR="00B513D7">
        <w:t>the Department of Health</w:t>
      </w:r>
      <w:r w:rsidR="00CC72F8" w:rsidRPr="00DA256B">
        <w:t xml:space="preserve">, </w:t>
      </w:r>
      <w:r w:rsidR="00FE130D" w:rsidRPr="00DA256B">
        <w:t>was</w:t>
      </w:r>
      <w:r w:rsidR="00CC72F8" w:rsidRPr="00DA256B">
        <w:t xml:space="preserve"> $</w:t>
      </w:r>
      <w:r w:rsidR="00EF01EB" w:rsidRPr="00EF01EB">
        <w:t>1.1</w:t>
      </w:r>
      <w:r w:rsidR="00E043CE" w:rsidRPr="00EF01EB">
        <w:t> </w:t>
      </w:r>
      <w:r w:rsidR="00EF01EB" w:rsidRPr="00EF01EB">
        <w:t>b</w:t>
      </w:r>
      <w:r w:rsidR="00CC72F8" w:rsidRPr="00EF01EB">
        <w:t>illion</w:t>
      </w:r>
      <w:r w:rsidR="00CC72F8" w:rsidRPr="00DA256B">
        <w:t>. State, Territory and local government expenditure on dental services was $</w:t>
      </w:r>
      <w:r w:rsidR="00EF01EB" w:rsidRPr="00EF01EB">
        <w:t>718</w:t>
      </w:r>
      <w:r w:rsidR="002C6FCC" w:rsidRPr="00DA256B">
        <w:t> </w:t>
      </w:r>
      <w:r w:rsidR="00CC72F8" w:rsidRPr="00DA256B">
        <w:t>million</w:t>
      </w:r>
      <w:r w:rsidR="00236D7F" w:rsidRPr="00DA256B">
        <w:t xml:space="preserve"> </w:t>
      </w:r>
      <w:r w:rsidR="00FF0A16" w:rsidRPr="00DA256B">
        <w:t xml:space="preserve">in </w:t>
      </w:r>
      <w:r w:rsidR="00236D7F" w:rsidRPr="00EF01EB">
        <w:t>20</w:t>
      </w:r>
      <w:r w:rsidR="00EF01EB">
        <w:t>11</w:t>
      </w:r>
      <w:r w:rsidR="00236D7F" w:rsidRPr="00EF01EB">
        <w:t>-1</w:t>
      </w:r>
      <w:r w:rsidR="00EF01EB">
        <w:t>2</w:t>
      </w:r>
      <w:r w:rsidR="00CC72F8" w:rsidRPr="00DA256B">
        <w:t>. Additional expenditure is incurred by s</w:t>
      </w:r>
      <w:r w:rsidR="00C04914" w:rsidRPr="00DA256B">
        <w:t>ome states and territories</w:t>
      </w:r>
      <w:r w:rsidR="00CD0C33" w:rsidRPr="00DA256B">
        <w:t xml:space="preserve"> </w:t>
      </w:r>
      <w:r w:rsidR="00C04914" w:rsidRPr="00DA256B">
        <w:t xml:space="preserve">through </w:t>
      </w:r>
      <w:r w:rsidR="00CC72F8" w:rsidRPr="00DA256B">
        <w:t xml:space="preserve">schemes that </w:t>
      </w:r>
      <w:r w:rsidR="00C04914" w:rsidRPr="00DA256B">
        <w:t>fund</w:t>
      </w:r>
      <w:r w:rsidR="00CC72F8" w:rsidRPr="00DA256B">
        <w:t xml:space="preserve"> </w:t>
      </w:r>
      <w:r w:rsidR="00835C43" w:rsidRPr="00DA256B">
        <w:t xml:space="preserve">the </w:t>
      </w:r>
      <w:r w:rsidR="00CC72F8" w:rsidRPr="00DA256B">
        <w:lastRenderedPageBreak/>
        <w:t>provision of</w:t>
      </w:r>
      <w:r w:rsidR="00CC72F8">
        <w:t xml:space="preserve"> dental services to eligible people by </w:t>
      </w:r>
      <w:r w:rsidR="00CC72F8" w:rsidRPr="00CC72F8">
        <w:t>private practitioner</w:t>
      </w:r>
      <w:r w:rsidR="00CC72F8">
        <w:t>s</w:t>
      </w:r>
      <w:r w:rsidR="00C04914" w:rsidRPr="00CC72F8">
        <w:t>.</w:t>
      </w:r>
      <w:r w:rsidR="007364A7">
        <w:t xml:space="preserve"> Dental expenditure by state and territory is provided in table 11A.</w:t>
      </w:r>
      <w:r w:rsidR="00514F14">
        <w:t>7</w:t>
      </w:r>
      <w:r w:rsidR="007364A7">
        <w:t>.</w:t>
      </w:r>
    </w:p>
    <w:p w:rsidR="00A153A8" w:rsidRDefault="00A153A8" w:rsidP="00584945">
      <w:pPr>
        <w:pStyle w:val="BodyText"/>
      </w:pPr>
      <w:r w:rsidRPr="00A153A8">
        <w:t xml:space="preserve">Australian Government </w:t>
      </w:r>
      <w:r w:rsidRPr="00571D83">
        <w:t xml:space="preserve">expenditure on </w:t>
      </w:r>
      <w:r w:rsidRPr="00A153A8">
        <w:t>Aboriginal medical services</w:t>
      </w:r>
      <w:r w:rsidR="00761777">
        <w:t xml:space="preserve"> was $531 </w:t>
      </w:r>
      <w:r>
        <w:t>million in 201</w:t>
      </w:r>
      <w:r w:rsidR="00761777">
        <w:t>2-13 (table 11A.</w:t>
      </w:r>
      <w:r w:rsidR="00514F14">
        <w:t>8</w:t>
      </w:r>
      <w:r w:rsidR="00761777">
        <w:t>).</w:t>
      </w:r>
    </w:p>
    <w:p w:rsidR="00045114" w:rsidRDefault="00045114" w:rsidP="00225F14">
      <w:pPr>
        <w:pStyle w:val="TableTitle"/>
      </w:pPr>
      <w:r>
        <w:rPr>
          <w:b w:val="0"/>
        </w:rPr>
        <w:t xml:space="preserve">Table </w:t>
      </w:r>
      <w:bookmarkStart w:id="8" w:name="OLE_LINK2"/>
      <w:r w:rsidR="00EC42DB">
        <w:rPr>
          <w:b w:val="0"/>
        </w:rPr>
        <w:t>11.</w:t>
      </w:r>
      <w:bookmarkEnd w:id="8"/>
      <w:r w:rsidR="009821C3">
        <w:rPr>
          <w:b w:val="0"/>
        </w:rPr>
        <w:t>2</w:t>
      </w:r>
      <w:r>
        <w:tab/>
      </w:r>
      <w:r w:rsidRPr="00006E5B">
        <w:t xml:space="preserve">Estimated funding on community and public health, and dental </w:t>
      </w:r>
      <w:r w:rsidRPr="00225F14">
        <w:t>services</w:t>
      </w:r>
      <w:r w:rsidRPr="00EF77C8">
        <w:t xml:space="preserve">, </w:t>
      </w:r>
      <w:r w:rsidR="008525F7" w:rsidRPr="00981BAF">
        <w:t>20</w:t>
      </w:r>
      <w:r w:rsidR="00EF77C8" w:rsidRPr="00981BAF">
        <w:t>1</w:t>
      </w:r>
      <w:r w:rsidR="00981BAF" w:rsidRPr="00981BAF">
        <w:t>1</w:t>
      </w:r>
      <w:r w:rsidR="008525F7" w:rsidRPr="00981BAF">
        <w:t>-1</w:t>
      </w:r>
      <w:r w:rsidR="00981BAF" w:rsidRPr="00981BAF">
        <w:t>2</w:t>
      </w:r>
      <w:r w:rsidR="008525F7" w:rsidRPr="00EF77C8">
        <w:t xml:space="preserve"> </w:t>
      </w:r>
      <w:r w:rsidRPr="00EF77C8">
        <w:t>($</w:t>
      </w:r>
      <w:r>
        <w:t> </w:t>
      </w:r>
      <w:r w:rsidRPr="00006E5B">
        <w:t>million)</w:t>
      </w:r>
    </w:p>
    <w:tbl>
      <w:tblPr>
        <w:tblW w:w="5002" w:type="pct"/>
        <w:tblLayout w:type="fixed"/>
        <w:tblCellMar>
          <w:left w:w="0" w:type="dxa"/>
          <w:right w:w="0" w:type="dxa"/>
        </w:tblCellMar>
        <w:tblLook w:val="0000" w:firstRow="0" w:lastRow="0" w:firstColumn="0" w:lastColumn="0" w:noHBand="0" w:noVBand="0"/>
      </w:tblPr>
      <w:tblGrid>
        <w:gridCol w:w="1091"/>
        <w:gridCol w:w="528"/>
        <w:gridCol w:w="705"/>
        <w:gridCol w:w="987"/>
        <w:gridCol w:w="707"/>
        <w:gridCol w:w="1270"/>
        <w:gridCol w:w="1208"/>
        <w:gridCol w:w="1133"/>
        <w:gridCol w:w="1164"/>
      </w:tblGrid>
      <w:tr w:rsidR="00E16B74" w:rsidTr="00D772B9">
        <w:tc>
          <w:tcPr>
            <w:tcW w:w="620" w:type="pct"/>
            <w:tcBorders>
              <w:top w:val="single" w:sz="6" w:space="0" w:color="auto"/>
            </w:tcBorders>
            <w:shd w:val="clear" w:color="auto" w:fill="auto"/>
          </w:tcPr>
          <w:p w:rsidR="00A37F8A" w:rsidRDefault="00A37F8A" w:rsidP="005174C2">
            <w:pPr>
              <w:pStyle w:val="TableColumnHeading"/>
              <w:spacing w:before="0" w:afterLines="40" w:after="96"/>
              <w:ind w:right="57"/>
              <w:jc w:val="left"/>
            </w:pPr>
          </w:p>
        </w:tc>
        <w:tc>
          <w:tcPr>
            <w:tcW w:w="1664" w:type="pct"/>
            <w:gridSpan w:val="4"/>
            <w:tcBorders>
              <w:top w:val="single" w:sz="6" w:space="0" w:color="auto"/>
              <w:bottom w:val="single" w:sz="6" w:space="0" w:color="auto"/>
            </w:tcBorders>
            <w:shd w:val="clear" w:color="auto" w:fill="auto"/>
          </w:tcPr>
          <w:p w:rsidR="00A37F8A" w:rsidRDefault="00A37F8A" w:rsidP="00225F14">
            <w:pPr>
              <w:pStyle w:val="TableColumnHeading"/>
              <w:jc w:val="center"/>
            </w:pPr>
            <w:r>
              <w:t>Australian Government</w:t>
            </w:r>
          </w:p>
        </w:tc>
        <w:tc>
          <w:tcPr>
            <w:tcW w:w="722" w:type="pct"/>
            <w:tcBorders>
              <w:top w:val="single" w:sz="6" w:space="0" w:color="auto"/>
            </w:tcBorders>
            <w:shd w:val="clear" w:color="auto" w:fill="auto"/>
          </w:tcPr>
          <w:p w:rsidR="00A37F8A" w:rsidRDefault="00A37F8A" w:rsidP="00225F14">
            <w:pPr>
              <w:pStyle w:val="TableColumnHeading"/>
            </w:pPr>
          </w:p>
        </w:tc>
        <w:tc>
          <w:tcPr>
            <w:tcW w:w="687" w:type="pct"/>
            <w:tcBorders>
              <w:top w:val="single" w:sz="6" w:space="0" w:color="auto"/>
            </w:tcBorders>
            <w:shd w:val="clear" w:color="auto" w:fill="auto"/>
          </w:tcPr>
          <w:p w:rsidR="00A37F8A" w:rsidRDefault="00A37F8A" w:rsidP="00225F14">
            <w:pPr>
              <w:pStyle w:val="TableColumnHeading"/>
            </w:pPr>
          </w:p>
        </w:tc>
        <w:tc>
          <w:tcPr>
            <w:tcW w:w="644" w:type="pct"/>
            <w:tcBorders>
              <w:top w:val="single" w:sz="6" w:space="0" w:color="auto"/>
            </w:tcBorders>
            <w:shd w:val="clear" w:color="auto" w:fill="auto"/>
          </w:tcPr>
          <w:p w:rsidR="00A37F8A" w:rsidRDefault="00A37F8A" w:rsidP="00225F14">
            <w:pPr>
              <w:pStyle w:val="TableColumnHeading"/>
            </w:pPr>
          </w:p>
        </w:tc>
        <w:tc>
          <w:tcPr>
            <w:tcW w:w="662" w:type="pct"/>
            <w:tcBorders>
              <w:top w:val="single" w:sz="6" w:space="0" w:color="auto"/>
            </w:tcBorders>
            <w:shd w:val="clear" w:color="auto" w:fill="auto"/>
          </w:tcPr>
          <w:p w:rsidR="00A37F8A" w:rsidRDefault="00A37F8A" w:rsidP="00225F14">
            <w:pPr>
              <w:pStyle w:val="TableColumnHeading"/>
              <w:ind w:right="28"/>
            </w:pPr>
          </w:p>
        </w:tc>
      </w:tr>
      <w:tr w:rsidR="00E16B74" w:rsidRPr="009E155E" w:rsidTr="00D772B9">
        <w:tc>
          <w:tcPr>
            <w:tcW w:w="620" w:type="pct"/>
            <w:tcBorders>
              <w:bottom w:val="single" w:sz="6" w:space="0" w:color="auto"/>
            </w:tcBorders>
            <w:vAlign w:val="bottom"/>
          </w:tcPr>
          <w:p w:rsidR="00045114" w:rsidRPr="009E155E" w:rsidRDefault="00045114" w:rsidP="005174C2">
            <w:pPr>
              <w:pStyle w:val="TableBodyText"/>
              <w:spacing w:afterLines="40" w:after="96"/>
              <w:ind w:right="57"/>
              <w:rPr>
                <w:i/>
              </w:rPr>
            </w:pPr>
          </w:p>
        </w:tc>
        <w:tc>
          <w:tcPr>
            <w:tcW w:w="300" w:type="pct"/>
            <w:tcBorders>
              <w:top w:val="single" w:sz="6" w:space="0" w:color="auto"/>
              <w:bottom w:val="single" w:sz="6" w:space="0" w:color="auto"/>
            </w:tcBorders>
            <w:tcMar>
              <w:right w:w="28" w:type="dxa"/>
            </w:tcMar>
            <w:vAlign w:val="bottom"/>
          </w:tcPr>
          <w:p w:rsidR="00045114" w:rsidRPr="009E155E" w:rsidRDefault="00045114" w:rsidP="005174C2">
            <w:pPr>
              <w:pStyle w:val="TableBodyText"/>
              <w:ind w:right="57"/>
              <w:rPr>
                <w:i/>
              </w:rPr>
            </w:pPr>
            <w:r w:rsidRPr="009E155E">
              <w:rPr>
                <w:i/>
              </w:rPr>
              <w:t>DVA</w:t>
            </w:r>
          </w:p>
        </w:tc>
        <w:tc>
          <w:tcPr>
            <w:tcW w:w="401" w:type="pct"/>
            <w:tcBorders>
              <w:top w:val="single" w:sz="6" w:space="0" w:color="auto"/>
              <w:bottom w:val="single" w:sz="6" w:space="0" w:color="auto"/>
            </w:tcBorders>
            <w:tcMar>
              <w:right w:w="28" w:type="dxa"/>
            </w:tcMar>
            <w:vAlign w:val="bottom"/>
          </w:tcPr>
          <w:p w:rsidR="00045114" w:rsidRPr="009E155E" w:rsidRDefault="00B513D7" w:rsidP="005174C2">
            <w:pPr>
              <w:pStyle w:val="TableBodyText"/>
              <w:ind w:right="57"/>
              <w:rPr>
                <w:b/>
                <w:i/>
              </w:rPr>
            </w:pPr>
            <w:r>
              <w:rPr>
                <w:i/>
              </w:rPr>
              <w:t>Department of Health</w:t>
            </w:r>
            <w:r w:rsidR="00045114" w:rsidRPr="009E155E">
              <w:rPr>
                <w:i/>
              </w:rPr>
              <w:t xml:space="preserve"> and other</w:t>
            </w:r>
            <w:r w:rsidR="007B7A67" w:rsidRPr="009E155E">
              <w:rPr>
                <w:rStyle w:val="NoteLabel"/>
              </w:rPr>
              <w:t>a</w:t>
            </w:r>
          </w:p>
        </w:tc>
        <w:tc>
          <w:tcPr>
            <w:tcW w:w="561" w:type="pct"/>
            <w:tcBorders>
              <w:top w:val="single" w:sz="6" w:space="0" w:color="auto"/>
              <w:bottom w:val="single" w:sz="6" w:space="0" w:color="auto"/>
            </w:tcBorders>
            <w:tcMar>
              <w:right w:w="28" w:type="dxa"/>
            </w:tcMar>
            <w:vAlign w:val="bottom"/>
          </w:tcPr>
          <w:p w:rsidR="00045114" w:rsidRPr="009E155E" w:rsidRDefault="00815E2D" w:rsidP="005174C2">
            <w:pPr>
              <w:pStyle w:val="TableBodyText"/>
              <w:ind w:right="57"/>
              <w:rPr>
                <w:i/>
              </w:rPr>
            </w:pPr>
            <w:r w:rsidRPr="009E155E">
              <w:rPr>
                <w:i/>
              </w:rPr>
              <w:t>Insurance p</w:t>
            </w:r>
            <w:r w:rsidR="00045114" w:rsidRPr="009E155E">
              <w:rPr>
                <w:i/>
              </w:rPr>
              <w:t>remium rebates</w:t>
            </w:r>
            <w:r w:rsidR="007B7A67" w:rsidRPr="009E155E">
              <w:rPr>
                <w:rStyle w:val="NoteLabel"/>
              </w:rPr>
              <w:t>b</w:t>
            </w:r>
          </w:p>
        </w:tc>
        <w:tc>
          <w:tcPr>
            <w:tcW w:w="402" w:type="pct"/>
            <w:tcBorders>
              <w:top w:val="single" w:sz="6" w:space="0" w:color="auto"/>
              <w:bottom w:val="single" w:sz="6" w:space="0" w:color="auto"/>
            </w:tcBorders>
            <w:tcMar>
              <w:right w:w="28" w:type="dxa"/>
            </w:tcMar>
            <w:vAlign w:val="bottom"/>
          </w:tcPr>
          <w:p w:rsidR="00045114" w:rsidRPr="003A198D" w:rsidRDefault="00045114" w:rsidP="005174C2">
            <w:pPr>
              <w:pStyle w:val="TableBodyText"/>
              <w:ind w:right="57"/>
              <w:rPr>
                <w:rStyle w:val="NoteLabel"/>
              </w:rPr>
            </w:pPr>
            <w:r w:rsidRPr="009E155E">
              <w:rPr>
                <w:i/>
              </w:rPr>
              <w:t>Total</w:t>
            </w:r>
            <w:r w:rsidR="003A198D">
              <w:rPr>
                <w:rStyle w:val="NoteLabel"/>
              </w:rPr>
              <w:t>c</w:t>
            </w:r>
          </w:p>
        </w:tc>
        <w:tc>
          <w:tcPr>
            <w:tcW w:w="722" w:type="pct"/>
            <w:tcBorders>
              <w:bottom w:val="single" w:sz="6" w:space="0" w:color="auto"/>
            </w:tcBorders>
            <w:tcMar>
              <w:right w:w="28" w:type="dxa"/>
            </w:tcMar>
            <w:vAlign w:val="bottom"/>
          </w:tcPr>
          <w:p w:rsidR="00045114" w:rsidRPr="009E155E" w:rsidRDefault="00045114" w:rsidP="005174C2">
            <w:pPr>
              <w:pStyle w:val="TableBodyText"/>
              <w:ind w:right="57"/>
              <w:rPr>
                <w:i/>
              </w:rPr>
            </w:pPr>
            <w:r w:rsidRPr="009E155E">
              <w:rPr>
                <w:i/>
              </w:rPr>
              <w:t>State</w:t>
            </w:r>
            <w:r w:rsidR="00E95680" w:rsidRPr="009E155E">
              <w:rPr>
                <w:i/>
              </w:rPr>
              <w:t xml:space="preserve">, Territory and </w:t>
            </w:r>
            <w:r w:rsidRPr="009E155E">
              <w:rPr>
                <w:i/>
              </w:rPr>
              <w:t>local gov</w:t>
            </w:r>
            <w:r w:rsidR="00E95680" w:rsidRPr="009E155E">
              <w:rPr>
                <w:i/>
              </w:rPr>
              <w:t>ernment</w:t>
            </w:r>
          </w:p>
        </w:tc>
        <w:tc>
          <w:tcPr>
            <w:tcW w:w="687" w:type="pct"/>
            <w:tcBorders>
              <w:bottom w:val="single" w:sz="6" w:space="0" w:color="auto"/>
            </w:tcBorders>
            <w:tcMar>
              <w:right w:w="28" w:type="dxa"/>
            </w:tcMar>
            <w:vAlign w:val="bottom"/>
          </w:tcPr>
          <w:p w:rsidR="00045114" w:rsidRPr="009E155E" w:rsidRDefault="00045114" w:rsidP="005174C2">
            <w:pPr>
              <w:pStyle w:val="TableBodyText"/>
              <w:ind w:right="0"/>
              <w:rPr>
                <w:i/>
              </w:rPr>
            </w:pPr>
            <w:r w:rsidRPr="009E155E">
              <w:rPr>
                <w:i/>
              </w:rPr>
              <w:t xml:space="preserve">Total </w:t>
            </w:r>
            <w:r w:rsidR="00E95680" w:rsidRPr="009E155E">
              <w:rPr>
                <w:i/>
              </w:rPr>
              <w:t>government</w:t>
            </w:r>
            <w:r w:rsidR="00890F99" w:rsidRPr="005174C2">
              <w:rPr>
                <w:rStyle w:val="NoteLabel"/>
              </w:rPr>
              <w:t>c</w:t>
            </w:r>
          </w:p>
        </w:tc>
        <w:tc>
          <w:tcPr>
            <w:tcW w:w="644" w:type="pct"/>
            <w:tcBorders>
              <w:bottom w:val="single" w:sz="6" w:space="0" w:color="auto"/>
            </w:tcBorders>
            <w:tcMar>
              <w:right w:w="11" w:type="dxa"/>
            </w:tcMar>
            <w:vAlign w:val="bottom"/>
          </w:tcPr>
          <w:p w:rsidR="00045114" w:rsidRPr="009E155E" w:rsidRDefault="00045114" w:rsidP="005174C2">
            <w:pPr>
              <w:pStyle w:val="TableBodyText"/>
              <w:ind w:right="57"/>
              <w:rPr>
                <w:i/>
              </w:rPr>
            </w:pPr>
            <w:r w:rsidRPr="009E155E">
              <w:rPr>
                <w:i/>
              </w:rPr>
              <w:t>Non</w:t>
            </w:r>
            <w:r w:rsidRPr="009E155E">
              <w:rPr>
                <w:i/>
              </w:rPr>
              <w:noBreakHyphen/>
            </w:r>
            <w:r w:rsidR="00E95680" w:rsidRPr="009E155E">
              <w:rPr>
                <w:i/>
              </w:rPr>
              <w:t>government</w:t>
            </w:r>
          </w:p>
        </w:tc>
        <w:tc>
          <w:tcPr>
            <w:tcW w:w="662" w:type="pct"/>
            <w:tcBorders>
              <w:bottom w:val="single" w:sz="6" w:space="0" w:color="auto"/>
            </w:tcBorders>
            <w:tcMar>
              <w:right w:w="28" w:type="dxa"/>
            </w:tcMar>
            <w:vAlign w:val="bottom"/>
          </w:tcPr>
          <w:p w:rsidR="00045114" w:rsidRPr="009E155E" w:rsidRDefault="00045114" w:rsidP="005174C2">
            <w:pPr>
              <w:pStyle w:val="TableBodyText"/>
              <w:ind w:right="57"/>
              <w:rPr>
                <w:i/>
              </w:rPr>
            </w:pPr>
            <w:r w:rsidRPr="009E155E">
              <w:rPr>
                <w:i/>
              </w:rPr>
              <w:t>Total</w:t>
            </w:r>
            <w:r w:rsidR="00890F99">
              <w:rPr>
                <w:i/>
              </w:rPr>
              <w:t xml:space="preserve"> government and non</w:t>
            </w:r>
            <w:r w:rsidR="00890F99">
              <w:rPr>
                <w:i/>
              </w:rPr>
              <w:noBreakHyphen/>
            </w:r>
            <w:r w:rsidR="00A74F05" w:rsidRPr="009E155E">
              <w:rPr>
                <w:i/>
              </w:rPr>
              <w:t>government</w:t>
            </w:r>
            <w:r w:rsidR="00890F99" w:rsidRPr="005174C2">
              <w:rPr>
                <w:rStyle w:val="NoteLabel"/>
              </w:rPr>
              <w:t>c</w:t>
            </w:r>
          </w:p>
        </w:tc>
      </w:tr>
      <w:tr w:rsidR="00051EF0" w:rsidRPr="00EF77C8" w:rsidTr="00051EF0">
        <w:tc>
          <w:tcPr>
            <w:tcW w:w="620" w:type="pct"/>
            <w:tcBorders>
              <w:top w:val="single" w:sz="6" w:space="0" w:color="auto"/>
            </w:tcBorders>
            <w:shd w:val="clear" w:color="auto" w:fill="auto"/>
            <w:vAlign w:val="bottom"/>
          </w:tcPr>
          <w:p w:rsidR="00051EF0" w:rsidRPr="00EF77C8" w:rsidRDefault="00051EF0" w:rsidP="005174C2">
            <w:pPr>
              <w:pStyle w:val="TableBodyText"/>
              <w:spacing w:afterLines="40" w:after="96"/>
              <w:ind w:right="57"/>
              <w:jc w:val="left"/>
            </w:pPr>
            <w:r w:rsidRPr="00EF77C8">
              <w:t>Communit</w:t>
            </w:r>
            <w:r>
              <w:t>y</w:t>
            </w:r>
            <w:r w:rsidRPr="00EF77C8">
              <w:t xml:space="preserve"> and public health</w:t>
            </w:r>
            <w:r w:rsidRPr="00EF77C8">
              <w:rPr>
                <w:rStyle w:val="NoteLabel"/>
              </w:rPr>
              <w:t>d</w:t>
            </w:r>
          </w:p>
        </w:tc>
        <w:tc>
          <w:tcPr>
            <w:tcW w:w="300"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1 </w:t>
            </w:r>
          </w:p>
        </w:tc>
        <w:tc>
          <w:tcPr>
            <w:tcW w:w="401"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2</w:t>
            </w:r>
            <w:r w:rsidR="008604EF">
              <w:rPr>
                <w:rFonts w:ascii="Arial" w:hAnsi="Arial" w:cs="Arial"/>
                <w:sz w:val="20"/>
                <w:szCs w:val="20"/>
              </w:rPr>
              <w:t> </w:t>
            </w:r>
            <w:r>
              <w:rPr>
                <w:rFonts w:ascii="Arial" w:hAnsi="Arial" w:cs="Arial"/>
                <w:sz w:val="20"/>
                <w:szCs w:val="20"/>
              </w:rPr>
              <w:t xml:space="preserve">624 </w:t>
            </w:r>
          </w:p>
        </w:tc>
        <w:tc>
          <w:tcPr>
            <w:tcW w:w="561" w:type="pct"/>
            <w:tcBorders>
              <w:top w:val="single" w:sz="6" w:space="0" w:color="auto"/>
            </w:tcBorders>
            <w:shd w:val="clear" w:color="auto" w:fill="auto"/>
            <w:tcMar>
              <w:right w:w="28" w:type="dxa"/>
            </w:tcMar>
            <w:vAlign w:val="center"/>
          </w:tcPr>
          <w:p w:rsidR="00051EF0" w:rsidRDefault="008604EF">
            <w:pPr>
              <w:jc w:val="right"/>
              <w:rPr>
                <w:rFonts w:ascii="Arial" w:hAnsi="Arial" w:cs="Arial"/>
                <w:sz w:val="20"/>
                <w:szCs w:val="20"/>
              </w:rPr>
            </w:pPr>
            <w:r>
              <w:rPr>
                <w:rFonts w:ascii="Arial" w:hAnsi="Arial" w:cs="Arial"/>
                <w:sz w:val="20"/>
                <w:szCs w:val="20"/>
              </w:rPr>
              <w:t>–</w:t>
            </w:r>
            <w:r w:rsidR="00051EF0">
              <w:rPr>
                <w:rFonts w:ascii="Arial" w:hAnsi="Arial" w:cs="Arial"/>
                <w:sz w:val="20"/>
                <w:szCs w:val="20"/>
              </w:rPr>
              <w:t xml:space="preserve"> </w:t>
            </w:r>
          </w:p>
        </w:tc>
        <w:tc>
          <w:tcPr>
            <w:tcW w:w="402"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2</w:t>
            </w:r>
            <w:r w:rsidR="008604EF">
              <w:rPr>
                <w:rFonts w:ascii="Arial" w:hAnsi="Arial" w:cs="Arial"/>
                <w:sz w:val="20"/>
                <w:szCs w:val="20"/>
              </w:rPr>
              <w:t> </w:t>
            </w:r>
            <w:r>
              <w:rPr>
                <w:rFonts w:ascii="Arial" w:hAnsi="Arial" w:cs="Arial"/>
                <w:sz w:val="20"/>
                <w:szCs w:val="20"/>
              </w:rPr>
              <w:t xml:space="preserve">625 </w:t>
            </w:r>
          </w:p>
        </w:tc>
        <w:tc>
          <w:tcPr>
            <w:tcW w:w="722"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6</w:t>
            </w:r>
            <w:r w:rsidR="00F73E4B">
              <w:rPr>
                <w:rFonts w:ascii="Arial" w:hAnsi="Arial" w:cs="Arial"/>
                <w:sz w:val="20"/>
                <w:szCs w:val="20"/>
              </w:rPr>
              <w:t> </w:t>
            </w:r>
            <w:r>
              <w:rPr>
                <w:rFonts w:ascii="Arial" w:hAnsi="Arial" w:cs="Arial"/>
                <w:sz w:val="20"/>
                <w:szCs w:val="20"/>
              </w:rPr>
              <w:t xml:space="preserve">366 </w:t>
            </w:r>
          </w:p>
        </w:tc>
        <w:tc>
          <w:tcPr>
            <w:tcW w:w="687"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8</w:t>
            </w:r>
            <w:r w:rsidR="00F73E4B">
              <w:rPr>
                <w:rFonts w:ascii="Arial" w:hAnsi="Arial" w:cs="Arial"/>
                <w:sz w:val="20"/>
                <w:szCs w:val="20"/>
              </w:rPr>
              <w:t> </w:t>
            </w:r>
            <w:r>
              <w:rPr>
                <w:rFonts w:ascii="Arial" w:hAnsi="Arial" w:cs="Arial"/>
                <w:sz w:val="20"/>
                <w:szCs w:val="20"/>
              </w:rPr>
              <w:t xml:space="preserve">991 </w:t>
            </w:r>
          </w:p>
        </w:tc>
        <w:tc>
          <w:tcPr>
            <w:tcW w:w="644"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331 </w:t>
            </w:r>
          </w:p>
        </w:tc>
        <w:tc>
          <w:tcPr>
            <w:tcW w:w="662" w:type="pct"/>
            <w:tcBorders>
              <w:top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9</w:t>
            </w:r>
            <w:r w:rsidR="00F73E4B">
              <w:rPr>
                <w:rFonts w:ascii="Arial" w:hAnsi="Arial" w:cs="Arial"/>
                <w:sz w:val="20"/>
                <w:szCs w:val="20"/>
              </w:rPr>
              <w:t> </w:t>
            </w:r>
            <w:r>
              <w:rPr>
                <w:rFonts w:ascii="Arial" w:hAnsi="Arial" w:cs="Arial"/>
                <w:sz w:val="20"/>
                <w:szCs w:val="20"/>
              </w:rPr>
              <w:t xml:space="preserve">322 </w:t>
            </w:r>
          </w:p>
        </w:tc>
      </w:tr>
      <w:tr w:rsidR="00051EF0" w:rsidRPr="00A67B56" w:rsidTr="00051EF0">
        <w:tc>
          <w:tcPr>
            <w:tcW w:w="620" w:type="pct"/>
            <w:tcBorders>
              <w:bottom w:val="single" w:sz="6" w:space="0" w:color="auto"/>
            </w:tcBorders>
            <w:shd w:val="clear" w:color="auto" w:fill="auto"/>
            <w:vAlign w:val="bottom"/>
          </w:tcPr>
          <w:p w:rsidR="00051EF0" w:rsidRPr="00EF77C8" w:rsidRDefault="00051EF0" w:rsidP="005174C2">
            <w:pPr>
              <w:pStyle w:val="TableBodyText"/>
              <w:spacing w:afterLines="40" w:after="96"/>
              <w:ind w:right="57"/>
              <w:jc w:val="left"/>
            </w:pPr>
            <w:r w:rsidRPr="00EF77C8">
              <w:t>Dental services</w:t>
            </w:r>
          </w:p>
        </w:tc>
        <w:tc>
          <w:tcPr>
            <w:tcW w:w="300"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104 </w:t>
            </w:r>
          </w:p>
        </w:tc>
        <w:tc>
          <w:tcPr>
            <w:tcW w:w="401"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956 </w:t>
            </w:r>
          </w:p>
        </w:tc>
        <w:tc>
          <w:tcPr>
            <w:tcW w:w="561"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528 </w:t>
            </w:r>
          </w:p>
        </w:tc>
        <w:tc>
          <w:tcPr>
            <w:tcW w:w="402"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1</w:t>
            </w:r>
            <w:r w:rsidR="00F73E4B">
              <w:rPr>
                <w:rFonts w:ascii="Arial" w:hAnsi="Arial" w:cs="Arial"/>
                <w:sz w:val="20"/>
                <w:szCs w:val="20"/>
              </w:rPr>
              <w:t> </w:t>
            </w:r>
            <w:r>
              <w:rPr>
                <w:rFonts w:ascii="Arial" w:hAnsi="Arial" w:cs="Arial"/>
                <w:sz w:val="20"/>
                <w:szCs w:val="20"/>
              </w:rPr>
              <w:t xml:space="preserve">587 </w:t>
            </w:r>
          </w:p>
        </w:tc>
        <w:tc>
          <w:tcPr>
            <w:tcW w:w="722"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 xml:space="preserve">718 </w:t>
            </w:r>
          </w:p>
        </w:tc>
        <w:tc>
          <w:tcPr>
            <w:tcW w:w="687"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2</w:t>
            </w:r>
            <w:r w:rsidR="00F73E4B">
              <w:rPr>
                <w:rFonts w:ascii="Arial" w:hAnsi="Arial" w:cs="Arial"/>
                <w:sz w:val="20"/>
                <w:szCs w:val="20"/>
              </w:rPr>
              <w:t> </w:t>
            </w:r>
            <w:r>
              <w:rPr>
                <w:rFonts w:ascii="Arial" w:hAnsi="Arial" w:cs="Arial"/>
                <w:sz w:val="20"/>
                <w:szCs w:val="20"/>
              </w:rPr>
              <w:t xml:space="preserve">305 </w:t>
            </w:r>
          </w:p>
        </w:tc>
        <w:tc>
          <w:tcPr>
            <w:tcW w:w="644"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6</w:t>
            </w:r>
            <w:r w:rsidR="00F73E4B">
              <w:rPr>
                <w:rFonts w:ascii="Arial" w:hAnsi="Arial" w:cs="Arial"/>
                <w:sz w:val="20"/>
                <w:szCs w:val="20"/>
              </w:rPr>
              <w:t> </w:t>
            </w:r>
            <w:r>
              <w:rPr>
                <w:rFonts w:ascii="Arial" w:hAnsi="Arial" w:cs="Arial"/>
                <w:sz w:val="20"/>
                <w:szCs w:val="20"/>
              </w:rPr>
              <w:t xml:space="preserve">031 </w:t>
            </w:r>
          </w:p>
        </w:tc>
        <w:tc>
          <w:tcPr>
            <w:tcW w:w="662" w:type="pct"/>
            <w:tcBorders>
              <w:bottom w:val="single" w:sz="6" w:space="0" w:color="auto"/>
            </w:tcBorders>
            <w:shd w:val="clear" w:color="auto" w:fill="auto"/>
            <w:tcMar>
              <w:right w:w="28" w:type="dxa"/>
            </w:tcMar>
            <w:vAlign w:val="center"/>
          </w:tcPr>
          <w:p w:rsidR="00051EF0" w:rsidRDefault="00051EF0">
            <w:pPr>
              <w:jc w:val="right"/>
              <w:rPr>
                <w:rFonts w:ascii="Arial" w:hAnsi="Arial" w:cs="Arial"/>
                <w:sz w:val="20"/>
                <w:szCs w:val="20"/>
              </w:rPr>
            </w:pPr>
            <w:r>
              <w:rPr>
                <w:rFonts w:ascii="Arial" w:hAnsi="Arial" w:cs="Arial"/>
                <w:sz w:val="20"/>
                <w:szCs w:val="20"/>
              </w:rPr>
              <w:t>8</w:t>
            </w:r>
            <w:r w:rsidR="00F73E4B">
              <w:rPr>
                <w:rFonts w:ascii="Arial" w:hAnsi="Arial" w:cs="Arial"/>
                <w:sz w:val="20"/>
                <w:szCs w:val="20"/>
              </w:rPr>
              <w:t> </w:t>
            </w:r>
            <w:r>
              <w:rPr>
                <w:rFonts w:ascii="Arial" w:hAnsi="Arial" w:cs="Arial"/>
                <w:sz w:val="20"/>
                <w:szCs w:val="20"/>
              </w:rPr>
              <w:t xml:space="preserve">336 </w:t>
            </w:r>
          </w:p>
        </w:tc>
      </w:tr>
    </w:tbl>
    <w:p w:rsidR="00251550" w:rsidRPr="005D25C7" w:rsidRDefault="007B7A67" w:rsidP="00225F14">
      <w:pPr>
        <w:pStyle w:val="Note"/>
        <w:keepNext/>
        <w:rPr>
          <w:color w:val="000000"/>
        </w:rPr>
      </w:pPr>
      <w:r w:rsidRPr="005D25C7">
        <w:rPr>
          <w:rStyle w:val="NoteLabel"/>
        </w:rPr>
        <w:t>a</w:t>
      </w:r>
      <w:r w:rsidRPr="00944E91">
        <w:t xml:space="preserve"> ‘Other’ comprises Australian Government expenditure on </w:t>
      </w:r>
      <w:r w:rsidR="008525F7" w:rsidRPr="00944E91">
        <w:t xml:space="preserve">the NHA and health-related NPs, capital consumption, estimates of the medical expenses tax offset and health research not funded by </w:t>
      </w:r>
      <w:r w:rsidR="00B513D7">
        <w:t>Department of Health</w:t>
      </w:r>
      <w:r w:rsidRPr="00944E91">
        <w:t xml:space="preserve">. </w:t>
      </w:r>
      <w:r w:rsidRPr="005D25C7">
        <w:rPr>
          <w:rStyle w:val="NoteLabel"/>
        </w:rPr>
        <w:t>b</w:t>
      </w:r>
      <w:r w:rsidR="00251550" w:rsidRPr="00944E91">
        <w:t> Government expenditure on</w:t>
      </w:r>
      <w:r w:rsidR="002A66FA" w:rsidRPr="00944E91">
        <w:t xml:space="preserve"> insurance</w:t>
      </w:r>
      <w:r w:rsidR="00251550" w:rsidRPr="00944E91">
        <w:t xml:space="preserve"> premium rebates relates to private health and dental services that are not within the scope of this chapter</w:t>
      </w:r>
      <w:r w:rsidR="003A198D" w:rsidRPr="00944E91">
        <w:t xml:space="preserve">. </w:t>
      </w:r>
      <w:r w:rsidR="003A198D" w:rsidRPr="005D25C7">
        <w:rPr>
          <w:rStyle w:val="NoteLabel"/>
        </w:rPr>
        <w:t>c</w:t>
      </w:r>
      <w:r w:rsidR="003A198D" w:rsidRPr="00944E91">
        <w:t xml:space="preserve"> Totals may not add due to rounding. </w:t>
      </w:r>
      <w:r w:rsidR="003A198D" w:rsidRPr="005D25C7">
        <w:rPr>
          <w:rStyle w:val="NoteLabel"/>
        </w:rPr>
        <w:t>d</w:t>
      </w:r>
      <w:r w:rsidR="003A198D" w:rsidRPr="00944E91">
        <w:t xml:space="preserve"> </w:t>
      </w:r>
      <w:r w:rsidR="00251550" w:rsidRPr="00944E91">
        <w:t>Includes</w:t>
      </w:r>
      <w:r w:rsidR="000C414E" w:rsidRPr="00944E91">
        <w:t xml:space="preserve"> expenditure on other recurrent health services (not elsewhere classified) in addition to</w:t>
      </w:r>
      <w:r w:rsidR="00251550" w:rsidRPr="00944E91">
        <w:t xml:space="preserve"> expenditure on community and public health services</w:t>
      </w:r>
      <w:r w:rsidR="00890F99" w:rsidRPr="001238C6">
        <w:t>.</w:t>
      </w:r>
      <w:r w:rsidR="008604EF">
        <w:t xml:space="preserve"> </w:t>
      </w:r>
      <w:r w:rsidR="008604EF">
        <w:rPr>
          <w:rFonts w:cs="Arial"/>
          <w:sz w:val="20"/>
        </w:rPr>
        <w:t>– Nil or rounded to zero.</w:t>
      </w:r>
    </w:p>
    <w:p w:rsidR="00045114" w:rsidRDefault="00251550" w:rsidP="00B05655">
      <w:pPr>
        <w:pStyle w:val="Source"/>
      </w:pPr>
      <w:r w:rsidRPr="00AD1C29">
        <w:rPr>
          <w:i/>
        </w:rPr>
        <w:t>Source</w:t>
      </w:r>
      <w:r w:rsidRPr="00AD1C29">
        <w:t>: AIHW (</w:t>
      </w:r>
      <w:r w:rsidRPr="00D772B9">
        <w:t>20</w:t>
      </w:r>
      <w:r w:rsidR="00336780" w:rsidRPr="00D772B9">
        <w:t>1</w:t>
      </w:r>
      <w:r w:rsidR="00D772B9" w:rsidRPr="00D772B9">
        <w:t>3</w:t>
      </w:r>
      <w:r w:rsidRPr="00AD1C29">
        <w:t xml:space="preserve">) </w:t>
      </w:r>
      <w:r w:rsidRPr="00AD1C29">
        <w:rPr>
          <w:i/>
        </w:rPr>
        <w:t xml:space="preserve">Health Expenditure Australia </w:t>
      </w:r>
      <w:r w:rsidRPr="00D772B9">
        <w:rPr>
          <w:i/>
        </w:rPr>
        <w:t>20</w:t>
      </w:r>
      <w:r w:rsidR="00CF5E9B" w:rsidRPr="00D772B9">
        <w:rPr>
          <w:i/>
        </w:rPr>
        <w:t>1</w:t>
      </w:r>
      <w:r w:rsidR="00D772B9" w:rsidRPr="00D772B9">
        <w:rPr>
          <w:i/>
        </w:rPr>
        <w:t>1</w:t>
      </w:r>
      <w:r w:rsidRPr="00D772B9">
        <w:rPr>
          <w:i/>
        </w:rPr>
        <w:t>-</w:t>
      </w:r>
      <w:r w:rsidR="007B44B7" w:rsidRPr="00D772B9">
        <w:rPr>
          <w:i/>
        </w:rPr>
        <w:t>1</w:t>
      </w:r>
      <w:r w:rsidR="00D772B9" w:rsidRPr="00D772B9">
        <w:rPr>
          <w:i/>
        </w:rPr>
        <w:t>2</w:t>
      </w:r>
      <w:r w:rsidRPr="00AD1C29">
        <w:t>, Cat. no. HWE</w:t>
      </w:r>
      <w:r w:rsidR="00485FCD" w:rsidRPr="00AD1C29">
        <w:t xml:space="preserve"> 5</w:t>
      </w:r>
      <w:r w:rsidR="00AD1C29" w:rsidRPr="00AD1C29">
        <w:t>6</w:t>
      </w:r>
      <w:r w:rsidR="00485FCD" w:rsidRPr="00AD1C29">
        <w:t>.</w:t>
      </w:r>
    </w:p>
    <w:p w:rsidR="003F741A" w:rsidRDefault="003F741A" w:rsidP="003F741A">
      <w:pPr>
        <w:pStyle w:val="Heading3"/>
      </w:pPr>
      <w:r>
        <w:t>Size and sc</w:t>
      </w:r>
      <w:r w:rsidR="003D68AE">
        <w:t>ope</w:t>
      </w:r>
    </w:p>
    <w:p w:rsidR="003F741A" w:rsidRDefault="003F741A" w:rsidP="003F741A">
      <w:pPr>
        <w:pStyle w:val="Heading4"/>
      </w:pPr>
      <w:r>
        <w:t>General practice</w:t>
      </w:r>
    </w:p>
    <w:p w:rsidR="005D25C7" w:rsidRPr="00944E91" w:rsidRDefault="008A5AB9" w:rsidP="005D25C7">
      <w:pPr>
        <w:pStyle w:val="BodyText"/>
      </w:pPr>
      <w:r w:rsidRPr="005D25C7">
        <w:t>There were</w:t>
      </w:r>
      <w:r w:rsidR="00843458">
        <w:t xml:space="preserve"> </w:t>
      </w:r>
      <w:r w:rsidR="00843458" w:rsidRPr="00843458">
        <w:t>30</w:t>
      </w:r>
      <w:r w:rsidR="00843458">
        <w:t> </w:t>
      </w:r>
      <w:r w:rsidR="00843458" w:rsidRPr="00843458">
        <w:t>681</w:t>
      </w:r>
      <w:r w:rsidRPr="005D25C7">
        <w:t xml:space="preserve"> vocationally </w:t>
      </w:r>
      <w:r w:rsidR="000B2487" w:rsidRPr="000B2487">
        <w:t xml:space="preserve">registered </w:t>
      </w:r>
      <w:r w:rsidRPr="005D25C7">
        <w:t xml:space="preserve">GPs and OMPs billing Medicare </w:t>
      </w:r>
      <w:smartTag w:uri="urn:schemas-microsoft-com:office:smarttags" w:element="place">
        <w:smartTag w:uri="urn:schemas-microsoft-com:office:smarttags" w:element="country-region">
          <w:r w:rsidRPr="005D25C7">
            <w:t>Australia</w:t>
          </w:r>
        </w:smartTag>
      </w:smartTag>
      <w:r w:rsidR="00FB632B" w:rsidRPr="005D25C7">
        <w:t>, based on MBS claims data,</w:t>
      </w:r>
      <w:r w:rsidRPr="005D25C7">
        <w:t xml:space="preserve"> in</w:t>
      </w:r>
      <w:r w:rsidR="00843458">
        <w:t xml:space="preserve"> 2012-13.</w:t>
      </w:r>
      <w:r w:rsidRPr="005D25C7">
        <w:t xml:space="preserve"> On a full time workload equivalent (FWE) basis, there were</w:t>
      </w:r>
      <w:r w:rsidR="00843458">
        <w:t xml:space="preserve"> 22 087</w:t>
      </w:r>
      <w:r w:rsidR="005D25C7" w:rsidRPr="005D25C7">
        <w:t xml:space="preserve"> </w:t>
      </w:r>
      <w:r w:rsidRPr="005D25C7">
        <w:t xml:space="preserve">vocationally </w:t>
      </w:r>
      <w:r w:rsidR="000B2487" w:rsidRPr="000B2487">
        <w:t xml:space="preserve">registered </w:t>
      </w:r>
      <w:r w:rsidRPr="005D25C7">
        <w:t>GPs and OMPs (see section 11.5 for a definition of FWE). This was equal to</w:t>
      </w:r>
      <w:r w:rsidR="00843458">
        <w:t xml:space="preserve"> 96.4</w:t>
      </w:r>
      <w:r w:rsidR="004733CD" w:rsidRPr="005D25C7">
        <w:t xml:space="preserve"> </w:t>
      </w:r>
      <w:r w:rsidRPr="005D25C7">
        <w:t xml:space="preserve">FWE </w:t>
      </w:r>
      <w:r w:rsidR="000B2487" w:rsidRPr="000B2487">
        <w:t xml:space="preserve">registered </w:t>
      </w:r>
      <w:r w:rsidRPr="005D25C7">
        <w:t>GPs and OMPs per 100 000 people (table </w:t>
      </w:r>
      <w:r w:rsidR="00AD7C1C" w:rsidRPr="005D25C7">
        <w:t>11A.</w:t>
      </w:r>
      <w:r w:rsidR="004C6E58">
        <w:t>9</w:t>
      </w:r>
      <w:r w:rsidRPr="005D25C7">
        <w:t xml:space="preserve">). These data exclude services provided by GPs working </w:t>
      </w:r>
      <w:r w:rsidR="005D25C7" w:rsidRPr="005D25C7">
        <w:t>in</w:t>
      </w:r>
      <w:r w:rsidR="005D25C7" w:rsidRPr="008A5AB9">
        <w:t xml:space="preserve"> </w:t>
      </w:r>
      <w:r w:rsidR="005D25C7" w:rsidRPr="00656FB0">
        <w:t xml:space="preserve">Indigenous primary </w:t>
      </w:r>
      <w:r w:rsidR="005D25C7">
        <w:t>healthcare</w:t>
      </w:r>
      <w:r w:rsidR="005D25C7" w:rsidRPr="00656FB0">
        <w:t xml:space="preserve"> services</w:t>
      </w:r>
      <w:r w:rsidR="005D25C7">
        <w:t>,</w:t>
      </w:r>
      <w:r w:rsidR="005D25C7" w:rsidRPr="00656FB0">
        <w:t xml:space="preserve"> public hospitals</w:t>
      </w:r>
      <w:r w:rsidR="005D25C7" w:rsidRPr="005D25C7">
        <w:t xml:space="preserve"> </w:t>
      </w:r>
      <w:r w:rsidR="005D25C7">
        <w:t xml:space="preserve">and </w:t>
      </w:r>
      <w:r w:rsidRPr="005D25C7">
        <w:t>the Royal Flying Doctor Service</w:t>
      </w:r>
      <w:r w:rsidRPr="00656FB0">
        <w:t xml:space="preserve">. In addition, </w:t>
      </w:r>
      <w:r w:rsidRPr="00FB632B">
        <w:t>for</w:t>
      </w:r>
      <w:r w:rsidRPr="00FB632B">
        <w:rPr>
          <w:color w:val="008000"/>
        </w:rPr>
        <w:t xml:space="preserve"> </w:t>
      </w:r>
      <w:r w:rsidR="00FB632B">
        <w:t xml:space="preserve">some GPs — </w:t>
      </w:r>
      <w:r w:rsidRPr="008A5AB9">
        <w:t>particularly in rural areas</w:t>
      </w:r>
      <w:r w:rsidR="00FB632B">
        <w:t xml:space="preserve"> —</w:t>
      </w:r>
      <w:r w:rsidRPr="008A5AB9">
        <w:t xml:space="preserve"> </w:t>
      </w:r>
      <w:r w:rsidR="00FB632B">
        <w:t>MBS claims provide income</w:t>
      </w:r>
      <w:r w:rsidRPr="008A5AB9">
        <w:t xml:space="preserve"> for only part of their workload. Compared with metropolitan GPs, those in rural or remote areas spend more of their time working in local hospitals, for which they are not paid through </w:t>
      </w:r>
      <w:r w:rsidR="00470888">
        <w:t xml:space="preserve">DHS </w:t>
      </w:r>
      <w:r w:rsidRPr="008A5AB9">
        <w:t xml:space="preserve">Medicare. The numbers of FWE vocationally </w:t>
      </w:r>
      <w:r w:rsidR="000B2487" w:rsidRPr="000B2487">
        <w:t xml:space="preserve">registered </w:t>
      </w:r>
      <w:r w:rsidRPr="008A5AB9">
        <w:t>GPs and OMPs per</w:t>
      </w:r>
      <w:r w:rsidR="00100190">
        <w:t> </w:t>
      </w:r>
      <w:r w:rsidRPr="008A5AB9">
        <w:t>100</w:t>
      </w:r>
      <w:r w:rsidR="00843458">
        <w:t> </w:t>
      </w:r>
      <w:r w:rsidRPr="008A5AB9">
        <w:t>000 people across jurisdictions are shown in figure</w:t>
      </w:r>
      <w:r>
        <w:t> </w:t>
      </w:r>
      <w:r w:rsidR="00B11173">
        <w:t>11.</w:t>
      </w:r>
      <w:r w:rsidR="00650110">
        <w:t>2</w:t>
      </w:r>
      <w:r w:rsidR="005D25C7">
        <w:t>.</w:t>
      </w:r>
    </w:p>
    <w:p w:rsidR="006414C2" w:rsidRDefault="006414C2" w:rsidP="006414C2">
      <w:pPr>
        <w:pStyle w:val="FigureTitle"/>
      </w:pPr>
      <w:r w:rsidRPr="000212B1">
        <w:rPr>
          <w:b w:val="0"/>
        </w:rPr>
        <w:lastRenderedPageBreak/>
        <w:t xml:space="preserve">Figure </w:t>
      </w:r>
      <w:bookmarkStart w:id="9" w:name="OLE_LINK1"/>
      <w:r w:rsidR="00EC42DB">
        <w:rPr>
          <w:b w:val="0"/>
        </w:rPr>
        <w:t>11.</w:t>
      </w:r>
      <w:bookmarkEnd w:id="9"/>
      <w:r w:rsidR="00650110">
        <w:rPr>
          <w:b w:val="0"/>
        </w:rPr>
        <w:t>2</w:t>
      </w:r>
      <w:r>
        <w:tab/>
        <w:t>Availability of GPs (full time workload equivalent)</w:t>
      </w:r>
      <w:r w:rsidRPr="00E23C58">
        <w:rPr>
          <w:rStyle w:val="NoteLabel"/>
          <w:b/>
        </w:rPr>
        <w:t>a</w:t>
      </w:r>
      <w:r w:rsidR="00723F25">
        <w:rPr>
          <w:rStyle w:val="NoteLabel"/>
          <w:b/>
        </w:rPr>
        <w:t xml:space="preserve">, </w:t>
      </w:r>
      <w:r w:rsidR="00723F25" w:rsidRPr="00AA6CC2">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414C2">
        <w:tc>
          <w:tcPr>
            <w:tcW w:w="8777" w:type="dxa"/>
          </w:tcPr>
          <w:p w:rsidR="006414C2" w:rsidRDefault="00350BAF">
            <w:pPr>
              <w:pStyle w:val="Figure"/>
            </w:pPr>
            <w:r>
              <w:rPr>
                <w:noProof/>
              </w:rPr>
              <w:drawing>
                <wp:inline distT="0" distB="0" distL="0" distR="0">
                  <wp:extent cx="5368290" cy="2700020"/>
                  <wp:effectExtent l="0" t="0" r="3810" b="5080"/>
                  <wp:docPr id="9" name="Picture 9" descr="Figure 11.2 Availability of GPs (full time workload equival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8290" cy="2700020"/>
                          </a:xfrm>
                          <a:prstGeom prst="rect">
                            <a:avLst/>
                          </a:prstGeom>
                          <a:noFill/>
                          <a:ln>
                            <a:noFill/>
                          </a:ln>
                        </pic:spPr>
                      </pic:pic>
                    </a:graphicData>
                  </a:graphic>
                </wp:inline>
              </w:drawing>
            </w:r>
          </w:p>
        </w:tc>
      </w:tr>
    </w:tbl>
    <w:p w:rsidR="006414C2" w:rsidRDefault="006414C2" w:rsidP="00BA2E9C">
      <w:pPr>
        <w:pStyle w:val="Note"/>
      </w:pPr>
      <w:r>
        <w:rPr>
          <w:rStyle w:val="NoteLabel"/>
        </w:rPr>
        <w:t>a </w:t>
      </w:r>
      <w:r w:rsidRPr="006414C2">
        <w:t xml:space="preserve">Data include </w:t>
      </w:r>
      <w:r w:rsidRPr="002561B7">
        <w:t xml:space="preserve">vocationally </w:t>
      </w:r>
      <w:r w:rsidR="000B2487" w:rsidRPr="000B2487">
        <w:t xml:space="preserve">registered </w:t>
      </w:r>
      <w:r w:rsidRPr="002561B7">
        <w:t xml:space="preserve">GPs and OMPs </w:t>
      </w:r>
      <w:r w:rsidR="00D152FE" w:rsidRPr="002561B7">
        <w:t>billing Medicare</w:t>
      </w:r>
      <w:r w:rsidR="002561B7" w:rsidRPr="002561B7">
        <w:t xml:space="preserve"> </w:t>
      </w:r>
      <w:r w:rsidRPr="002561B7">
        <w:t xml:space="preserve">who are allocated to a jurisdiction based on the </w:t>
      </w:r>
      <w:r w:rsidRPr="000E556F">
        <w:t>postcode</w:t>
      </w:r>
      <w:r w:rsidRPr="002561B7">
        <w:t xml:space="preserve"> of their</w:t>
      </w:r>
      <w:r>
        <w:t xml:space="preserve"> major practice.</w:t>
      </w:r>
      <w:r w:rsidR="00723F25">
        <w:t xml:space="preserve"> </w:t>
      </w:r>
      <w:r w:rsidR="00723F25" w:rsidRPr="00AA6CC2">
        <w:rPr>
          <w:rStyle w:val="NoteLabel"/>
        </w:rPr>
        <w:t>b </w:t>
      </w:r>
      <w:r w:rsidR="00F333AC" w:rsidRPr="00F333AC">
        <w:t xml:space="preserve">The ABS ERPs used to derive rates </w:t>
      </w:r>
      <w:r w:rsidR="00F333AC">
        <w:t>f</w:t>
      </w:r>
      <w:r w:rsidR="00F333AC" w:rsidRPr="00F333AC">
        <w:t>o</w:t>
      </w:r>
      <w:r w:rsidR="00F333AC">
        <w:t>r</w:t>
      </w:r>
      <w:r w:rsidR="00F333AC" w:rsidRPr="00F333AC">
        <w:t xml:space="preserve"> 2010-11 </w:t>
      </w:r>
      <w:r w:rsidR="00F333AC">
        <w:t xml:space="preserve">and previous years </w:t>
      </w:r>
      <w:r w:rsidR="00F333AC" w:rsidRPr="00F333AC">
        <w:t>are revised to the ABS’ final 2011 Census rebased ERPs</w:t>
      </w:r>
      <w:r w:rsidR="00F333AC">
        <w:t xml:space="preserve"> and data may differ from previous reports</w:t>
      </w:r>
      <w:r w:rsidR="00F333AC" w:rsidRPr="00F333AC">
        <w:t>. ERP data used to derive rates from 2011-12 are first preliminary estimates based on the 2011 Census. See Chapter 2 (table 2A.2) for details.</w:t>
      </w:r>
    </w:p>
    <w:p w:rsidR="006414C2" w:rsidRDefault="006414C2" w:rsidP="003E1ADB">
      <w:pPr>
        <w:pStyle w:val="Source"/>
      </w:pPr>
      <w:r w:rsidRPr="006414C2">
        <w:rPr>
          <w:i/>
        </w:rPr>
        <w:t>Source</w:t>
      </w:r>
      <w:r>
        <w:t xml:space="preserve">: </w:t>
      </w:r>
      <w:r w:rsidR="00B513D7">
        <w:t>Department of Health</w:t>
      </w:r>
      <w:r w:rsidRPr="006414C2">
        <w:t xml:space="preserve"> (unpublished)</w:t>
      </w:r>
      <w:r w:rsidR="007B2E2E" w:rsidRPr="007B2E2E">
        <w:t xml:space="preserve"> MBS </w:t>
      </w:r>
      <w:r w:rsidR="00524F26">
        <w:t>Statistics</w:t>
      </w:r>
      <w:r w:rsidRPr="006414C2">
        <w:t xml:space="preserve">; </w:t>
      </w:r>
      <w:r w:rsidRPr="00CE2293">
        <w:t>table </w:t>
      </w:r>
      <w:r w:rsidR="00AD7C1C" w:rsidRPr="00CE2293">
        <w:t>11A.</w:t>
      </w:r>
      <w:r w:rsidR="004C6E58">
        <w:t>9</w:t>
      </w:r>
      <w:r w:rsidRPr="00CE2293">
        <w:t>.</w:t>
      </w:r>
    </w:p>
    <w:p w:rsidR="00140432" w:rsidRPr="00944E91" w:rsidRDefault="00D44180" w:rsidP="009F1275">
      <w:pPr>
        <w:pStyle w:val="BodyText"/>
      </w:pPr>
      <w:r w:rsidRPr="00BC5BAB">
        <w:t xml:space="preserve">Nationally, </w:t>
      </w:r>
      <w:r w:rsidRPr="00546697">
        <w:t xml:space="preserve">around </w:t>
      </w:r>
      <w:r w:rsidR="00AE6054" w:rsidRPr="007807C4">
        <w:t>5</w:t>
      </w:r>
      <w:r w:rsidR="007807C4" w:rsidRPr="007807C4">
        <w:t>768</w:t>
      </w:r>
      <w:r w:rsidR="00546697" w:rsidRPr="00546697">
        <w:t xml:space="preserve"> </w:t>
      </w:r>
      <w:r w:rsidR="00EF088A" w:rsidRPr="00BC5BAB">
        <w:t>general practitioner</w:t>
      </w:r>
      <w:r w:rsidR="00EF088A" w:rsidRPr="00BC5BAB">
        <w:noBreakHyphen/>
        <w:t>type services</w:t>
      </w:r>
      <w:r w:rsidRPr="00BC5BAB">
        <w:t xml:space="preserve"> were</w:t>
      </w:r>
      <w:r w:rsidR="00EF088A" w:rsidRPr="00BC5BAB">
        <w:t xml:space="preserve"> provided </w:t>
      </w:r>
      <w:r w:rsidR="00727FD1">
        <w:br/>
      </w:r>
      <w:r w:rsidR="00AE6054" w:rsidRPr="00BC5BAB">
        <w:t xml:space="preserve">per 1000 population </w:t>
      </w:r>
      <w:r w:rsidR="00EF088A" w:rsidRPr="007C7FF4">
        <w:t xml:space="preserve">under </w:t>
      </w:r>
      <w:r w:rsidR="00470888">
        <w:t xml:space="preserve">DHS </w:t>
      </w:r>
      <w:r w:rsidR="00EF088A" w:rsidRPr="007C7FF4">
        <w:t>Medicare</w:t>
      </w:r>
      <w:r w:rsidR="00524F26" w:rsidRPr="007C7FF4">
        <w:t xml:space="preserve"> </w:t>
      </w:r>
      <w:r w:rsidR="00EF088A" w:rsidRPr="007C7FF4">
        <w:t>in</w:t>
      </w:r>
      <w:r w:rsidR="007807C4">
        <w:t xml:space="preserve"> 2012-13</w:t>
      </w:r>
      <w:r w:rsidR="00EF088A" w:rsidRPr="007C7FF4">
        <w:t xml:space="preserve"> </w:t>
      </w:r>
      <w:r w:rsidR="00A65085" w:rsidRPr="007C7FF4">
        <w:t>(</w:t>
      </w:r>
      <w:r w:rsidR="00A65085" w:rsidRPr="00BC5BAB">
        <w:t>figure 11.</w:t>
      </w:r>
      <w:r w:rsidR="008149C0">
        <w:t>3</w:t>
      </w:r>
      <w:r w:rsidR="00A65085" w:rsidRPr="00BC5BAB">
        <w:t>)</w:t>
      </w:r>
      <w:r w:rsidR="00232DEE">
        <w:t>.</w:t>
      </w:r>
    </w:p>
    <w:p w:rsidR="003A7BFE" w:rsidRDefault="003A7BFE" w:rsidP="0086675C">
      <w:pPr>
        <w:pStyle w:val="FigureTitle"/>
      </w:pPr>
      <w:r>
        <w:rPr>
          <w:b w:val="0"/>
        </w:rPr>
        <w:lastRenderedPageBreak/>
        <w:t>Figure 11.</w:t>
      </w:r>
      <w:r w:rsidR="008149C0">
        <w:rPr>
          <w:b w:val="0"/>
        </w:rPr>
        <w:t>3</w:t>
      </w:r>
      <w:r>
        <w:tab/>
      </w:r>
      <w:r w:rsidRPr="003A7BFE">
        <w:t>GP type service use</w:t>
      </w:r>
      <w:r w:rsidRPr="003A7BFE">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A7BFE">
        <w:tc>
          <w:tcPr>
            <w:tcW w:w="8777" w:type="dxa"/>
          </w:tcPr>
          <w:p w:rsidR="003A7BFE" w:rsidRDefault="00D4699C">
            <w:pPr>
              <w:pStyle w:val="Figure"/>
            </w:pPr>
            <w:r>
              <w:rPr>
                <w:noProof/>
              </w:rPr>
              <w:drawing>
                <wp:inline distT="0" distB="0" distL="0" distR="0">
                  <wp:extent cx="5368290" cy="2710815"/>
                  <wp:effectExtent l="0" t="0" r="3810" b="0"/>
                  <wp:docPr id="34" name="Picture 34" descr="Figure 11.3 GP type service us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D44180" w:rsidRPr="003575BF" w:rsidRDefault="003A7BFE" w:rsidP="009C0D58">
      <w:pPr>
        <w:pStyle w:val="Note"/>
        <w:keepNext/>
      </w:pPr>
      <w:r>
        <w:rPr>
          <w:rStyle w:val="NoteLabel"/>
        </w:rPr>
        <w:t>a</w:t>
      </w:r>
      <w:r>
        <w:t xml:space="preserve"> </w:t>
      </w:r>
      <w:r w:rsidR="00D44180" w:rsidRPr="00FD3F2E">
        <w:t xml:space="preserve">Rates are age standardised to the Australian population at 30 June </w:t>
      </w:r>
      <w:r w:rsidR="00D44180" w:rsidRPr="00C60B1C">
        <w:t>2001.</w:t>
      </w:r>
      <w:r w:rsidR="009628F6" w:rsidRPr="00C60B1C">
        <w:t xml:space="preserve"> Data for 2011-12 </w:t>
      </w:r>
      <w:r w:rsidR="00EC7583">
        <w:t>have been</w:t>
      </w:r>
      <w:r w:rsidR="009628F6" w:rsidRPr="00C60B1C">
        <w:t xml:space="preserve"> </w:t>
      </w:r>
      <w:r w:rsidR="00EC7583">
        <w:t>revised</w:t>
      </w:r>
      <w:r w:rsidR="009628F6" w:rsidRPr="00C60B1C">
        <w:t>.</w:t>
      </w:r>
      <w:r w:rsidR="00F032D9" w:rsidRPr="00FD3F2E">
        <w:t xml:space="preserve"> </w:t>
      </w:r>
      <w:r w:rsidR="0005141F" w:rsidRPr="00FD3F2E">
        <w:rPr>
          <w:rStyle w:val="NoteLabel"/>
        </w:rPr>
        <w:t>b</w:t>
      </w:r>
      <w:r w:rsidR="00CB2352" w:rsidRPr="00FD3F2E">
        <w:rPr>
          <w:rStyle w:val="NoteLabel"/>
        </w:rPr>
        <w:t> </w:t>
      </w:r>
      <w:r w:rsidR="00AA4301" w:rsidRPr="00FD3F2E">
        <w:t>Includes non</w:t>
      </w:r>
      <w:r w:rsidR="00AA4301" w:rsidRPr="00FD3F2E">
        <w:noBreakHyphen/>
        <w:t>referred</w:t>
      </w:r>
      <w:r w:rsidR="00AA4301" w:rsidRPr="003575BF">
        <w:t xml:space="preserve"> attendances by </w:t>
      </w:r>
      <w:r w:rsidR="00504544" w:rsidRPr="003575BF">
        <w:t xml:space="preserve">vocationally </w:t>
      </w:r>
      <w:r w:rsidR="000B2487" w:rsidRPr="000B2487">
        <w:t xml:space="preserve">registered </w:t>
      </w:r>
      <w:r w:rsidR="00504544" w:rsidRPr="003575BF">
        <w:t>GPs and OMPs</w:t>
      </w:r>
      <w:r w:rsidR="00AA4301" w:rsidRPr="003575BF">
        <w:t>, and practice nurses</w:t>
      </w:r>
      <w:r w:rsidR="00F032D9" w:rsidRPr="003575BF">
        <w:t>.</w:t>
      </w:r>
    </w:p>
    <w:p w:rsidR="00F67913" w:rsidRDefault="00C93B2D" w:rsidP="00620676">
      <w:pPr>
        <w:pStyle w:val="Note"/>
      </w:pPr>
      <w:r w:rsidRPr="003575BF">
        <w:rPr>
          <w:i/>
        </w:rPr>
        <w:t>Source</w:t>
      </w:r>
      <w:r w:rsidRPr="003575BF">
        <w:t xml:space="preserve">: </w:t>
      </w:r>
      <w:r w:rsidR="00B513D7">
        <w:t>Department of Health</w:t>
      </w:r>
      <w:r w:rsidR="00D44180" w:rsidRPr="003575BF">
        <w:t xml:space="preserve"> </w:t>
      </w:r>
      <w:r w:rsidRPr="003575BF">
        <w:t xml:space="preserve">(unpublished) MBS </w:t>
      </w:r>
      <w:r w:rsidR="00524F26" w:rsidRPr="003575BF">
        <w:t>Statistics</w:t>
      </w:r>
      <w:r w:rsidRPr="003575BF">
        <w:t xml:space="preserve">; </w:t>
      </w:r>
      <w:r w:rsidR="003575BF" w:rsidRPr="003575BF">
        <w:t xml:space="preserve">DVA (unpublished) </w:t>
      </w:r>
      <w:r w:rsidRPr="003575BF">
        <w:t>ABS</w:t>
      </w:r>
      <w:r w:rsidR="00C273C8" w:rsidRPr="003575BF">
        <w:t xml:space="preserve"> </w:t>
      </w:r>
      <w:r w:rsidR="00530E8A" w:rsidRPr="003575BF">
        <w:t xml:space="preserve">(unpublished) </w:t>
      </w:r>
      <w:r w:rsidR="00530E8A" w:rsidRPr="003575BF">
        <w:rPr>
          <w:i/>
        </w:rPr>
        <w:t>Australian demographic statistics</w:t>
      </w:r>
      <w:r w:rsidR="00BA7ACC" w:rsidRPr="003575BF">
        <w:t>, Cat. </w:t>
      </w:r>
      <w:r w:rsidR="00476A9B" w:rsidRPr="003575BF">
        <w:t>no. </w:t>
      </w:r>
      <w:r w:rsidR="00A95335" w:rsidRPr="003575BF">
        <w:t>3101.0</w:t>
      </w:r>
      <w:r w:rsidR="00530E8A" w:rsidRPr="003575BF">
        <w:t xml:space="preserve">; </w:t>
      </w:r>
      <w:r w:rsidRPr="003575BF">
        <w:t>table </w:t>
      </w:r>
      <w:r w:rsidR="00AD7C1C" w:rsidRPr="003575BF">
        <w:t>11A.</w:t>
      </w:r>
      <w:r w:rsidR="004C6E58">
        <w:t>10</w:t>
      </w:r>
      <w:r w:rsidR="00530E8A" w:rsidRPr="003575BF">
        <w:t>.</w:t>
      </w:r>
    </w:p>
    <w:p w:rsidR="006414C2" w:rsidRDefault="006414C2" w:rsidP="006414C2">
      <w:pPr>
        <w:pStyle w:val="Heading4"/>
      </w:pPr>
      <w:r>
        <w:t>Pharmaceutical Benefits Scheme and Repatriation Pharmaceutical Benefits Scheme</w:t>
      </w:r>
    </w:p>
    <w:p w:rsidR="00411DDB" w:rsidRDefault="00411DDB" w:rsidP="003F7D2F">
      <w:pPr>
        <w:pStyle w:val="BodyText"/>
      </w:pPr>
      <w:r>
        <w:t>A</w:t>
      </w:r>
      <w:r w:rsidR="003F7D2F" w:rsidRPr="000B1FC8">
        <w:t xml:space="preserve">round </w:t>
      </w:r>
      <w:r w:rsidR="00810940">
        <w:t xml:space="preserve">197 </w:t>
      </w:r>
      <w:r w:rsidR="003F7D2F" w:rsidRPr="000B1FC8">
        <w:t>million services</w:t>
      </w:r>
      <w:r w:rsidR="000B1FC8">
        <w:t xml:space="preserve"> </w:t>
      </w:r>
      <w:r>
        <w:t xml:space="preserve">— </w:t>
      </w:r>
      <w:r w:rsidR="00810940">
        <w:t>87.8 per </w:t>
      </w:r>
      <w:r w:rsidRPr="004F4413">
        <w:t xml:space="preserve">cent </w:t>
      </w:r>
      <w:r>
        <w:t>of them</w:t>
      </w:r>
      <w:r w:rsidRPr="00FC47A9">
        <w:t xml:space="preserve"> concessional</w:t>
      </w:r>
      <w:r w:rsidRPr="000B1FC8">
        <w:t xml:space="preserve"> </w:t>
      </w:r>
      <w:r>
        <w:t xml:space="preserve">— were </w:t>
      </w:r>
      <w:r w:rsidR="003F7D2F" w:rsidRPr="000B1FC8">
        <w:t>provided under the PBS</w:t>
      </w:r>
      <w:r w:rsidRPr="00411DDB">
        <w:t xml:space="preserve"> </w:t>
      </w:r>
      <w:r>
        <w:t>i</w:t>
      </w:r>
      <w:r w:rsidRPr="004F4413">
        <w:t>n</w:t>
      </w:r>
      <w:r w:rsidR="00810940">
        <w:t xml:space="preserve"> 2012</w:t>
      </w:r>
      <w:r w:rsidR="00810940">
        <w:noBreakHyphen/>
      </w:r>
      <w:r w:rsidR="00810940" w:rsidRPr="00810940">
        <w:t>13</w:t>
      </w:r>
      <w:r w:rsidRPr="004F4413">
        <w:t xml:space="preserve"> </w:t>
      </w:r>
      <w:r w:rsidRPr="000B1FC8">
        <w:t>(table 11.</w:t>
      </w:r>
      <w:r w:rsidR="009821C3">
        <w:t>3</w:t>
      </w:r>
      <w:r w:rsidRPr="000B1FC8">
        <w:t>)</w:t>
      </w:r>
      <w:r>
        <w:t>. This amounted to</w:t>
      </w:r>
      <w:r w:rsidR="00810940">
        <w:t xml:space="preserve"> 9.2</w:t>
      </w:r>
      <w:r>
        <w:t> </w:t>
      </w:r>
      <w:r w:rsidR="009439F6">
        <w:t xml:space="preserve">filled </w:t>
      </w:r>
      <w:r w:rsidRPr="004F4413">
        <w:t>prescriptions per person</w:t>
      </w:r>
      <w:r>
        <w:t>. A further</w:t>
      </w:r>
      <w:r w:rsidR="004D55B6">
        <w:t xml:space="preserve"> 12</w:t>
      </w:r>
      <w:r>
        <w:t xml:space="preserve"> million services were provided under the RPBS</w:t>
      </w:r>
      <w:r w:rsidR="00A9780E">
        <w:t xml:space="preserve"> in the same period</w:t>
      </w:r>
      <w:r w:rsidRPr="000B1FC8">
        <w:t>.</w:t>
      </w:r>
    </w:p>
    <w:p w:rsidR="00A43D54" w:rsidRDefault="00A43D54">
      <w:pPr>
        <w:pStyle w:val="TableTitle"/>
      </w:pPr>
      <w:r>
        <w:rPr>
          <w:b w:val="0"/>
        </w:rPr>
        <w:lastRenderedPageBreak/>
        <w:t xml:space="preserve">Table </w:t>
      </w:r>
      <w:bookmarkStart w:id="10" w:name="OLE_LINK72"/>
      <w:r w:rsidR="00EC42DB">
        <w:rPr>
          <w:b w:val="0"/>
        </w:rPr>
        <w:t>11.</w:t>
      </w:r>
      <w:bookmarkEnd w:id="10"/>
      <w:r w:rsidR="009821C3">
        <w:rPr>
          <w:b w:val="0"/>
        </w:rPr>
        <w:t>3</w:t>
      </w:r>
      <w:r>
        <w:tab/>
      </w:r>
      <w:r w:rsidRPr="005D5651">
        <w:rPr>
          <w:kern w:val="36"/>
        </w:rPr>
        <w:t xml:space="preserve">PBS </w:t>
      </w:r>
      <w:r>
        <w:rPr>
          <w:kern w:val="36"/>
        </w:rPr>
        <w:t>and</w:t>
      </w:r>
      <w:r w:rsidRPr="005D5651">
        <w:rPr>
          <w:kern w:val="36"/>
        </w:rPr>
        <w:t xml:space="preserve"> RPBS </w:t>
      </w:r>
      <w:r w:rsidRPr="008D6F5E">
        <w:rPr>
          <w:kern w:val="36"/>
        </w:rPr>
        <w:t xml:space="preserve">services, </w:t>
      </w:r>
      <w:r w:rsidRPr="00810940">
        <w:rPr>
          <w:kern w:val="36"/>
        </w:rPr>
        <w:t>20</w:t>
      </w:r>
      <w:r w:rsidR="00661430" w:rsidRPr="00810940">
        <w:rPr>
          <w:kern w:val="36"/>
        </w:rPr>
        <w:t>1</w:t>
      </w:r>
      <w:r w:rsidR="00810940" w:rsidRPr="00810940">
        <w:rPr>
          <w:kern w:val="36"/>
        </w:rPr>
        <w:t>2</w:t>
      </w:r>
      <w:r w:rsidRPr="00810940">
        <w:rPr>
          <w:kern w:val="36"/>
        </w:rPr>
        <w:noBreakHyphen/>
      </w:r>
      <w:r w:rsidR="00DD7B9A" w:rsidRPr="00810940">
        <w:rPr>
          <w:kern w:val="36"/>
        </w:rPr>
        <w:t>1</w:t>
      </w:r>
      <w:r w:rsidR="00810940" w:rsidRPr="00810940">
        <w:rPr>
          <w:kern w:val="36"/>
        </w:rPr>
        <w:t>3</w:t>
      </w:r>
      <w:r w:rsidRPr="004F4413">
        <w:rPr>
          <w:kern w:val="36"/>
        </w:rPr>
        <w:t xml:space="preserve"> (millio</w:t>
      </w:r>
      <w:r>
        <w:rPr>
          <w:kern w:val="36"/>
        </w:rPr>
        <w:t>n services)</w:t>
      </w:r>
    </w:p>
    <w:tbl>
      <w:tblPr>
        <w:tblW w:w="8789" w:type="dxa"/>
        <w:tblLayout w:type="fixed"/>
        <w:tblCellMar>
          <w:left w:w="0" w:type="dxa"/>
          <w:right w:w="0" w:type="dxa"/>
        </w:tblCellMar>
        <w:tblLook w:val="0000" w:firstRow="0" w:lastRow="0" w:firstColumn="0" w:lastColumn="0" w:noHBand="0" w:noVBand="0"/>
      </w:tblPr>
      <w:tblGrid>
        <w:gridCol w:w="1985"/>
        <w:gridCol w:w="744"/>
        <w:gridCol w:w="744"/>
        <w:gridCol w:w="744"/>
        <w:gridCol w:w="744"/>
        <w:gridCol w:w="744"/>
        <w:gridCol w:w="744"/>
        <w:gridCol w:w="744"/>
        <w:gridCol w:w="744"/>
        <w:gridCol w:w="852"/>
      </w:tblGrid>
      <w:tr w:rsidR="00B31942" w:rsidRPr="007A0995" w:rsidTr="007A0995">
        <w:tc>
          <w:tcPr>
            <w:tcW w:w="1985" w:type="dxa"/>
            <w:tcBorders>
              <w:top w:val="single" w:sz="6" w:space="0" w:color="auto"/>
              <w:bottom w:val="single" w:sz="6" w:space="0" w:color="auto"/>
            </w:tcBorders>
            <w:shd w:val="clear" w:color="auto" w:fill="auto"/>
          </w:tcPr>
          <w:p w:rsidR="00A43D54" w:rsidRPr="004F4413" w:rsidRDefault="00A43D54" w:rsidP="009D6E51">
            <w:pPr>
              <w:pStyle w:val="TableColumnHeading"/>
              <w:ind w:right="57"/>
            </w:pP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NSW</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Vic</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Qld</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WA</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SA</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Tas</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ACT</w:t>
            </w:r>
          </w:p>
        </w:tc>
        <w:tc>
          <w:tcPr>
            <w:tcW w:w="744"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NT</w:t>
            </w:r>
          </w:p>
        </w:tc>
        <w:tc>
          <w:tcPr>
            <w:tcW w:w="852" w:type="dxa"/>
            <w:tcBorders>
              <w:top w:val="single" w:sz="6" w:space="0" w:color="auto"/>
              <w:bottom w:val="single" w:sz="6" w:space="0" w:color="auto"/>
            </w:tcBorders>
            <w:shd w:val="clear" w:color="auto" w:fill="auto"/>
          </w:tcPr>
          <w:p w:rsidR="00A43D54" w:rsidRPr="007A0995" w:rsidRDefault="00A43D54" w:rsidP="008B27B7">
            <w:pPr>
              <w:pStyle w:val="TableColumnHeading"/>
            </w:pPr>
            <w:r w:rsidRPr="007A0995">
              <w:t>Aust</w:t>
            </w:r>
          </w:p>
        </w:tc>
      </w:tr>
      <w:tr w:rsidR="00810940" w:rsidRPr="00A67B56" w:rsidTr="002C5632">
        <w:tc>
          <w:tcPr>
            <w:tcW w:w="1985" w:type="dxa"/>
            <w:tcBorders>
              <w:top w:val="single" w:sz="6" w:space="0" w:color="auto"/>
            </w:tcBorders>
            <w:vAlign w:val="bottom"/>
          </w:tcPr>
          <w:p w:rsidR="00810940" w:rsidRPr="004F4413" w:rsidRDefault="00810940" w:rsidP="00B22CF3">
            <w:pPr>
              <w:pStyle w:val="TableBodyText"/>
              <w:spacing w:afterLines="40" w:after="96"/>
              <w:jc w:val="left"/>
            </w:pPr>
            <w:r w:rsidRPr="004F4413">
              <w:t>PBS general</w:t>
            </w:r>
            <w:r w:rsidRPr="004F4413">
              <w:rPr>
                <w:rStyle w:val="NoteLabel"/>
              </w:rPr>
              <w:t>a</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7.8</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5.6</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4.8</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2.7</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1.7</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0.5</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0.5</w:t>
            </w:r>
          </w:p>
        </w:tc>
        <w:tc>
          <w:tcPr>
            <w:tcW w:w="744"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0.1</w:t>
            </w:r>
          </w:p>
        </w:tc>
        <w:tc>
          <w:tcPr>
            <w:tcW w:w="852" w:type="dxa"/>
            <w:tcBorders>
              <w:top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23.7</w:t>
            </w:r>
          </w:p>
        </w:tc>
      </w:tr>
      <w:tr w:rsidR="00810940" w:rsidRPr="00A67B56" w:rsidTr="002C5632">
        <w:tc>
          <w:tcPr>
            <w:tcW w:w="1985" w:type="dxa"/>
            <w:vAlign w:val="bottom"/>
          </w:tcPr>
          <w:p w:rsidR="00810940" w:rsidRPr="004F4413" w:rsidRDefault="00810940" w:rsidP="00B22CF3">
            <w:pPr>
              <w:pStyle w:val="TableBodyText"/>
              <w:spacing w:afterLines="40" w:after="96"/>
              <w:jc w:val="left"/>
            </w:pPr>
            <w:r w:rsidRPr="004F4413">
              <w:t>PBS concessional</w:t>
            </w:r>
            <w:r w:rsidRPr="004F4413">
              <w:rPr>
                <w:rStyle w:val="NoteLabel"/>
              </w:rPr>
              <w:t>b</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58.8</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44.1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34.1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14.0</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15.1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5.0</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1.6</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0.5</w:t>
            </w:r>
          </w:p>
        </w:tc>
        <w:tc>
          <w:tcPr>
            <w:tcW w:w="852"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173.3</w:t>
            </w:r>
          </w:p>
        </w:tc>
      </w:tr>
      <w:tr w:rsidR="00810940" w:rsidRPr="00A67B56" w:rsidTr="002C5632">
        <w:tc>
          <w:tcPr>
            <w:tcW w:w="1985" w:type="dxa"/>
            <w:vAlign w:val="bottom"/>
          </w:tcPr>
          <w:p w:rsidR="00810940" w:rsidRPr="00153C7E" w:rsidRDefault="00810940" w:rsidP="00B22CF3">
            <w:pPr>
              <w:pStyle w:val="TableBodyText"/>
              <w:spacing w:afterLines="40" w:after="96"/>
              <w:jc w:val="left"/>
              <w:rPr>
                <w:rStyle w:val="NoteLabel"/>
              </w:rPr>
            </w:pPr>
            <w:r w:rsidRPr="004F4413">
              <w:t>PBS doctor's bag</w:t>
            </w:r>
            <w:r>
              <w:rPr>
                <w:rStyle w:val="NoteLabel"/>
              </w:rPr>
              <w:t>c</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0.1</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852"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0.4</w:t>
            </w:r>
          </w:p>
        </w:tc>
      </w:tr>
      <w:tr w:rsidR="00810940" w:rsidRPr="00817306" w:rsidTr="002C5632">
        <w:tc>
          <w:tcPr>
            <w:tcW w:w="1985" w:type="dxa"/>
            <w:vAlign w:val="bottom"/>
          </w:tcPr>
          <w:p w:rsidR="00810940" w:rsidRPr="00817306" w:rsidRDefault="00810940" w:rsidP="00B22CF3">
            <w:pPr>
              <w:pStyle w:val="TableBodyText"/>
              <w:spacing w:afterLines="40" w:after="96"/>
              <w:jc w:val="left"/>
              <w:rPr>
                <w:b/>
              </w:rPr>
            </w:pPr>
            <w:r w:rsidRPr="00817306">
              <w:rPr>
                <w:b/>
              </w:rPr>
              <w:t xml:space="preserve">PBS total </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66.6</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49.9</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38.9</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16.7</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16.8</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5.5</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2.2</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0.7</w:t>
            </w:r>
          </w:p>
        </w:tc>
        <w:tc>
          <w:tcPr>
            <w:tcW w:w="852"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197.3</w:t>
            </w:r>
          </w:p>
        </w:tc>
      </w:tr>
      <w:tr w:rsidR="00810940" w:rsidRPr="00A67B56" w:rsidTr="002C5632">
        <w:tc>
          <w:tcPr>
            <w:tcW w:w="1985" w:type="dxa"/>
            <w:shd w:val="clear" w:color="auto" w:fill="auto"/>
            <w:vAlign w:val="bottom"/>
          </w:tcPr>
          <w:p w:rsidR="00810940" w:rsidRPr="004F4413" w:rsidRDefault="00810940" w:rsidP="00B22CF3">
            <w:pPr>
              <w:pStyle w:val="TableBodyText"/>
              <w:spacing w:afterLines="40" w:after="96"/>
              <w:jc w:val="left"/>
            </w:pPr>
            <w:r w:rsidRPr="004F4413">
              <w:t>RPBS total</w:t>
            </w:r>
            <w:r>
              <w:rPr>
                <w:rStyle w:val="NoteLabel"/>
              </w:rPr>
              <w:t>d</w:t>
            </w:r>
            <w:r w:rsidRPr="004F4413">
              <w:t xml:space="preserve"> </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4.2</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2.7</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3.0</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1.0</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0.9</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0.4</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0.2</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w:t>
            </w:r>
          </w:p>
        </w:tc>
        <w:tc>
          <w:tcPr>
            <w:tcW w:w="852"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12.4</w:t>
            </w:r>
          </w:p>
        </w:tc>
      </w:tr>
      <w:tr w:rsidR="00810940" w:rsidRPr="00B07F18" w:rsidTr="002C5632">
        <w:tc>
          <w:tcPr>
            <w:tcW w:w="1985" w:type="dxa"/>
            <w:shd w:val="clear" w:color="auto" w:fill="auto"/>
            <w:vAlign w:val="bottom"/>
          </w:tcPr>
          <w:p w:rsidR="00810940" w:rsidRPr="00B07F18" w:rsidRDefault="00810940" w:rsidP="00B22CF3">
            <w:pPr>
              <w:pStyle w:val="TableBodyText"/>
              <w:spacing w:afterLines="40" w:after="96"/>
              <w:jc w:val="left"/>
              <w:rPr>
                <w:b/>
              </w:rPr>
            </w:pPr>
            <w:r w:rsidRPr="00B07F18">
              <w:rPr>
                <w:b/>
              </w:rPr>
              <w:t>Total</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70.8</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52.5</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42.0</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17.7</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17.8</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5.9</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2.3</w:t>
            </w:r>
          </w:p>
        </w:tc>
        <w:tc>
          <w:tcPr>
            <w:tcW w:w="744"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0.7</w:t>
            </w:r>
          </w:p>
        </w:tc>
        <w:tc>
          <w:tcPr>
            <w:tcW w:w="852" w:type="dxa"/>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209.7</w:t>
            </w:r>
          </w:p>
        </w:tc>
      </w:tr>
      <w:tr w:rsidR="00810940" w:rsidRPr="00A67B56" w:rsidTr="002C5632">
        <w:tc>
          <w:tcPr>
            <w:tcW w:w="1985" w:type="dxa"/>
            <w:tcBorders>
              <w:bottom w:val="single" w:sz="6" w:space="0" w:color="auto"/>
            </w:tcBorders>
            <w:shd w:val="clear" w:color="auto" w:fill="auto"/>
            <w:vAlign w:val="bottom"/>
          </w:tcPr>
          <w:p w:rsidR="00810940" w:rsidRPr="004F4413" w:rsidRDefault="00810940" w:rsidP="00B22CF3">
            <w:pPr>
              <w:pStyle w:val="TableBodyText"/>
              <w:spacing w:afterLines="40" w:after="96"/>
              <w:jc w:val="left"/>
            </w:pPr>
            <w:r>
              <w:t>PBS services p</w:t>
            </w:r>
            <w:r w:rsidRPr="004F4413">
              <w:t>er person</w:t>
            </w:r>
            <w:r>
              <w:rPr>
                <w:rStyle w:val="NoteLabel"/>
              </w:rPr>
              <w:t>e</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9.6</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9.2</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9.1</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7.2</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10.7</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11.5</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6.2</w:t>
            </w:r>
          </w:p>
        </w:tc>
        <w:tc>
          <w:tcPr>
            <w:tcW w:w="744"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2.9</w:t>
            </w:r>
          </w:p>
        </w:tc>
        <w:tc>
          <w:tcPr>
            <w:tcW w:w="852" w:type="dxa"/>
            <w:tcBorders>
              <w:bottom w:val="single" w:sz="6" w:space="0" w:color="auto"/>
            </w:tcBorders>
            <w:shd w:val="clear" w:color="auto" w:fill="auto"/>
            <w:vAlign w:val="bottom"/>
          </w:tcPr>
          <w:p w:rsidR="00810940" w:rsidRPr="00810940" w:rsidRDefault="00810940" w:rsidP="00810940">
            <w:pPr>
              <w:spacing w:afterLines="40" w:after="96" w:line="220" w:lineRule="atLeast"/>
              <w:ind w:left="6" w:right="11"/>
              <w:jc w:val="right"/>
              <w:rPr>
                <w:rFonts w:ascii="Arial" w:hAnsi="Arial" w:cs="Arial"/>
                <w:sz w:val="20"/>
                <w:szCs w:val="20"/>
              </w:rPr>
            </w:pPr>
            <w:r w:rsidRPr="00810940">
              <w:rPr>
                <w:rFonts w:ascii="Arial" w:hAnsi="Arial" w:cs="Arial"/>
                <w:sz w:val="20"/>
                <w:szCs w:val="20"/>
              </w:rPr>
              <w:t xml:space="preserve">  9.2</w:t>
            </w:r>
          </w:p>
        </w:tc>
      </w:tr>
    </w:tbl>
    <w:p w:rsidR="00DE0E64" w:rsidRPr="001238C6" w:rsidRDefault="00A43D54" w:rsidP="00330A88">
      <w:pPr>
        <w:pStyle w:val="Note"/>
        <w:keepNext/>
      </w:pPr>
      <w:r w:rsidRPr="001238C6">
        <w:rPr>
          <w:rStyle w:val="NoteLabel"/>
        </w:rPr>
        <w:t>a</w:t>
      </w:r>
      <w:r w:rsidRPr="001238C6">
        <w:rPr>
          <w:rFonts w:cs="Arial"/>
        </w:rPr>
        <w:t> </w:t>
      </w:r>
      <w:r w:rsidR="00DE0E64" w:rsidRPr="001238C6">
        <w:t xml:space="preserve">Includes PBS general ordinary and safety net. </w:t>
      </w:r>
      <w:r w:rsidR="00DE0E64" w:rsidRPr="001238C6">
        <w:rPr>
          <w:rStyle w:val="NoteLabel"/>
        </w:rPr>
        <w:t>b </w:t>
      </w:r>
      <w:r w:rsidR="00DE0E64" w:rsidRPr="001238C6">
        <w:t xml:space="preserve">Includes </w:t>
      </w:r>
      <w:r w:rsidR="00E3496E" w:rsidRPr="001238C6">
        <w:t xml:space="preserve">PBS </w:t>
      </w:r>
      <w:r w:rsidR="00DE0E64" w:rsidRPr="001238C6">
        <w:t xml:space="preserve">concessional ordinary and concessional free safety net. </w:t>
      </w:r>
      <w:r w:rsidR="00DE0E64" w:rsidRPr="001238C6">
        <w:rPr>
          <w:rStyle w:val="NoteLabel"/>
        </w:rPr>
        <w:t>c </w:t>
      </w:r>
      <w:r w:rsidR="007E48E4">
        <w:t xml:space="preserve"> Supplies to prescribers for use in a medical emergency. </w:t>
      </w:r>
      <w:r w:rsidR="007E48E4" w:rsidRPr="001238C6">
        <w:rPr>
          <w:rStyle w:val="NoteLabel"/>
        </w:rPr>
        <w:t>d </w:t>
      </w:r>
      <w:r w:rsidR="007E48E4">
        <w:t xml:space="preserve"> I</w:t>
      </w:r>
      <w:r w:rsidR="00DE0E64" w:rsidRPr="001238C6">
        <w:t xml:space="preserve">ncludes RPBS </w:t>
      </w:r>
      <w:r w:rsidR="00397E47" w:rsidRPr="001238C6">
        <w:t xml:space="preserve">general </w:t>
      </w:r>
      <w:r w:rsidR="00DE0E64" w:rsidRPr="001238C6">
        <w:t>ordinary and safety net.</w:t>
      </w:r>
      <w:r w:rsidR="0098625E" w:rsidRPr="001238C6">
        <w:t xml:space="preserve"> </w:t>
      </w:r>
      <w:r w:rsidR="007E48E4">
        <w:rPr>
          <w:rStyle w:val="NoteLabel"/>
        </w:rPr>
        <w:t>e</w:t>
      </w:r>
      <w:r w:rsidR="0098625E" w:rsidRPr="001238C6">
        <w:rPr>
          <w:rStyle w:val="NoteLabel"/>
        </w:rPr>
        <w:t> </w:t>
      </w:r>
      <w:r w:rsidR="0098625E" w:rsidRPr="001238C6">
        <w:t>Excludes</w:t>
      </w:r>
      <w:r w:rsidR="00DE0E64" w:rsidRPr="001238C6">
        <w:t xml:space="preserve"> </w:t>
      </w:r>
      <w:r w:rsidR="0098625E" w:rsidRPr="001238C6">
        <w:t>PBS doctor's bag.</w:t>
      </w:r>
      <w:r w:rsidR="007E48E4">
        <w:t xml:space="preserve"> </w:t>
      </w:r>
      <w:r w:rsidR="00DE0E64" w:rsidRPr="001238C6">
        <w:t>– Nil or rounded to zero.</w:t>
      </w:r>
    </w:p>
    <w:p w:rsidR="00554031" w:rsidRPr="00944E91" w:rsidRDefault="00A43D54" w:rsidP="00B05655">
      <w:pPr>
        <w:pStyle w:val="Source"/>
      </w:pPr>
      <w:r w:rsidRPr="001238C6">
        <w:rPr>
          <w:i/>
        </w:rPr>
        <w:t>Source</w:t>
      </w:r>
      <w:r w:rsidRPr="001238C6">
        <w:t xml:space="preserve">: </w:t>
      </w:r>
      <w:r w:rsidR="00B513D7">
        <w:t>Department of Health</w:t>
      </w:r>
      <w:r w:rsidR="00612257" w:rsidRPr="001238C6">
        <w:t xml:space="preserve"> (unpublished) </w:t>
      </w:r>
      <w:r w:rsidR="00C34A36" w:rsidRPr="001238C6">
        <w:t>PBS</w:t>
      </w:r>
      <w:r w:rsidR="00612257" w:rsidRPr="001238C6">
        <w:t xml:space="preserve"> </w:t>
      </w:r>
      <w:r w:rsidR="00524F26" w:rsidRPr="001238C6">
        <w:t>Statistics</w:t>
      </w:r>
      <w:r w:rsidR="00E23F6C" w:rsidRPr="001238C6">
        <w:t>; table</w:t>
      </w:r>
      <w:r w:rsidR="001238C6">
        <w:t>s</w:t>
      </w:r>
      <w:r w:rsidR="00E23F6C" w:rsidRPr="001238C6">
        <w:t xml:space="preserve"> </w:t>
      </w:r>
      <w:r w:rsidR="00AD7C1C" w:rsidRPr="001238C6">
        <w:t>11A.</w:t>
      </w:r>
      <w:r w:rsidR="002D6480">
        <w:t>1</w:t>
      </w:r>
      <w:r w:rsidR="00FF7EFE">
        <w:t>1</w:t>
      </w:r>
      <w:r w:rsidR="00B464B6">
        <w:t xml:space="preserve"> and 11A.1</w:t>
      </w:r>
      <w:r w:rsidR="00FF7EFE">
        <w:t>2</w:t>
      </w:r>
      <w:r w:rsidR="00E23F6C" w:rsidRPr="001238C6">
        <w:t>.</w:t>
      </w:r>
    </w:p>
    <w:p w:rsidR="00A43D54" w:rsidRDefault="00554031" w:rsidP="00554031">
      <w:pPr>
        <w:pStyle w:val="Heading4"/>
      </w:pPr>
      <w:r w:rsidRPr="00554031">
        <w:t>Community health services</w:t>
      </w:r>
    </w:p>
    <w:p w:rsidR="00554031" w:rsidRDefault="00554031" w:rsidP="006A75CD">
      <w:pPr>
        <w:pStyle w:val="BodyText"/>
      </w:pPr>
      <w:r>
        <w:t>The range of community health services available varies considerab</w:t>
      </w:r>
      <w:r w:rsidR="008B6FA4">
        <w:t xml:space="preserve">ly across jurisdictions. </w:t>
      </w:r>
      <w:r w:rsidR="008B6FA4" w:rsidRPr="00EC7D14">
        <w:t>Tables </w:t>
      </w:r>
      <w:r w:rsidR="00FD3321">
        <w:t>11A.10</w:t>
      </w:r>
      <w:r w:rsidR="003B3CD1">
        <w:t>5</w:t>
      </w:r>
      <w:r w:rsidR="00E31E46" w:rsidRPr="00EC7D14">
        <w:t>–</w:t>
      </w:r>
      <w:r w:rsidR="007A321A">
        <w:t>11A.</w:t>
      </w:r>
      <w:r w:rsidR="008A25EA">
        <w:t>1</w:t>
      </w:r>
      <w:r w:rsidR="005817CF">
        <w:t>1</w:t>
      </w:r>
      <w:r w:rsidR="002A7C7C">
        <w:t>3</w:t>
      </w:r>
      <w:r w:rsidR="006F3AE5" w:rsidRPr="00EC7D14">
        <w:t xml:space="preserve"> </w:t>
      </w:r>
      <w:r w:rsidRPr="00EC7D14">
        <w:t>provide</w:t>
      </w:r>
      <w:r>
        <w:t xml:space="preserve"> information on community health programs in each jurisdiction. The </w:t>
      </w:r>
      <w:r w:rsidRPr="00B87582">
        <w:t>more significant of these program</w:t>
      </w:r>
      <w:r w:rsidR="00B87582">
        <w:t xml:space="preserve">s </w:t>
      </w:r>
      <w:r>
        <w:t>are described below. Other community health programs provided by some jurisdictions include:</w:t>
      </w:r>
    </w:p>
    <w:p w:rsidR="00554031" w:rsidRDefault="00554031" w:rsidP="00554031">
      <w:pPr>
        <w:pStyle w:val="ListBullet"/>
      </w:pPr>
      <w:r>
        <w:t>women’s health services that provide services and health promotion programs for</w:t>
      </w:r>
      <w:r w:rsidR="00CD0F1E">
        <w:t xml:space="preserve"> women across a range of health-</w:t>
      </w:r>
      <w:r>
        <w:t>related areas</w:t>
      </w:r>
    </w:p>
    <w:p w:rsidR="00554031" w:rsidRDefault="00627ED5" w:rsidP="00554031">
      <w:pPr>
        <w:pStyle w:val="ListBullet"/>
      </w:pPr>
      <w:r>
        <w:t>men’s health programs</w:t>
      </w:r>
      <w:r w:rsidR="00554031">
        <w:t xml:space="preserve"> </w:t>
      </w:r>
      <w:r>
        <w:t>(</w:t>
      </w:r>
      <w:r w:rsidR="00554031">
        <w:t>mainly promotional and educational programs</w:t>
      </w:r>
      <w:r>
        <w:t>)</w:t>
      </w:r>
    </w:p>
    <w:p w:rsidR="00554031" w:rsidRDefault="00554031" w:rsidP="00554031">
      <w:pPr>
        <w:pStyle w:val="ListBullet"/>
      </w:pPr>
      <w:r>
        <w:t>allied health services</w:t>
      </w:r>
    </w:p>
    <w:p w:rsidR="00554031" w:rsidRDefault="00554031" w:rsidP="00554031">
      <w:pPr>
        <w:pStyle w:val="ListBullet"/>
      </w:pPr>
      <w:r>
        <w:t>community rehabilitation programs.</w:t>
      </w:r>
    </w:p>
    <w:p w:rsidR="00554031" w:rsidRDefault="00554031" w:rsidP="006A75CD">
      <w:pPr>
        <w:pStyle w:val="BodyText"/>
      </w:pPr>
      <w:r>
        <w:t>Community health programs that address mental health, home and community care, and aged care assessments are reported in chapter</w:t>
      </w:r>
      <w:r w:rsidR="00627ED5">
        <w:t>s 12 (</w:t>
      </w:r>
      <w:r w:rsidR="00BA2CB2" w:rsidRPr="004D7297">
        <w:t>Mental health management</w:t>
      </w:r>
      <w:r w:rsidR="00A2574C">
        <w:t xml:space="preserve">), </w:t>
      </w:r>
      <w:r w:rsidR="00627ED5">
        <w:t>13 </w:t>
      </w:r>
      <w:r>
        <w:t>(Aged care</w:t>
      </w:r>
      <w:r w:rsidR="00267380">
        <w:t xml:space="preserve"> services</w:t>
      </w:r>
      <w:r w:rsidR="00A2574C">
        <w:t>) and 14 (Services for people with disability)</w:t>
      </w:r>
      <w:r w:rsidR="002A4BFF">
        <w:t>.</w:t>
      </w:r>
    </w:p>
    <w:p w:rsidR="00554031" w:rsidRDefault="00554031" w:rsidP="00554031">
      <w:pPr>
        <w:pStyle w:val="Heading5"/>
      </w:pPr>
      <w:r>
        <w:t>Maternal and child health</w:t>
      </w:r>
    </w:p>
    <w:p w:rsidR="00554031" w:rsidRDefault="00554031" w:rsidP="006A75CD">
      <w:pPr>
        <w:pStyle w:val="BodyText"/>
      </w:pPr>
      <w:r>
        <w:t xml:space="preserve">All jurisdictions provide maternal and child health services through their community health programs. These services include: parenting support programs (including antenatal and postnatal programs); early childhood nursing programs; disease prevention programs (including childhood immunisations); and early intervention and treatment programs related to child development and health. Some jurisdictions also provide specialist programs through child health services, </w:t>
      </w:r>
      <w:r>
        <w:lastRenderedPageBreak/>
        <w:t>including hearing screening programs, and mothers and babies residential programs. Performance indicators for maternity services in public hospi</w:t>
      </w:r>
      <w:r w:rsidR="008B6FA4">
        <w:t>tals are reported in chapter 10 </w:t>
      </w:r>
      <w:r>
        <w:t>(Public hospitals).</w:t>
      </w:r>
    </w:p>
    <w:p w:rsidR="00554031" w:rsidRDefault="00554031" w:rsidP="00554031">
      <w:pPr>
        <w:pStyle w:val="Heading5"/>
      </w:pPr>
      <w:r>
        <w:t>Public dental services</w:t>
      </w:r>
    </w:p>
    <w:p w:rsidR="00554031" w:rsidRDefault="00554031" w:rsidP="004D42BF">
      <w:pPr>
        <w:pStyle w:val="BodyText"/>
      </w:pPr>
      <w:r>
        <w:t>All jurisdictions provide some form of public dental service for primary school children. Some jurisdictions</w:t>
      </w:r>
      <w:r w:rsidR="008C7B1B">
        <w:t xml:space="preserve"> </w:t>
      </w:r>
      <w:r>
        <w:t xml:space="preserve">also provide dental services </w:t>
      </w:r>
      <w:r w:rsidRPr="004D42BF">
        <w:t xml:space="preserve">to </w:t>
      </w:r>
      <w:r w:rsidR="00CC5304" w:rsidRPr="004D42BF">
        <w:t>preschool and</w:t>
      </w:r>
      <w:r w:rsidR="00C75A0C" w:rsidRPr="004D42BF">
        <w:t xml:space="preserve"> </w:t>
      </w:r>
      <w:r w:rsidRPr="004D42BF">
        <w:t>secondary</w:t>
      </w:r>
      <w:r>
        <w:t xml:space="preserve"> school </w:t>
      </w:r>
      <w:r w:rsidRPr="00EC7D14">
        <w:t>students (tables </w:t>
      </w:r>
      <w:r w:rsidR="00FD3321">
        <w:t>11A.10</w:t>
      </w:r>
      <w:r w:rsidR="003B3CD1">
        <w:t>5</w:t>
      </w:r>
      <w:r w:rsidR="00E31E46" w:rsidRPr="00EC7D14">
        <w:t>–</w:t>
      </w:r>
      <w:r w:rsidR="00FD3321">
        <w:t>11A.11</w:t>
      </w:r>
      <w:r w:rsidR="002A7C7C">
        <w:t>3</w:t>
      </w:r>
      <w:r w:rsidRPr="00EC7D14">
        <w:t>).</w:t>
      </w:r>
    </w:p>
    <w:p w:rsidR="00554031" w:rsidRDefault="00554031" w:rsidP="006A75CD">
      <w:pPr>
        <w:pStyle w:val="BodyText"/>
      </w:pPr>
      <w:r>
        <w:t xml:space="preserve">State and </w:t>
      </w:r>
      <w:r w:rsidR="00EA4CFD">
        <w:t>T</w:t>
      </w:r>
      <w:r>
        <w:t>erritor</w:t>
      </w:r>
      <w:r w:rsidR="00EA4CFD">
        <w:t>y governments</w:t>
      </w:r>
      <w:r>
        <w:t xml:space="preserve"> also provide some general dental services and a limited range of specialist dental se</w:t>
      </w:r>
      <w:r w:rsidR="00EA4CFD">
        <w:t xml:space="preserve">rvices to disadvantaged adults who are </w:t>
      </w:r>
      <w:r>
        <w:t>holders of concession cards issued by Centrelink. In some jurisdictions, specialist dental services are provided mainly by qualified dental specialists; in others, they are provided in dental teaching hospitals as part of training programs for dental specialists (National Advisory Committee on Oral Health </w:t>
      </w:r>
      <w:r w:rsidRPr="00CE4CD7">
        <w:t>2004</w:t>
      </w:r>
      <w:r w:rsidRPr="009F5CD3">
        <w:t>).</w:t>
      </w:r>
      <w:r>
        <w:t xml:space="preserve"> </w:t>
      </w:r>
      <w:r w:rsidR="00BD6B6B">
        <w:t>Most</w:t>
      </w:r>
      <w:r>
        <w:t xml:space="preserve"> jurisdictions provided public dental services in</w:t>
      </w:r>
      <w:r w:rsidR="007B6545">
        <w:t xml:space="preserve"> 2012-13</w:t>
      </w:r>
      <w:r>
        <w:t xml:space="preserve"> targeted </w:t>
      </w:r>
      <w:r w:rsidR="00A94000">
        <w:t>at disadvantaged people (tables </w:t>
      </w:r>
      <w:r w:rsidR="00FD3321">
        <w:t>11A.10</w:t>
      </w:r>
      <w:r w:rsidR="003B3CD1">
        <w:t>5</w:t>
      </w:r>
      <w:r w:rsidR="00E31E46">
        <w:t>–</w:t>
      </w:r>
      <w:r w:rsidR="008A25EA">
        <w:t>11A.1</w:t>
      </w:r>
      <w:r w:rsidR="00CD5993">
        <w:t>1</w:t>
      </w:r>
      <w:r w:rsidR="002A7C7C">
        <w:t>3</w:t>
      </w:r>
      <w:r w:rsidR="005428DE" w:rsidRPr="004D22CA">
        <w:t>)</w:t>
      </w:r>
      <w:r w:rsidR="005428DE">
        <w:t>.</w:t>
      </w:r>
      <w:r w:rsidR="00D86AB7">
        <w:t xml:space="preserve"> </w:t>
      </w:r>
      <w:r w:rsidR="00390608">
        <w:t xml:space="preserve">As </w:t>
      </w:r>
      <w:r w:rsidR="00863ACF">
        <w:t>current</w:t>
      </w:r>
      <w:r w:rsidR="00D86AB7">
        <w:t xml:space="preserve"> data </w:t>
      </w:r>
      <w:r w:rsidR="00863ACF">
        <w:t>are</w:t>
      </w:r>
      <w:r w:rsidR="00D86AB7">
        <w:t xml:space="preserve"> not available for use of public dental services for the 201</w:t>
      </w:r>
      <w:r w:rsidR="007B6545">
        <w:t>4</w:t>
      </w:r>
      <w:r w:rsidR="00D86AB7">
        <w:t xml:space="preserve"> Report</w:t>
      </w:r>
      <w:r w:rsidR="00390608">
        <w:t xml:space="preserve">, data for </w:t>
      </w:r>
      <w:r w:rsidR="00390608" w:rsidRPr="007B6545">
        <w:t>2010</w:t>
      </w:r>
      <w:r w:rsidR="00390608">
        <w:t xml:space="preserve"> are reported again</w:t>
      </w:r>
      <w:r w:rsidR="00D86AB7">
        <w:t>.</w:t>
      </w:r>
    </w:p>
    <w:p w:rsidR="0003641B" w:rsidRPr="00944E91" w:rsidRDefault="0087629A" w:rsidP="00FD1D1E">
      <w:pPr>
        <w:pStyle w:val="BodyText"/>
      </w:pPr>
      <w:r w:rsidRPr="0094159B">
        <w:t>Nationally</w:t>
      </w:r>
      <w:r w:rsidRPr="007B6545">
        <w:t xml:space="preserve">, </w:t>
      </w:r>
      <w:r w:rsidR="0096064A" w:rsidRPr="007B6545">
        <w:t>74.4</w:t>
      </w:r>
      <w:r w:rsidR="00CB1AD7" w:rsidRPr="007B6545">
        <w:t xml:space="preserve"> public dental services </w:t>
      </w:r>
      <w:r w:rsidR="005403BE" w:rsidRPr="007B6545">
        <w:t xml:space="preserve">were provided per 1000 people </w:t>
      </w:r>
      <w:r w:rsidR="00CB1AD7" w:rsidRPr="007B6545">
        <w:t>in 20</w:t>
      </w:r>
      <w:r w:rsidR="0096064A" w:rsidRPr="007B6545">
        <w:t>1</w:t>
      </w:r>
      <w:r w:rsidR="00CB1AD7" w:rsidRPr="007B6545">
        <w:t>0</w:t>
      </w:r>
      <w:r w:rsidR="00CF0294" w:rsidRPr="007B6545">
        <w:t>. Of these,</w:t>
      </w:r>
      <w:r w:rsidR="00CB1AD7" w:rsidRPr="007B6545">
        <w:t xml:space="preserve"> </w:t>
      </w:r>
      <w:r w:rsidR="005403BE" w:rsidRPr="007B6545">
        <w:t xml:space="preserve">around </w:t>
      </w:r>
      <w:r w:rsidR="0096064A" w:rsidRPr="007B6545">
        <w:t>19.5</w:t>
      </w:r>
      <w:r w:rsidR="005403BE" w:rsidRPr="0094159B">
        <w:t xml:space="preserve"> per cent</w:t>
      </w:r>
      <w:r w:rsidR="00CB1AD7" w:rsidRPr="0094159B">
        <w:t xml:space="preserve"> were emergency ser</w:t>
      </w:r>
      <w:r w:rsidRPr="0094159B">
        <w:t>vices</w:t>
      </w:r>
      <w:r w:rsidR="00AD39A9" w:rsidRPr="0094159B">
        <w:t xml:space="preserve"> (table 11.</w:t>
      </w:r>
      <w:r w:rsidR="009821C3">
        <w:t>4</w:t>
      </w:r>
      <w:r w:rsidR="00AD39A9" w:rsidRPr="0094159B">
        <w:t>)</w:t>
      </w:r>
      <w:r w:rsidR="0094159B">
        <w:t>.</w:t>
      </w:r>
    </w:p>
    <w:p w:rsidR="0003641B" w:rsidRPr="0020036F" w:rsidRDefault="0003641B" w:rsidP="00757A14">
      <w:pPr>
        <w:pStyle w:val="TableTitle"/>
      </w:pPr>
      <w:r w:rsidRPr="0020036F">
        <w:rPr>
          <w:b w:val="0"/>
        </w:rPr>
        <w:t xml:space="preserve">Table </w:t>
      </w:r>
      <w:r w:rsidR="00EC42DB" w:rsidRPr="0020036F">
        <w:rPr>
          <w:b w:val="0"/>
        </w:rPr>
        <w:t>11.</w:t>
      </w:r>
      <w:r w:rsidR="009821C3">
        <w:rPr>
          <w:b w:val="0"/>
          <w:noProof/>
        </w:rPr>
        <w:t>4</w:t>
      </w:r>
      <w:r w:rsidRPr="0020036F">
        <w:tab/>
      </w:r>
      <w:r w:rsidR="00F26993" w:rsidRPr="0020036F">
        <w:t>Use of p</w:t>
      </w:r>
      <w:r w:rsidRPr="0020036F">
        <w:t>ublic dental service</w:t>
      </w:r>
      <w:r w:rsidR="00F26993" w:rsidRPr="0020036F">
        <w:t>s</w:t>
      </w:r>
      <w:r w:rsidR="005C5A18" w:rsidRPr="0020036F">
        <w:t xml:space="preserve"> by service</w:t>
      </w:r>
      <w:r w:rsidR="00FE3696" w:rsidRPr="0020036F">
        <w:t xml:space="preserve"> type</w:t>
      </w:r>
      <w:r w:rsidR="005C5A18" w:rsidRPr="0020036F">
        <w:t xml:space="preserve">, </w:t>
      </w:r>
      <w:r w:rsidR="00FE3696" w:rsidRPr="0020036F">
        <w:t>p</w:t>
      </w:r>
      <w:r w:rsidR="005C5A18" w:rsidRPr="0020036F">
        <w:t>er 1000 </w:t>
      </w:r>
      <w:r w:rsidR="0087629A" w:rsidRPr="0020036F">
        <w:t xml:space="preserve">people, </w:t>
      </w:r>
      <w:r w:rsidR="0087629A" w:rsidRPr="007B6545">
        <w:t>20</w:t>
      </w:r>
      <w:r w:rsidR="00FC2255" w:rsidRPr="007B6545">
        <w:t>1</w:t>
      </w:r>
      <w:r w:rsidR="0087629A" w:rsidRPr="007B6545">
        <w:t>0</w:t>
      </w:r>
      <w:r w:rsidRPr="007B6545">
        <w:rPr>
          <w:rStyle w:val="NoteLabel"/>
          <w:b/>
        </w:rPr>
        <w:t>a</w:t>
      </w:r>
      <w:r w:rsidR="00556BC6" w:rsidRPr="007B6545">
        <w:rPr>
          <w:rStyle w:val="NoteLabel"/>
          <w:b/>
        </w:rPr>
        <w:t>, b</w:t>
      </w:r>
      <w:r w:rsidR="005C5A18" w:rsidRPr="0020036F">
        <w:rPr>
          <w:rStyle w:val="NoteLabel"/>
          <w:b/>
        </w:rPr>
        <w:t>, c, d</w:t>
      </w:r>
    </w:p>
    <w:tbl>
      <w:tblPr>
        <w:tblW w:w="5000" w:type="pct"/>
        <w:tblCellMar>
          <w:left w:w="0" w:type="dxa"/>
          <w:right w:w="0" w:type="dxa"/>
        </w:tblCellMar>
        <w:tblLook w:val="0000" w:firstRow="0" w:lastRow="0" w:firstColumn="0" w:lastColumn="0" w:noHBand="0" w:noVBand="0"/>
      </w:tblPr>
      <w:tblGrid>
        <w:gridCol w:w="2127"/>
        <w:gridCol w:w="614"/>
        <w:gridCol w:w="756"/>
        <w:gridCol w:w="756"/>
        <w:gridCol w:w="756"/>
        <w:gridCol w:w="756"/>
        <w:gridCol w:w="756"/>
        <w:gridCol w:w="756"/>
        <w:gridCol w:w="756"/>
        <w:gridCol w:w="756"/>
      </w:tblGrid>
      <w:tr w:rsidR="00DB7429" w:rsidRPr="0020036F" w:rsidTr="00F828ED">
        <w:tc>
          <w:tcPr>
            <w:tcW w:w="2127" w:type="dxa"/>
            <w:tcBorders>
              <w:top w:val="single" w:sz="6" w:space="0" w:color="auto"/>
              <w:bottom w:val="single" w:sz="6" w:space="0" w:color="auto"/>
            </w:tcBorders>
            <w:shd w:val="clear" w:color="auto" w:fill="auto"/>
          </w:tcPr>
          <w:p w:rsidR="00DB7429" w:rsidRPr="00944E91" w:rsidRDefault="00DB7429" w:rsidP="00944E91">
            <w:pPr>
              <w:pStyle w:val="TableColumnHeading"/>
              <w:rPr>
                <w:rStyle w:val="NoteLabel"/>
                <w:b w:val="0"/>
                <w:position w:val="0"/>
                <w:sz w:val="20"/>
              </w:rPr>
            </w:pPr>
          </w:p>
        </w:tc>
        <w:tc>
          <w:tcPr>
            <w:tcW w:w="614"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NSW</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Vic</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Qld</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WA</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SA</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Tas</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ACT</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NT</w:t>
            </w:r>
          </w:p>
        </w:tc>
        <w:tc>
          <w:tcPr>
            <w:tcW w:w="756" w:type="dxa"/>
            <w:tcBorders>
              <w:top w:val="single" w:sz="4" w:space="0" w:color="auto"/>
              <w:bottom w:val="single" w:sz="4" w:space="0" w:color="auto"/>
            </w:tcBorders>
            <w:shd w:val="clear" w:color="auto" w:fill="auto"/>
          </w:tcPr>
          <w:p w:rsidR="00DB7429" w:rsidRPr="007A0995" w:rsidRDefault="00DB7429" w:rsidP="00FA5394">
            <w:pPr>
              <w:pStyle w:val="TableColumnHeading"/>
            </w:pPr>
            <w:r w:rsidRPr="007A0995">
              <w:t>Aust</w:t>
            </w:r>
          </w:p>
        </w:tc>
      </w:tr>
      <w:tr w:rsidR="00FC2255" w:rsidRPr="00F828ED" w:rsidTr="007B6545">
        <w:tc>
          <w:tcPr>
            <w:tcW w:w="2127" w:type="dxa"/>
            <w:tcBorders>
              <w:top w:val="single" w:sz="6" w:space="0" w:color="auto"/>
            </w:tcBorders>
          </w:tcPr>
          <w:p w:rsidR="00FC2255" w:rsidRPr="00F828ED" w:rsidRDefault="00FC2255" w:rsidP="00F828ED">
            <w:pPr>
              <w:pStyle w:val="TableBodyText"/>
              <w:spacing w:afterLines="40" w:after="96"/>
              <w:jc w:val="left"/>
            </w:pPr>
            <w:r w:rsidRPr="00F828ED">
              <w:t>Emergency services</w:t>
            </w:r>
            <w:r w:rsidRPr="00F828ED">
              <w:rPr>
                <w:rStyle w:val="NoteLabel"/>
              </w:rPr>
              <w:t>e</w:t>
            </w:r>
          </w:p>
        </w:tc>
        <w:tc>
          <w:tcPr>
            <w:tcW w:w="614"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9.6</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10.4</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26.9</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12.4</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13.3</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29.3</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14.6</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25.6</w:t>
            </w:r>
          </w:p>
        </w:tc>
        <w:tc>
          <w:tcPr>
            <w:tcW w:w="756" w:type="dxa"/>
            <w:tcBorders>
              <w:top w:val="single" w:sz="4" w:space="0" w:color="auto"/>
            </w:tcBorders>
            <w:shd w:val="clear" w:color="auto" w:fill="auto"/>
            <w:vAlign w:val="bottom"/>
          </w:tcPr>
          <w:p w:rsidR="00FC2255" w:rsidRPr="00F828ED" w:rsidRDefault="00FC2255" w:rsidP="00F828ED">
            <w:pPr>
              <w:pStyle w:val="TableBodyText"/>
              <w:spacing w:afterLines="40" w:after="96"/>
            </w:pPr>
            <w:r w:rsidRPr="00F828ED">
              <w:t>14.5</w:t>
            </w:r>
          </w:p>
        </w:tc>
      </w:tr>
      <w:tr w:rsidR="00FC2255" w:rsidRPr="00F828ED" w:rsidTr="007B6545">
        <w:tc>
          <w:tcPr>
            <w:tcW w:w="2127" w:type="dxa"/>
          </w:tcPr>
          <w:p w:rsidR="00FC2255" w:rsidRPr="00F828ED" w:rsidRDefault="00FC2255" w:rsidP="00F828ED">
            <w:pPr>
              <w:pStyle w:val="TableBodyText"/>
              <w:spacing w:afterLines="40" w:after="96"/>
              <w:jc w:val="left"/>
            </w:pPr>
            <w:r w:rsidRPr="00F828ED">
              <w:t>General services</w:t>
            </w:r>
          </w:p>
        </w:tc>
        <w:tc>
          <w:tcPr>
            <w:tcW w:w="614" w:type="dxa"/>
            <w:shd w:val="clear" w:color="auto" w:fill="auto"/>
            <w:vAlign w:val="bottom"/>
          </w:tcPr>
          <w:p w:rsidR="00FC2255" w:rsidRPr="00F828ED" w:rsidRDefault="00FC2255" w:rsidP="00F828ED">
            <w:pPr>
              <w:pStyle w:val="TableBodyText"/>
              <w:spacing w:afterLines="40" w:after="96"/>
            </w:pPr>
            <w:r w:rsidRPr="00F828ED">
              <w:t>34.1</w:t>
            </w:r>
          </w:p>
        </w:tc>
        <w:tc>
          <w:tcPr>
            <w:tcW w:w="756" w:type="dxa"/>
            <w:shd w:val="clear" w:color="auto" w:fill="auto"/>
            <w:vAlign w:val="bottom"/>
          </w:tcPr>
          <w:p w:rsidR="00FC2255" w:rsidRPr="00F828ED" w:rsidRDefault="00FC2255" w:rsidP="00F828ED">
            <w:pPr>
              <w:pStyle w:val="TableBodyText"/>
              <w:spacing w:afterLines="40" w:after="96"/>
            </w:pPr>
            <w:r w:rsidRPr="00F828ED">
              <w:t>45</w:t>
            </w:r>
            <w:r w:rsidR="00DF517A" w:rsidRPr="00F828ED">
              <w:t>.0</w:t>
            </w:r>
          </w:p>
        </w:tc>
        <w:tc>
          <w:tcPr>
            <w:tcW w:w="756" w:type="dxa"/>
            <w:shd w:val="clear" w:color="auto" w:fill="auto"/>
            <w:vAlign w:val="bottom"/>
          </w:tcPr>
          <w:p w:rsidR="00FC2255" w:rsidRPr="00F828ED" w:rsidRDefault="00FC2255" w:rsidP="00F828ED">
            <w:pPr>
              <w:pStyle w:val="TableBodyText"/>
              <w:spacing w:afterLines="40" w:after="96"/>
            </w:pPr>
            <w:r w:rsidRPr="00F828ED">
              <w:t>71</w:t>
            </w:r>
            <w:r w:rsidR="00DF517A" w:rsidRPr="00F828ED">
              <w:t>.0</w:t>
            </w:r>
          </w:p>
        </w:tc>
        <w:tc>
          <w:tcPr>
            <w:tcW w:w="756" w:type="dxa"/>
            <w:shd w:val="clear" w:color="auto" w:fill="auto"/>
            <w:vAlign w:val="bottom"/>
          </w:tcPr>
          <w:p w:rsidR="00FC2255" w:rsidRPr="00F828ED" w:rsidRDefault="00FC2255" w:rsidP="00F828ED">
            <w:pPr>
              <w:pStyle w:val="TableBodyText"/>
              <w:spacing w:afterLines="40" w:after="96"/>
            </w:pPr>
            <w:r w:rsidRPr="00F828ED">
              <w:t>113.6</w:t>
            </w:r>
          </w:p>
        </w:tc>
        <w:tc>
          <w:tcPr>
            <w:tcW w:w="756" w:type="dxa"/>
            <w:shd w:val="clear" w:color="auto" w:fill="auto"/>
            <w:vAlign w:val="bottom"/>
          </w:tcPr>
          <w:p w:rsidR="00FC2255" w:rsidRPr="00F828ED" w:rsidRDefault="00FC2255" w:rsidP="00F828ED">
            <w:pPr>
              <w:pStyle w:val="TableBodyText"/>
              <w:spacing w:afterLines="40" w:after="96"/>
            </w:pPr>
            <w:r w:rsidRPr="00F828ED">
              <w:t>84.1</w:t>
            </w:r>
          </w:p>
        </w:tc>
        <w:tc>
          <w:tcPr>
            <w:tcW w:w="756" w:type="dxa"/>
            <w:shd w:val="clear" w:color="auto" w:fill="auto"/>
            <w:vAlign w:val="bottom"/>
          </w:tcPr>
          <w:p w:rsidR="00FC2255" w:rsidRPr="00F828ED" w:rsidRDefault="00FC2255" w:rsidP="00F828ED">
            <w:pPr>
              <w:pStyle w:val="TableBodyText"/>
              <w:spacing w:afterLines="40" w:after="96"/>
            </w:pPr>
            <w:r w:rsidRPr="00F828ED">
              <w:t>106.2</w:t>
            </w:r>
          </w:p>
        </w:tc>
        <w:tc>
          <w:tcPr>
            <w:tcW w:w="756" w:type="dxa"/>
            <w:shd w:val="clear" w:color="auto" w:fill="auto"/>
            <w:vAlign w:val="bottom"/>
          </w:tcPr>
          <w:p w:rsidR="00FC2255" w:rsidRPr="00F828ED" w:rsidRDefault="00FC2255" w:rsidP="00F828ED">
            <w:pPr>
              <w:pStyle w:val="TableBodyText"/>
              <w:spacing w:afterLines="40" w:after="96"/>
            </w:pPr>
            <w:r w:rsidRPr="00F828ED">
              <w:t>81.7</w:t>
            </w:r>
          </w:p>
        </w:tc>
        <w:tc>
          <w:tcPr>
            <w:tcW w:w="756" w:type="dxa"/>
            <w:shd w:val="clear" w:color="auto" w:fill="auto"/>
            <w:vAlign w:val="bottom"/>
          </w:tcPr>
          <w:p w:rsidR="00FC2255" w:rsidRPr="00F828ED" w:rsidRDefault="00FC2255" w:rsidP="00F828ED">
            <w:pPr>
              <w:pStyle w:val="TableBodyText"/>
              <w:spacing w:afterLines="40" w:after="96"/>
            </w:pPr>
            <w:r w:rsidRPr="00F828ED">
              <w:t>157.7</w:t>
            </w:r>
          </w:p>
        </w:tc>
        <w:tc>
          <w:tcPr>
            <w:tcW w:w="756" w:type="dxa"/>
            <w:shd w:val="clear" w:color="auto" w:fill="auto"/>
            <w:vAlign w:val="bottom"/>
          </w:tcPr>
          <w:p w:rsidR="00FC2255" w:rsidRPr="00F828ED" w:rsidRDefault="00FC2255" w:rsidP="00F828ED">
            <w:pPr>
              <w:pStyle w:val="TableBodyText"/>
              <w:spacing w:afterLines="40" w:after="96"/>
            </w:pPr>
            <w:r w:rsidRPr="00F828ED">
              <w:t>59.9</w:t>
            </w:r>
          </w:p>
        </w:tc>
      </w:tr>
      <w:tr w:rsidR="00FC2255" w:rsidRPr="00F828ED" w:rsidTr="007B6545">
        <w:tc>
          <w:tcPr>
            <w:tcW w:w="2127" w:type="dxa"/>
            <w:tcBorders>
              <w:bottom w:val="single" w:sz="6" w:space="0" w:color="auto"/>
            </w:tcBorders>
            <w:shd w:val="clear" w:color="auto" w:fill="auto"/>
          </w:tcPr>
          <w:p w:rsidR="00FC2255" w:rsidRPr="00F828ED" w:rsidRDefault="00FC2255" w:rsidP="00F828ED">
            <w:pPr>
              <w:pStyle w:val="TableBodyText"/>
              <w:spacing w:afterLines="40" w:after="96"/>
              <w:jc w:val="left"/>
            </w:pPr>
            <w:r w:rsidRPr="00F828ED">
              <w:t>All services</w:t>
            </w:r>
          </w:p>
        </w:tc>
        <w:tc>
          <w:tcPr>
            <w:tcW w:w="614"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43.7</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55.4</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97.9</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126</w:t>
            </w:r>
            <w:r w:rsidR="00DF517A" w:rsidRPr="00F828ED">
              <w:t>.0</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97.3</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135.4</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96.3</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183.3</w:t>
            </w:r>
          </w:p>
        </w:tc>
        <w:tc>
          <w:tcPr>
            <w:tcW w:w="756" w:type="dxa"/>
            <w:tcBorders>
              <w:bottom w:val="single" w:sz="6" w:space="0" w:color="auto"/>
            </w:tcBorders>
            <w:shd w:val="clear" w:color="auto" w:fill="auto"/>
            <w:vAlign w:val="bottom"/>
          </w:tcPr>
          <w:p w:rsidR="00FC2255" w:rsidRPr="00F828ED" w:rsidRDefault="00FC2255" w:rsidP="00F828ED">
            <w:pPr>
              <w:pStyle w:val="TableBodyText"/>
              <w:spacing w:afterLines="40" w:after="96"/>
            </w:pPr>
            <w:r w:rsidRPr="00F828ED">
              <w:t>74.4</w:t>
            </w:r>
          </w:p>
        </w:tc>
      </w:tr>
    </w:tbl>
    <w:p w:rsidR="0003641B" w:rsidRPr="0020036F" w:rsidRDefault="0003641B" w:rsidP="00BF5E69">
      <w:pPr>
        <w:pStyle w:val="Note"/>
        <w:keepNext/>
      </w:pPr>
      <w:r w:rsidRPr="0020036F">
        <w:rPr>
          <w:rStyle w:val="NoteLabel"/>
        </w:rPr>
        <w:t>a</w:t>
      </w:r>
      <w:r w:rsidRPr="0020036F">
        <w:rPr>
          <w:rFonts w:ascii="Times New Roman" w:hAnsi="Times New Roman"/>
          <w:b/>
          <w:sz w:val="26"/>
        </w:rPr>
        <w:t xml:space="preserve"> </w:t>
      </w:r>
      <w:r w:rsidR="00710788" w:rsidRPr="0020036F">
        <w:t xml:space="preserve">Rates are age standardised to the Australian population at 30 June 2001. </w:t>
      </w:r>
      <w:r w:rsidR="00710788" w:rsidRPr="0020036F">
        <w:rPr>
          <w:rStyle w:val="NoteLabel"/>
        </w:rPr>
        <w:t>b</w:t>
      </w:r>
      <w:r w:rsidR="00710788" w:rsidRPr="0020036F">
        <w:t xml:space="preserve"> Limited to dentate pe</w:t>
      </w:r>
      <w:r w:rsidR="007A5D0E" w:rsidRPr="0020036F">
        <w:t>ople</w:t>
      </w:r>
      <w:r w:rsidR="00710788" w:rsidRPr="0020036F">
        <w:t xml:space="preserve"> aged 5</w:t>
      </w:r>
      <w:r w:rsidR="00B31926" w:rsidRPr="0020036F">
        <w:t> </w:t>
      </w:r>
      <w:r w:rsidR="00710788" w:rsidRPr="0020036F">
        <w:t>years</w:t>
      </w:r>
      <w:r w:rsidR="00B31926" w:rsidRPr="0020036F">
        <w:t> </w:t>
      </w:r>
      <w:r w:rsidR="00710788" w:rsidRPr="0020036F">
        <w:t>or</w:t>
      </w:r>
      <w:r w:rsidR="00B31926" w:rsidRPr="0020036F">
        <w:t> </w:t>
      </w:r>
      <w:r w:rsidR="00710788" w:rsidRPr="0020036F">
        <w:t>over.</w:t>
      </w:r>
      <w:r w:rsidR="00687C8B" w:rsidRPr="0020036F">
        <w:t xml:space="preserve"> </w:t>
      </w:r>
      <w:r w:rsidR="005C5A18" w:rsidRPr="0020036F">
        <w:rPr>
          <w:rStyle w:val="NoteLabel"/>
        </w:rPr>
        <w:t>c</w:t>
      </w:r>
      <w:r w:rsidR="005C5A18" w:rsidRPr="0020036F">
        <w:t xml:space="preserve"> Data are for </w:t>
      </w:r>
      <w:r w:rsidR="006D056A" w:rsidRPr="0020036F">
        <w:t xml:space="preserve">the </w:t>
      </w:r>
      <w:r w:rsidR="005C5A18" w:rsidRPr="0020036F">
        <w:t xml:space="preserve">number of people who used a public dental service at least once in the preceding 12 months, not for </w:t>
      </w:r>
      <w:r w:rsidR="006D056A" w:rsidRPr="0020036F">
        <w:t xml:space="preserve">the </w:t>
      </w:r>
      <w:r w:rsidR="005C5A18" w:rsidRPr="0020036F">
        <w:t xml:space="preserve">number of services </w:t>
      </w:r>
      <w:r w:rsidR="00F26993" w:rsidRPr="0020036F">
        <w:t>provided</w:t>
      </w:r>
      <w:r w:rsidR="005C5A18" w:rsidRPr="0020036F">
        <w:t xml:space="preserve">. </w:t>
      </w:r>
      <w:r w:rsidR="005C5A18" w:rsidRPr="0020036F">
        <w:rPr>
          <w:rStyle w:val="NoteLabel"/>
        </w:rPr>
        <w:t>d</w:t>
      </w:r>
      <w:r w:rsidR="005C5A18" w:rsidRPr="0020036F">
        <w:t xml:space="preserve"> Type of service at the most recent visit. </w:t>
      </w:r>
      <w:r w:rsidR="00A061A1" w:rsidRPr="0020036F">
        <w:rPr>
          <w:rStyle w:val="NoteLabel"/>
        </w:rPr>
        <w:t>e</w:t>
      </w:r>
      <w:r w:rsidR="005C5A18" w:rsidRPr="0020036F">
        <w:t> Emergency visit is a visit for relief of pain.</w:t>
      </w:r>
    </w:p>
    <w:p w:rsidR="0003641B" w:rsidRPr="00944E91" w:rsidRDefault="0003641B" w:rsidP="00C273C8">
      <w:pPr>
        <w:pStyle w:val="Source"/>
      </w:pPr>
      <w:r w:rsidRPr="0020036F">
        <w:rPr>
          <w:i/>
        </w:rPr>
        <w:t>Source</w:t>
      </w:r>
      <w:r w:rsidRPr="0020036F">
        <w:t xml:space="preserve">: </w:t>
      </w:r>
      <w:r w:rsidR="0087629A" w:rsidRPr="0020036F">
        <w:t xml:space="preserve">AIHW (unpublished) National Dental Telephone Interview Survey; ABS </w:t>
      </w:r>
      <w:r w:rsidR="000459C2" w:rsidRPr="0020036F">
        <w:t>(</w:t>
      </w:r>
      <w:r w:rsidR="0087629A" w:rsidRPr="0020036F">
        <w:t>unpublished</w:t>
      </w:r>
      <w:r w:rsidR="000459C2" w:rsidRPr="0020036F">
        <w:t>)</w:t>
      </w:r>
      <w:r w:rsidR="00B12D49" w:rsidRPr="0020036F">
        <w:t xml:space="preserve">, </w:t>
      </w:r>
      <w:r w:rsidR="00B12D49" w:rsidRPr="0020036F">
        <w:rPr>
          <w:i/>
        </w:rPr>
        <w:t>Australian Demographic Statistics</w:t>
      </w:r>
      <w:r w:rsidR="00B12D49" w:rsidRPr="0020036F">
        <w:t>, Cat. no. 3101.0</w:t>
      </w:r>
      <w:r w:rsidR="0087629A" w:rsidRPr="0020036F">
        <w:t>;</w:t>
      </w:r>
      <w:r w:rsidRPr="0020036F">
        <w:t xml:space="preserve"> table </w:t>
      </w:r>
      <w:r w:rsidR="00B464B6">
        <w:t>11A.1</w:t>
      </w:r>
      <w:r w:rsidR="00FF7EFE">
        <w:t>3</w:t>
      </w:r>
      <w:r w:rsidR="00C273C8" w:rsidRPr="0020036F">
        <w:t>.</w:t>
      </w:r>
    </w:p>
    <w:p w:rsidR="00554031" w:rsidRDefault="00554031" w:rsidP="00554031">
      <w:pPr>
        <w:pStyle w:val="Heading5"/>
      </w:pPr>
      <w:r>
        <w:t>Alcohol and other drug treatment</w:t>
      </w:r>
    </w:p>
    <w:p w:rsidR="00554031" w:rsidRPr="00944E91" w:rsidRDefault="00554031" w:rsidP="00DC4E6C">
      <w:pPr>
        <w:pStyle w:val="BodyText"/>
      </w:pPr>
      <w:r>
        <w:t>Alcohol and other drug treatment activities range fr</w:t>
      </w:r>
      <w:r w:rsidR="00824D82">
        <w:t xml:space="preserve">om a brief intervention to </w:t>
      </w:r>
      <w:r w:rsidR="00824D82">
        <w:br/>
        <w:t xml:space="preserve">long </w:t>
      </w:r>
      <w:r>
        <w:t xml:space="preserve">term residential treatment. Types of treatment include detoxification, pharmacological treatment (also known as substitution or maintenance treatment), counselling and rehabilitation. </w:t>
      </w:r>
      <w:r w:rsidR="00863ACF">
        <w:t>D</w:t>
      </w:r>
      <w:r>
        <w:t xml:space="preserve">ata included here have been sourced from a </w:t>
      </w:r>
      <w:r w:rsidRPr="0096618F">
        <w:t xml:space="preserve">report </w:t>
      </w:r>
      <w:r w:rsidRPr="0096618F">
        <w:lastRenderedPageBreak/>
        <w:t>on the Alcohol and Other Drug Treatment Services National Minimum Data Set</w:t>
      </w:r>
      <w:r w:rsidR="002528A7">
        <w:t xml:space="preserve"> </w:t>
      </w:r>
      <w:r w:rsidR="00F462B2" w:rsidRPr="00330023">
        <w:t>(AODTS–NMDS)</w:t>
      </w:r>
      <w:r w:rsidR="00F462B2">
        <w:t xml:space="preserve"> </w:t>
      </w:r>
      <w:r w:rsidR="002528A7">
        <w:t xml:space="preserve">— a </w:t>
      </w:r>
      <w:r w:rsidR="002528A7" w:rsidRPr="002528A7">
        <w:t xml:space="preserve">collection of data from publicly funded </w:t>
      </w:r>
      <w:r w:rsidR="00B71ACA">
        <w:t xml:space="preserve">government and non-government </w:t>
      </w:r>
      <w:r w:rsidR="002528A7" w:rsidRPr="002528A7">
        <w:t>treatment services</w:t>
      </w:r>
      <w:r w:rsidRPr="0096618F">
        <w:t xml:space="preserve"> </w:t>
      </w:r>
      <w:r w:rsidRPr="002D00F8">
        <w:t>(AIHW </w:t>
      </w:r>
      <w:r w:rsidRPr="00413818">
        <w:t>20</w:t>
      </w:r>
      <w:r w:rsidR="00E716FD" w:rsidRPr="00413818">
        <w:t>1</w:t>
      </w:r>
      <w:r w:rsidR="005D0E19" w:rsidRPr="00413818">
        <w:t>3</w:t>
      </w:r>
      <w:r w:rsidR="0088243E" w:rsidRPr="00413818">
        <w:t>a</w:t>
      </w:r>
      <w:r w:rsidRPr="00413818">
        <w:t>).</w:t>
      </w:r>
      <w:r w:rsidR="00373587" w:rsidRPr="00413818">
        <w:t xml:space="preserve"> </w:t>
      </w:r>
      <w:r w:rsidRPr="00413818">
        <w:t xml:space="preserve">Treatment activities excluded from that </w:t>
      </w:r>
      <w:r w:rsidR="00595F60" w:rsidRPr="00413818">
        <w:t>collection</w:t>
      </w:r>
      <w:r w:rsidRPr="00413818">
        <w:t xml:space="preserve"> include </w:t>
      </w:r>
      <w:r w:rsidR="00D16A40" w:rsidRPr="00413818">
        <w:t>treatment with medication for</w:t>
      </w:r>
      <w:r w:rsidR="00D16A40" w:rsidRPr="002A259E">
        <w:t xml:space="preserve"> dependence on opioid drugs such as heroin (</w:t>
      </w:r>
      <w:r w:rsidRPr="002A259E">
        <w:t>opioid pharmacotherapy treatment</w:t>
      </w:r>
      <w:r w:rsidR="00D16A40" w:rsidRPr="002A259E">
        <w:t>)</w:t>
      </w:r>
      <w:r w:rsidRPr="002A259E">
        <w:t xml:space="preserve"> where no other treatment is provided, the majority of services for </w:t>
      </w:r>
      <w:r w:rsidR="006E4E2B">
        <w:t>Indigenous Australians</w:t>
      </w:r>
      <w:r w:rsidRPr="002A259E">
        <w:t xml:space="preserve"> that are funded by the Australian Government, treatment services within the correctional system, and treatment units associated with acute care and psychiatric hospitals</w:t>
      </w:r>
      <w:r w:rsidR="00C61863">
        <w:t>.</w:t>
      </w:r>
    </w:p>
    <w:p w:rsidR="00554031" w:rsidRPr="0096618F" w:rsidRDefault="00554031" w:rsidP="00584945">
      <w:pPr>
        <w:pStyle w:val="BodyText"/>
      </w:pPr>
      <w:r w:rsidRPr="0096618F">
        <w:t xml:space="preserve">A total </w:t>
      </w:r>
      <w:r w:rsidRPr="00330023">
        <w:t>of</w:t>
      </w:r>
      <w:r w:rsidR="00C26C92">
        <w:t xml:space="preserve"> 659</w:t>
      </w:r>
      <w:r w:rsidRPr="00330023">
        <w:t xml:space="preserve"> alcohol</w:t>
      </w:r>
      <w:r w:rsidRPr="00B12D49">
        <w:t xml:space="preserve"> and other drug treatment </w:t>
      </w:r>
      <w:r w:rsidR="000675A1" w:rsidRPr="00330023">
        <w:t>agencies</w:t>
      </w:r>
      <w:r w:rsidRPr="00330023">
        <w:t xml:space="preserve"> </w:t>
      </w:r>
      <w:r w:rsidR="002B24E3" w:rsidRPr="00330023">
        <w:t>reported</w:t>
      </w:r>
      <w:r w:rsidR="00C26C92">
        <w:t xml:space="preserve"> 2011-12</w:t>
      </w:r>
      <w:r w:rsidRPr="00330023">
        <w:t xml:space="preserve"> data </w:t>
      </w:r>
      <w:r w:rsidR="00484AC2">
        <w:br/>
      </w:r>
      <w:r w:rsidR="002B24E3" w:rsidRPr="00330023">
        <w:t>to</w:t>
      </w:r>
      <w:r w:rsidRPr="00330023">
        <w:t xml:space="preserve"> </w:t>
      </w:r>
      <w:r w:rsidR="002B24E3" w:rsidRPr="00330023">
        <w:t>the AODTS–NMDS</w:t>
      </w:r>
      <w:r w:rsidRPr="00330023">
        <w:t xml:space="preserve">. Of these, </w:t>
      </w:r>
      <w:r w:rsidR="00C26C92" w:rsidRPr="00C26C92">
        <w:t>317</w:t>
      </w:r>
      <w:r w:rsidRPr="00C26C92">
        <w:t xml:space="preserve"> (</w:t>
      </w:r>
      <w:r w:rsidR="00C26C92" w:rsidRPr="00C26C92">
        <w:t>48.1</w:t>
      </w:r>
      <w:r w:rsidRPr="00C26C92">
        <w:t> per cent) identified</w:t>
      </w:r>
      <w:r w:rsidRPr="00330023">
        <w:t xml:space="preserve"> as government providers </w:t>
      </w:r>
      <w:r w:rsidRPr="00C26C92">
        <w:t xml:space="preserve">and </w:t>
      </w:r>
      <w:r w:rsidR="009C0D36" w:rsidRPr="00C26C92">
        <w:t>3</w:t>
      </w:r>
      <w:r w:rsidR="00C26C92" w:rsidRPr="00C26C92">
        <w:t>42</w:t>
      </w:r>
      <w:r w:rsidR="00EC5C87" w:rsidRPr="00C26C92">
        <w:t> </w:t>
      </w:r>
      <w:r w:rsidR="003645D5" w:rsidRPr="00C26C92">
        <w:t>(</w:t>
      </w:r>
      <w:r w:rsidR="00C26C92" w:rsidRPr="00C26C92">
        <w:t>51.9</w:t>
      </w:r>
      <w:r w:rsidR="003645D5" w:rsidRPr="00C26C92">
        <w:t> </w:t>
      </w:r>
      <w:r w:rsidRPr="00C26C92">
        <w:t>per</w:t>
      </w:r>
      <w:r w:rsidR="003645D5" w:rsidRPr="00C26C92">
        <w:t> </w:t>
      </w:r>
      <w:r w:rsidRPr="00C26C92">
        <w:t>cent) as</w:t>
      </w:r>
      <w:r w:rsidRPr="00330023">
        <w:t xml:space="preserve"> non</w:t>
      </w:r>
      <w:r w:rsidR="00F30F44" w:rsidRPr="00330023">
        <w:t>-</w:t>
      </w:r>
      <w:r w:rsidRPr="00330023">
        <w:t xml:space="preserve">government </w:t>
      </w:r>
      <w:r w:rsidRPr="001727B9">
        <w:t>provider</w:t>
      </w:r>
      <w:r w:rsidR="003645D5" w:rsidRPr="001727B9">
        <w:t>s (table </w:t>
      </w:r>
      <w:r w:rsidR="00AD7C1C" w:rsidRPr="001727B9">
        <w:t>11A.</w:t>
      </w:r>
      <w:r w:rsidR="00A67B56" w:rsidRPr="001727B9">
        <w:t>1</w:t>
      </w:r>
      <w:r w:rsidR="00705AF9">
        <w:t>4</w:t>
      </w:r>
      <w:r w:rsidR="00F30F44" w:rsidRPr="001727B9">
        <w:t xml:space="preserve">). </w:t>
      </w:r>
      <w:r w:rsidR="003645D5" w:rsidRPr="00B12D49">
        <w:t>There were</w:t>
      </w:r>
      <w:r w:rsidR="00C26C92">
        <w:t xml:space="preserve"> </w:t>
      </w:r>
      <w:r w:rsidR="00C26C92" w:rsidRPr="00C26C92">
        <w:t>153</w:t>
      </w:r>
      <w:r w:rsidR="00C26C92">
        <w:t xml:space="preserve"> </w:t>
      </w:r>
      <w:r w:rsidR="00C26C92" w:rsidRPr="00C26C92">
        <w:t>668</w:t>
      </w:r>
      <w:r w:rsidR="003C010F">
        <w:t xml:space="preserve"> </w:t>
      </w:r>
      <w:r w:rsidRPr="00F81BCE">
        <w:t xml:space="preserve">reported closed treatment episodes in </w:t>
      </w:r>
      <w:r w:rsidR="00C26C92">
        <w:t>2011-12</w:t>
      </w:r>
      <w:r w:rsidR="00C26C92" w:rsidRPr="00330023">
        <w:t xml:space="preserve"> </w:t>
      </w:r>
      <w:r w:rsidR="00253646">
        <w:t>(table 11A.1</w:t>
      </w:r>
      <w:r w:rsidR="00705AF9">
        <w:t>4</w:t>
      </w:r>
      <w:r w:rsidR="00253646">
        <w:t xml:space="preserve">) </w:t>
      </w:r>
      <w:r w:rsidRPr="00F81BCE">
        <w:t>(see section</w:t>
      </w:r>
      <w:r w:rsidR="003645D5" w:rsidRPr="00F81BCE">
        <w:t> </w:t>
      </w:r>
      <w:r w:rsidRPr="00F81BCE">
        <w:t>11.5 for a</w:t>
      </w:r>
      <w:r w:rsidRPr="00B12D49">
        <w:t xml:space="preserve"> definition of </w:t>
      </w:r>
      <w:r w:rsidR="00B019E3" w:rsidRPr="00B12D49">
        <w:t xml:space="preserve">a </w:t>
      </w:r>
      <w:r w:rsidRPr="00B12D49">
        <w:t xml:space="preserve">closed treatment episode). Clients seeking treatment for their own </w:t>
      </w:r>
      <w:r w:rsidRPr="00F81BCE">
        <w:t>substance use</w:t>
      </w:r>
      <w:r w:rsidRPr="00C26C92">
        <w:t xml:space="preserve">, </w:t>
      </w:r>
      <w:r w:rsidR="009E2DED" w:rsidRPr="00C26C92">
        <w:t>6</w:t>
      </w:r>
      <w:r w:rsidR="00B83C31" w:rsidRPr="00C26C92">
        <w:t>7</w:t>
      </w:r>
      <w:r w:rsidR="009E2DED" w:rsidRPr="00C26C92">
        <w:t>.</w:t>
      </w:r>
      <w:r w:rsidR="00C26C92" w:rsidRPr="00C26C92">
        <w:t>5</w:t>
      </w:r>
      <w:r w:rsidR="002D500B" w:rsidRPr="00C26C92">
        <w:t> per cent</w:t>
      </w:r>
      <w:r w:rsidR="002D500B" w:rsidRPr="00F81BCE">
        <w:t xml:space="preserve"> </w:t>
      </w:r>
      <w:r w:rsidRPr="00F81BCE">
        <w:t>of</w:t>
      </w:r>
      <w:r w:rsidRPr="00B12D49">
        <w:t xml:space="preserve"> whom</w:t>
      </w:r>
      <w:r w:rsidR="0010325E" w:rsidRPr="00B12D49">
        <w:t xml:space="preserve"> </w:t>
      </w:r>
      <w:r w:rsidR="003645D5" w:rsidRPr="00B12D49">
        <w:t xml:space="preserve">were male, accounted </w:t>
      </w:r>
      <w:r w:rsidR="003645D5" w:rsidRPr="00D77ED7">
        <w:t>for</w:t>
      </w:r>
      <w:r w:rsidR="00C26C92">
        <w:t xml:space="preserve"> </w:t>
      </w:r>
      <w:r w:rsidR="00C26C92" w:rsidRPr="00C26C92">
        <w:t>146</w:t>
      </w:r>
      <w:r w:rsidR="00C26C92">
        <w:t> </w:t>
      </w:r>
      <w:r w:rsidR="00C26C92" w:rsidRPr="00C26C92">
        <w:t>948</w:t>
      </w:r>
      <w:r w:rsidR="00C26C92">
        <w:t xml:space="preserve"> </w:t>
      </w:r>
      <w:r w:rsidRPr="00D77ED7">
        <w:t>closed</w:t>
      </w:r>
      <w:r w:rsidRPr="0096618F">
        <w:t xml:space="preserve"> </w:t>
      </w:r>
      <w:r w:rsidRPr="00F81BCE">
        <w:t xml:space="preserve">treatment episodes </w:t>
      </w:r>
      <w:r w:rsidR="00253646">
        <w:t>(table 11A.1</w:t>
      </w:r>
      <w:r w:rsidR="00705AF9">
        <w:t>4</w:t>
      </w:r>
      <w:r w:rsidR="00253646">
        <w:t xml:space="preserve">) </w:t>
      </w:r>
      <w:r w:rsidRPr="00F81BCE">
        <w:t>(AIHW</w:t>
      </w:r>
      <w:r w:rsidR="003645D5" w:rsidRPr="00F81BCE">
        <w:t> </w:t>
      </w:r>
      <w:r w:rsidR="007D5530" w:rsidRPr="005D0E19">
        <w:t>2013</w:t>
      </w:r>
      <w:r w:rsidR="007D5530" w:rsidRPr="00F14235">
        <w:t>a</w:t>
      </w:r>
      <w:r w:rsidR="0088407B" w:rsidRPr="00F81BCE">
        <w:t>)</w:t>
      </w:r>
      <w:r w:rsidRPr="00F81BCE">
        <w:t>.</w:t>
      </w:r>
    </w:p>
    <w:p w:rsidR="002A76FF" w:rsidRDefault="009473E0" w:rsidP="009473E0">
      <w:pPr>
        <w:pStyle w:val="BodyText"/>
      </w:pPr>
      <w:r>
        <w:t xml:space="preserve">Alcohol was the most </w:t>
      </w:r>
      <w:r w:rsidRPr="0053407F">
        <w:t xml:space="preserve">commonly reported </w:t>
      </w:r>
      <w:r>
        <w:t>principal drug of concern (45.8 </w:t>
      </w:r>
      <w:r w:rsidRPr="0053407F">
        <w:t>per cent</w:t>
      </w:r>
      <w:r>
        <w:t>), followed by cannabis (</w:t>
      </w:r>
      <w:r w:rsidRPr="00355D80">
        <w:t>22.0 </w:t>
      </w:r>
      <w:r w:rsidRPr="0053407F">
        <w:t>per cent</w:t>
      </w:r>
      <w:r>
        <w:t>), amphetamines (11.5 </w:t>
      </w:r>
      <w:r w:rsidRPr="0053407F">
        <w:t>per cent</w:t>
      </w:r>
      <w:r>
        <w:t>) and heroin (8.8 </w:t>
      </w:r>
      <w:r w:rsidRPr="0053407F">
        <w:t>per cent</w:t>
      </w:r>
      <w:r>
        <w:t xml:space="preserve">), </w:t>
      </w:r>
      <w:r w:rsidRPr="0053407F">
        <w:t xml:space="preserve">in closed </w:t>
      </w:r>
      <w:r w:rsidR="00C14F89" w:rsidRPr="0053407F">
        <w:t xml:space="preserve">treatment </w:t>
      </w:r>
      <w:r w:rsidRPr="0053407F">
        <w:t>episodes for clients seeking treatment for their own substance abuse</w:t>
      </w:r>
      <w:r>
        <w:t xml:space="preserve">. </w:t>
      </w:r>
      <w:r w:rsidR="00C14F89">
        <w:t>Additional drugs of concern were reported in over 80 per cent of the episodes</w:t>
      </w:r>
      <w:r w:rsidR="002A76FF">
        <w:t xml:space="preserve"> (AIHW </w:t>
      </w:r>
      <w:r w:rsidR="002A76FF" w:rsidRPr="005D0E19">
        <w:t>2013</w:t>
      </w:r>
      <w:r w:rsidR="002A76FF" w:rsidRPr="00F14235">
        <w:t>a</w:t>
      </w:r>
      <w:r w:rsidR="002A76FF">
        <w:t>)</w:t>
      </w:r>
      <w:r w:rsidR="00C14F89">
        <w:t>.</w:t>
      </w:r>
    </w:p>
    <w:p w:rsidR="009473E0" w:rsidRDefault="009473E0" w:rsidP="009473E0">
      <w:pPr>
        <w:pStyle w:val="BodyText"/>
      </w:pPr>
      <w:r>
        <w:t>Alcohol was the most common principal drug of concern in all states and territories. Cannabis was the second most common principal drug in all states and territories except South Australia, where amphetamines were more common</w:t>
      </w:r>
      <w:r w:rsidRPr="00355D80">
        <w:t xml:space="preserve"> </w:t>
      </w:r>
      <w:r w:rsidRPr="0053407F">
        <w:t>(AIHW </w:t>
      </w:r>
      <w:r w:rsidRPr="005D0E19">
        <w:t>2013</w:t>
      </w:r>
      <w:r w:rsidRPr="00F14235">
        <w:t>a</w:t>
      </w:r>
      <w:r w:rsidRPr="0053407F">
        <w:t xml:space="preserve">). Further information on alcohol and other drug treatment services funded by governments is included in tables </w:t>
      </w:r>
      <w:r w:rsidR="003B3CD1">
        <w:t>11A.105</w:t>
      </w:r>
      <w:r w:rsidRPr="0053407F">
        <w:t>–</w:t>
      </w:r>
      <w:r w:rsidR="002A7C7C">
        <w:t>11A.113</w:t>
      </w:r>
      <w:r w:rsidRPr="0053407F">
        <w:t>.</w:t>
      </w:r>
    </w:p>
    <w:p w:rsidR="00554031" w:rsidRDefault="00554031" w:rsidP="003645D5">
      <w:pPr>
        <w:pStyle w:val="Heading5"/>
      </w:pPr>
      <w:r>
        <w:t>Indigenous community healthcare services</w:t>
      </w:r>
    </w:p>
    <w:p w:rsidR="003645D5" w:rsidRDefault="00554031" w:rsidP="00DC37CF">
      <w:pPr>
        <w:pStyle w:val="BodyText"/>
      </w:pPr>
      <w:r>
        <w:t xml:space="preserve">Indigenous Australians use a range of primary </w:t>
      </w:r>
      <w:r w:rsidR="00B70372">
        <w:t>healthcare</w:t>
      </w:r>
      <w:r>
        <w:t xml:space="preserve"> services, including private </w:t>
      </w:r>
      <w:r w:rsidR="00E81390">
        <w:t>GP</w:t>
      </w:r>
      <w:r>
        <w:t xml:space="preserve">s and Aboriginal and Torres Strait Islander Community Controlled Primary Health Care Services. </w:t>
      </w:r>
      <w:r w:rsidR="007F519F">
        <w:t xml:space="preserve">There are </w:t>
      </w:r>
      <w:r w:rsidR="00AE7544" w:rsidRPr="0096618F">
        <w:t xml:space="preserve">Aboriginal and Torres Strait Islander </w:t>
      </w:r>
      <w:r w:rsidRPr="0096618F">
        <w:t>Community</w:t>
      </w:r>
      <w:r>
        <w:t xml:space="preserve"> Controlled Primary Health Care Services in all jurisdictions</w:t>
      </w:r>
      <w:r w:rsidR="007F519F">
        <w:t>,</w:t>
      </w:r>
      <w:r>
        <w:t xml:space="preserve"> planned and governed by local Indigenous communities </w:t>
      </w:r>
      <w:r w:rsidR="007F519F">
        <w:t>with the</w:t>
      </w:r>
      <w:r>
        <w:t xml:space="preserve"> aim </w:t>
      </w:r>
      <w:r w:rsidR="007F519F">
        <w:t>of</w:t>
      </w:r>
      <w:r>
        <w:t xml:space="preserve"> deliver</w:t>
      </w:r>
      <w:r w:rsidR="007F519F">
        <w:t>ing</w:t>
      </w:r>
      <w:r>
        <w:t xml:space="preserve"> holistic and culturally appropriate health and health-related services.</w:t>
      </w:r>
      <w:r w:rsidR="003645D5">
        <w:t xml:space="preserve"> Funding is provided by Australian, State and Territory governments. In addition to these healthcare services, health programs for Indigenous Australians are funded by a number of </w:t>
      </w:r>
      <w:r w:rsidR="003645D5" w:rsidRPr="00290959">
        <w:t xml:space="preserve">jurisdictions. </w:t>
      </w:r>
      <w:r w:rsidR="003645D5" w:rsidRPr="007B6545">
        <w:t>In 20</w:t>
      </w:r>
      <w:r w:rsidR="00290959" w:rsidRPr="007B6545">
        <w:t>1</w:t>
      </w:r>
      <w:r w:rsidR="007B6545" w:rsidRPr="007B6545">
        <w:t>2</w:t>
      </w:r>
      <w:r w:rsidR="003645D5" w:rsidRPr="007B6545">
        <w:noBreakHyphen/>
      </w:r>
      <w:r w:rsidR="000E411A" w:rsidRPr="007B6545">
        <w:t>1</w:t>
      </w:r>
      <w:r w:rsidR="007B6545" w:rsidRPr="007B6545">
        <w:t>3</w:t>
      </w:r>
      <w:r w:rsidR="00771869" w:rsidRPr="007B6545">
        <w:t>,</w:t>
      </w:r>
      <w:r w:rsidR="003645D5" w:rsidRPr="007B6545">
        <w:t xml:space="preserve"> these programs</w:t>
      </w:r>
      <w:r w:rsidR="003645D5">
        <w:t xml:space="preserve"> included services such as health information, promotion, education and counselling; alcohol, tobacco and other drug services; sexual health </w:t>
      </w:r>
      <w:r w:rsidR="003645D5">
        <w:lastRenderedPageBreak/>
        <w:t>services; allied health services; disease/illness prevention; and improvements</w:t>
      </w:r>
      <w:r w:rsidR="008B6FA4">
        <w:t xml:space="preserve"> to nutrition standards (tables </w:t>
      </w:r>
      <w:r w:rsidR="00FD3321">
        <w:t>11A.10</w:t>
      </w:r>
      <w:r w:rsidR="003B3CD1">
        <w:t>5</w:t>
      </w:r>
      <w:r w:rsidR="00E31E46">
        <w:t>–</w:t>
      </w:r>
      <w:r w:rsidR="00FD3321">
        <w:t>11A.11</w:t>
      </w:r>
      <w:r w:rsidR="002A7C7C">
        <w:t>3</w:t>
      </w:r>
      <w:r w:rsidR="003645D5" w:rsidRPr="008D6F5E">
        <w:t>).</w:t>
      </w:r>
    </w:p>
    <w:p w:rsidR="00FB7877" w:rsidRPr="00FB7877" w:rsidRDefault="003E7AEF" w:rsidP="00FB7877">
      <w:pPr>
        <w:pStyle w:val="BodyText"/>
      </w:pPr>
      <w:r w:rsidRPr="00944E91">
        <w:t>From the 2008</w:t>
      </w:r>
      <w:r w:rsidRPr="00944E91">
        <w:noBreakHyphen/>
        <w:t>09 reporting period, d</w:t>
      </w:r>
      <w:r w:rsidR="00FD1BED" w:rsidRPr="00944E91">
        <w:t xml:space="preserve">ata on </w:t>
      </w:r>
      <w:r w:rsidR="00AE7544">
        <w:t>Indigenous</w:t>
      </w:r>
      <w:r w:rsidR="0033202E" w:rsidRPr="00944E91">
        <w:t xml:space="preserve"> </w:t>
      </w:r>
      <w:r w:rsidR="00FD1BED" w:rsidRPr="00944E91">
        <w:t xml:space="preserve">primary healthcare services that receive funding from the Australian Government </w:t>
      </w:r>
      <w:r w:rsidRPr="00944E91">
        <w:t>have been</w:t>
      </w:r>
      <w:r w:rsidR="00FD1BED" w:rsidRPr="00944E91">
        <w:t xml:space="preserve"> collected through the</w:t>
      </w:r>
      <w:r w:rsidR="00C41F42" w:rsidRPr="00944E91">
        <w:t xml:space="preserve"> Online Services Report</w:t>
      </w:r>
      <w:r w:rsidR="00920097" w:rsidRPr="00944E91">
        <w:t xml:space="preserve"> (OSR) </w:t>
      </w:r>
      <w:r w:rsidR="00FD1BED" w:rsidRPr="00944E91">
        <w:t>questionnaire</w:t>
      </w:r>
      <w:r w:rsidRPr="00944E91">
        <w:t>.</w:t>
      </w:r>
      <w:r w:rsidR="00FB7877" w:rsidRPr="00944E91">
        <w:t xml:space="preserve"> </w:t>
      </w:r>
      <w:r w:rsidR="004E1DFE" w:rsidRPr="004E1DFE">
        <w:t xml:space="preserve">Many of these services receive additional funding from State and Territory governments and other sources. The </w:t>
      </w:r>
      <w:r w:rsidR="004E1DFE">
        <w:t>OSR</w:t>
      </w:r>
      <w:r w:rsidR="004E1DFE" w:rsidRPr="004E1DFE">
        <w:t xml:space="preserve"> data rep</w:t>
      </w:r>
      <w:r w:rsidR="00920097">
        <w:t>orted here represent the health</w:t>
      </w:r>
      <w:r w:rsidR="00920097">
        <w:noBreakHyphen/>
      </w:r>
      <w:r w:rsidR="004E1DFE" w:rsidRPr="004E1DFE">
        <w:t>related activities, episodes and workforce funded from all sources.</w:t>
      </w:r>
    </w:p>
    <w:p w:rsidR="00FB7877" w:rsidRPr="00944E91" w:rsidRDefault="00FB7877" w:rsidP="004D42BF">
      <w:pPr>
        <w:pStyle w:val="BodyText"/>
      </w:pPr>
      <w:r w:rsidRPr="00193CD7">
        <w:t>For</w:t>
      </w:r>
      <w:r w:rsidR="007B6545">
        <w:t xml:space="preserve"> 2011</w:t>
      </w:r>
      <w:r w:rsidR="007B6545">
        <w:noBreakHyphen/>
        <w:t xml:space="preserve">12, </w:t>
      </w:r>
      <w:r w:rsidRPr="00193CD7">
        <w:t>OSR data are reported for</w:t>
      </w:r>
      <w:r w:rsidR="007B6545">
        <w:t xml:space="preserve"> 224</w:t>
      </w:r>
      <w:r w:rsidRPr="00193CD7">
        <w:t> Indigenous primary healthcare services (table </w:t>
      </w:r>
      <w:r w:rsidR="00AD7C1C" w:rsidRPr="00193CD7">
        <w:t>11A.</w:t>
      </w:r>
      <w:r w:rsidR="002D6480">
        <w:t>1</w:t>
      </w:r>
      <w:r w:rsidR="00705AF9">
        <w:t>5</w:t>
      </w:r>
      <w:r w:rsidRPr="00193CD7">
        <w:t>). Of these services</w:t>
      </w:r>
      <w:r w:rsidR="007B6545">
        <w:t>, 90 (40.2 per cent)</w:t>
      </w:r>
      <w:r w:rsidRPr="00193CD7">
        <w:t xml:space="preserve"> were located in remote or very</w:t>
      </w:r>
      <w:r w:rsidRPr="00FB7877">
        <w:t xml:space="preserve"> </w:t>
      </w:r>
      <w:r w:rsidRPr="00193CD7">
        <w:t>remote areas (table </w:t>
      </w:r>
      <w:r w:rsidR="00E60498" w:rsidRPr="00193CD7">
        <w:t>11A.1</w:t>
      </w:r>
      <w:r w:rsidR="00705AF9">
        <w:t>6</w:t>
      </w:r>
      <w:r w:rsidRPr="00193CD7">
        <w:t>). They provided a wide range of primary healthcare</w:t>
      </w:r>
      <w:r w:rsidRPr="00FB7877">
        <w:t xml:space="preserve"> services, including the diagnosis and treatment of illness and disease, the </w:t>
      </w:r>
      <w:r w:rsidRPr="004C7AAD">
        <w:t>management of chronic illness, immunisations and transportation to medical appointments (table </w:t>
      </w:r>
      <w:r w:rsidR="00E60498" w:rsidRPr="004C7AAD">
        <w:t>11A.1</w:t>
      </w:r>
      <w:r w:rsidR="00705AF9">
        <w:t>7</w:t>
      </w:r>
      <w:r w:rsidRPr="004C7AAD">
        <w:t xml:space="preserve">). An episode of healthcare is defined in the </w:t>
      </w:r>
      <w:r w:rsidR="00C84A87" w:rsidRPr="004C7AAD">
        <w:t>OSR</w:t>
      </w:r>
      <w:r w:rsidRPr="004C7AAD">
        <w:t xml:space="preserve"> data collection as contact between an individual client and staff of a service to provide healthcare. </w:t>
      </w:r>
      <w:r w:rsidR="00F866F0" w:rsidRPr="007B6545">
        <w:t>Around</w:t>
      </w:r>
      <w:r w:rsidRPr="007B6545">
        <w:t xml:space="preserve"> </w:t>
      </w:r>
      <w:r w:rsidR="002350C7" w:rsidRPr="007B6545">
        <w:t>2.</w:t>
      </w:r>
      <w:r w:rsidR="007B6545" w:rsidRPr="007B6545">
        <w:t>6</w:t>
      </w:r>
      <w:r w:rsidRPr="007B6545">
        <w:t> million episodes of</w:t>
      </w:r>
      <w:r w:rsidRPr="004C7AAD">
        <w:t xml:space="preserve"> healthcare were provided by participating services in</w:t>
      </w:r>
      <w:r w:rsidR="007B6545">
        <w:t xml:space="preserve"> 2011</w:t>
      </w:r>
      <w:r w:rsidR="007B6545">
        <w:noBreakHyphen/>
        <w:t>12</w:t>
      </w:r>
      <w:r w:rsidRPr="004C7AAD">
        <w:t xml:space="preserve"> (table </w:t>
      </w:r>
      <w:r w:rsidR="00EC42DB" w:rsidRPr="004C7AAD">
        <w:t>11.</w:t>
      </w:r>
      <w:r w:rsidR="009821C3">
        <w:t>5</w:t>
      </w:r>
      <w:r w:rsidRPr="004C7AAD">
        <w:t xml:space="preserve">). Of these, </w:t>
      </w:r>
      <w:r w:rsidR="004C7AAD" w:rsidRPr="004C7AAD">
        <w:t>around</w:t>
      </w:r>
      <w:r w:rsidRPr="004C7AAD">
        <w:t xml:space="preserve"> </w:t>
      </w:r>
      <w:r w:rsidR="00F866F0" w:rsidRPr="007B6545">
        <w:t>1</w:t>
      </w:r>
      <w:r w:rsidR="004C7AAD" w:rsidRPr="007B6545">
        <w:t>.2</w:t>
      </w:r>
      <w:r w:rsidR="00F866F0" w:rsidRPr="004C7AAD">
        <w:t> million</w:t>
      </w:r>
      <w:r w:rsidRPr="004C7AAD">
        <w:t xml:space="preserve"> (</w:t>
      </w:r>
      <w:r w:rsidR="004C7AAD" w:rsidRPr="004D42BF">
        <w:t>47.</w:t>
      </w:r>
      <w:r w:rsidR="00C24F68" w:rsidRPr="004D42BF">
        <w:t>0</w:t>
      </w:r>
      <w:r w:rsidRPr="004D42BF">
        <w:t> per</w:t>
      </w:r>
      <w:r w:rsidRPr="004C7AAD">
        <w:t xml:space="preserve"> cent) were in remote or </w:t>
      </w:r>
      <w:r w:rsidR="002350C7" w:rsidRPr="004C7AAD">
        <w:t>very remote areas (table </w:t>
      </w:r>
      <w:r w:rsidR="00E60498" w:rsidRPr="004C7AAD">
        <w:t>11A.1</w:t>
      </w:r>
      <w:r w:rsidR="00705AF9">
        <w:t>6</w:t>
      </w:r>
      <w:r w:rsidR="00BF5E69" w:rsidRPr="004C7AAD">
        <w:t>).</w:t>
      </w:r>
    </w:p>
    <w:p w:rsidR="00B72CA4" w:rsidRDefault="003645D5">
      <w:pPr>
        <w:pStyle w:val="TableTitle"/>
        <w:rPr>
          <w:rStyle w:val="NoteLabel"/>
          <w:b/>
        </w:rPr>
      </w:pPr>
      <w:r>
        <w:rPr>
          <w:b w:val="0"/>
        </w:rPr>
        <w:t xml:space="preserve">Table </w:t>
      </w:r>
      <w:bookmarkStart w:id="11" w:name="OLE_LINK85"/>
      <w:r w:rsidR="00490F57">
        <w:rPr>
          <w:b w:val="0"/>
        </w:rPr>
        <w:t>11.</w:t>
      </w:r>
      <w:bookmarkEnd w:id="11"/>
      <w:r w:rsidR="009821C3">
        <w:rPr>
          <w:b w:val="0"/>
          <w:noProof/>
        </w:rPr>
        <w:t>5</w:t>
      </w:r>
      <w:r>
        <w:tab/>
      </w:r>
      <w:r w:rsidRPr="003645D5">
        <w:t xml:space="preserve">Estimated episodes of healthcare for </w:t>
      </w:r>
      <w:r w:rsidR="006E4E2B">
        <w:t>Indigenous Australians</w:t>
      </w:r>
      <w:r w:rsidRPr="003645D5">
        <w:t xml:space="preserve"> by services for which </w:t>
      </w:r>
      <w:r w:rsidR="00792438">
        <w:t>OSR</w:t>
      </w:r>
      <w:r w:rsidRPr="003645D5">
        <w:t xml:space="preserve"> data are reported (‘000)</w:t>
      </w:r>
      <w:r w:rsidRPr="003645D5">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1490"/>
        <w:gridCol w:w="804"/>
        <w:gridCol w:w="804"/>
        <w:gridCol w:w="805"/>
        <w:gridCol w:w="805"/>
        <w:gridCol w:w="805"/>
        <w:gridCol w:w="805"/>
        <w:gridCol w:w="805"/>
        <w:gridCol w:w="805"/>
        <w:gridCol w:w="861"/>
      </w:tblGrid>
      <w:tr w:rsidR="00871823" w:rsidRPr="008D28CB" w:rsidTr="009949CD">
        <w:tc>
          <w:tcPr>
            <w:tcW w:w="1490"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0" w:afterLines="40" w:after="96"/>
              <w:rPr>
                <w:rStyle w:val="NoteLabel"/>
                <w:b w:val="0"/>
                <w:position w:val="0"/>
                <w:sz w:val="20"/>
              </w:rPr>
            </w:pPr>
          </w:p>
        </w:tc>
        <w:tc>
          <w:tcPr>
            <w:tcW w:w="804"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 xml:space="preserve">NSW </w:t>
            </w:r>
          </w:p>
        </w:tc>
        <w:tc>
          <w:tcPr>
            <w:tcW w:w="804"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Vic</w:t>
            </w:r>
            <w:r w:rsidRPr="008D28CB">
              <w:rPr>
                <w:rStyle w:val="NoteLabel"/>
                <w:b w:val="0"/>
                <w:position w:val="0"/>
                <w:sz w:val="20"/>
              </w:rPr>
              <w:tab/>
            </w:r>
          </w:p>
        </w:tc>
        <w:tc>
          <w:tcPr>
            <w:tcW w:w="805"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Qld</w:t>
            </w:r>
            <w:r w:rsidRPr="008D28CB">
              <w:rPr>
                <w:rStyle w:val="NoteLabel"/>
                <w:b w:val="0"/>
                <w:position w:val="0"/>
                <w:sz w:val="20"/>
              </w:rPr>
              <w:tab/>
            </w:r>
          </w:p>
        </w:tc>
        <w:tc>
          <w:tcPr>
            <w:tcW w:w="805"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WA</w:t>
            </w:r>
            <w:r w:rsidRPr="008D28CB">
              <w:rPr>
                <w:rStyle w:val="NoteLabel"/>
                <w:b w:val="0"/>
                <w:position w:val="0"/>
                <w:sz w:val="20"/>
              </w:rPr>
              <w:tab/>
            </w:r>
          </w:p>
        </w:tc>
        <w:tc>
          <w:tcPr>
            <w:tcW w:w="805"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SA</w:t>
            </w:r>
            <w:r w:rsidRPr="008D28CB">
              <w:rPr>
                <w:rStyle w:val="NoteLabel"/>
                <w:b w:val="0"/>
                <w:position w:val="0"/>
                <w:sz w:val="20"/>
              </w:rPr>
              <w:tab/>
            </w:r>
          </w:p>
        </w:tc>
        <w:tc>
          <w:tcPr>
            <w:tcW w:w="805"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Tas</w:t>
            </w:r>
            <w:r w:rsidRPr="008D28CB">
              <w:rPr>
                <w:rStyle w:val="NoteLabel"/>
                <w:b w:val="0"/>
                <w:position w:val="0"/>
                <w:sz w:val="20"/>
              </w:rPr>
              <w:tab/>
            </w:r>
          </w:p>
        </w:tc>
        <w:tc>
          <w:tcPr>
            <w:tcW w:w="805" w:type="dxa"/>
            <w:tcBorders>
              <w:top w:val="single" w:sz="6" w:space="0" w:color="auto"/>
              <w:bottom w:val="single" w:sz="6" w:space="0" w:color="auto"/>
            </w:tcBorders>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ACT</w:t>
            </w:r>
          </w:p>
        </w:tc>
        <w:tc>
          <w:tcPr>
            <w:tcW w:w="805"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NT</w:t>
            </w:r>
            <w:r w:rsidRPr="008D28CB">
              <w:rPr>
                <w:rStyle w:val="NoteLabel"/>
                <w:b w:val="0"/>
                <w:position w:val="0"/>
                <w:sz w:val="20"/>
              </w:rPr>
              <w:tab/>
            </w:r>
          </w:p>
        </w:tc>
        <w:tc>
          <w:tcPr>
            <w:tcW w:w="861" w:type="dxa"/>
            <w:tcBorders>
              <w:top w:val="single" w:sz="6" w:space="0" w:color="auto"/>
              <w:bottom w:val="single" w:sz="6" w:space="0" w:color="auto"/>
            </w:tcBorders>
            <w:shd w:val="clear" w:color="auto" w:fill="auto"/>
          </w:tcPr>
          <w:p w:rsidR="00871823" w:rsidRPr="008D28CB" w:rsidRDefault="00871823" w:rsidP="00B22CF3">
            <w:pPr>
              <w:pStyle w:val="TableColumnHeading"/>
              <w:spacing w:beforeLines="40" w:before="96" w:afterLines="40" w:after="96"/>
              <w:rPr>
                <w:rStyle w:val="NoteLabel"/>
                <w:b w:val="0"/>
                <w:position w:val="0"/>
                <w:sz w:val="20"/>
              </w:rPr>
            </w:pPr>
            <w:r w:rsidRPr="008D28CB">
              <w:rPr>
                <w:rStyle w:val="NoteLabel"/>
                <w:b w:val="0"/>
                <w:position w:val="0"/>
                <w:sz w:val="20"/>
              </w:rPr>
              <w:t>Aust</w:t>
            </w:r>
          </w:p>
        </w:tc>
      </w:tr>
      <w:tr w:rsidR="005A5099" w:rsidRPr="009949CD" w:rsidTr="005A5099">
        <w:tc>
          <w:tcPr>
            <w:tcW w:w="1490" w:type="dxa"/>
            <w:shd w:val="clear" w:color="auto" w:fill="auto"/>
          </w:tcPr>
          <w:p w:rsidR="005A5099" w:rsidRPr="009949CD" w:rsidRDefault="005A5099" w:rsidP="00B22CF3">
            <w:pPr>
              <w:pStyle w:val="TableUnitsRow"/>
              <w:spacing w:before="0" w:afterLines="40" w:after="96"/>
              <w:jc w:val="left"/>
            </w:pPr>
            <w:r w:rsidRPr="009949CD">
              <w:t>2008-09</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452</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160</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336</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306</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191</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35</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23</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586</w:t>
            </w:r>
          </w:p>
        </w:tc>
        <w:tc>
          <w:tcPr>
            <w:tcW w:w="861" w:type="dxa"/>
            <w:shd w:val="clear" w:color="auto" w:fill="auto"/>
            <w:vAlign w:val="bottom"/>
          </w:tcPr>
          <w:p w:rsidR="005A5099" w:rsidRPr="002D79FC" w:rsidRDefault="005A5099" w:rsidP="005A5099">
            <w:pPr>
              <w:pStyle w:val="TableBodyText"/>
              <w:spacing w:afterLines="40" w:after="96"/>
            </w:pPr>
            <w:r w:rsidRPr="002D79FC">
              <w:t xml:space="preserve"> 2 089</w:t>
            </w:r>
          </w:p>
        </w:tc>
      </w:tr>
      <w:tr w:rsidR="005A5099" w:rsidRPr="009949CD" w:rsidTr="005A5099">
        <w:tc>
          <w:tcPr>
            <w:tcW w:w="1490" w:type="dxa"/>
            <w:shd w:val="clear" w:color="auto" w:fill="auto"/>
          </w:tcPr>
          <w:p w:rsidR="005A5099" w:rsidRPr="009949CD" w:rsidRDefault="005A5099" w:rsidP="00B22CF3">
            <w:pPr>
              <w:pStyle w:val="TableUnitsRow"/>
              <w:spacing w:before="0" w:afterLines="40" w:after="96"/>
              <w:jc w:val="left"/>
            </w:pPr>
            <w:r w:rsidRPr="009949CD">
              <w:t>2009-10</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542</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185</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379</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409</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192</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36</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26</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622</w:t>
            </w:r>
          </w:p>
        </w:tc>
        <w:tc>
          <w:tcPr>
            <w:tcW w:w="861" w:type="dxa"/>
            <w:shd w:val="clear" w:color="auto" w:fill="auto"/>
            <w:vAlign w:val="bottom"/>
          </w:tcPr>
          <w:p w:rsidR="005A5099" w:rsidRPr="002D79FC" w:rsidRDefault="005A5099" w:rsidP="005A5099">
            <w:pPr>
              <w:pStyle w:val="TableBodyText"/>
              <w:spacing w:afterLines="40" w:after="96"/>
            </w:pPr>
            <w:r w:rsidRPr="002D79FC">
              <w:t xml:space="preserve"> 2 391</w:t>
            </w:r>
          </w:p>
        </w:tc>
      </w:tr>
      <w:tr w:rsidR="005A5099" w:rsidRPr="00B72CA4" w:rsidTr="005A5099">
        <w:tc>
          <w:tcPr>
            <w:tcW w:w="1490" w:type="dxa"/>
            <w:shd w:val="clear" w:color="auto" w:fill="auto"/>
          </w:tcPr>
          <w:p w:rsidR="005A5099" w:rsidRPr="009949CD" w:rsidRDefault="005A5099" w:rsidP="00FE0F98">
            <w:pPr>
              <w:pStyle w:val="TableUnitsRow"/>
              <w:spacing w:before="0" w:afterLines="40" w:after="96"/>
              <w:jc w:val="left"/>
            </w:pPr>
            <w:r w:rsidRPr="009949CD">
              <w:t>2010-11</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522</w:t>
            </w:r>
          </w:p>
        </w:tc>
        <w:tc>
          <w:tcPr>
            <w:tcW w:w="804" w:type="dxa"/>
            <w:shd w:val="clear" w:color="auto" w:fill="auto"/>
            <w:vAlign w:val="bottom"/>
          </w:tcPr>
          <w:p w:rsidR="005A5099" w:rsidRPr="002D79FC" w:rsidRDefault="005A5099" w:rsidP="005A5099">
            <w:pPr>
              <w:pStyle w:val="TableBodyText"/>
              <w:spacing w:afterLines="40" w:after="96"/>
            </w:pPr>
            <w:r w:rsidRPr="002D79FC">
              <w:t xml:space="preserve">  201</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310</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473</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222</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38</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30</w:t>
            </w:r>
          </w:p>
        </w:tc>
        <w:tc>
          <w:tcPr>
            <w:tcW w:w="805" w:type="dxa"/>
            <w:shd w:val="clear" w:color="auto" w:fill="auto"/>
            <w:vAlign w:val="bottom"/>
          </w:tcPr>
          <w:p w:rsidR="005A5099" w:rsidRPr="002D79FC" w:rsidRDefault="005A5099" w:rsidP="005A5099">
            <w:pPr>
              <w:pStyle w:val="TableBodyText"/>
              <w:spacing w:afterLines="40" w:after="96"/>
            </w:pPr>
            <w:r w:rsidRPr="002D79FC">
              <w:t xml:space="preserve">  704</w:t>
            </w:r>
          </w:p>
        </w:tc>
        <w:tc>
          <w:tcPr>
            <w:tcW w:w="861" w:type="dxa"/>
            <w:shd w:val="clear" w:color="auto" w:fill="auto"/>
            <w:vAlign w:val="bottom"/>
          </w:tcPr>
          <w:p w:rsidR="005A5099" w:rsidRPr="002D79FC" w:rsidRDefault="005A5099" w:rsidP="005A5099">
            <w:pPr>
              <w:pStyle w:val="TableBodyText"/>
              <w:spacing w:afterLines="40" w:after="96"/>
            </w:pPr>
            <w:r w:rsidRPr="002D79FC">
              <w:t xml:space="preserve"> 2 498</w:t>
            </w:r>
          </w:p>
        </w:tc>
      </w:tr>
      <w:tr w:rsidR="005A5099" w:rsidRPr="00B72CA4" w:rsidTr="005A5099">
        <w:tc>
          <w:tcPr>
            <w:tcW w:w="1490" w:type="dxa"/>
            <w:tcBorders>
              <w:bottom w:val="single" w:sz="4" w:space="0" w:color="auto"/>
            </w:tcBorders>
            <w:shd w:val="clear" w:color="auto" w:fill="auto"/>
          </w:tcPr>
          <w:p w:rsidR="005A5099" w:rsidRPr="009949CD" w:rsidRDefault="005A5099" w:rsidP="00B22CF3">
            <w:pPr>
              <w:pStyle w:val="TableUnitsRow"/>
              <w:spacing w:before="0" w:afterLines="40" w:after="96"/>
              <w:jc w:val="left"/>
            </w:pPr>
            <w:r>
              <w:t>2011-12</w:t>
            </w:r>
          </w:p>
        </w:tc>
        <w:tc>
          <w:tcPr>
            <w:tcW w:w="804"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516</w:t>
            </w:r>
          </w:p>
        </w:tc>
        <w:tc>
          <w:tcPr>
            <w:tcW w:w="804"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234</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475</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462</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216</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44</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34</w:t>
            </w:r>
          </w:p>
        </w:tc>
        <w:tc>
          <w:tcPr>
            <w:tcW w:w="805" w:type="dxa"/>
            <w:tcBorders>
              <w:bottom w:val="single" w:sz="4" w:space="0" w:color="auto"/>
            </w:tcBorders>
            <w:shd w:val="clear" w:color="auto" w:fill="auto"/>
            <w:vAlign w:val="bottom"/>
          </w:tcPr>
          <w:p w:rsidR="005A5099" w:rsidRPr="002D79FC" w:rsidRDefault="005A5099" w:rsidP="005A5099">
            <w:pPr>
              <w:pStyle w:val="TableBodyText"/>
              <w:spacing w:afterLines="40" w:after="96"/>
            </w:pPr>
            <w:r w:rsidRPr="002D79FC">
              <w:t xml:space="preserve">  641</w:t>
            </w:r>
          </w:p>
        </w:tc>
        <w:tc>
          <w:tcPr>
            <w:tcW w:w="861" w:type="dxa"/>
            <w:tcBorders>
              <w:bottom w:val="single" w:sz="4" w:space="0" w:color="auto"/>
            </w:tcBorders>
            <w:shd w:val="clear" w:color="auto" w:fill="auto"/>
            <w:vAlign w:val="bottom"/>
          </w:tcPr>
          <w:p w:rsidR="005A5099" w:rsidRDefault="005A5099" w:rsidP="005A5099">
            <w:pPr>
              <w:pStyle w:val="TableBodyText"/>
              <w:spacing w:afterLines="40" w:after="96"/>
            </w:pPr>
            <w:r w:rsidRPr="002D79FC">
              <w:t xml:space="preserve"> 2 621</w:t>
            </w:r>
          </w:p>
        </w:tc>
      </w:tr>
    </w:tbl>
    <w:p w:rsidR="003645D5" w:rsidRPr="009949CD" w:rsidRDefault="003645D5" w:rsidP="00757A14">
      <w:pPr>
        <w:pStyle w:val="Note"/>
      </w:pPr>
      <w:r w:rsidRPr="009949CD">
        <w:rPr>
          <w:rStyle w:val="NoteLabel"/>
        </w:rPr>
        <w:t>a</w:t>
      </w:r>
      <w:r w:rsidR="007B661B" w:rsidRPr="009949CD">
        <w:rPr>
          <w:rFonts w:cs="Arial"/>
        </w:rPr>
        <w:t> </w:t>
      </w:r>
      <w:r w:rsidR="007B661B" w:rsidRPr="009949CD">
        <w:t>An episode of healthcare involves contact between an individual client and service staff to provide healthcare. Group work is not included. Transport is included only if it involves provision of healthcare</w:t>
      </w:r>
      <w:r w:rsidR="008C1154" w:rsidRPr="009949CD">
        <w:t xml:space="preserve"> and/or</w:t>
      </w:r>
      <w:r w:rsidR="007B661B" w:rsidRPr="009949CD">
        <w:t xml:space="preserve"> information by staff. Outreach provision</w:t>
      </w:r>
      <w:r w:rsidR="00B1069D" w:rsidRPr="009949CD">
        <w:t xml:space="preserve"> is included</w:t>
      </w:r>
      <w:r w:rsidR="007B661B" w:rsidRPr="009949CD">
        <w:t xml:space="preserve">, for example episodes at outstation visits, park clinics and satellite clinics. Episodes of </w:t>
      </w:r>
      <w:r w:rsidR="00B70372" w:rsidRPr="009949CD">
        <w:t>healthcare</w:t>
      </w:r>
      <w:r w:rsidR="007B661B" w:rsidRPr="009949CD">
        <w:t xml:space="preserve"> delivered over the phone are included.</w:t>
      </w:r>
    </w:p>
    <w:p w:rsidR="008830AD" w:rsidRPr="00A344D4" w:rsidRDefault="003645D5" w:rsidP="00C60B1C">
      <w:pPr>
        <w:pStyle w:val="Source"/>
      </w:pPr>
      <w:r w:rsidRPr="009949CD">
        <w:rPr>
          <w:i/>
        </w:rPr>
        <w:t>Source</w:t>
      </w:r>
      <w:r w:rsidRPr="009949CD">
        <w:t xml:space="preserve">: </w:t>
      </w:r>
      <w:r w:rsidR="008830AD" w:rsidRPr="00C60B1C">
        <w:t>AIHW (</w:t>
      </w:r>
      <w:r w:rsidR="00D03F9C" w:rsidRPr="005A5099">
        <w:t>201</w:t>
      </w:r>
      <w:r w:rsidR="005A5099" w:rsidRPr="005A5099">
        <w:t>3</w:t>
      </w:r>
      <w:r w:rsidR="00927C84" w:rsidRPr="00C60B1C">
        <w:t xml:space="preserve"> and previous </w:t>
      </w:r>
      <w:r w:rsidR="004549D7" w:rsidRPr="00C60B1C">
        <w:t>issues</w:t>
      </w:r>
      <w:r w:rsidR="008830AD" w:rsidRPr="00C60B1C">
        <w:t xml:space="preserve">) </w:t>
      </w:r>
      <w:r w:rsidR="008830AD" w:rsidRPr="00C60B1C">
        <w:rPr>
          <w:i/>
        </w:rPr>
        <w:t>Aboriginal and Torres Strait Islander health services report</w:t>
      </w:r>
      <w:r w:rsidR="008830AD" w:rsidRPr="000E5EA9">
        <w:t xml:space="preserve">: </w:t>
      </w:r>
      <w:r w:rsidR="00F322A6" w:rsidRPr="000E5EA9">
        <w:rPr>
          <w:i/>
        </w:rPr>
        <w:t>online</w:t>
      </w:r>
      <w:r w:rsidR="008830AD" w:rsidRPr="000E5EA9">
        <w:rPr>
          <w:i/>
        </w:rPr>
        <w:t xml:space="preserve"> services </w:t>
      </w:r>
      <w:r w:rsidR="00F322A6" w:rsidRPr="000E5EA9">
        <w:rPr>
          <w:i/>
        </w:rPr>
        <w:t>report</w:t>
      </w:r>
      <w:r w:rsidR="008830AD" w:rsidRPr="00C60B1C">
        <w:rPr>
          <w:i/>
        </w:rPr>
        <w:t xml:space="preserve"> - key results</w:t>
      </w:r>
      <w:r w:rsidR="004549D7" w:rsidRPr="00C60B1C">
        <w:t xml:space="preserve">, </w:t>
      </w:r>
      <w:r w:rsidR="004549D7" w:rsidRPr="00C60B1C">
        <w:rPr>
          <w:lang w:val="en"/>
        </w:rPr>
        <w:t>Cat. no.</w:t>
      </w:r>
      <w:r w:rsidR="004549D7" w:rsidRPr="00322E82">
        <w:rPr>
          <w:lang w:val="en"/>
        </w:rPr>
        <w:t xml:space="preserve">s IHW </w:t>
      </w:r>
      <w:r w:rsidR="00A93EF1" w:rsidRPr="00322E82">
        <w:rPr>
          <w:lang w:val="en"/>
        </w:rPr>
        <w:t>31, 56</w:t>
      </w:r>
      <w:r w:rsidR="00322E82" w:rsidRPr="00322E82">
        <w:rPr>
          <w:lang w:val="en"/>
        </w:rPr>
        <w:t>,</w:t>
      </w:r>
      <w:r w:rsidR="00A93EF1" w:rsidRPr="00322E82">
        <w:rPr>
          <w:lang w:val="en"/>
        </w:rPr>
        <w:t xml:space="preserve"> </w:t>
      </w:r>
      <w:r w:rsidR="004549D7" w:rsidRPr="00322E82">
        <w:rPr>
          <w:lang w:val="en"/>
        </w:rPr>
        <w:t>79</w:t>
      </w:r>
      <w:r w:rsidR="00322E82" w:rsidRPr="00322E82">
        <w:rPr>
          <w:lang w:val="en"/>
        </w:rPr>
        <w:t xml:space="preserve"> and 104</w:t>
      </w:r>
      <w:r w:rsidR="008830AD" w:rsidRPr="0020036F">
        <w:t xml:space="preserve">; table </w:t>
      </w:r>
      <w:r w:rsidR="00B464B6">
        <w:t>11A.1</w:t>
      </w:r>
      <w:r w:rsidR="00705AF9">
        <w:t>5</w:t>
      </w:r>
      <w:r w:rsidR="00D03F9C">
        <w:t>.</w:t>
      </w:r>
    </w:p>
    <w:p w:rsidR="00BB710E" w:rsidRPr="00944E91" w:rsidRDefault="00BB710E" w:rsidP="004D42BF">
      <w:pPr>
        <w:pStyle w:val="BodyText"/>
      </w:pPr>
      <w:r>
        <w:t xml:space="preserve">The services included in the </w:t>
      </w:r>
      <w:r w:rsidR="00B71A84">
        <w:t>OSR</w:t>
      </w:r>
      <w:r>
        <w:t xml:space="preserve"> data collection </w:t>
      </w:r>
      <w:r w:rsidRPr="00B71A84">
        <w:t>employed</w:t>
      </w:r>
      <w:r w:rsidR="00650104">
        <w:t xml:space="preserve"> </w:t>
      </w:r>
      <w:r w:rsidR="00233D0F" w:rsidRPr="004D42BF">
        <w:t>around</w:t>
      </w:r>
      <w:r w:rsidR="005A5099" w:rsidRPr="004D42BF">
        <w:t xml:space="preserve"> </w:t>
      </w:r>
      <w:r w:rsidR="00726BF4" w:rsidRPr="004D42BF">
        <w:t>3469</w:t>
      </w:r>
      <w:r w:rsidR="00333F49" w:rsidRPr="004D42BF">
        <w:t xml:space="preserve"> </w:t>
      </w:r>
      <w:r w:rsidRPr="004D42BF">
        <w:t>full time equivalent health</w:t>
      </w:r>
      <w:r w:rsidR="0064449A" w:rsidRPr="004D42BF">
        <w:t>care</w:t>
      </w:r>
      <w:r w:rsidRPr="004D42BF">
        <w:t xml:space="preserve"> staff (as at </w:t>
      </w:r>
      <w:r w:rsidR="00B71DA2" w:rsidRPr="004D42BF">
        <w:t>30 June</w:t>
      </w:r>
      <w:r w:rsidR="00EB7494" w:rsidRPr="004D42BF">
        <w:t> </w:t>
      </w:r>
      <w:r w:rsidR="00B71DA2" w:rsidRPr="004D42BF">
        <w:t>20</w:t>
      </w:r>
      <w:r w:rsidR="00333F49" w:rsidRPr="004D42BF">
        <w:t>1</w:t>
      </w:r>
      <w:r w:rsidR="005A5099" w:rsidRPr="004D42BF">
        <w:t>2</w:t>
      </w:r>
      <w:r w:rsidRPr="004D42BF">
        <w:t>). Of these,</w:t>
      </w:r>
      <w:r w:rsidR="00333F49" w:rsidRPr="004D42BF">
        <w:t xml:space="preserve"> </w:t>
      </w:r>
      <w:r w:rsidR="00726BF4" w:rsidRPr="004D42BF">
        <w:t>1946</w:t>
      </w:r>
      <w:r w:rsidRPr="004D42BF">
        <w:t xml:space="preserve"> were</w:t>
      </w:r>
      <w:r w:rsidRPr="001E6CFC">
        <w:t xml:space="preserve"> Indigenous</w:t>
      </w:r>
      <w:r w:rsidRPr="00B71A84">
        <w:t xml:space="preserve"> </w:t>
      </w:r>
      <w:r w:rsidR="0034525D">
        <w:t xml:space="preserve">Australians </w:t>
      </w:r>
      <w:r w:rsidRPr="001E6CFC">
        <w:t>(</w:t>
      </w:r>
      <w:r w:rsidR="001E6CFC" w:rsidRPr="005A5099">
        <w:t>5</w:t>
      </w:r>
      <w:r w:rsidR="005A5099" w:rsidRPr="005A5099">
        <w:t>6</w:t>
      </w:r>
      <w:r w:rsidR="001E6CFC" w:rsidRPr="005A5099">
        <w:t>.1</w:t>
      </w:r>
      <w:r w:rsidRPr="005A5099">
        <w:t xml:space="preserve"> per cent). The proportions of doctors and nurses employed by </w:t>
      </w:r>
      <w:r w:rsidR="00B71A84" w:rsidRPr="005A5099">
        <w:t xml:space="preserve">surveyed </w:t>
      </w:r>
      <w:r w:rsidR="00C21FB2" w:rsidRPr="005A5099">
        <w:t xml:space="preserve">services </w:t>
      </w:r>
      <w:r w:rsidRPr="005A5099">
        <w:t xml:space="preserve">who were Indigenous </w:t>
      </w:r>
      <w:r w:rsidR="0034525D" w:rsidRPr="005A5099">
        <w:t xml:space="preserve">Australians </w:t>
      </w:r>
      <w:r w:rsidRPr="005A5099">
        <w:t>were relatively low (</w:t>
      </w:r>
      <w:r w:rsidR="005A5099" w:rsidRPr="005A5099">
        <w:t>5.9</w:t>
      </w:r>
      <w:r w:rsidRPr="005A5099">
        <w:t xml:space="preserve"> per cent and </w:t>
      </w:r>
      <w:r w:rsidR="005A5099" w:rsidRPr="005A5099">
        <w:t>12.9</w:t>
      </w:r>
      <w:r w:rsidR="008E7A2A" w:rsidRPr="005A5099">
        <w:t> per cent,</w:t>
      </w:r>
      <w:r w:rsidR="008E7A2A" w:rsidRPr="00B71A84">
        <w:t xml:space="preserve"> </w:t>
      </w:r>
      <w:r w:rsidRPr="00B71A84">
        <w:t xml:space="preserve">respectively) </w:t>
      </w:r>
      <w:r w:rsidR="00D371B3" w:rsidRPr="00B71A84">
        <w:t>(</w:t>
      </w:r>
      <w:r w:rsidRPr="001E6CFC">
        <w:t>table </w:t>
      </w:r>
      <w:r w:rsidR="00E60498" w:rsidRPr="001E6CFC">
        <w:t>11A.1</w:t>
      </w:r>
      <w:r w:rsidR="00705AF9">
        <w:t>8</w:t>
      </w:r>
      <w:r w:rsidR="00FD3F2E">
        <w:t>).</w:t>
      </w:r>
    </w:p>
    <w:p w:rsidR="00A43D54" w:rsidRDefault="00EC42DB" w:rsidP="00FD18CA">
      <w:pPr>
        <w:pStyle w:val="Heading2"/>
      </w:pPr>
      <w:bookmarkStart w:id="12" w:name="_Toc208034412"/>
      <w:bookmarkStart w:id="13" w:name="_Toc274941100"/>
      <w:r>
        <w:lastRenderedPageBreak/>
        <w:t>11.</w:t>
      </w:r>
      <w:r w:rsidR="00C44281">
        <w:rPr>
          <w:noProof/>
        </w:rPr>
        <w:t>2</w:t>
      </w:r>
      <w:r w:rsidR="003D3E53">
        <w:tab/>
      </w:r>
      <w:r w:rsidR="00FD18CA" w:rsidRPr="00FD18CA">
        <w:t>Framework of performance indicators</w:t>
      </w:r>
      <w:bookmarkEnd w:id="12"/>
      <w:bookmarkEnd w:id="13"/>
    </w:p>
    <w:p w:rsidR="00A43D54" w:rsidRPr="003376E6" w:rsidRDefault="00FD18CA" w:rsidP="006A75CD">
      <w:pPr>
        <w:pStyle w:val="BodyText"/>
      </w:pPr>
      <w:r w:rsidRPr="00FD18CA">
        <w:t>The performance indicator framework is based on shared government objectives for primary and community health (</w:t>
      </w:r>
      <w:smartTag w:uri="urn:schemas-microsoft-com:office:smarttags" w:element="address">
        <w:smartTag w:uri="urn:schemas-microsoft-com:office:smarttags" w:element="Street">
          <w:r w:rsidRPr="00FD18CA">
            <w:t>box</w:t>
          </w:r>
        </w:smartTag>
        <w:r>
          <w:t> </w:t>
        </w:r>
        <w:r w:rsidR="007300C3">
          <w:t>11.1</w:t>
        </w:r>
      </w:smartTag>
      <w:r w:rsidRPr="00FD18CA">
        <w:t>). The framework will evolve as better indicators are developed and as the focus and objectives for primary and community health change. In particular, the Steering Committee plans to develop and report against more indicators relating to community health services.</w:t>
      </w:r>
    </w:p>
    <w:p w:rsidR="007C4567" w:rsidRDefault="007C4567" w:rsidP="007C4567">
      <w:pPr>
        <w:pStyle w:val="BodyText"/>
      </w:pPr>
      <w:r>
        <w:t>COAG has agreed six National Agreements to enhance accountability to the public for the outcomes achieved or outputs delivered by a range of government services (see chapter 1 for more detail on reforms t</w:t>
      </w:r>
      <w:r w:rsidR="008042F1">
        <w:t>o federal financial relations).</w:t>
      </w:r>
    </w:p>
    <w:p w:rsidR="002C6F35" w:rsidRDefault="007C4567" w:rsidP="007C4567">
      <w:pPr>
        <w:pStyle w:val="BodyText"/>
      </w:pPr>
      <w:r w:rsidRPr="00FB3AD4">
        <w:t xml:space="preserve">The </w:t>
      </w:r>
      <w:r w:rsidRPr="00B41FA7">
        <w:rPr>
          <w:i/>
        </w:rPr>
        <w:t>National Healthcare Agreement</w:t>
      </w:r>
      <w:r w:rsidRPr="00FB3AD4">
        <w:t xml:space="preserve"> </w:t>
      </w:r>
      <w:r>
        <w:t xml:space="preserve">(NHA) </w:t>
      </w:r>
      <w:r w:rsidRPr="00FB3AD4">
        <w:t xml:space="preserve">covers the areas of health and aged care services, </w:t>
      </w:r>
      <w:r>
        <w:t>and</w:t>
      </w:r>
      <w:r w:rsidRPr="00FB3AD4">
        <w:t xml:space="preserve"> </w:t>
      </w:r>
      <w:r>
        <w:t xml:space="preserve">health indicators in </w:t>
      </w:r>
      <w:r w:rsidRPr="00FB3AD4">
        <w:t xml:space="preserve">the </w:t>
      </w:r>
      <w:r w:rsidRPr="00B41FA7">
        <w:rPr>
          <w:i/>
        </w:rPr>
        <w:t>National Indigenous Reform Agreement</w:t>
      </w:r>
      <w:r>
        <w:t xml:space="preserve"> establish</w:t>
      </w:r>
      <w:r w:rsidRPr="00FB3AD4">
        <w:t xml:space="preserve"> specific outcomes for reducing the level of disadvantage experienced by Indigenous Australians.</w:t>
      </w:r>
      <w:r>
        <w:t xml:space="preserve"> Both agreements include sets of performance indicators, for which the Steering Committee collates performance information for analysis by the COAG Reform Council (CRC). Performance indicators reported in this chapter are aligned with health</w:t>
      </w:r>
      <w:r w:rsidRPr="001848A3">
        <w:t xml:space="preserve"> </w:t>
      </w:r>
      <w:r>
        <w:t>performance indicators in the N</w:t>
      </w:r>
      <w:r w:rsidRPr="001848A3">
        <w:t>HA</w:t>
      </w:r>
      <w:r>
        <w:t>. The NHA was reviewed in 2011</w:t>
      </w:r>
      <w:r w:rsidR="00AF5B93">
        <w:t xml:space="preserve">, 2012 </w:t>
      </w:r>
      <w:r>
        <w:t>and 201</w:t>
      </w:r>
      <w:r w:rsidR="00AF5B93">
        <w:t>3</w:t>
      </w:r>
      <w:r>
        <w:t xml:space="preserve"> resulting in changes that have been reflected in this Report, as relevant.</w:t>
      </w:r>
    </w:p>
    <w:p w:rsidR="00FD18CA" w:rsidRDefault="00FD18C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D18CA">
        <w:tc>
          <w:tcPr>
            <w:tcW w:w="8771" w:type="dxa"/>
            <w:tcBorders>
              <w:top w:val="single" w:sz="6" w:space="0" w:color="auto"/>
              <w:bottom w:val="nil"/>
            </w:tcBorders>
          </w:tcPr>
          <w:p w:rsidR="00FD18CA" w:rsidRPr="00FD18CA" w:rsidRDefault="00FD18CA">
            <w:pPr>
              <w:pStyle w:val="BoxTitle"/>
            </w:pPr>
            <w:smartTag w:uri="urn:schemas-microsoft-com:office:smarttags" w:element="Street">
              <w:r>
                <w:rPr>
                  <w:b w:val="0"/>
                </w:rPr>
                <w:t>Box</w:t>
              </w:r>
            </w:smartTag>
            <w:r>
              <w:rPr>
                <w:b w:val="0"/>
              </w:rPr>
              <w:t xml:space="preserve"> </w:t>
            </w:r>
            <w:bookmarkStart w:id="14" w:name="OLE_LINK86"/>
            <w:r w:rsidR="00EC42DB">
              <w:rPr>
                <w:b w:val="0"/>
              </w:rPr>
              <w:t>11.</w:t>
            </w:r>
            <w:r w:rsidR="00C44281">
              <w:rPr>
                <w:b w:val="0"/>
                <w:noProof/>
              </w:rPr>
              <w:t>1</w:t>
            </w:r>
            <w:bookmarkEnd w:id="14"/>
            <w:r>
              <w:tab/>
            </w:r>
            <w:r w:rsidRPr="00FD18CA">
              <w:t>Objectives for primary and community health</w:t>
            </w:r>
          </w:p>
        </w:tc>
      </w:tr>
      <w:tr w:rsidR="00FD18CA">
        <w:trPr>
          <w:cantSplit/>
        </w:trPr>
        <w:tc>
          <w:tcPr>
            <w:tcW w:w="8771" w:type="dxa"/>
            <w:tcBorders>
              <w:top w:val="nil"/>
              <w:left w:val="single" w:sz="6" w:space="0" w:color="auto"/>
              <w:bottom w:val="nil"/>
              <w:right w:val="single" w:sz="6" w:space="0" w:color="auto"/>
            </w:tcBorders>
          </w:tcPr>
          <w:p w:rsidR="00934684" w:rsidRPr="003376E6" w:rsidRDefault="00934684" w:rsidP="009821EC">
            <w:pPr>
              <w:pStyle w:val="Box"/>
            </w:pPr>
            <w:r>
              <w:t>Primary and community health services aim to support and improve the health of Australians by:</w:t>
            </w:r>
          </w:p>
          <w:p w:rsidR="00934684" w:rsidRDefault="00934684" w:rsidP="009821EC">
            <w:pPr>
              <w:pStyle w:val="BoxListBullet"/>
            </w:pPr>
            <w:r>
              <w:t>providing a universally accessible point of entry to the healthcare system</w:t>
            </w:r>
          </w:p>
          <w:p w:rsidR="00934684" w:rsidRDefault="00934684" w:rsidP="009821EC">
            <w:pPr>
              <w:pStyle w:val="BoxListBullet"/>
            </w:pPr>
            <w:r>
              <w:t>promoting health and preventing illness</w:t>
            </w:r>
          </w:p>
          <w:p w:rsidR="00934684" w:rsidRDefault="00934684" w:rsidP="009821EC">
            <w:pPr>
              <w:pStyle w:val="BoxListBullet"/>
            </w:pPr>
            <w:r>
              <w:t>providing timely and high quality healthcare that meets individual needs, throughout the lifespan — directly, and/or by facilitating access to the appropriate service(s)</w:t>
            </w:r>
          </w:p>
          <w:p w:rsidR="00934684" w:rsidRDefault="00934684" w:rsidP="009821EC">
            <w:pPr>
              <w:pStyle w:val="BoxListBullet"/>
            </w:pPr>
            <w:r>
              <w:t>coordinating service provision to ensure continuity of care where more than one service type, and/or ongoing service provision, is required to meet individuals’ healthcare needs.</w:t>
            </w:r>
          </w:p>
          <w:p w:rsidR="000479AA" w:rsidRDefault="00934684" w:rsidP="009821EC">
            <w:pPr>
              <w:pStyle w:val="Box"/>
            </w:pPr>
            <w:r>
              <w:t xml:space="preserve">In addition, governments aim to ensure </w:t>
            </w:r>
            <w:r w:rsidRPr="0030021B">
              <w:t xml:space="preserve">that </w:t>
            </w:r>
            <w:r w:rsidR="00A45FF8" w:rsidRPr="0030021B">
              <w:t>interventions provided by</w:t>
            </w:r>
            <w:r w:rsidR="00A45FF8" w:rsidRPr="0030021B">
              <w:rPr>
                <w:b/>
              </w:rPr>
              <w:t xml:space="preserve"> </w:t>
            </w:r>
            <w:r>
              <w:t xml:space="preserve">primary and community health services are </w:t>
            </w:r>
            <w:r w:rsidR="000479AA" w:rsidRPr="00173AF7">
              <w:t>based on best practice evidence and</w:t>
            </w:r>
            <w:r w:rsidR="000479AA">
              <w:t xml:space="preserve"> </w:t>
            </w:r>
            <w:r>
              <w:t xml:space="preserve">delivered in an </w:t>
            </w:r>
            <w:r w:rsidR="00173AF7">
              <w:t>equitable and efficient manner.</w:t>
            </w:r>
          </w:p>
        </w:tc>
      </w:tr>
      <w:tr w:rsidR="00FD18CA" w:rsidTr="00173AF7">
        <w:trPr>
          <w:cantSplit/>
        </w:trPr>
        <w:tc>
          <w:tcPr>
            <w:tcW w:w="8771" w:type="dxa"/>
            <w:tcBorders>
              <w:top w:val="nil"/>
              <w:left w:val="single" w:sz="6" w:space="0" w:color="auto"/>
              <w:bottom w:val="single" w:sz="6" w:space="0" w:color="auto"/>
              <w:right w:val="single" w:sz="6" w:space="0" w:color="auto"/>
            </w:tcBorders>
          </w:tcPr>
          <w:p w:rsidR="00FD18CA" w:rsidRDefault="00FD18CA">
            <w:pPr>
              <w:pStyle w:val="Box"/>
              <w:spacing w:before="0" w:line="120" w:lineRule="exact"/>
            </w:pPr>
          </w:p>
        </w:tc>
      </w:tr>
      <w:tr w:rsidR="00FD18CA" w:rsidTr="00173AF7">
        <w:tc>
          <w:tcPr>
            <w:tcW w:w="8771" w:type="dxa"/>
            <w:tcBorders>
              <w:top w:val="single" w:sz="6" w:space="0" w:color="auto"/>
              <w:left w:val="nil"/>
              <w:bottom w:val="nil"/>
              <w:right w:val="nil"/>
            </w:tcBorders>
          </w:tcPr>
          <w:p w:rsidR="00FD18CA" w:rsidRDefault="00FD18CA">
            <w:pPr>
              <w:pStyle w:val="Box"/>
              <w:keepNext w:val="0"/>
              <w:spacing w:before="60" w:after="60" w:line="80" w:lineRule="exact"/>
              <w:rPr>
                <w:b/>
                <w:color w:val="FF00FF"/>
                <w:sz w:val="14"/>
              </w:rPr>
            </w:pPr>
          </w:p>
        </w:tc>
      </w:tr>
    </w:tbl>
    <w:p w:rsidR="00D11E5E" w:rsidRPr="00944E91" w:rsidRDefault="00631BB6" w:rsidP="00E22019">
      <w:pPr>
        <w:pStyle w:val="BodyText"/>
      </w:pPr>
      <w:r w:rsidRPr="00FD18CA">
        <w:t xml:space="preserve">The performance indicator framework </w:t>
      </w:r>
      <w:r>
        <w:t xml:space="preserve">provides information on equity, efficiency and effectiveness, and distinguishes the outputs and outcomes of health services </w:t>
      </w:r>
      <w:r w:rsidRPr="00FD18CA">
        <w:t>(</w:t>
      </w:r>
      <w:r w:rsidRPr="00EA5ED5">
        <w:t>figure 11.</w:t>
      </w:r>
      <w:r w:rsidR="008149C0">
        <w:t>4</w:t>
      </w:r>
      <w:r w:rsidRPr="00EA5ED5">
        <w:t>).</w:t>
      </w:r>
      <w:r w:rsidRPr="00FD18CA">
        <w:t xml:space="preserve"> The performance indicator framework shows which data are comparable in the </w:t>
      </w:r>
      <w:r w:rsidRPr="00597DC3">
        <w:t>201</w:t>
      </w:r>
      <w:r w:rsidR="00597DC3" w:rsidRPr="00597DC3">
        <w:t>4</w:t>
      </w:r>
      <w:r>
        <w:t> </w:t>
      </w:r>
      <w:r w:rsidRPr="00FD18CA">
        <w:t>Report</w:t>
      </w:r>
      <w:r w:rsidRPr="00EA5ED5">
        <w:t>.</w:t>
      </w:r>
      <w:r w:rsidRPr="00FD18CA">
        <w:t xml:space="preserve"> For data that are not considered directly </w:t>
      </w:r>
      <w:r w:rsidRPr="00FD18CA">
        <w:lastRenderedPageBreak/>
        <w:t>comparable, the text includes relevant caveats and supporting commentary. Chapter</w:t>
      </w:r>
      <w:r>
        <w:t> </w:t>
      </w:r>
      <w:r w:rsidRPr="00FD18CA">
        <w:t>1 discusses data comparability from a Report wide pers</w:t>
      </w:r>
      <w:r w:rsidR="001D6FDD">
        <w:t>pective (see </w:t>
      </w:r>
      <w:r w:rsidRPr="00FD18CA">
        <w:t>section</w:t>
      </w:r>
      <w:r w:rsidR="0032631D">
        <w:t> 1.6)</w:t>
      </w:r>
      <w:r w:rsidR="00301B94">
        <w:t>.</w:t>
      </w:r>
    </w:p>
    <w:p w:rsidR="00631BB6" w:rsidRDefault="00631BB6" w:rsidP="009F1275">
      <w:pPr>
        <w:pStyle w:val="BodyText"/>
      </w:pPr>
      <w:r>
        <w:t xml:space="preserve">The Report’s </w:t>
      </w:r>
      <w:r w:rsidR="007D1F0C" w:rsidRPr="007D1F0C">
        <w:t xml:space="preserve">statistical context chapter </w:t>
      </w:r>
      <w:r>
        <w:t>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w:t>
      </w:r>
      <w:r w:rsidR="009E534A">
        <w:t>chapter 2</w:t>
      </w:r>
      <w:r>
        <w:t>).</w:t>
      </w:r>
    </w:p>
    <w:p w:rsidR="00921E6B" w:rsidRDefault="00921E6B" w:rsidP="009F1275">
      <w:pPr>
        <w:pStyle w:val="BodyText"/>
      </w:pPr>
    </w:p>
    <w:p w:rsidR="00FD18CA" w:rsidRDefault="00FD18CA" w:rsidP="007644A0">
      <w:pPr>
        <w:pStyle w:val="FigureTitle"/>
      </w:pPr>
      <w:r w:rsidRPr="00B15B54">
        <w:rPr>
          <w:b w:val="0"/>
        </w:rPr>
        <w:lastRenderedPageBreak/>
        <w:t xml:space="preserve">Figure </w:t>
      </w:r>
      <w:bookmarkStart w:id="15" w:name="OLE_LINK87"/>
      <w:r w:rsidR="00EC42DB" w:rsidRPr="00B15B54">
        <w:rPr>
          <w:b w:val="0"/>
        </w:rPr>
        <w:t>11.</w:t>
      </w:r>
      <w:bookmarkEnd w:id="15"/>
      <w:r w:rsidR="008149C0">
        <w:rPr>
          <w:b w:val="0"/>
          <w:noProof/>
        </w:rPr>
        <w:t>4</w:t>
      </w:r>
      <w:r w:rsidRPr="00B15B54">
        <w:tab/>
        <w:t>P</w:t>
      </w:r>
      <w:r w:rsidR="00FB252A" w:rsidRPr="00B15B54">
        <w:t>rimary and community health p</w:t>
      </w:r>
      <w:r w:rsidRPr="00B15B54">
        <w:t>erformance indicator</w:t>
      </w:r>
      <w:r w:rsidRPr="006B7429">
        <w:t xml:space="preserve"> </w:t>
      </w:r>
      <w:r w:rsidR="00FB252A" w:rsidRPr="006B7429">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D18CA" w:rsidTr="005274BA">
        <w:trPr>
          <w:trHeight w:val="10882"/>
        </w:trPr>
        <w:tc>
          <w:tcPr>
            <w:tcW w:w="8777" w:type="dxa"/>
          </w:tcPr>
          <w:p w:rsidR="006B1983" w:rsidRDefault="00350BAF">
            <w:pPr>
              <w:pStyle w:val="Figure"/>
            </w:pPr>
            <w:r>
              <w:rPr>
                <w:noProof/>
              </w:rPr>
              <w:drawing>
                <wp:inline distT="0" distB="0" distL="0" distR="0">
                  <wp:extent cx="5572760" cy="7186295"/>
                  <wp:effectExtent l="0" t="0" r="8890" b="0"/>
                  <wp:docPr id="11" name="Picture 11" descr="Figure 11.4 Primary and community health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760" cy="7186295"/>
                          </a:xfrm>
                          <a:prstGeom prst="rect">
                            <a:avLst/>
                          </a:prstGeom>
                          <a:noFill/>
                          <a:ln>
                            <a:noFill/>
                          </a:ln>
                        </pic:spPr>
                      </pic:pic>
                    </a:graphicData>
                  </a:graphic>
                </wp:inline>
              </w:drawing>
            </w:r>
          </w:p>
        </w:tc>
      </w:tr>
    </w:tbl>
    <w:p w:rsidR="00876785" w:rsidRDefault="00876785" w:rsidP="00F86A37">
      <w:pPr>
        <w:pStyle w:val="BodyText"/>
      </w:pPr>
    </w:p>
    <w:p w:rsidR="00876785" w:rsidRDefault="00AD1EF2" w:rsidP="00C60B1C">
      <w:pPr>
        <w:pStyle w:val="BodyText"/>
      </w:pPr>
      <w:r w:rsidRPr="00AD1EF2">
        <w:lastRenderedPageBreak/>
        <w:t xml:space="preserve">Data quality information (DQI) is being progressively introduced for all indicators in the Report. The purpose of DQI is to provide structured and consistent information about quality aspects of data </w:t>
      </w:r>
      <w:r w:rsidR="00876785">
        <w:t xml:space="preserve">used to </w:t>
      </w:r>
      <w:r w:rsidRPr="00D90FA2">
        <w:t>report</w:t>
      </w:r>
      <w:r w:rsidRPr="00AD1EF2">
        <w:t xml:space="preserve"> on performance indicators. DQI in this Report cover the seven dimensions in the </w:t>
      </w:r>
      <w:r w:rsidR="00886237" w:rsidRPr="00886237">
        <w:t xml:space="preserve">Australian Bureau of Statistics </w:t>
      </w:r>
      <w:r w:rsidR="00886237">
        <w:t>(</w:t>
      </w:r>
      <w:r w:rsidRPr="00AD1EF2">
        <w:t>ABS</w:t>
      </w:r>
      <w:r w:rsidR="00886237">
        <w:t>)</w:t>
      </w:r>
      <w:r w:rsidRPr="00AD1EF2">
        <w:t xml:space="preserve"> data quality framework (institutional environment, relevance, timeliness, accuracy, coherence, accessibility and interpretability) in addition to dimensions that define and describe performance indicators in a consistent manner, and </w:t>
      </w:r>
      <w:r w:rsidR="00876785">
        <w:t xml:space="preserve">note </w:t>
      </w:r>
      <w:r w:rsidRPr="00AD1EF2">
        <w:t>key data gaps and issues identified by the Steering Committee. All DQI for the</w:t>
      </w:r>
      <w:r w:rsidR="00FD3EAC">
        <w:t xml:space="preserve"> 2014</w:t>
      </w:r>
      <w:r w:rsidRPr="00AD1EF2">
        <w:t xml:space="preserve"> Report can be found at </w:t>
      </w:r>
      <w:r w:rsidR="00876785" w:rsidRPr="00CC7955">
        <w:t>www.pc.gov.au/gsp/reports/rogs/</w:t>
      </w:r>
      <w:r w:rsidR="00FD3EAC">
        <w:t>2014</w:t>
      </w:r>
      <w:r w:rsidRPr="00AD1EF2">
        <w:t>.</w:t>
      </w:r>
    </w:p>
    <w:p w:rsidR="00B14170" w:rsidRPr="001C54D0" w:rsidRDefault="00EC42DB" w:rsidP="00B305D9">
      <w:pPr>
        <w:pStyle w:val="Heading2"/>
      </w:pPr>
      <w:bookmarkStart w:id="16" w:name="_Toc208034413"/>
      <w:bookmarkStart w:id="17" w:name="_Toc274941101"/>
      <w:r w:rsidRPr="001C54D0">
        <w:t>11.</w:t>
      </w:r>
      <w:r w:rsidR="00C44281">
        <w:rPr>
          <w:noProof/>
        </w:rPr>
        <w:t>3</w:t>
      </w:r>
      <w:r w:rsidR="003D3E53" w:rsidRPr="001C54D0">
        <w:tab/>
      </w:r>
      <w:r w:rsidR="00B14170" w:rsidRPr="001C54D0">
        <w:t>Key performance indicator results</w:t>
      </w:r>
      <w:bookmarkEnd w:id="16"/>
      <w:bookmarkEnd w:id="17"/>
    </w:p>
    <w:p w:rsidR="00B14170" w:rsidRDefault="00B14170" w:rsidP="009821EC">
      <w:pPr>
        <w:pStyle w:val="BodyText"/>
      </w:pPr>
      <w:r w:rsidRPr="00B14170">
        <w:t>Different delivery contexts, locations and</w:t>
      </w:r>
      <w:r w:rsidR="00DB4814">
        <w:t xml:space="preserve"> client factors</w:t>
      </w:r>
      <w:r w:rsidRPr="00B14170">
        <w:t xml:space="preserve"> may affect the equity, effectiveness and efficien</w:t>
      </w:r>
      <w:r>
        <w:t xml:space="preserve">cy </w:t>
      </w:r>
      <w:r w:rsidR="00786E59">
        <w:t>of</w:t>
      </w:r>
      <w:r w:rsidR="004A469F">
        <w:t xml:space="preserve"> primary and community </w:t>
      </w:r>
      <w:r w:rsidR="00786E59">
        <w:t>health services.</w:t>
      </w:r>
    </w:p>
    <w:p w:rsidR="00B14170" w:rsidRDefault="00B14170" w:rsidP="00B14170">
      <w:pPr>
        <w:pStyle w:val="Heading3"/>
      </w:pPr>
      <w:r w:rsidRPr="00B14170">
        <w:t>Outputs</w:t>
      </w:r>
    </w:p>
    <w:p w:rsidR="00B14170" w:rsidRDefault="00B14170" w:rsidP="006A75CD">
      <w:pPr>
        <w:pStyle w:val="BodyText"/>
      </w:pPr>
      <w:r>
        <w:t>Outputs are the services delivered (while outcomes are the impact of these services on the status of an individual or group) (see chapter 1, section 1.5).</w:t>
      </w:r>
    </w:p>
    <w:p w:rsidR="00865E22" w:rsidRPr="00865E22" w:rsidRDefault="00B14170" w:rsidP="00865E22">
      <w:pPr>
        <w:pStyle w:val="Heading3"/>
      </w:pPr>
      <w:r>
        <w:t>Equity</w:t>
      </w:r>
    </w:p>
    <w:p w:rsidR="00720464" w:rsidRDefault="00720464" w:rsidP="006A75CD">
      <w:pPr>
        <w:pStyle w:val="BodyText"/>
      </w:pPr>
      <w:r>
        <w:t xml:space="preserve">For the purposes of this Report, equity is defined in terms of </w:t>
      </w:r>
      <w:r w:rsidR="00E1661B">
        <w:t>adequa</w:t>
      </w:r>
      <w:r w:rsidR="00465AB7">
        <w:t>te</w:t>
      </w:r>
      <w:r>
        <w:t xml:space="preserve"> access to government services for all Australians. </w:t>
      </w:r>
      <w:r w:rsidR="00465AB7">
        <w:t xml:space="preserve">Access to primary and community health services </w:t>
      </w:r>
      <w:r w:rsidR="00A46FBE">
        <w:t>can</w:t>
      </w:r>
      <w:r w:rsidR="00465AB7">
        <w:t xml:space="preserve"> be </w:t>
      </w:r>
      <w:r w:rsidR="005F3603">
        <w:t>affected</w:t>
      </w:r>
      <w:r w:rsidR="00465AB7">
        <w:t xml:space="preserve"> through </w:t>
      </w:r>
      <w:r w:rsidR="005F3603">
        <w:t xml:space="preserve">factors such as </w:t>
      </w:r>
      <w:r w:rsidR="00465AB7">
        <w:t>disability, socioeconomic circumstance, age, geographic distance, cultural issues and English language proficiency (see chapter 1).</w:t>
      </w:r>
      <w:r w:rsidR="00465AB7" w:rsidRPr="00465AB7">
        <w:t xml:space="preserve"> </w:t>
      </w:r>
      <w:r w:rsidR="005F3603">
        <w:t>S</w:t>
      </w:r>
      <w:r w:rsidR="00465AB7">
        <w:t xml:space="preserve">uch </w:t>
      </w:r>
      <w:r w:rsidR="005F3603">
        <w:t>issues</w:t>
      </w:r>
      <w:r w:rsidR="00465AB7" w:rsidRPr="00465AB7">
        <w:t xml:space="preserve"> </w:t>
      </w:r>
      <w:r w:rsidR="00465AB7">
        <w:t xml:space="preserve">have contributed to the generally poor health status of </w:t>
      </w:r>
      <w:r w:rsidR="006E4E2B">
        <w:t>Indigenous Australians</w:t>
      </w:r>
      <w:r w:rsidR="00465AB7" w:rsidRPr="00EA5ED5">
        <w:t xml:space="preserve"> relative</w:t>
      </w:r>
      <w:r w:rsidR="00A23D19" w:rsidRPr="00EA5ED5">
        <w:t xml:space="preserve"> to other Australians (</w:t>
      </w:r>
      <w:r w:rsidR="00465AB7" w:rsidRPr="00EA5ED5">
        <w:t>SCRGSP 20</w:t>
      </w:r>
      <w:r w:rsidR="00EA5ED5" w:rsidRPr="00EA5ED5">
        <w:t>11</w:t>
      </w:r>
      <w:r w:rsidR="00465AB7">
        <w:t>).</w:t>
      </w:r>
    </w:p>
    <w:p w:rsidR="00B14170" w:rsidRDefault="00B14170" w:rsidP="00B14170">
      <w:pPr>
        <w:pStyle w:val="Heading4"/>
      </w:pPr>
      <w:r>
        <w:t>Access</w:t>
      </w:r>
    </w:p>
    <w:p w:rsidR="00B14170" w:rsidRDefault="00B14170" w:rsidP="00B14170">
      <w:pPr>
        <w:pStyle w:val="Heading5"/>
      </w:pPr>
      <w:r w:rsidRPr="00B14170">
        <w:t>Availability of PBS medicines</w:t>
      </w:r>
    </w:p>
    <w:p w:rsidR="007E10EF" w:rsidRPr="007E10EF" w:rsidRDefault="007E10EF" w:rsidP="007E10EF">
      <w:pPr>
        <w:pStyle w:val="BodyText"/>
      </w:pPr>
      <w:r>
        <w:t xml:space="preserve">‘Availability of PBS medicines’ is an indicator of </w:t>
      </w:r>
      <w:r w:rsidR="004F50FD">
        <w:t xml:space="preserve">governments’ objective to provide </w:t>
      </w:r>
      <w:r>
        <w:t>equit</w:t>
      </w:r>
      <w:r w:rsidR="004F50FD">
        <w:t>able</w:t>
      </w:r>
      <w:r>
        <w:t xml:space="preserve"> access to </w:t>
      </w:r>
      <w:r w:rsidR="002C71F6">
        <w:t>PBS medicines</w:t>
      </w:r>
      <w:r w:rsidR="00627ED5">
        <w:t xml:space="preserve"> (</w:t>
      </w:r>
      <w:smartTag w:uri="urn:schemas-microsoft-com:office:smarttags" w:element="address">
        <w:smartTag w:uri="urn:schemas-microsoft-com:office:smarttags" w:element="Street">
          <w:r w:rsidR="00627ED5" w:rsidRPr="00EA5ED5">
            <w:t>box</w:t>
          </w:r>
        </w:smartTag>
        <w:r w:rsidR="004A00EC" w:rsidRPr="00EA5ED5">
          <w:t> </w:t>
        </w:r>
        <w:r w:rsidR="00445562" w:rsidRPr="00EA5ED5">
          <w:t>11.2</w:t>
        </w:r>
      </w:smartTag>
      <w:r w:rsidR="00105A71">
        <w:t>)</w:t>
      </w:r>
      <w:r>
        <w:t>.</w:t>
      </w:r>
    </w:p>
    <w:p w:rsidR="00B14170" w:rsidRDefault="00B1417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4170">
        <w:tc>
          <w:tcPr>
            <w:tcW w:w="8771" w:type="dxa"/>
            <w:tcBorders>
              <w:top w:val="single" w:sz="6" w:space="0" w:color="auto"/>
              <w:bottom w:val="nil"/>
            </w:tcBorders>
          </w:tcPr>
          <w:p w:rsidR="00B14170" w:rsidRPr="004A00EC" w:rsidRDefault="00B14170" w:rsidP="004A00EC">
            <w:pPr>
              <w:pStyle w:val="BoxTitle"/>
              <w:rPr>
                <w:rStyle w:val="DraftingNote"/>
                <w:b/>
                <w:color w:val="auto"/>
                <w:sz w:val="26"/>
                <w:u w:val="none"/>
              </w:rPr>
            </w:pPr>
            <w:smartTag w:uri="urn:schemas-microsoft-com:office:smarttags" w:element="Street">
              <w:r w:rsidRPr="00A20564">
                <w:rPr>
                  <w:b w:val="0"/>
                </w:rPr>
                <w:t>Box</w:t>
              </w:r>
            </w:smartTag>
            <w:r w:rsidRPr="00A20564">
              <w:rPr>
                <w:b w:val="0"/>
              </w:rPr>
              <w:t xml:space="preserve"> </w:t>
            </w:r>
            <w:bookmarkStart w:id="18" w:name="OLE_LINK88"/>
            <w:r w:rsidR="00EC42DB">
              <w:rPr>
                <w:b w:val="0"/>
              </w:rPr>
              <w:t>11.</w:t>
            </w:r>
            <w:r w:rsidR="00C44281">
              <w:rPr>
                <w:b w:val="0"/>
                <w:noProof/>
              </w:rPr>
              <w:t>2</w:t>
            </w:r>
            <w:bookmarkEnd w:id="18"/>
            <w:r>
              <w:tab/>
            </w:r>
            <w:r w:rsidRPr="00B14170">
              <w:t>Availability of PBS medicines</w:t>
            </w:r>
          </w:p>
        </w:tc>
      </w:tr>
      <w:tr w:rsidR="00B14170">
        <w:trPr>
          <w:cantSplit/>
        </w:trPr>
        <w:tc>
          <w:tcPr>
            <w:tcW w:w="8771" w:type="dxa"/>
            <w:tcBorders>
              <w:top w:val="nil"/>
              <w:left w:val="single" w:sz="6" w:space="0" w:color="auto"/>
              <w:bottom w:val="nil"/>
              <w:right w:val="single" w:sz="6" w:space="0" w:color="auto"/>
            </w:tcBorders>
          </w:tcPr>
          <w:p w:rsidR="00B14170" w:rsidRDefault="007978B9" w:rsidP="00B14170">
            <w:pPr>
              <w:pStyle w:val="Box"/>
            </w:pPr>
            <w:r>
              <w:t xml:space="preserve">‘Availability of PBS medicines’ is </w:t>
            </w:r>
            <w:r w:rsidR="00FE315E">
              <w:t xml:space="preserve">defined by three </w:t>
            </w:r>
            <w:r>
              <w:t>measure</w:t>
            </w:r>
            <w:r w:rsidR="00FE315E">
              <w:t>s</w:t>
            </w:r>
            <w:r w:rsidR="00B14170">
              <w:t>:</w:t>
            </w:r>
          </w:p>
          <w:p w:rsidR="00B14170" w:rsidRDefault="004A469F" w:rsidP="000202E1">
            <w:pPr>
              <w:pStyle w:val="BoxListBullet"/>
            </w:pPr>
            <w:r>
              <w:t>p</w:t>
            </w:r>
            <w:r w:rsidR="00B14170">
              <w:t>eople per pharmacy by region</w:t>
            </w:r>
            <w:r w:rsidR="00FE315E">
              <w:t>, defined as the estimated resident population (ERP), divided by the number of pharmacies</w:t>
            </w:r>
            <w:r>
              <w:t>, in urban and in rural regions</w:t>
            </w:r>
          </w:p>
          <w:p w:rsidR="00B14170" w:rsidRDefault="00B14170" w:rsidP="000202E1">
            <w:pPr>
              <w:pStyle w:val="BoxListBullet"/>
            </w:pPr>
            <w:r>
              <w:t>PBS expenditure per person by region</w:t>
            </w:r>
            <w:r w:rsidR="00FE315E">
              <w:t>, defined as expenditure on PBS medicines, divided by the ERP</w:t>
            </w:r>
            <w:r w:rsidR="004A469F">
              <w:t>, in urban and in rural regions</w:t>
            </w:r>
          </w:p>
          <w:p w:rsidR="00B14170" w:rsidRDefault="004A469F" w:rsidP="000202E1">
            <w:pPr>
              <w:pStyle w:val="BoxListBullet"/>
            </w:pPr>
            <w:r>
              <w:t>p</w:t>
            </w:r>
            <w:r w:rsidR="00B14170">
              <w:t>roportion of PBS prescription</w:t>
            </w:r>
            <w:r w:rsidR="00F30689">
              <w:t>s</w:t>
            </w:r>
            <w:r w:rsidR="00FE315E">
              <w:t xml:space="preserve"> filled at a concessional rate, defined as the number of PBS prescriptions filled at a concessional rate, divided by the total number of prescriptions filled.</w:t>
            </w:r>
          </w:p>
          <w:p w:rsidR="009446E5" w:rsidRDefault="009446E5" w:rsidP="00B14170">
            <w:pPr>
              <w:pStyle w:val="Box"/>
            </w:pPr>
            <w:r>
              <w:t xml:space="preserve">This indicator is difficult to interpret. A </w:t>
            </w:r>
            <w:r w:rsidR="00931025">
              <w:t xml:space="preserve">low or </w:t>
            </w:r>
            <w:r>
              <w:t>decreas</w:t>
            </w:r>
            <w:r w:rsidR="00931025">
              <w:t>ing number of people per </w:t>
            </w:r>
            <w:r>
              <w:t xml:space="preserve">pharmacy may indicate greater </w:t>
            </w:r>
            <w:r w:rsidR="00FE02BB">
              <w:t>availability of PBS medicines. H</w:t>
            </w:r>
            <w:r w:rsidR="00931025">
              <w:t xml:space="preserve">igh or </w:t>
            </w:r>
            <w:r>
              <w:t>increasin</w:t>
            </w:r>
            <w:r w:rsidR="00931025">
              <w:t>g</w:t>
            </w:r>
            <w:r>
              <w:t xml:space="preserve"> PBS expenditure per person may indicate improved availability of PBS medicines. A</w:t>
            </w:r>
            <w:r w:rsidR="00931025">
              <w:t xml:space="preserve"> high or increasing</w:t>
            </w:r>
            <w:r>
              <w:t xml:space="preserve"> proportion of PBS prescriptions filled at a concessional rate may indicate improved availability of PBS </w:t>
            </w:r>
            <w:r w:rsidRPr="00656137">
              <w:t>prescriptions to disadvantaged people.</w:t>
            </w:r>
            <w:r>
              <w:t xml:space="preserve"> It is also important that there are not large discrepancies </w:t>
            </w:r>
            <w:r w:rsidR="004A469F">
              <w:t xml:space="preserve">by region </w:t>
            </w:r>
            <w:r>
              <w:t>in these measures.</w:t>
            </w:r>
          </w:p>
          <w:p w:rsidR="00FE315E" w:rsidRDefault="00FE315E" w:rsidP="00B14170">
            <w:pPr>
              <w:pStyle w:val="Box"/>
            </w:pPr>
            <w:r>
              <w:t>Medicines are important in treating illness and can also be important in preventing illness from occurring. The availability of medicines is therefore a significant determinant of people’s health and medicines should be available to those who require them</w:t>
            </w:r>
            <w:r w:rsidR="00273801">
              <w:t>,</w:t>
            </w:r>
            <w:r>
              <w:t xml:space="preserve"> regardless of residential geolocation </w:t>
            </w:r>
            <w:r w:rsidRPr="00656137">
              <w:t>or socioeconomic circumstance</w:t>
            </w:r>
            <w:r>
              <w:t>.</w:t>
            </w:r>
          </w:p>
          <w:p w:rsidR="0027351B" w:rsidRDefault="00B14170" w:rsidP="00B14170">
            <w:pPr>
              <w:pStyle w:val="Box"/>
            </w:pPr>
            <w:r>
              <w:t>This indicator does not provide information on whether the services are appropriate for the needs of the people receiving them.</w:t>
            </w:r>
          </w:p>
          <w:p w:rsidR="000F11C2" w:rsidRDefault="000F11C2" w:rsidP="000F11C2">
            <w:pPr>
              <w:pStyle w:val="Box"/>
            </w:pPr>
            <w:r>
              <w:t>Data reported for this indicator are:</w:t>
            </w:r>
          </w:p>
          <w:p w:rsidR="000F11C2" w:rsidRDefault="000F11C2" w:rsidP="000F11C2">
            <w:pPr>
              <w:pStyle w:val="BoxListBullet"/>
            </w:pPr>
            <w:r>
              <w:t xml:space="preserve">comparable (subject to caveats) </w:t>
            </w:r>
            <w:r w:rsidRPr="000F11C2">
              <w:t>across jurisdictions and over time</w:t>
            </w:r>
          </w:p>
          <w:p w:rsidR="00FA172F" w:rsidRDefault="000F11C2" w:rsidP="0040369B">
            <w:pPr>
              <w:pStyle w:val="BoxListBullet"/>
            </w:pPr>
            <w:r>
              <w:t>complete (subject to caveats)</w:t>
            </w:r>
            <w:r w:rsidR="0040369B">
              <w:t xml:space="preserve"> </w:t>
            </w:r>
            <w:r w:rsidR="0040369B" w:rsidRPr="0040369B">
              <w:t>for the current reporting period</w:t>
            </w:r>
            <w:r>
              <w:t xml:space="preserve">. All required </w:t>
            </w:r>
            <w:r w:rsidR="00150C47" w:rsidRPr="002B65CB">
              <w:t>20</w:t>
            </w:r>
            <w:r w:rsidR="0040369B" w:rsidRPr="002B65CB">
              <w:t>13</w:t>
            </w:r>
            <w:r w:rsidR="0040369B">
              <w:t xml:space="preserve"> </w:t>
            </w:r>
            <w:r>
              <w:t>data are available for all jurisdictions.</w:t>
            </w:r>
            <w:r w:rsidR="0059412C">
              <w:t xml:space="preserve"> </w:t>
            </w:r>
          </w:p>
          <w:p w:rsidR="0027351B" w:rsidRPr="0027351B" w:rsidRDefault="0027351B" w:rsidP="00B14170">
            <w:pPr>
              <w:pStyle w:val="Box"/>
            </w:pPr>
            <w:r w:rsidRPr="0027351B">
              <w:t>Data quality information for this indicator is under deve</w:t>
            </w:r>
            <w:r>
              <w:t>lopment.</w:t>
            </w:r>
          </w:p>
        </w:tc>
      </w:tr>
      <w:tr w:rsidR="00B14170">
        <w:trPr>
          <w:cantSplit/>
        </w:trPr>
        <w:tc>
          <w:tcPr>
            <w:tcW w:w="8771" w:type="dxa"/>
            <w:tcBorders>
              <w:top w:val="nil"/>
              <w:left w:val="single" w:sz="6" w:space="0" w:color="auto"/>
              <w:bottom w:val="single" w:sz="6" w:space="0" w:color="auto"/>
              <w:right w:val="single" w:sz="6" w:space="0" w:color="auto"/>
            </w:tcBorders>
          </w:tcPr>
          <w:p w:rsidR="00B14170" w:rsidRDefault="00B14170">
            <w:pPr>
              <w:pStyle w:val="Box"/>
              <w:spacing w:before="0" w:line="120" w:lineRule="exact"/>
            </w:pPr>
          </w:p>
        </w:tc>
      </w:tr>
      <w:tr w:rsidR="00B14170">
        <w:tc>
          <w:tcPr>
            <w:tcW w:w="8771" w:type="dxa"/>
            <w:tcBorders>
              <w:top w:val="nil"/>
              <w:left w:val="nil"/>
              <w:bottom w:val="nil"/>
              <w:right w:val="nil"/>
            </w:tcBorders>
          </w:tcPr>
          <w:p w:rsidR="00B14170" w:rsidRDefault="00B14170">
            <w:pPr>
              <w:pStyle w:val="Box"/>
              <w:keepNext w:val="0"/>
              <w:spacing w:before="60" w:after="60" w:line="80" w:lineRule="exact"/>
              <w:rPr>
                <w:b/>
                <w:color w:val="FF00FF"/>
                <w:sz w:val="14"/>
              </w:rPr>
            </w:pPr>
          </w:p>
        </w:tc>
      </w:tr>
    </w:tbl>
    <w:p w:rsidR="000202E1" w:rsidRPr="00944E91" w:rsidRDefault="00DF29FA" w:rsidP="004D42BF">
      <w:pPr>
        <w:pStyle w:val="BodyText"/>
      </w:pPr>
      <w:r>
        <w:t>Access to PBS medicines is primarily governed by the</w:t>
      </w:r>
      <w:r w:rsidR="000202E1">
        <w:t xml:space="preserve"> distribution of pharmacies. Across </w:t>
      </w:r>
      <w:smartTag w:uri="urn:schemas-microsoft-com:office:smarttags" w:element="place">
        <w:smartTag w:uri="urn:schemas-microsoft-com:office:smarttags" w:element="country-region">
          <w:r w:rsidR="000202E1">
            <w:t>Australia</w:t>
          </w:r>
        </w:smartTag>
      </w:smartTag>
      <w:r w:rsidR="000202E1">
        <w:t xml:space="preserve">, </w:t>
      </w:r>
      <w:r w:rsidR="000202E1" w:rsidRPr="00201FD6">
        <w:t>the</w:t>
      </w:r>
      <w:r w:rsidR="00B13119" w:rsidRPr="00201FD6">
        <w:t>re were</w:t>
      </w:r>
      <w:r w:rsidR="00AF642B">
        <w:t xml:space="preserve"> </w:t>
      </w:r>
      <w:r w:rsidR="0016248E">
        <w:t xml:space="preserve">4034 </w:t>
      </w:r>
      <w:r w:rsidR="000202E1" w:rsidRPr="003E342B">
        <w:t>people</w:t>
      </w:r>
      <w:r w:rsidR="000202E1" w:rsidRPr="00201FD6">
        <w:t xml:space="preserve"> per </w:t>
      </w:r>
      <w:r w:rsidR="000202E1" w:rsidRPr="004D42BF">
        <w:t xml:space="preserve">pharmacy </w:t>
      </w:r>
      <w:r w:rsidR="00B13119" w:rsidRPr="004D42BF">
        <w:t xml:space="preserve">in urban areas </w:t>
      </w:r>
      <w:r w:rsidR="009D5BE9" w:rsidRPr="004D42BF">
        <w:t xml:space="preserve">and </w:t>
      </w:r>
      <w:r w:rsidR="0016248E" w:rsidRPr="004D42BF">
        <w:t>3887</w:t>
      </w:r>
      <w:r w:rsidR="009F3BE3" w:rsidRPr="004D42BF">
        <w:br/>
      </w:r>
      <w:r w:rsidR="00DF73C8" w:rsidRPr="004D42BF">
        <w:t xml:space="preserve">people per pharmacy </w:t>
      </w:r>
      <w:r w:rsidR="00B13119" w:rsidRPr="004D42BF">
        <w:t xml:space="preserve">in rural areas </w:t>
      </w:r>
      <w:r w:rsidR="00150C47" w:rsidRPr="004D42BF">
        <w:t xml:space="preserve">at </w:t>
      </w:r>
      <w:r w:rsidR="00DF73C8" w:rsidRPr="004D42BF">
        <w:t xml:space="preserve">30 </w:t>
      </w:r>
      <w:r w:rsidR="00150C47" w:rsidRPr="004D42BF">
        <w:t xml:space="preserve">June </w:t>
      </w:r>
      <w:r w:rsidR="0016248E" w:rsidRPr="004D42BF">
        <w:t>2013</w:t>
      </w:r>
      <w:r w:rsidR="000202E1" w:rsidRPr="004D42BF">
        <w:t>. In</w:t>
      </w:r>
      <w:r w:rsidR="000202E1" w:rsidRPr="00AF642B">
        <w:t xml:space="preserve"> most states and territories, the number of</w:t>
      </w:r>
      <w:r w:rsidR="000202E1">
        <w:t xml:space="preserve"> </w:t>
      </w:r>
      <w:r w:rsidR="000202E1" w:rsidRPr="00AF642B">
        <w:t xml:space="preserve">people per pharmacy was </w:t>
      </w:r>
      <w:r w:rsidR="009E6F20" w:rsidRPr="00AF642B">
        <w:t>higher</w:t>
      </w:r>
      <w:r w:rsidR="000202E1" w:rsidRPr="00AF642B">
        <w:t xml:space="preserve"> in rural areas </w:t>
      </w:r>
      <w:r w:rsidR="009E6F20" w:rsidRPr="00AF642B">
        <w:t>than in</w:t>
      </w:r>
      <w:r w:rsidR="000202E1" w:rsidRPr="00AF642B">
        <w:t xml:space="preserve"> urban areas (figure</w:t>
      </w:r>
      <w:r w:rsidR="00AB3D66" w:rsidRPr="00AF642B">
        <w:t> </w:t>
      </w:r>
      <w:r w:rsidR="008149C0">
        <w:t>11.5</w:t>
      </w:r>
      <w:r w:rsidR="00AB3D66" w:rsidRPr="00AF642B">
        <w:t>, table </w:t>
      </w:r>
      <w:r w:rsidR="00705AF9">
        <w:t>11A.19</w:t>
      </w:r>
      <w:r w:rsidR="00C84A87" w:rsidRPr="00AF642B">
        <w:t>).</w:t>
      </w:r>
    </w:p>
    <w:p w:rsidR="00F80D88" w:rsidRPr="00944E91" w:rsidRDefault="002579BE" w:rsidP="004D42BF">
      <w:pPr>
        <w:pStyle w:val="BodyText"/>
      </w:pPr>
      <w:r w:rsidRPr="00201FD6">
        <w:t>M</w:t>
      </w:r>
      <w:r w:rsidR="00DF29FA" w:rsidRPr="00201FD6">
        <w:t xml:space="preserve">edical practitioners and hospitals can </w:t>
      </w:r>
      <w:r w:rsidRPr="00201FD6">
        <w:t xml:space="preserve">also </w:t>
      </w:r>
      <w:r w:rsidR="00DF29FA" w:rsidRPr="00201FD6">
        <w:t xml:space="preserve">be approved to supply PBS medicines </w:t>
      </w:r>
      <w:r w:rsidR="00DF29FA" w:rsidRPr="00575BE5">
        <w:t>to the community</w:t>
      </w:r>
      <w:r w:rsidRPr="00575BE5">
        <w:t>, improving access for people in some locations.</w:t>
      </w:r>
      <w:r w:rsidR="00DF29FA" w:rsidRPr="00575BE5">
        <w:t xml:space="preserve"> </w:t>
      </w:r>
      <w:r w:rsidRPr="00575BE5">
        <w:t>There were</w:t>
      </w:r>
      <w:r w:rsidR="000202E1" w:rsidRPr="00575BE5">
        <w:t xml:space="preserve"> </w:t>
      </w:r>
      <w:r w:rsidR="00150C47">
        <w:t>33 </w:t>
      </w:r>
      <w:r w:rsidR="001C15E2" w:rsidRPr="00575BE5">
        <w:t>m</w:t>
      </w:r>
      <w:r w:rsidR="000202E1" w:rsidRPr="00575BE5">
        <w:t>edical practitioners and</w:t>
      </w:r>
      <w:r w:rsidR="00CB2368">
        <w:t xml:space="preserve"> 254</w:t>
      </w:r>
      <w:r w:rsidR="000202E1" w:rsidRPr="00575BE5">
        <w:t xml:space="preserve"> hospitals — </w:t>
      </w:r>
      <w:r w:rsidR="00CB2368">
        <w:t xml:space="preserve">95 </w:t>
      </w:r>
      <w:r w:rsidR="000202E1" w:rsidRPr="00575BE5">
        <w:t>private and</w:t>
      </w:r>
      <w:r w:rsidR="00CB2368">
        <w:t xml:space="preserve"> 159 </w:t>
      </w:r>
      <w:r w:rsidR="000202E1" w:rsidRPr="00575BE5">
        <w:t>public</w:t>
      </w:r>
      <w:r w:rsidR="002035E2" w:rsidRPr="00575BE5">
        <w:rPr>
          <w:rStyle w:val="FootnoteReference"/>
        </w:rPr>
        <w:footnoteReference w:id="1"/>
      </w:r>
      <w:r w:rsidR="00F26504" w:rsidRPr="00575BE5">
        <w:t xml:space="preserve"> </w:t>
      </w:r>
      <w:r w:rsidR="000202E1" w:rsidRPr="00575BE5">
        <w:t>—</w:t>
      </w:r>
      <w:r w:rsidRPr="00575BE5">
        <w:t xml:space="preserve"> </w:t>
      </w:r>
      <w:r w:rsidR="000202E1" w:rsidRPr="00575BE5">
        <w:t xml:space="preserve">approved to supply PBS medicines to the community </w:t>
      </w:r>
      <w:r w:rsidR="00150C47" w:rsidRPr="004D42BF">
        <w:t>at 30 June</w:t>
      </w:r>
      <w:r w:rsidR="00CB2368" w:rsidRPr="004D42BF">
        <w:t xml:space="preserve"> </w:t>
      </w:r>
      <w:r w:rsidR="00150C47" w:rsidRPr="004D42BF">
        <w:t>20</w:t>
      </w:r>
      <w:r w:rsidR="00CB2368" w:rsidRPr="004D42BF">
        <w:t>1</w:t>
      </w:r>
      <w:r w:rsidR="00A2574C" w:rsidRPr="004D42BF">
        <w:t>3</w:t>
      </w:r>
      <w:r w:rsidR="000202E1" w:rsidRPr="004D42BF">
        <w:t>.</w:t>
      </w:r>
      <w:r w:rsidR="000202E1" w:rsidRPr="00575BE5">
        <w:t xml:space="preserve"> Th</w:t>
      </w:r>
      <w:r w:rsidR="00DF29FA" w:rsidRPr="00575BE5">
        <w:t>e</w:t>
      </w:r>
      <w:r w:rsidR="000202E1" w:rsidRPr="00575BE5">
        <w:t xml:space="preserve"> </w:t>
      </w:r>
      <w:r w:rsidR="001A4563" w:rsidRPr="00575BE5">
        <w:lastRenderedPageBreak/>
        <w:t xml:space="preserve">approved </w:t>
      </w:r>
      <w:r w:rsidR="000202E1" w:rsidRPr="00575BE5">
        <w:t xml:space="preserve">medical practitioners </w:t>
      </w:r>
      <w:r w:rsidR="001A4563" w:rsidRPr="00575BE5">
        <w:t>and</w:t>
      </w:r>
      <w:r w:rsidR="00CB2368">
        <w:t xml:space="preserve"> 49</w:t>
      </w:r>
      <w:r w:rsidR="003915C5" w:rsidRPr="00575BE5">
        <w:t xml:space="preserve"> </w:t>
      </w:r>
      <w:r w:rsidR="00DF29FA" w:rsidRPr="00575BE5">
        <w:t xml:space="preserve">of the </w:t>
      </w:r>
      <w:r w:rsidR="001A4563" w:rsidRPr="00575BE5">
        <w:t xml:space="preserve">approved </w:t>
      </w:r>
      <w:r w:rsidR="00DF29FA" w:rsidRPr="00575BE5">
        <w:t xml:space="preserve">public </w:t>
      </w:r>
      <w:r w:rsidR="000202E1" w:rsidRPr="00575BE5">
        <w:t xml:space="preserve">hospitals </w:t>
      </w:r>
      <w:r w:rsidR="00DF29FA" w:rsidRPr="00575BE5">
        <w:t>were</w:t>
      </w:r>
      <w:r w:rsidR="000202E1" w:rsidRPr="00575BE5">
        <w:t xml:space="preserve"> located</w:t>
      </w:r>
      <w:r w:rsidR="00C4799E" w:rsidRPr="00575BE5">
        <w:t xml:space="preserve"> in rural areas (table </w:t>
      </w:r>
      <w:r w:rsidR="00705AF9">
        <w:t>11A.19</w:t>
      </w:r>
      <w:r w:rsidR="00EE6A13" w:rsidRPr="00575BE5">
        <w:t>).</w:t>
      </w:r>
    </w:p>
    <w:p w:rsidR="002035E2" w:rsidRPr="002035E2" w:rsidRDefault="002035E2">
      <w:pPr>
        <w:pStyle w:val="FigureTitle"/>
      </w:pPr>
      <w:r>
        <w:rPr>
          <w:b w:val="0"/>
        </w:rPr>
        <w:t xml:space="preserve">Figure </w:t>
      </w:r>
      <w:bookmarkStart w:id="19" w:name="OLE_LINK81"/>
      <w:r w:rsidR="00EC42DB">
        <w:rPr>
          <w:b w:val="0"/>
        </w:rPr>
        <w:t>11.</w:t>
      </w:r>
      <w:bookmarkEnd w:id="19"/>
      <w:r w:rsidR="008149C0">
        <w:rPr>
          <w:b w:val="0"/>
        </w:rPr>
        <w:t>5</w:t>
      </w:r>
      <w:r>
        <w:tab/>
        <w:t xml:space="preserve">People per </w:t>
      </w:r>
      <w:r w:rsidR="005F1754">
        <w:t>pharmacy</w:t>
      </w:r>
      <w:r w:rsidRPr="00201FD6">
        <w:rPr>
          <w:rStyle w:val="NoteLabel"/>
          <w:b/>
        </w:rPr>
        <w:t>a</w:t>
      </w:r>
      <w:r w:rsidR="004E68D0">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035E2" w:rsidTr="0016248E">
        <w:tc>
          <w:tcPr>
            <w:tcW w:w="8777" w:type="dxa"/>
          </w:tcPr>
          <w:p w:rsidR="002035E2" w:rsidRDefault="00350BAF">
            <w:pPr>
              <w:pStyle w:val="Figure"/>
            </w:pPr>
            <w:r>
              <w:rPr>
                <w:noProof/>
              </w:rPr>
              <w:drawing>
                <wp:inline distT="0" distB="0" distL="0" distR="0">
                  <wp:extent cx="5389880" cy="2700020"/>
                  <wp:effectExtent l="0" t="0" r="1270" b="5080"/>
                  <wp:docPr id="12" name="Picture 12" descr="Figure 11.5 People per pharmacy&#10;&#10;Urban area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2700020"/>
                          </a:xfrm>
                          <a:prstGeom prst="rect">
                            <a:avLst/>
                          </a:prstGeom>
                          <a:noFill/>
                          <a:ln>
                            <a:noFill/>
                          </a:ln>
                        </pic:spPr>
                      </pic:pic>
                    </a:graphicData>
                  </a:graphic>
                </wp:inline>
              </w:drawing>
            </w:r>
          </w:p>
          <w:p w:rsidR="00187F50" w:rsidRDefault="0016248E">
            <w:pPr>
              <w:pStyle w:val="Figure"/>
            </w:pPr>
            <w:r>
              <w:rPr>
                <w:noProof/>
              </w:rPr>
              <w:drawing>
                <wp:inline distT="0" distB="0" distL="0" distR="0" wp14:anchorId="267EEF2D" wp14:editId="6EAA6291">
                  <wp:extent cx="5400000" cy="2700000"/>
                  <wp:effectExtent l="0" t="0" r="0" b="5715"/>
                  <wp:docPr id="1" name="Chart 1" descr="Figure 11.5 People per pharmacy&#10;&#10;Rural areas&#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2035E2" w:rsidRPr="001339E2" w:rsidRDefault="002035E2" w:rsidP="004D42BF">
      <w:pPr>
        <w:pStyle w:val="Note"/>
        <w:rPr>
          <w:rStyle w:val="DraftingNote"/>
        </w:rPr>
      </w:pPr>
      <w:r>
        <w:rPr>
          <w:rStyle w:val="NoteLabel"/>
        </w:rPr>
        <w:t>a</w:t>
      </w:r>
      <w:r>
        <w:sym w:font="Symbol" w:char="F020"/>
      </w:r>
      <w:r w:rsidRPr="002035E2">
        <w:t>Geolocation based on the Pharmacy Access/Remoteness Index of Australia (</w:t>
      </w:r>
      <w:r w:rsidR="008815AC">
        <w:t>PhARIA).</w:t>
      </w:r>
      <w:r w:rsidR="003D6F9E">
        <w:t xml:space="preserve"> </w:t>
      </w:r>
      <w:r w:rsidRPr="002035E2">
        <w:t>Urban = P</w:t>
      </w:r>
      <w:r w:rsidR="001809C9">
        <w:t xml:space="preserve">hARIA 1. </w:t>
      </w:r>
      <w:r w:rsidR="001809C9" w:rsidRPr="0087773B">
        <w:t>Rural = Ph</w:t>
      </w:r>
      <w:r w:rsidRPr="0087773B">
        <w:t xml:space="preserve">ARIA 2–6. The ACT has no rural </w:t>
      </w:r>
      <w:r w:rsidR="001809C9" w:rsidRPr="0087773B">
        <w:t xml:space="preserve">PhARIA </w:t>
      </w:r>
      <w:r w:rsidRPr="0087773B">
        <w:t>areas.</w:t>
      </w:r>
      <w:r w:rsidR="00962EA5" w:rsidRPr="0087773B">
        <w:t xml:space="preserve"> </w:t>
      </w:r>
      <w:r w:rsidR="004E68D0" w:rsidRPr="0087773B">
        <w:rPr>
          <w:rStyle w:val="NoteLabel"/>
        </w:rPr>
        <w:t>b</w:t>
      </w:r>
      <w:r w:rsidR="00962EA5" w:rsidRPr="0087773B">
        <w:sym w:font="Symbol" w:char="F020"/>
      </w:r>
      <w:r w:rsidR="00962EA5" w:rsidRPr="0087773B">
        <w:t>Excludes RPBS and doctor’s bag.</w:t>
      </w:r>
      <w:r w:rsidR="004D7E9C">
        <w:t xml:space="preserve"> </w:t>
      </w:r>
      <w:r w:rsidR="004D7E9C">
        <w:rPr>
          <w:rStyle w:val="NoteLabel"/>
        </w:rPr>
        <w:t>c</w:t>
      </w:r>
      <w:r w:rsidR="004D7E9C" w:rsidRPr="0087773B">
        <w:sym w:font="Symbol" w:char="F020"/>
      </w:r>
      <w:r w:rsidR="004D7E9C" w:rsidRPr="004D42BF">
        <w:t>Care should be taken in using data for the NT</w:t>
      </w:r>
      <w:r w:rsidR="00740DA6" w:rsidRPr="004D42BF">
        <w:t>, as 43.9 per cent of the population live in remote and very remote areas and</w:t>
      </w:r>
      <w:r w:rsidR="004D7E9C" w:rsidRPr="004D42BF">
        <w:t xml:space="preserve"> data exclude Aboriginal Medical Services </w:t>
      </w:r>
      <w:r w:rsidR="00740DA6" w:rsidRPr="004D42BF">
        <w:t>that</w:t>
      </w:r>
      <w:r w:rsidR="004D7E9C" w:rsidRPr="004D42BF">
        <w:t xml:space="preserve"> </w:t>
      </w:r>
      <w:r w:rsidR="00300B19" w:rsidRPr="004D42BF">
        <w:t>supply</w:t>
      </w:r>
      <w:r w:rsidR="004D7E9C" w:rsidRPr="004D42BF">
        <w:t xml:space="preserve"> medications </w:t>
      </w:r>
      <w:r w:rsidR="00740DA6" w:rsidRPr="004D42BF">
        <w:t xml:space="preserve">in these areas </w:t>
      </w:r>
      <w:r w:rsidR="004D7E9C" w:rsidRPr="004D42BF">
        <w:t xml:space="preserve">under s.100 of the </w:t>
      </w:r>
      <w:r w:rsidR="004D7E9C" w:rsidRPr="004D42BF">
        <w:rPr>
          <w:i/>
        </w:rPr>
        <w:t>National Health Act 1953</w:t>
      </w:r>
      <w:r w:rsidR="00740DA6" w:rsidRPr="004D42BF">
        <w:t xml:space="preserve"> (Cwlth)</w:t>
      </w:r>
      <w:r w:rsidR="004D7E9C" w:rsidRPr="004D42BF">
        <w:t>.</w:t>
      </w:r>
    </w:p>
    <w:p w:rsidR="002035E2" w:rsidRPr="00944E91" w:rsidRDefault="00BA791A" w:rsidP="004D42BF">
      <w:pPr>
        <w:pStyle w:val="Source"/>
      </w:pPr>
      <w:r w:rsidRPr="0087773B">
        <w:rPr>
          <w:i/>
        </w:rPr>
        <w:t>Source</w:t>
      </w:r>
      <w:r w:rsidR="002035E2" w:rsidRPr="0087773B">
        <w:t xml:space="preserve">: </w:t>
      </w:r>
      <w:r w:rsidR="00B513D7">
        <w:t>Department of Health</w:t>
      </w:r>
      <w:r w:rsidR="00612257" w:rsidRPr="0087773B">
        <w:t xml:space="preserve"> (unpublished) </w:t>
      </w:r>
      <w:r w:rsidR="007F479E" w:rsidRPr="0087773B">
        <w:t xml:space="preserve">derived from </w:t>
      </w:r>
      <w:r w:rsidR="00470888">
        <w:t xml:space="preserve"> DHS </w:t>
      </w:r>
      <w:r w:rsidR="00603C00" w:rsidRPr="0087773B">
        <w:t xml:space="preserve">Medicare, </w:t>
      </w:r>
      <w:r w:rsidR="00603C00" w:rsidRPr="004D42BF">
        <w:t xml:space="preserve">ABS </w:t>
      </w:r>
      <w:r w:rsidR="00603C00" w:rsidRPr="004D42BF">
        <w:rPr>
          <w:i/>
        </w:rPr>
        <w:t>2006</w:t>
      </w:r>
      <w:r w:rsidR="009B7C1E" w:rsidRPr="004D42BF">
        <w:rPr>
          <w:i/>
        </w:rPr>
        <w:t>/2011</w:t>
      </w:r>
      <w:r w:rsidR="00603C00" w:rsidRPr="004D42BF">
        <w:rPr>
          <w:i/>
        </w:rPr>
        <w:t xml:space="preserve"> Census of Population and Housing</w:t>
      </w:r>
      <w:r w:rsidR="00603C00" w:rsidRPr="004D42BF">
        <w:t xml:space="preserve"> and </w:t>
      </w:r>
      <w:r w:rsidR="007F479E" w:rsidRPr="004D42BF">
        <w:t xml:space="preserve">the </w:t>
      </w:r>
      <w:smartTag w:uri="urn:schemas-microsoft-com:office:smarttags" w:element="place">
        <w:smartTag w:uri="urn:schemas-microsoft-com:office:smarttags" w:element="PlaceType">
          <w:r w:rsidR="00603C00" w:rsidRPr="004D42BF">
            <w:t>University</w:t>
          </w:r>
        </w:smartTag>
        <w:r w:rsidR="00603C00" w:rsidRPr="004D42BF">
          <w:t xml:space="preserve"> of </w:t>
        </w:r>
        <w:smartTag w:uri="urn:schemas-microsoft-com:office:smarttags" w:element="PlaceName">
          <w:r w:rsidR="00603C00" w:rsidRPr="004D42BF">
            <w:t>Adelaide</w:t>
          </w:r>
        </w:smartTag>
      </w:smartTag>
      <w:r w:rsidR="00603C00" w:rsidRPr="004D42BF">
        <w:t xml:space="preserve">'s </w:t>
      </w:r>
      <w:r w:rsidR="009B7C1E" w:rsidRPr="004D42BF">
        <w:t>Australian Population and Migration Research</w:t>
      </w:r>
      <w:r w:rsidR="00A35A32" w:rsidRPr="004D42BF">
        <w:t xml:space="preserve"> Centre</w:t>
      </w:r>
      <w:r w:rsidR="0043621E" w:rsidRPr="004D42BF">
        <w:t>;</w:t>
      </w:r>
      <w:r w:rsidR="0043621E" w:rsidRPr="0087773B">
        <w:t xml:space="preserve"> </w:t>
      </w:r>
      <w:r w:rsidR="00474614" w:rsidRPr="0087773B">
        <w:t>table </w:t>
      </w:r>
      <w:r w:rsidR="00705AF9">
        <w:t>11A.19</w:t>
      </w:r>
      <w:r w:rsidR="001F6AA2" w:rsidRPr="0087773B">
        <w:t>.</w:t>
      </w:r>
    </w:p>
    <w:p w:rsidR="002035E2" w:rsidRDefault="003047F5" w:rsidP="00944E91">
      <w:pPr>
        <w:pStyle w:val="BodyText"/>
      </w:pPr>
      <w:r w:rsidRPr="0087773B">
        <w:lastRenderedPageBreak/>
        <w:t>Nationally</w:t>
      </w:r>
      <w:r w:rsidR="00BA791A" w:rsidRPr="0087773B">
        <w:t>, PBS expenditure</w:t>
      </w:r>
      <w:r w:rsidR="007552AD" w:rsidRPr="0087773B">
        <w:t xml:space="preserve"> per person</w:t>
      </w:r>
      <w:r w:rsidR="00BA791A" w:rsidRPr="0087773B">
        <w:t xml:space="preserve"> </w:t>
      </w:r>
      <w:r w:rsidR="00A209B4">
        <w:t>was</w:t>
      </w:r>
      <w:r w:rsidR="00840A73">
        <w:t xml:space="preserve"> around</w:t>
      </w:r>
      <w:r w:rsidR="00A209B4">
        <w:t xml:space="preserve"> </w:t>
      </w:r>
      <w:r w:rsidR="00625059" w:rsidRPr="00A209B4">
        <w:t>$</w:t>
      </w:r>
      <w:r w:rsidR="0094724E" w:rsidRPr="00A209B4">
        <w:t>3</w:t>
      </w:r>
      <w:r w:rsidR="00840A73">
        <w:t>12</w:t>
      </w:r>
      <w:r w:rsidR="008836AD" w:rsidRPr="00A209B4">
        <w:t xml:space="preserve"> in </w:t>
      </w:r>
      <w:r w:rsidR="00B50447" w:rsidRPr="00A209B4">
        <w:t>20</w:t>
      </w:r>
      <w:r w:rsidR="00366211" w:rsidRPr="00A209B4">
        <w:t>1</w:t>
      </w:r>
      <w:r w:rsidR="004C46F9" w:rsidRPr="00A209B4">
        <w:t>2</w:t>
      </w:r>
      <w:r w:rsidR="00B50447" w:rsidRPr="00A209B4">
        <w:noBreakHyphen/>
        <w:t>1</w:t>
      </w:r>
      <w:r w:rsidR="004C46F9" w:rsidRPr="00A209B4">
        <w:t>3</w:t>
      </w:r>
      <w:r w:rsidR="00EC1D2B">
        <w:t xml:space="preserve"> </w:t>
      </w:r>
      <w:r w:rsidR="00EC1D2B" w:rsidRPr="004C46F9">
        <w:t>(</w:t>
      </w:r>
      <w:r w:rsidR="00A209B4">
        <w:t>figure 11.</w:t>
      </w:r>
      <w:r w:rsidR="008149C0">
        <w:t>6</w:t>
      </w:r>
      <w:r w:rsidR="00A209B4">
        <w:t>)</w:t>
      </w:r>
      <w:r w:rsidR="00EC1D2B">
        <w:t>.</w:t>
      </w:r>
      <w:r w:rsidR="0006153E">
        <w:t xml:space="preserve"> </w:t>
      </w:r>
      <w:r w:rsidR="00625059" w:rsidRPr="004C46F9">
        <w:t>PBS e</w:t>
      </w:r>
      <w:r w:rsidR="00BA791A" w:rsidRPr="004C46F9">
        <w:t>xpe</w:t>
      </w:r>
      <w:r w:rsidR="0006153E">
        <w:t>nditure per </w:t>
      </w:r>
      <w:r w:rsidR="00BA791A" w:rsidRPr="0087773B">
        <w:t xml:space="preserve">person </w:t>
      </w:r>
      <w:r w:rsidR="00625059" w:rsidRPr="0087773B">
        <w:t>was</w:t>
      </w:r>
      <w:r w:rsidR="004F2F10">
        <w:t xml:space="preserve"> highest in inner regional areas and lowest in remote/very remote areas</w:t>
      </w:r>
      <w:r w:rsidR="00332A2C">
        <w:t xml:space="preserve"> (</w:t>
      </w:r>
      <w:r w:rsidR="00332A2C" w:rsidRPr="004C46F9">
        <w:t>figure </w:t>
      </w:r>
      <w:r w:rsidR="00EF34EA" w:rsidRPr="0087773B">
        <w:t>11.</w:t>
      </w:r>
      <w:r w:rsidR="00EF34EA">
        <w:t>6</w:t>
      </w:r>
      <w:r w:rsidR="00332A2C">
        <w:t>)</w:t>
      </w:r>
      <w:r w:rsidR="005610F6">
        <w:t>.</w:t>
      </w:r>
    </w:p>
    <w:p w:rsidR="00BA791A" w:rsidRPr="00BA791A" w:rsidRDefault="00BA791A">
      <w:pPr>
        <w:pStyle w:val="FigureTitle"/>
      </w:pPr>
      <w:r w:rsidRPr="0087773B">
        <w:rPr>
          <w:b w:val="0"/>
        </w:rPr>
        <w:t xml:space="preserve">Figure </w:t>
      </w:r>
      <w:bookmarkStart w:id="20" w:name="OLE_LINK6"/>
      <w:bookmarkStart w:id="21" w:name="OLE_LINK3"/>
      <w:r w:rsidR="00EC42DB" w:rsidRPr="0087773B">
        <w:rPr>
          <w:b w:val="0"/>
        </w:rPr>
        <w:t>11.</w:t>
      </w:r>
      <w:bookmarkEnd w:id="20"/>
      <w:r w:rsidR="008149C0">
        <w:rPr>
          <w:b w:val="0"/>
        </w:rPr>
        <w:t>6</w:t>
      </w:r>
      <w:bookmarkEnd w:id="21"/>
      <w:r w:rsidRPr="0087773B">
        <w:tab/>
        <w:t>PBS expenditure per person</w:t>
      </w:r>
      <w:r w:rsidR="00502833">
        <w:t xml:space="preserve">, </w:t>
      </w:r>
      <w:r w:rsidRPr="00FE0F98">
        <w:t>20</w:t>
      </w:r>
      <w:r w:rsidR="00366211" w:rsidRPr="00FE0F98">
        <w:t>1</w:t>
      </w:r>
      <w:r w:rsidR="00FE0F98" w:rsidRPr="00FE0F98">
        <w:t>2</w:t>
      </w:r>
      <w:r w:rsidRPr="00FE0F98">
        <w:noBreakHyphen/>
      </w:r>
      <w:r w:rsidR="00B50447" w:rsidRPr="00FE0F98">
        <w:t>1</w:t>
      </w:r>
      <w:r w:rsidR="00FE0F98" w:rsidRPr="00FE0F98">
        <w:t>3</w:t>
      </w:r>
      <w:r w:rsidRPr="0087773B">
        <w:rPr>
          <w:rStyle w:val="NoteLabel"/>
          <w:b/>
        </w:rPr>
        <w:t>a</w:t>
      </w:r>
      <w:r w:rsidR="00424434">
        <w:rPr>
          <w:rStyle w:val="NoteLabel"/>
          <w:b/>
        </w:rPr>
        <w:t>, b</w:t>
      </w:r>
      <w:r w:rsidR="00363D50">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A791A">
        <w:tc>
          <w:tcPr>
            <w:tcW w:w="8777" w:type="dxa"/>
          </w:tcPr>
          <w:p w:rsidR="003047F5" w:rsidRDefault="00350BAF">
            <w:pPr>
              <w:pStyle w:val="Figure"/>
            </w:pPr>
            <w:r>
              <w:rPr>
                <w:noProof/>
              </w:rPr>
              <w:drawing>
                <wp:inline distT="0" distB="0" distL="0" distR="0">
                  <wp:extent cx="5389880" cy="2861310"/>
                  <wp:effectExtent l="0" t="0" r="1270" b="0"/>
                  <wp:docPr id="13" name="Picture 13" descr="Figure 11.6 PBS expenditure per pers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BA791A" w:rsidRPr="00BD4DA5" w:rsidRDefault="00D3643A" w:rsidP="00BD4DA5">
      <w:pPr>
        <w:pStyle w:val="Note"/>
        <w:rPr>
          <w:rStyle w:val="DraftingNote"/>
          <w:b w:val="0"/>
          <w:color w:val="auto"/>
          <w:sz w:val="18"/>
          <w:u w:val="none"/>
        </w:rPr>
      </w:pPr>
      <w:r w:rsidRPr="00880A6F">
        <w:rPr>
          <w:rStyle w:val="NoteLabel"/>
        </w:rPr>
        <w:t>a</w:t>
      </w:r>
      <w:r w:rsidR="00BA791A" w:rsidRPr="00880A6F">
        <w:sym w:font="Symbol" w:char="F020"/>
      </w:r>
      <w:r w:rsidR="00424434" w:rsidRPr="006C1E01">
        <w:t>Geographical locations are based on the</w:t>
      </w:r>
      <w:r w:rsidR="00424434">
        <w:t xml:space="preserve"> </w:t>
      </w:r>
      <w:r w:rsidR="00424434" w:rsidRPr="00757E81">
        <w:t xml:space="preserve">Australian Statistical Geography Standard </w:t>
      </w:r>
      <w:r w:rsidR="00424434" w:rsidRPr="0001008A">
        <w:t xml:space="preserve">2011 (ASGS) </w:t>
      </w:r>
      <w:r w:rsidR="00424434" w:rsidRPr="006C1E01">
        <w:t>classification</w:t>
      </w:r>
      <w:r w:rsidR="00EC5BF6">
        <w:t xml:space="preserve"> </w:t>
      </w:r>
      <w:r w:rsidR="001D4F6A">
        <w:t>and are not comparable with data for previous years which were based on a different classification</w:t>
      </w:r>
      <w:r w:rsidR="00EC5BF6">
        <w:t xml:space="preserve">. </w:t>
      </w:r>
      <w:r w:rsidR="00424434">
        <w:rPr>
          <w:rStyle w:val="NoteLabel"/>
        </w:rPr>
        <w:t>b</w:t>
      </w:r>
      <w:r w:rsidR="00424434" w:rsidRPr="00880A6F">
        <w:sym w:font="Symbol" w:char="F020"/>
      </w:r>
      <w:r w:rsidR="00363D50">
        <w:t xml:space="preserve">Rates are derived using </w:t>
      </w:r>
      <w:r w:rsidR="00363D50" w:rsidRPr="00363D50">
        <w:t>the ABS ERP for 30 June 2012</w:t>
      </w:r>
      <w:r w:rsidR="00511D20">
        <w:t xml:space="preserve"> and are not comparable with rates in </w:t>
      </w:r>
      <w:r w:rsidR="00757142">
        <w:t>f</w:t>
      </w:r>
      <w:r w:rsidR="00511D20">
        <w:t xml:space="preserve">igure </w:t>
      </w:r>
      <w:r w:rsidR="00C41B3A">
        <w:t>11.</w:t>
      </w:r>
      <w:r w:rsidR="00757142">
        <w:t>1</w:t>
      </w:r>
      <w:r w:rsidR="009B12D9">
        <w:t xml:space="preserve"> that are</w:t>
      </w:r>
      <w:r w:rsidR="00511D20">
        <w:t xml:space="preserve"> derived using the </w:t>
      </w:r>
      <w:r w:rsidR="009B12D9">
        <w:t xml:space="preserve">31 December 2012 </w:t>
      </w:r>
      <w:r w:rsidR="00511D20">
        <w:t xml:space="preserve">ERP. </w:t>
      </w:r>
      <w:r w:rsidR="00363D50">
        <w:rPr>
          <w:rStyle w:val="NoteLabel"/>
        </w:rPr>
        <w:t>c</w:t>
      </w:r>
      <w:r w:rsidR="00363D50" w:rsidRPr="00880A6F">
        <w:sym w:font="Symbol" w:char="F020"/>
      </w:r>
      <w:r w:rsidR="00BA791A" w:rsidRPr="00880A6F">
        <w:t xml:space="preserve">Locality level data are only available on a cash basis for general and concessional categories. </w:t>
      </w:r>
      <w:r w:rsidR="00A27641" w:rsidRPr="00880A6F">
        <w:t>Data</w:t>
      </w:r>
      <w:r w:rsidR="00BA791A" w:rsidRPr="00880A6F">
        <w:t xml:space="preserve"> are not directly comparable to those published in </w:t>
      </w:r>
      <w:r w:rsidR="00B513D7">
        <w:t>the Department of Health</w:t>
      </w:r>
      <w:r w:rsidR="00BA791A" w:rsidRPr="00880A6F">
        <w:t xml:space="preserve">’s annual report which are prepared on an accrual accounting basis and include other categories administered under special arrangements (such </w:t>
      </w:r>
      <w:r w:rsidR="00C73147" w:rsidRPr="00880A6F">
        <w:t xml:space="preserve">as </w:t>
      </w:r>
      <w:r w:rsidR="00CA1E84" w:rsidRPr="00CA1E84">
        <w:t xml:space="preserve">medications dispensed to remote and very remote areas under s.100 of the </w:t>
      </w:r>
      <w:r w:rsidR="00CA1E84" w:rsidRPr="00CA1E84">
        <w:rPr>
          <w:i/>
        </w:rPr>
        <w:t>National Health Act 1953</w:t>
      </w:r>
      <w:r w:rsidR="00CA1E84" w:rsidRPr="00CA1E84">
        <w:t xml:space="preserve"> [Cwlth</w:t>
      </w:r>
      <w:r w:rsidR="00CA1E84" w:rsidRPr="004D42BF">
        <w:t>] — costing $36.9 million in 2012-13 [table 11A.6])</w:t>
      </w:r>
      <w:r w:rsidR="00BA791A" w:rsidRPr="00880A6F">
        <w:t>.</w:t>
      </w:r>
    </w:p>
    <w:p w:rsidR="00BA791A" w:rsidRPr="0056524A" w:rsidRDefault="00BA791A" w:rsidP="00DA6A4B">
      <w:pPr>
        <w:pStyle w:val="Source"/>
        <w:rPr>
          <w:shd w:val="clear" w:color="auto" w:fill="00FFFF"/>
        </w:rPr>
      </w:pPr>
      <w:r w:rsidRPr="00880A6F">
        <w:rPr>
          <w:i/>
        </w:rPr>
        <w:t>Source</w:t>
      </w:r>
      <w:r w:rsidRPr="00880A6F">
        <w:t xml:space="preserve">: </w:t>
      </w:r>
      <w:r w:rsidR="00B513D7">
        <w:t>Department of Health</w:t>
      </w:r>
      <w:r w:rsidR="00612257" w:rsidRPr="00880A6F">
        <w:t xml:space="preserve"> (unpublished) </w:t>
      </w:r>
      <w:r w:rsidR="00DC0D3E" w:rsidRPr="00880A6F">
        <w:t>PBS</w:t>
      </w:r>
      <w:r w:rsidR="00612257" w:rsidRPr="00880A6F">
        <w:t xml:space="preserve"> </w:t>
      </w:r>
      <w:r w:rsidR="00524F26" w:rsidRPr="00880A6F">
        <w:t>Statistics</w:t>
      </w:r>
      <w:r w:rsidR="00744A92" w:rsidRPr="00880A6F">
        <w:t>; table </w:t>
      </w:r>
      <w:r w:rsidR="00B464B6">
        <w:t>11A.2</w:t>
      </w:r>
      <w:r w:rsidR="00874F45">
        <w:t>0</w:t>
      </w:r>
      <w:r w:rsidRPr="00880A6F">
        <w:t>.</w:t>
      </w:r>
    </w:p>
    <w:p w:rsidR="00BA791A" w:rsidRDefault="00BA791A" w:rsidP="006A75CD">
      <w:pPr>
        <w:pStyle w:val="BodyText"/>
      </w:pPr>
      <w:r w:rsidRPr="00BA791A">
        <w:t xml:space="preserve">The proportion of PBS prescriptions filled at a concessional rate is reported by </w:t>
      </w:r>
      <w:r w:rsidR="005A7E5E">
        <w:br/>
      </w:r>
      <w:r w:rsidRPr="00BA791A">
        <w:t xml:space="preserve">State </w:t>
      </w:r>
      <w:r w:rsidRPr="00C507CD">
        <w:t>and Territory in ta</w:t>
      </w:r>
      <w:r w:rsidR="005842D6" w:rsidRPr="00C507CD">
        <w:t>ble </w:t>
      </w:r>
      <w:r w:rsidR="00AD7C1C" w:rsidRPr="00C507CD">
        <w:t>11A.</w:t>
      </w:r>
      <w:r w:rsidR="002D6480">
        <w:t>1</w:t>
      </w:r>
      <w:r w:rsidR="00FF7EFE">
        <w:t>1</w:t>
      </w:r>
      <w:r w:rsidR="00E0574F" w:rsidRPr="00C507CD">
        <w:t>.</w:t>
      </w:r>
      <w:r w:rsidR="005842D6" w:rsidRPr="00C507CD">
        <w:t xml:space="preserve"> </w:t>
      </w:r>
      <w:r w:rsidR="006B1D30" w:rsidRPr="00C507CD">
        <w:t xml:space="preserve">These data are not available by regional </w:t>
      </w:r>
      <w:r w:rsidR="005A7E5E">
        <w:br/>
      </w:r>
      <w:r w:rsidR="006B1D30" w:rsidRPr="00C507CD">
        <w:t>location.</w:t>
      </w:r>
      <w:r w:rsidR="006B1D30">
        <w:t xml:space="preserve"> </w:t>
      </w:r>
      <w:r w:rsidR="00DD5291" w:rsidRPr="00C507CD">
        <w:t>Nationally</w:t>
      </w:r>
      <w:r w:rsidR="001D4F6A">
        <w:t>,</w:t>
      </w:r>
      <w:r w:rsidR="00960926">
        <w:t xml:space="preserve"> 87.7</w:t>
      </w:r>
      <w:r w:rsidRPr="00C507CD">
        <w:t> per cent of prescriptions subsidised under the PBS were concessional in</w:t>
      </w:r>
      <w:r w:rsidR="00960926">
        <w:t xml:space="preserve"> 2012-13</w:t>
      </w:r>
      <w:r w:rsidRPr="00C507CD">
        <w:t>.</w:t>
      </w:r>
    </w:p>
    <w:p w:rsidR="00BA791A" w:rsidRDefault="007C33EB" w:rsidP="007C33EB">
      <w:pPr>
        <w:pStyle w:val="Heading5"/>
      </w:pPr>
      <w:r>
        <w:t>Equity of access to GPs</w:t>
      </w:r>
    </w:p>
    <w:p w:rsidR="000A46E1" w:rsidRDefault="00906143" w:rsidP="007C33EB">
      <w:pPr>
        <w:pStyle w:val="BodyText"/>
      </w:pPr>
      <w:r>
        <w:t>‘</w:t>
      </w:r>
      <w:r w:rsidR="007C33EB" w:rsidRPr="007C33EB">
        <w:t>Equity of access to GPs</w:t>
      </w:r>
      <w:r w:rsidR="007C33EB">
        <w:t xml:space="preserve">’ </w:t>
      </w:r>
      <w:r>
        <w:t xml:space="preserve">is an indicator of governments’ objective to provide equitable access to primary healthcare </w:t>
      </w:r>
      <w:r w:rsidR="00FB52E6">
        <w:t xml:space="preserve">services </w:t>
      </w:r>
      <w:r>
        <w:t>(</w:t>
      </w:r>
      <w:smartTag w:uri="urn:schemas-microsoft-com:office:smarttags" w:element="address">
        <w:smartTag w:uri="urn:schemas-microsoft-com:office:smarttags" w:element="Street">
          <w:r w:rsidRPr="00046121">
            <w:t>box</w:t>
          </w:r>
        </w:smartTag>
        <w:r w:rsidR="00744A92" w:rsidRPr="00046121">
          <w:t> </w:t>
        </w:r>
        <w:r w:rsidR="00445562" w:rsidRPr="00046121">
          <w:t>11.3</w:t>
        </w:r>
      </w:smartTag>
      <w:r w:rsidR="007B6324" w:rsidRPr="00046121">
        <w:t>)</w:t>
      </w:r>
      <w:r w:rsidR="007B6324">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B6EB0" w:rsidTr="00E0658E">
        <w:tc>
          <w:tcPr>
            <w:tcW w:w="8771" w:type="dxa"/>
            <w:tcBorders>
              <w:top w:val="single" w:sz="6" w:space="0" w:color="auto"/>
              <w:bottom w:val="nil"/>
            </w:tcBorders>
            <w:shd w:val="clear" w:color="auto" w:fill="auto"/>
          </w:tcPr>
          <w:p w:rsidR="003B6EB0" w:rsidRPr="007C33EB" w:rsidRDefault="003B6EB0" w:rsidP="00E0658E">
            <w:pPr>
              <w:pStyle w:val="BoxTitle"/>
            </w:pPr>
            <w:r>
              <w:rPr>
                <w:b w:val="0"/>
              </w:rPr>
              <w:lastRenderedPageBreak/>
              <w:t>Box 11.</w:t>
            </w:r>
            <w:r>
              <w:rPr>
                <w:b w:val="0"/>
                <w:noProof/>
              </w:rPr>
              <w:t>3</w:t>
            </w:r>
            <w:r>
              <w:tab/>
            </w:r>
            <w:r w:rsidRPr="007C33EB">
              <w:t>Equity of access to GPs</w:t>
            </w:r>
          </w:p>
        </w:tc>
      </w:tr>
      <w:tr w:rsidR="003B6EB0" w:rsidTr="00E0658E">
        <w:trPr>
          <w:cantSplit/>
        </w:trPr>
        <w:tc>
          <w:tcPr>
            <w:tcW w:w="8771" w:type="dxa"/>
            <w:tcBorders>
              <w:top w:val="nil"/>
              <w:left w:val="single" w:sz="6" w:space="0" w:color="auto"/>
              <w:bottom w:val="nil"/>
              <w:right w:val="single" w:sz="6" w:space="0" w:color="auto"/>
            </w:tcBorders>
            <w:shd w:val="clear" w:color="auto" w:fill="auto"/>
          </w:tcPr>
          <w:p w:rsidR="003B6EB0" w:rsidRPr="00FF6AE2" w:rsidRDefault="003B6EB0" w:rsidP="00E0658E">
            <w:pPr>
              <w:pStyle w:val="Box"/>
            </w:pPr>
            <w:r w:rsidRPr="00FF6AE2">
              <w:t>‘Equity of access to GPs’ is defined by two measures:</w:t>
            </w:r>
          </w:p>
          <w:p w:rsidR="003B6EB0" w:rsidRDefault="003B6EB0" w:rsidP="00E0658E">
            <w:pPr>
              <w:pStyle w:val="BoxListBullet"/>
            </w:pPr>
            <w:r w:rsidRPr="00FF6AE2">
              <w:t>availability of GPs by region, defined as the number of FWE GPs per 100 000 people, by region</w:t>
            </w:r>
          </w:p>
          <w:p w:rsidR="003B6EB0" w:rsidRPr="00FF6AE2" w:rsidRDefault="003B6EB0" w:rsidP="003B6EB0">
            <w:pPr>
              <w:pStyle w:val="BoxListBullet"/>
            </w:pPr>
            <w:r w:rsidRPr="00FF6AE2">
              <w:t>availability of female GPs, defined as the number of female FWE GPs, per 100 000 females.</w:t>
            </w:r>
          </w:p>
          <w:p w:rsidR="003B6EB0" w:rsidRDefault="003B6EB0" w:rsidP="003B6EB0">
            <w:pPr>
              <w:pStyle w:val="Box"/>
            </w:pPr>
            <w:r w:rsidRPr="007639D2">
              <w:t>High or increasing availability of GPs can indicate improved access to GP services. Low availability of GPs by region can be associated with an increase in distance travelled and waiting times to see a GP, and increased difficulty in booking long consultations. Reduced competition for patients can also reduce bulk billing rates. State and Territory governments seek to influence the availability of GPs through incentives to recruit and retain GPs in rural and remote areas.</w:t>
            </w:r>
          </w:p>
          <w:p w:rsidR="003B6EB0" w:rsidRDefault="003B6EB0" w:rsidP="003B6EB0">
            <w:pPr>
              <w:pStyle w:val="Box"/>
            </w:pPr>
            <w:r w:rsidRPr="00FF6AE2">
              <w:t>High or increasing availability of female GPs means it is more likely that female patients who prefer to visit female GPs will have their preference met. Low availability of female GPs can similarly be associated with increased waiting times to see a GP, for women who prefer to discuss health matters with, and to receive primary healthcare from, a female GP.</w:t>
            </w:r>
          </w:p>
          <w:p w:rsidR="003B6EB0" w:rsidRPr="00FF6AE2" w:rsidRDefault="003B6EB0" w:rsidP="003B6EB0">
            <w:pPr>
              <w:pStyle w:val="Box"/>
            </w:pPr>
            <w:r w:rsidRPr="00FF6AE2">
              <w:t>This indicator does not provide information on whether people are accessing GP services or whether the services are appropriate for the needs of the people receiving them.</w:t>
            </w:r>
          </w:p>
          <w:p w:rsidR="003B6EB0" w:rsidRPr="007639D2" w:rsidRDefault="003B6EB0" w:rsidP="003B6EB0">
            <w:pPr>
              <w:pStyle w:val="Box"/>
            </w:pPr>
            <w:r w:rsidRPr="007639D2">
              <w:t xml:space="preserve">Data reported for this </w:t>
            </w:r>
            <w:r>
              <w:t>indicator</w:t>
            </w:r>
            <w:r w:rsidRPr="007639D2">
              <w:t xml:space="preserve"> are:</w:t>
            </w:r>
          </w:p>
          <w:p w:rsidR="003B6EB0" w:rsidRDefault="003B6EB0" w:rsidP="003B6EB0">
            <w:pPr>
              <w:pStyle w:val="BoxListBullet"/>
            </w:pPr>
            <w:r w:rsidRPr="003B6EB0">
              <w:t>comparable (subject to caveats) across jurisdictions for 2012-13 but not comparable to data for previous year</w:t>
            </w:r>
            <w:r>
              <w:t>s for the measure availability of GPs by region</w:t>
            </w:r>
          </w:p>
          <w:p w:rsidR="003B6EB0" w:rsidRDefault="003B6EB0" w:rsidP="003B6EB0">
            <w:pPr>
              <w:pStyle w:val="BoxListBullet"/>
            </w:pPr>
            <w:r w:rsidRPr="007639D2">
              <w:t xml:space="preserve">comparable (subject to caveats) across jurisdictions </w:t>
            </w:r>
            <w:r>
              <w:t xml:space="preserve">and over time for the measure availability of female GPs </w:t>
            </w:r>
          </w:p>
          <w:p w:rsidR="003B6EB0" w:rsidRPr="00FF6AE2" w:rsidRDefault="003B6EB0" w:rsidP="003B6EB0">
            <w:pPr>
              <w:pStyle w:val="BoxListBullet"/>
            </w:pPr>
            <w:r w:rsidRPr="00815642">
              <w:t>complete (subject to caveats) for the current reporting period. All required 2012-13 data are available for all jurisdictions.</w:t>
            </w:r>
          </w:p>
          <w:p w:rsidR="003B6EB0" w:rsidRPr="00233EF9" w:rsidRDefault="00355023" w:rsidP="00355023">
            <w:pPr>
              <w:pStyle w:val="Box"/>
            </w:pPr>
            <w:r w:rsidRPr="0027351B">
              <w:t xml:space="preserve">Data quality information </w:t>
            </w:r>
            <w:r w:rsidR="003B6EB0">
              <w:t>for this indicator</w:t>
            </w:r>
            <w:r w:rsidR="003B6EB0" w:rsidRPr="007D1BDA">
              <w:t xml:space="preserve"> is at </w:t>
            </w:r>
            <w:r w:rsidR="003B6EB0" w:rsidRPr="00FF6AE2">
              <w:t>www.pc.gov.au/gsp/reports/rogs/201</w:t>
            </w:r>
            <w:r w:rsidR="003B6EB0">
              <w:t>4</w:t>
            </w:r>
            <w:r w:rsidR="003B6EB0" w:rsidRPr="00FF6AE2">
              <w:t>.</w:t>
            </w:r>
          </w:p>
        </w:tc>
      </w:tr>
      <w:tr w:rsidR="003B6EB0" w:rsidTr="00E0658E">
        <w:trPr>
          <w:cantSplit/>
        </w:trPr>
        <w:tc>
          <w:tcPr>
            <w:tcW w:w="8771" w:type="dxa"/>
            <w:tcBorders>
              <w:top w:val="nil"/>
              <w:left w:val="single" w:sz="6" w:space="0" w:color="auto"/>
              <w:bottom w:val="single" w:sz="6" w:space="0" w:color="auto"/>
              <w:right w:val="single" w:sz="6" w:space="0" w:color="auto"/>
            </w:tcBorders>
          </w:tcPr>
          <w:p w:rsidR="003B6EB0" w:rsidRDefault="003B6EB0" w:rsidP="00E0658E">
            <w:pPr>
              <w:pStyle w:val="Box"/>
              <w:spacing w:before="0" w:line="120" w:lineRule="exact"/>
            </w:pPr>
          </w:p>
        </w:tc>
      </w:tr>
      <w:tr w:rsidR="003B6EB0" w:rsidTr="00E0658E">
        <w:tc>
          <w:tcPr>
            <w:tcW w:w="8771" w:type="dxa"/>
            <w:tcBorders>
              <w:top w:val="nil"/>
              <w:left w:val="nil"/>
              <w:bottom w:val="nil"/>
              <w:right w:val="nil"/>
            </w:tcBorders>
          </w:tcPr>
          <w:p w:rsidR="003B6EB0" w:rsidRDefault="003B6EB0" w:rsidP="00E0658E">
            <w:pPr>
              <w:pStyle w:val="Box"/>
              <w:keepNext w:val="0"/>
              <w:spacing w:before="60" w:after="60" w:line="80" w:lineRule="exact"/>
              <w:rPr>
                <w:b/>
                <w:color w:val="FF00FF"/>
                <w:sz w:val="14"/>
              </w:rPr>
            </w:pPr>
          </w:p>
        </w:tc>
      </w:tr>
    </w:tbl>
    <w:p w:rsidR="00866BB0" w:rsidRDefault="00866BB0" w:rsidP="00866BB0">
      <w:pPr>
        <w:pStyle w:val="Heading5"/>
      </w:pPr>
      <w:r w:rsidRPr="00866BB0">
        <w:t xml:space="preserve">Equity of access to GPs </w:t>
      </w:r>
      <w:r>
        <w:t>— a</w:t>
      </w:r>
      <w:r w:rsidRPr="00866BB0">
        <w:t>vailability of GPs by region</w:t>
      </w:r>
    </w:p>
    <w:p w:rsidR="00B464B6" w:rsidRPr="00944E91" w:rsidRDefault="00467893" w:rsidP="00944E91">
      <w:pPr>
        <w:pStyle w:val="BodyText"/>
      </w:pPr>
      <w:r w:rsidRPr="00B13F6E">
        <w:t xml:space="preserve">In terms of FWE GPs per 100 000 people, </w:t>
      </w:r>
      <w:r w:rsidR="00BA0768" w:rsidRPr="00B13F6E">
        <w:t xml:space="preserve">there </w:t>
      </w:r>
      <w:r w:rsidR="00BA0768" w:rsidRPr="00252963">
        <w:t xml:space="preserve">were more GPs available in </w:t>
      </w:r>
      <w:r w:rsidR="00252963" w:rsidRPr="00252963">
        <w:t xml:space="preserve">major cities and inner regional areas than in outer </w:t>
      </w:r>
      <w:r w:rsidR="00252963" w:rsidRPr="006E297C">
        <w:t>regional, remote and very remote areas in all jurisdictions in 2012-13</w:t>
      </w:r>
      <w:r w:rsidR="00DD585A" w:rsidRPr="006E297C">
        <w:t xml:space="preserve"> </w:t>
      </w:r>
      <w:r w:rsidRPr="006E297C">
        <w:t>(figure </w:t>
      </w:r>
      <w:r w:rsidR="00DD585A" w:rsidRPr="006E297C">
        <w:t>11.</w:t>
      </w:r>
      <w:r w:rsidR="008149C0">
        <w:t>7</w:t>
      </w:r>
      <w:r w:rsidRPr="006E297C">
        <w:t>). The bulk billed proportion of non</w:t>
      </w:r>
      <w:r w:rsidR="00E115F2" w:rsidRPr="006E297C">
        <w:noBreakHyphen/>
      </w:r>
      <w:r w:rsidRPr="006E297C">
        <w:t xml:space="preserve">referred attendances was </w:t>
      </w:r>
      <w:r w:rsidR="006E297C" w:rsidRPr="006E297C">
        <w:t xml:space="preserve">higher </w:t>
      </w:r>
      <w:r w:rsidR="00AF3B10" w:rsidRPr="006E297C">
        <w:t xml:space="preserve">in very remote areas than in </w:t>
      </w:r>
      <w:r w:rsidR="006E297C" w:rsidRPr="006E297C">
        <w:t xml:space="preserve">major cities,  </w:t>
      </w:r>
      <w:r w:rsidR="006E297C">
        <w:t xml:space="preserve">where the proportion was in turn </w:t>
      </w:r>
      <w:r w:rsidR="006E297C" w:rsidRPr="006E297C">
        <w:t xml:space="preserve">higher than in </w:t>
      </w:r>
      <w:r w:rsidR="00AF3B10" w:rsidRPr="006E297C">
        <w:t xml:space="preserve">inner regional, </w:t>
      </w:r>
      <w:r w:rsidR="006E297C" w:rsidRPr="006E297C">
        <w:t>outer regional and remote areas</w:t>
      </w:r>
      <w:r w:rsidR="003544C1" w:rsidRPr="00467893">
        <w:t xml:space="preserve"> </w:t>
      </w:r>
      <w:r w:rsidRPr="00DC093E">
        <w:t>(table </w:t>
      </w:r>
      <w:r w:rsidR="00E60498" w:rsidRPr="00DC093E">
        <w:t>11A.</w:t>
      </w:r>
      <w:r w:rsidR="003D1BEB">
        <w:t>3</w:t>
      </w:r>
      <w:r w:rsidR="00874F45">
        <w:t>2</w:t>
      </w:r>
      <w:r w:rsidRPr="00DC093E">
        <w:t>).</w:t>
      </w:r>
    </w:p>
    <w:p w:rsidR="001A634F" w:rsidRPr="007644A0" w:rsidRDefault="001A634F" w:rsidP="007C33EB">
      <w:pPr>
        <w:pStyle w:val="FigureTitle"/>
        <w:rPr>
          <w:rStyle w:val="NoteLabel"/>
        </w:rPr>
      </w:pPr>
      <w:r>
        <w:rPr>
          <w:b w:val="0"/>
        </w:rPr>
        <w:lastRenderedPageBreak/>
        <w:t xml:space="preserve">Figure </w:t>
      </w:r>
      <w:bookmarkStart w:id="22" w:name="OLE_LINK8"/>
      <w:bookmarkStart w:id="23" w:name="OLE_LINK80"/>
      <w:r w:rsidR="00EC42DB">
        <w:rPr>
          <w:b w:val="0"/>
        </w:rPr>
        <w:t>11.</w:t>
      </w:r>
      <w:bookmarkEnd w:id="22"/>
      <w:r w:rsidR="008149C0">
        <w:rPr>
          <w:b w:val="0"/>
          <w:noProof/>
        </w:rPr>
        <w:t>7</w:t>
      </w:r>
      <w:r>
        <w:tab/>
      </w:r>
      <w:bookmarkEnd w:id="23"/>
      <w:r w:rsidRPr="001A634F">
        <w:t xml:space="preserve">Availability of GPs (full time workload </w:t>
      </w:r>
      <w:r w:rsidRPr="009C2892">
        <w:t>equivalent),</w:t>
      </w:r>
      <w:r w:rsidR="00BD6B95">
        <w:t xml:space="preserve"> 2012-13</w:t>
      </w:r>
      <w:r w:rsidRPr="009C2892">
        <w:rPr>
          <w:rStyle w:val="NoteLabel"/>
          <w:b/>
        </w:rPr>
        <w:t>a, b, c</w:t>
      </w:r>
    </w:p>
    <w:tbl>
      <w:tblPr>
        <w:tblW w:w="0" w:type="auto"/>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1A634F" w:rsidTr="005A1FFD">
        <w:tc>
          <w:tcPr>
            <w:tcW w:w="8777" w:type="dxa"/>
            <w:tcBorders>
              <w:top w:val="single" w:sz="6" w:space="0" w:color="auto"/>
              <w:bottom w:val="single" w:sz="6" w:space="0" w:color="auto"/>
              <w:right w:val="nil"/>
            </w:tcBorders>
          </w:tcPr>
          <w:p w:rsidR="00FE274E" w:rsidRDefault="00350BAF" w:rsidP="007C33EB">
            <w:pPr>
              <w:pStyle w:val="Figure"/>
            </w:pPr>
            <w:r>
              <w:rPr>
                <w:noProof/>
              </w:rPr>
              <w:drawing>
                <wp:inline distT="0" distB="0" distL="0" distR="0" wp14:anchorId="43812AF2" wp14:editId="4D596D64">
                  <wp:extent cx="5389880" cy="2861310"/>
                  <wp:effectExtent l="0" t="0" r="1270" b="0"/>
                  <wp:docPr id="14" name="Picture 14" descr="Figure 11.7 Availability of GPs (full time workload equivalent) by regi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1A634F" w:rsidRPr="00A6543D" w:rsidRDefault="001A634F" w:rsidP="00A6543D">
      <w:pPr>
        <w:pStyle w:val="Note"/>
      </w:pPr>
      <w:r>
        <w:rPr>
          <w:rStyle w:val="NoteLabel"/>
        </w:rPr>
        <w:t>a</w:t>
      </w:r>
      <w:r>
        <w:sym w:font="Symbol" w:char="F020"/>
      </w:r>
      <w:r w:rsidR="006C1E01" w:rsidRPr="006C1E01">
        <w:t>Geographical locations are based on the</w:t>
      </w:r>
      <w:r w:rsidR="0001008A">
        <w:t xml:space="preserve"> </w:t>
      </w:r>
      <w:r w:rsidR="0001008A" w:rsidRPr="00757E81">
        <w:t xml:space="preserve">Australian Statistical Geography Standard </w:t>
      </w:r>
      <w:r w:rsidR="0001008A" w:rsidRPr="0001008A">
        <w:t xml:space="preserve">2011 </w:t>
      </w:r>
      <w:r w:rsidR="00757E81" w:rsidRPr="0001008A">
        <w:t>(ASGS</w:t>
      </w:r>
      <w:r w:rsidR="006C1E01" w:rsidRPr="0001008A">
        <w:t xml:space="preserve">) </w:t>
      </w:r>
      <w:r w:rsidR="006C1E01" w:rsidRPr="006C1E01">
        <w:t>classification</w:t>
      </w:r>
      <w:r w:rsidR="001D4F6A">
        <w:t xml:space="preserve"> and are not comparable with data for previous years which were based on a different classification</w:t>
      </w:r>
      <w:r w:rsidR="006C1E01" w:rsidRPr="006C1E01">
        <w:t xml:space="preserve">. </w:t>
      </w:r>
      <w:r w:rsidRPr="001A634F">
        <w:rPr>
          <w:rStyle w:val="NoteLabel"/>
        </w:rPr>
        <w:t>b</w:t>
      </w:r>
      <w:r w:rsidRPr="001A634F">
        <w:t xml:space="preserve"> FWE GP numbers include vocationally </w:t>
      </w:r>
      <w:r w:rsidR="00342327">
        <w:t>registered</w:t>
      </w:r>
      <w:r w:rsidRPr="001A634F">
        <w:t xml:space="preserve"> GPs and OMPs</w:t>
      </w:r>
      <w:r w:rsidR="006C090A">
        <w:t xml:space="preserve"> </w:t>
      </w:r>
      <w:r w:rsidR="006C090A" w:rsidRPr="002561B7">
        <w:t xml:space="preserve">billing </w:t>
      </w:r>
      <w:r w:rsidR="00470888">
        <w:t xml:space="preserve">DHS </w:t>
      </w:r>
      <w:r w:rsidR="006C090A" w:rsidRPr="002561B7">
        <w:t>Medicare</w:t>
      </w:r>
      <w:r w:rsidRPr="001A634F">
        <w:t xml:space="preserve">, who are allocated to a jurisdiction based on the </w:t>
      </w:r>
      <w:r w:rsidRPr="00A0144A">
        <w:t xml:space="preserve">postcode of their major practice. </w:t>
      </w:r>
      <w:r w:rsidRPr="00A0144A">
        <w:rPr>
          <w:rStyle w:val="NoteLabel"/>
        </w:rPr>
        <w:t>c</w:t>
      </w:r>
      <w:r w:rsidRPr="00A0144A">
        <w:t xml:space="preserve"> </w:t>
      </w:r>
      <w:r w:rsidR="00757E81" w:rsidRPr="00757E81">
        <w:t>There are no major cities in Tasmania; no outer regional or remote areas in the ACT; no major cities</w:t>
      </w:r>
      <w:r w:rsidR="00757E81">
        <w:t xml:space="preserve"> or</w:t>
      </w:r>
      <w:r w:rsidR="00757E81" w:rsidRPr="00757E81">
        <w:t xml:space="preserve"> inner regional </w:t>
      </w:r>
      <w:r w:rsidR="00757E81">
        <w:t>areas</w:t>
      </w:r>
      <w:r w:rsidR="00757E81" w:rsidRPr="00757E81">
        <w:t xml:space="preserve"> in the NT</w:t>
      </w:r>
      <w:r w:rsidR="0001008A">
        <w:t xml:space="preserve">. </w:t>
      </w:r>
      <w:r w:rsidR="0001008A">
        <w:tab/>
        <w:t>For the ACT, major cities includes inner regional areas.</w:t>
      </w:r>
      <w:r w:rsidR="0001008A">
        <w:tab/>
      </w:r>
    </w:p>
    <w:p w:rsidR="001A634F" w:rsidRDefault="001A634F" w:rsidP="007C33EB">
      <w:pPr>
        <w:pStyle w:val="Source"/>
      </w:pPr>
      <w:r w:rsidRPr="00CA4857">
        <w:rPr>
          <w:i/>
        </w:rPr>
        <w:t>Source</w:t>
      </w:r>
      <w:r w:rsidRPr="00CA4857">
        <w:t xml:space="preserve">: </w:t>
      </w:r>
      <w:r w:rsidR="00B513D7">
        <w:t>Department of Health</w:t>
      </w:r>
      <w:r w:rsidRPr="00CA4857">
        <w:t xml:space="preserve"> (unpublished)</w:t>
      </w:r>
      <w:r w:rsidR="00EA21C6" w:rsidRPr="00CA4857">
        <w:t xml:space="preserve"> MBS </w:t>
      </w:r>
      <w:r w:rsidR="00524F26" w:rsidRPr="00CA4857">
        <w:t>Statistics</w:t>
      </w:r>
      <w:r w:rsidRPr="00CA4857">
        <w:t>; table</w:t>
      </w:r>
      <w:r w:rsidR="00744A92" w:rsidRPr="00CA4857">
        <w:t> </w:t>
      </w:r>
      <w:r w:rsidR="00874F45">
        <w:t>11A.22</w:t>
      </w:r>
      <w:r w:rsidRPr="00CA4857">
        <w:t>.</w:t>
      </w:r>
    </w:p>
    <w:p w:rsidR="00866BB0" w:rsidRDefault="00866BB0" w:rsidP="00866BB0">
      <w:pPr>
        <w:pStyle w:val="Heading5"/>
      </w:pPr>
      <w:r w:rsidRPr="00866BB0">
        <w:t xml:space="preserve">Equity of access to GPs </w:t>
      </w:r>
      <w:r>
        <w:t>— availability of female GPs</w:t>
      </w:r>
    </w:p>
    <w:p w:rsidR="00215759" w:rsidRPr="00355A09" w:rsidRDefault="001A634F" w:rsidP="00355A09">
      <w:pPr>
        <w:pStyle w:val="BodyText"/>
      </w:pPr>
      <w:r w:rsidRPr="00266C46">
        <w:t>In</w:t>
      </w:r>
      <w:r w:rsidR="006D6F16">
        <w:t xml:space="preserve"> 2012-13, 42.4</w:t>
      </w:r>
      <w:r w:rsidRPr="00266C46">
        <w:t xml:space="preserve"> per cent of </w:t>
      </w:r>
      <w:smartTag w:uri="urn:schemas-microsoft-com:office:smarttags" w:element="place">
        <w:smartTag w:uri="urn:schemas-microsoft-com:office:smarttags" w:element="country-region">
          <w:r w:rsidRPr="00266C46">
            <w:t>Australia</w:t>
          </w:r>
        </w:smartTag>
      </w:smartTag>
      <w:r w:rsidRPr="00266C46">
        <w:t xml:space="preserve">’s GPs </w:t>
      </w:r>
      <w:r w:rsidR="009F46AE" w:rsidRPr="00266C46">
        <w:t>—</w:t>
      </w:r>
      <w:r w:rsidR="005857E6">
        <w:t xml:space="preserve"> 32.5</w:t>
      </w:r>
      <w:r w:rsidR="009F46AE" w:rsidRPr="00266C46">
        <w:t xml:space="preserve"> per cent of FWE GPs — </w:t>
      </w:r>
      <w:r w:rsidRPr="00266C46">
        <w:t>were</w:t>
      </w:r>
      <w:r w:rsidRPr="00A83187">
        <w:t xml:space="preserve"> </w:t>
      </w:r>
      <w:r w:rsidRPr="00266C46">
        <w:t>female (tables </w:t>
      </w:r>
      <w:r w:rsidR="004C6E58">
        <w:t>11A.9</w:t>
      </w:r>
      <w:r w:rsidRPr="00266C46">
        <w:t xml:space="preserve"> and </w:t>
      </w:r>
      <w:r w:rsidR="00B464B6">
        <w:t>11A.2</w:t>
      </w:r>
      <w:r w:rsidR="00874F45">
        <w:t>4</w:t>
      </w:r>
      <w:r w:rsidRPr="00266C46">
        <w:t xml:space="preserve">). </w:t>
      </w:r>
      <w:r w:rsidR="009F46AE" w:rsidRPr="00266C46">
        <w:t xml:space="preserve">The number of FWE </w:t>
      </w:r>
      <w:r w:rsidR="00744A92" w:rsidRPr="00266C46">
        <w:t>GPs per 100 </w:t>
      </w:r>
      <w:r w:rsidR="009F46AE" w:rsidRPr="00266C46">
        <w:t>000</w:t>
      </w:r>
      <w:r w:rsidR="00744A92" w:rsidRPr="00266C46">
        <w:t> </w:t>
      </w:r>
      <w:r w:rsidR="009F46AE" w:rsidRPr="00266C46">
        <w:t>females increased from</w:t>
      </w:r>
      <w:r w:rsidR="005857E6">
        <w:t xml:space="preserve"> 51.7 to 62.4</w:t>
      </w:r>
      <w:r w:rsidR="009F46AE" w:rsidRPr="00266C46">
        <w:t xml:space="preserve"> in the period</w:t>
      </w:r>
      <w:r w:rsidR="005857E6">
        <w:t xml:space="preserve"> 2008-09 to 2012-13</w:t>
      </w:r>
      <w:r w:rsidR="009F46AE" w:rsidRPr="00266C46">
        <w:t xml:space="preserve"> </w:t>
      </w:r>
      <w:r w:rsidRPr="00266C46">
        <w:t>(figure </w:t>
      </w:r>
      <w:r w:rsidR="00E063F3" w:rsidRPr="00266C46">
        <w:t>11.</w:t>
      </w:r>
      <w:r w:rsidR="008149C0">
        <w:t>8</w:t>
      </w:r>
      <w:r w:rsidR="00E20F02">
        <w:t>).</w:t>
      </w:r>
    </w:p>
    <w:p w:rsidR="001A634F" w:rsidRPr="001A634F" w:rsidRDefault="001A634F" w:rsidP="007C33EB">
      <w:pPr>
        <w:pStyle w:val="FigureTitle"/>
      </w:pPr>
      <w:r>
        <w:rPr>
          <w:b w:val="0"/>
        </w:rPr>
        <w:lastRenderedPageBreak/>
        <w:t xml:space="preserve">Figure </w:t>
      </w:r>
      <w:bookmarkStart w:id="24" w:name="OLE_LINK10"/>
      <w:r w:rsidR="00EC42DB">
        <w:rPr>
          <w:b w:val="0"/>
        </w:rPr>
        <w:t>11.</w:t>
      </w:r>
      <w:bookmarkEnd w:id="24"/>
      <w:r w:rsidR="008149C0">
        <w:rPr>
          <w:b w:val="0"/>
          <w:noProof/>
        </w:rPr>
        <w:t>8</w:t>
      </w:r>
      <w:r>
        <w:tab/>
      </w:r>
      <w:r w:rsidRPr="001A634F">
        <w:t>Availability of female GPs (full time workload equivalent)</w:t>
      </w:r>
      <w:r w:rsidRPr="001A634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A634F" w:rsidTr="00715973">
        <w:tc>
          <w:tcPr>
            <w:tcW w:w="8777" w:type="dxa"/>
          </w:tcPr>
          <w:p w:rsidR="001A634F" w:rsidRDefault="00350BAF" w:rsidP="007C33EB">
            <w:pPr>
              <w:pStyle w:val="Figure"/>
            </w:pPr>
            <w:r>
              <w:rPr>
                <w:noProof/>
              </w:rPr>
              <w:drawing>
                <wp:inline distT="0" distB="0" distL="0" distR="0">
                  <wp:extent cx="5368290" cy="2710815"/>
                  <wp:effectExtent l="0" t="0" r="3810" b="0"/>
                  <wp:docPr id="15" name="Picture 15" descr="Figure 11.8 Availability of female GPs (full time workload equival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1A634F" w:rsidRPr="001A634F" w:rsidRDefault="001A634F" w:rsidP="007C33EB">
      <w:pPr>
        <w:pStyle w:val="Note"/>
      </w:pPr>
      <w:r>
        <w:rPr>
          <w:rStyle w:val="NoteLabel"/>
        </w:rPr>
        <w:t>a</w:t>
      </w:r>
      <w:r>
        <w:sym w:font="Symbol" w:char="F020"/>
      </w:r>
      <w:r w:rsidRPr="001A634F">
        <w:t xml:space="preserve">Data relate to vocationally </w:t>
      </w:r>
      <w:r w:rsidR="00342327">
        <w:t>registered</w:t>
      </w:r>
      <w:r w:rsidR="00342327" w:rsidRPr="001A634F">
        <w:t xml:space="preserve"> </w:t>
      </w:r>
      <w:r w:rsidRPr="001A634F">
        <w:t xml:space="preserve">GPs and </w:t>
      </w:r>
      <w:r w:rsidR="00E42072" w:rsidRPr="001A634F">
        <w:t>OMPs</w:t>
      </w:r>
      <w:r w:rsidR="006C090A" w:rsidRPr="006C090A">
        <w:t xml:space="preserve"> </w:t>
      </w:r>
      <w:r w:rsidR="006C090A" w:rsidRPr="002561B7">
        <w:t xml:space="preserve">billing </w:t>
      </w:r>
      <w:r w:rsidR="001339E2">
        <w:t>DHS</w:t>
      </w:r>
      <w:r w:rsidR="00470888">
        <w:t xml:space="preserve"> </w:t>
      </w:r>
      <w:r w:rsidR="006C090A" w:rsidRPr="002561B7">
        <w:t>Medicare</w:t>
      </w:r>
      <w:r w:rsidR="00E42072" w:rsidRPr="001A634F">
        <w:t xml:space="preserve">, who are allocated to a jurisdiction based on </w:t>
      </w:r>
      <w:r w:rsidR="00E42072" w:rsidRPr="00332D2E">
        <w:t>the postcode of their</w:t>
      </w:r>
      <w:r w:rsidR="00E42072" w:rsidRPr="001A634F">
        <w:t xml:space="preserve"> major practice.</w:t>
      </w:r>
    </w:p>
    <w:p w:rsidR="001A634F" w:rsidRPr="0056524A" w:rsidRDefault="001A634F" w:rsidP="007C33EB">
      <w:pPr>
        <w:pStyle w:val="Source"/>
        <w:rPr>
          <w:shd w:val="clear" w:color="auto" w:fill="00FFFF"/>
        </w:rPr>
      </w:pPr>
      <w:r w:rsidRPr="00E20F02">
        <w:rPr>
          <w:i/>
        </w:rPr>
        <w:t>Source</w:t>
      </w:r>
      <w:r w:rsidRPr="00E20F02">
        <w:t xml:space="preserve">: </w:t>
      </w:r>
      <w:r w:rsidR="00B513D7">
        <w:t>Department of Health</w:t>
      </w:r>
      <w:r w:rsidRPr="00E20F02">
        <w:t xml:space="preserve"> (unpublished)</w:t>
      </w:r>
      <w:r w:rsidR="00EA21C6" w:rsidRPr="00E20F02">
        <w:t xml:space="preserve"> MBS </w:t>
      </w:r>
      <w:r w:rsidR="00524F26" w:rsidRPr="00E20F02">
        <w:t>Statistics</w:t>
      </w:r>
      <w:r w:rsidR="00744A92" w:rsidRPr="00E20F02">
        <w:t>; table </w:t>
      </w:r>
      <w:r w:rsidR="00B464B6">
        <w:t>11A.2</w:t>
      </w:r>
      <w:r w:rsidR="00874F45">
        <w:t>4</w:t>
      </w:r>
      <w:r w:rsidRPr="00E20F02">
        <w:t>.</w:t>
      </w:r>
    </w:p>
    <w:p w:rsidR="00351C8A" w:rsidRPr="00944E91" w:rsidRDefault="001A634F" w:rsidP="007644A0">
      <w:pPr>
        <w:pStyle w:val="Heading5"/>
      </w:pPr>
      <w:r w:rsidRPr="001A634F">
        <w:t>Availability of public dentists</w:t>
      </w:r>
    </w:p>
    <w:p w:rsidR="00A83187" w:rsidRPr="00355A09" w:rsidRDefault="00351C8A" w:rsidP="00355A09">
      <w:pPr>
        <w:pStyle w:val="BodyText"/>
        <w:rPr>
          <w:rStyle w:val="DraftingNote"/>
          <w:b w:val="0"/>
          <w:color w:val="auto"/>
          <w:sz w:val="26"/>
          <w:u w:val="none"/>
        </w:rPr>
      </w:pPr>
      <w:r w:rsidRPr="00351C8A">
        <w:t>‘Availability of public dentists’ is an indicator of governments</w:t>
      </w:r>
      <w:r w:rsidR="00EF2D2B">
        <w:t>’</w:t>
      </w:r>
      <w:r w:rsidRPr="00351C8A">
        <w:t xml:space="preserve"> objective to provide equitable access to </w:t>
      </w:r>
      <w:r w:rsidR="00A134E7">
        <w:t>dental services</w:t>
      </w:r>
      <w:r w:rsidR="009B3893">
        <w:t xml:space="preserve"> </w:t>
      </w:r>
      <w:r w:rsidR="009B3893" w:rsidRPr="009B3893">
        <w:t>(</w:t>
      </w:r>
      <w:smartTag w:uri="urn:schemas-microsoft-com:office:smarttags" w:element="address">
        <w:smartTag w:uri="urn:schemas-microsoft-com:office:smarttags" w:element="Street">
          <w:r w:rsidR="009B3893" w:rsidRPr="00A83187">
            <w:t>box</w:t>
          </w:r>
        </w:smartTag>
        <w:r w:rsidR="009B3893" w:rsidRPr="00A83187">
          <w:t> 11.</w:t>
        </w:r>
        <w:r w:rsidR="00865C5A">
          <w:t>4</w:t>
        </w:r>
      </w:smartTag>
      <w:r w:rsidR="009B3893" w:rsidRPr="009B3893">
        <w:t>).</w:t>
      </w:r>
    </w:p>
    <w:p w:rsidR="001A634F" w:rsidRDefault="001A63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634F" w:rsidTr="003A64C2">
        <w:tc>
          <w:tcPr>
            <w:tcW w:w="8771" w:type="dxa"/>
            <w:tcBorders>
              <w:top w:val="single" w:sz="6" w:space="0" w:color="auto"/>
              <w:bottom w:val="nil"/>
            </w:tcBorders>
          </w:tcPr>
          <w:p w:rsidR="001A634F" w:rsidRPr="001A634F" w:rsidRDefault="001A634F">
            <w:pPr>
              <w:pStyle w:val="BoxTitle"/>
            </w:pPr>
            <w:smartTag w:uri="urn:schemas-microsoft-com:office:smarttags" w:element="Street">
              <w:r>
                <w:rPr>
                  <w:b w:val="0"/>
                </w:rPr>
                <w:t>Box</w:t>
              </w:r>
            </w:smartTag>
            <w:r>
              <w:rPr>
                <w:b w:val="0"/>
              </w:rPr>
              <w:t xml:space="preserve"> </w:t>
            </w:r>
            <w:bookmarkStart w:id="25" w:name="OLE_LINK11"/>
            <w:r w:rsidR="00EC42DB">
              <w:rPr>
                <w:b w:val="0"/>
              </w:rPr>
              <w:t>11.</w:t>
            </w:r>
            <w:r w:rsidR="00C44281">
              <w:rPr>
                <w:b w:val="0"/>
                <w:noProof/>
              </w:rPr>
              <w:t>4</w:t>
            </w:r>
            <w:bookmarkEnd w:id="25"/>
            <w:r>
              <w:tab/>
            </w:r>
            <w:r w:rsidRPr="001A634F">
              <w:t>Availability of public dentists</w:t>
            </w:r>
          </w:p>
        </w:tc>
      </w:tr>
      <w:tr w:rsidR="001A634F" w:rsidTr="00852E95">
        <w:trPr>
          <w:cantSplit/>
        </w:trPr>
        <w:tc>
          <w:tcPr>
            <w:tcW w:w="8771" w:type="dxa"/>
            <w:tcBorders>
              <w:top w:val="nil"/>
              <w:left w:val="single" w:sz="6" w:space="0" w:color="auto"/>
              <w:bottom w:val="nil"/>
              <w:right w:val="single" w:sz="4" w:space="0" w:color="auto"/>
            </w:tcBorders>
            <w:shd w:val="clear" w:color="auto" w:fill="auto"/>
          </w:tcPr>
          <w:p w:rsidR="00351C8A" w:rsidRDefault="00351C8A" w:rsidP="00351C8A">
            <w:pPr>
              <w:pStyle w:val="Box"/>
            </w:pPr>
            <w:r>
              <w:t>‘Availability of public dentists’ is defined as the number of full time equiv</w:t>
            </w:r>
            <w:r w:rsidR="00744A92">
              <w:t>alent (FTE) public dentists per </w:t>
            </w:r>
            <w:r w:rsidRPr="00744A92">
              <w:t>100</w:t>
            </w:r>
            <w:r w:rsidR="00744A92">
              <w:t> </w:t>
            </w:r>
            <w:r w:rsidRPr="00744A92">
              <w:t>000</w:t>
            </w:r>
            <w:r>
              <w:t xml:space="preserve"> people by region.</w:t>
            </w:r>
          </w:p>
          <w:p w:rsidR="003060AC" w:rsidRDefault="00143B89" w:rsidP="00757A14">
            <w:pPr>
              <w:pStyle w:val="Box"/>
            </w:pPr>
            <w:r w:rsidRPr="00143B89">
              <w:t xml:space="preserve">High or increasing availability of public dentists can indicate improved access to public dental services. </w:t>
            </w:r>
            <w:r w:rsidR="00957177" w:rsidRPr="00957177">
              <w:t>The availability of public dentists by region affects people’s access to public dental services, particularly in rural and remote areas. Low availability can result in increased travel distance to a dentist and increased waiting times to see a dentist</w:t>
            </w:r>
            <w:r w:rsidR="00957177">
              <w:t>.</w:t>
            </w:r>
          </w:p>
          <w:p w:rsidR="00351C8A" w:rsidRDefault="003060AC" w:rsidP="00351C8A">
            <w:pPr>
              <w:pStyle w:val="Box"/>
            </w:pPr>
            <w:r>
              <w:t>T</w:t>
            </w:r>
            <w:r w:rsidR="00351C8A">
              <w:t>his indicator does not provide information on whether people are accessing the service or whether the services are appropriate for the needs of the people receiving them.</w:t>
            </w:r>
          </w:p>
          <w:p w:rsidR="00E4640C" w:rsidRDefault="00E4640C" w:rsidP="00E4640C">
            <w:pPr>
              <w:pStyle w:val="Box"/>
            </w:pPr>
            <w:r>
              <w:t>Data reported for this indicator are:</w:t>
            </w:r>
          </w:p>
          <w:p w:rsidR="00E4640C" w:rsidRDefault="00E4640C" w:rsidP="00E4640C">
            <w:pPr>
              <w:pStyle w:val="BoxListBullet"/>
            </w:pPr>
            <w:r>
              <w:t>comparable (subject to caveats) across jurisdictions and over time</w:t>
            </w:r>
          </w:p>
          <w:p w:rsidR="00FA172F" w:rsidRDefault="00E4640C" w:rsidP="00E4640C">
            <w:pPr>
              <w:pStyle w:val="BoxListBullet"/>
            </w:pPr>
            <w:r>
              <w:t>complete (subject to caveats) for the current repor</w:t>
            </w:r>
            <w:r w:rsidR="00FD3626">
              <w:t>ting period. All required 2012</w:t>
            </w:r>
            <w:r>
              <w:t xml:space="preserve"> data are a</w:t>
            </w:r>
            <w:r w:rsidR="00AD14FD">
              <w:t>vailable for all jurisdictions.</w:t>
            </w:r>
          </w:p>
          <w:p w:rsidR="0027351B" w:rsidRDefault="0027351B" w:rsidP="00852E95">
            <w:pPr>
              <w:pStyle w:val="Box"/>
            </w:pPr>
            <w:r w:rsidRPr="00852E95">
              <w:t xml:space="preserve">Data quality information for this indicator </w:t>
            </w:r>
            <w:r w:rsidR="00852E95" w:rsidRPr="00852E95">
              <w:t>is at www.pc.gov.au/gsp/reports/</w:t>
            </w:r>
            <w:r w:rsidR="009E5543">
              <w:t>rogs/2014</w:t>
            </w:r>
            <w:r w:rsidR="00852E95" w:rsidRPr="00852E95">
              <w:t>.</w:t>
            </w:r>
          </w:p>
        </w:tc>
      </w:tr>
      <w:tr w:rsidR="001A634F">
        <w:trPr>
          <w:cantSplit/>
        </w:trPr>
        <w:tc>
          <w:tcPr>
            <w:tcW w:w="8771" w:type="dxa"/>
            <w:tcBorders>
              <w:top w:val="nil"/>
              <w:left w:val="single" w:sz="6" w:space="0" w:color="auto"/>
              <w:bottom w:val="single" w:sz="6" w:space="0" w:color="auto"/>
              <w:right w:val="single" w:sz="6" w:space="0" w:color="auto"/>
            </w:tcBorders>
          </w:tcPr>
          <w:p w:rsidR="001A634F" w:rsidRDefault="001A634F">
            <w:pPr>
              <w:pStyle w:val="Box"/>
              <w:spacing w:before="0" w:line="120" w:lineRule="exact"/>
            </w:pPr>
          </w:p>
        </w:tc>
      </w:tr>
      <w:tr w:rsidR="001A634F">
        <w:tc>
          <w:tcPr>
            <w:tcW w:w="8771" w:type="dxa"/>
            <w:tcBorders>
              <w:top w:val="nil"/>
              <w:left w:val="nil"/>
              <w:bottom w:val="nil"/>
              <w:right w:val="nil"/>
            </w:tcBorders>
          </w:tcPr>
          <w:p w:rsidR="001A634F" w:rsidRDefault="001A634F">
            <w:pPr>
              <w:pStyle w:val="Box"/>
              <w:keepNext w:val="0"/>
              <w:spacing w:before="60" w:after="60" w:line="80" w:lineRule="exact"/>
              <w:rPr>
                <w:b/>
                <w:color w:val="FF00FF"/>
                <w:sz w:val="14"/>
              </w:rPr>
            </w:pPr>
          </w:p>
        </w:tc>
      </w:tr>
    </w:tbl>
    <w:p w:rsidR="009F35A6" w:rsidRPr="00B92490" w:rsidRDefault="00A83187" w:rsidP="00944E91">
      <w:pPr>
        <w:pStyle w:val="BodyText"/>
        <w:rPr>
          <w:shd w:val="clear" w:color="auto" w:fill="FBD4B4" w:themeFill="accent6" w:themeFillTint="66"/>
        </w:rPr>
      </w:pPr>
      <w:r w:rsidRPr="00FE1983">
        <w:lastRenderedPageBreak/>
        <w:t xml:space="preserve">Nationally, there were </w:t>
      </w:r>
      <w:r w:rsidR="0068435D">
        <w:t xml:space="preserve">5.4 </w:t>
      </w:r>
      <w:r w:rsidRPr="00B92490">
        <w:t xml:space="preserve">FTE public dentists per 100 000 people in </w:t>
      </w:r>
      <w:r w:rsidR="00B92490" w:rsidRPr="00B92490">
        <w:t>major cities</w:t>
      </w:r>
      <w:r w:rsidR="00D559AB">
        <w:t xml:space="preserve"> </w:t>
      </w:r>
      <w:r w:rsidR="0068435D">
        <w:t xml:space="preserve">— more </w:t>
      </w:r>
      <w:r w:rsidR="00B92490" w:rsidRPr="00B92490">
        <w:t xml:space="preserve">than in regional and </w:t>
      </w:r>
      <w:r w:rsidR="002B6FAB" w:rsidRPr="00B92490">
        <w:t>remote</w:t>
      </w:r>
      <w:r w:rsidR="00B92490" w:rsidRPr="00B92490">
        <w:t>/very remote</w:t>
      </w:r>
      <w:r w:rsidR="002B6FAB" w:rsidRPr="00B92490">
        <w:t xml:space="preserve"> areas</w:t>
      </w:r>
      <w:r w:rsidR="00D559AB">
        <w:t xml:space="preserve"> — </w:t>
      </w:r>
      <w:r w:rsidR="00D559AB" w:rsidRPr="00B92490">
        <w:t>in 2012</w:t>
      </w:r>
      <w:r w:rsidR="00D559AB" w:rsidRPr="00FE1983">
        <w:t xml:space="preserve"> </w:t>
      </w:r>
      <w:r w:rsidRPr="00FE1983">
        <w:t>(figure</w:t>
      </w:r>
      <w:r w:rsidR="002412B9">
        <w:t> </w:t>
      </w:r>
      <w:r w:rsidR="001C0DA5" w:rsidRPr="00FE1983">
        <w:t>11.</w:t>
      </w:r>
      <w:r w:rsidR="00387E1D">
        <w:t>9</w:t>
      </w:r>
      <w:r w:rsidR="00182849">
        <w:t>, table </w:t>
      </w:r>
      <w:r w:rsidR="00B464B6">
        <w:t>11A.2</w:t>
      </w:r>
      <w:r w:rsidR="00874F45">
        <w:t>5</w:t>
      </w:r>
      <w:r w:rsidRPr="00FE1983">
        <w:t xml:space="preserve">). </w:t>
      </w:r>
      <w:r w:rsidR="00B92490" w:rsidRPr="005A77F0">
        <w:t>Nationally, the</w:t>
      </w:r>
      <w:r w:rsidR="0068435D" w:rsidRPr="005A77F0">
        <w:t xml:space="preserve"> number of FTE public </w:t>
      </w:r>
      <w:r w:rsidR="00B92490" w:rsidRPr="005A77F0">
        <w:t xml:space="preserve">dental therapists per 100 000 people </w:t>
      </w:r>
      <w:r w:rsidR="0068435D" w:rsidRPr="005A77F0">
        <w:t xml:space="preserve">was highest </w:t>
      </w:r>
      <w:r w:rsidR="00B92490" w:rsidRPr="005A77F0">
        <w:t xml:space="preserve">in outer regional </w:t>
      </w:r>
      <w:r w:rsidR="0068435D" w:rsidRPr="005A77F0">
        <w:t>areas (5.2), followed by inner regional (4.6) and remote/very remote (4.5) areas and lowest in major cities (2.7) (table 11A.2</w:t>
      </w:r>
      <w:r w:rsidR="00874F45">
        <w:t>6</w:t>
      </w:r>
      <w:r w:rsidR="0068435D" w:rsidRPr="005A77F0">
        <w:t xml:space="preserve">). </w:t>
      </w:r>
      <w:r w:rsidR="003A36D1" w:rsidRPr="005A77F0">
        <w:t>Data</w:t>
      </w:r>
      <w:r w:rsidR="003A36D1" w:rsidRPr="00FE1983">
        <w:t xml:space="preserve"> for </w:t>
      </w:r>
      <w:r w:rsidR="00A37F50" w:rsidRPr="00FE1983">
        <w:t xml:space="preserve">FTE </w:t>
      </w:r>
      <w:r w:rsidR="003A36D1" w:rsidRPr="00FE1983">
        <w:t xml:space="preserve">dental </w:t>
      </w:r>
      <w:r w:rsidR="00B92490">
        <w:t xml:space="preserve">hygienists and dental </w:t>
      </w:r>
      <w:r w:rsidR="003A36D1" w:rsidRPr="00FE1983">
        <w:t>th</w:t>
      </w:r>
      <w:r w:rsidR="0066080E">
        <w:t>erapists are presented in table </w:t>
      </w:r>
      <w:r w:rsidR="003D1BEB">
        <w:t>11A.</w:t>
      </w:r>
      <w:r w:rsidR="00B464B6">
        <w:t>2</w:t>
      </w:r>
      <w:r w:rsidR="00874F45">
        <w:t>6</w:t>
      </w:r>
      <w:r w:rsidR="00FB448E">
        <w:t>.</w:t>
      </w:r>
    </w:p>
    <w:p w:rsidR="00195A82" w:rsidRPr="00195A82" w:rsidRDefault="00B9299C">
      <w:pPr>
        <w:pStyle w:val="FigureTitle"/>
      </w:pPr>
      <w:r>
        <w:rPr>
          <w:b w:val="0"/>
        </w:rPr>
        <w:t xml:space="preserve">Figure </w:t>
      </w:r>
      <w:r w:rsidR="00195A82">
        <w:rPr>
          <w:b w:val="0"/>
        </w:rPr>
        <w:t>11.</w:t>
      </w:r>
      <w:r w:rsidR="00387E1D">
        <w:rPr>
          <w:b w:val="0"/>
          <w:noProof/>
        </w:rPr>
        <w:t>9</w:t>
      </w:r>
      <w:r w:rsidR="00195A82">
        <w:tab/>
      </w:r>
      <w:r w:rsidR="00195A82" w:rsidRPr="00195A82">
        <w:t xml:space="preserve">Availability of public dentists, </w:t>
      </w:r>
      <w:r w:rsidR="00195A82" w:rsidRPr="00403012">
        <w:t>20</w:t>
      </w:r>
      <w:r w:rsidR="0066687A" w:rsidRPr="00403012">
        <w:t>1</w:t>
      </w:r>
      <w:r w:rsidR="00403012" w:rsidRPr="00403012">
        <w:t>2</w:t>
      </w:r>
      <w:r w:rsidR="00195A82" w:rsidRPr="00403012">
        <w:rPr>
          <w:rStyle w:val="NoteLabel"/>
          <w:b/>
        </w:rPr>
        <w:t>a, b,</w:t>
      </w:r>
      <w:r w:rsidR="00195A82" w:rsidRPr="003A36D1">
        <w:rPr>
          <w:rStyle w:val="NoteLabel"/>
          <w:b/>
        </w:rPr>
        <w:t xml:space="preserve"> c</w:t>
      </w:r>
      <w:r w:rsidR="00E929C5">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5A82" w:rsidTr="00354341">
        <w:tc>
          <w:tcPr>
            <w:tcW w:w="8777" w:type="dxa"/>
            <w:tcBorders>
              <w:top w:val="single" w:sz="6" w:space="0" w:color="auto"/>
              <w:bottom w:val="single" w:sz="6" w:space="0" w:color="auto"/>
              <w:right w:val="nil"/>
            </w:tcBorders>
          </w:tcPr>
          <w:p w:rsidR="00195A82" w:rsidRDefault="00350BAF">
            <w:pPr>
              <w:pStyle w:val="Figure"/>
            </w:pPr>
            <w:r>
              <w:rPr>
                <w:noProof/>
              </w:rPr>
              <w:drawing>
                <wp:inline distT="0" distB="0" distL="0" distR="0">
                  <wp:extent cx="5400040" cy="2710815"/>
                  <wp:effectExtent l="0" t="0" r="0" b="0"/>
                  <wp:docPr id="16" name="Picture 16" descr="Figure 11.9 Availability of public dentists by reg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2710815"/>
                          </a:xfrm>
                          <a:prstGeom prst="rect">
                            <a:avLst/>
                          </a:prstGeom>
                          <a:noFill/>
                          <a:ln>
                            <a:noFill/>
                          </a:ln>
                        </pic:spPr>
                      </pic:pic>
                    </a:graphicData>
                  </a:graphic>
                </wp:inline>
              </w:drawing>
            </w:r>
          </w:p>
        </w:tc>
      </w:tr>
    </w:tbl>
    <w:p w:rsidR="00195A82" w:rsidRDefault="00195A82" w:rsidP="00195A82">
      <w:pPr>
        <w:pStyle w:val="Note"/>
      </w:pPr>
      <w:r>
        <w:rPr>
          <w:rStyle w:val="NoteLabel"/>
        </w:rPr>
        <w:t>a</w:t>
      </w:r>
      <w:r>
        <w:sym w:font="Symbol" w:char="F020"/>
      </w:r>
      <w:r w:rsidRPr="00195A82">
        <w:t xml:space="preserve"> </w:t>
      </w:r>
      <w:r>
        <w:t>FTE based on 40</w:t>
      </w:r>
      <w:r w:rsidR="0013691C">
        <w:t xml:space="preserve"> </w:t>
      </w:r>
      <w:r w:rsidRPr="007C4969">
        <w:t>hour</w:t>
      </w:r>
      <w:r w:rsidR="0013691C">
        <w:t>s per</w:t>
      </w:r>
      <w:r w:rsidRPr="007C4969">
        <w:t xml:space="preserve"> week. </w:t>
      </w:r>
      <w:r w:rsidRPr="007C4969">
        <w:rPr>
          <w:rStyle w:val="NoteLabel"/>
        </w:rPr>
        <w:t>b</w:t>
      </w:r>
      <w:r w:rsidRPr="007C4969">
        <w:t xml:space="preserve"> </w:t>
      </w:r>
      <w:r w:rsidR="00E929C5">
        <w:t>Public</w:t>
      </w:r>
      <w:r w:rsidR="00E929C5" w:rsidRPr="00E929C5">
        <w:t xml:space="preserve"> dentists </w:t>
      </w:r>
      <w:r w:rsidR="00E929C5">
        <w:t xml:space="preserve">include those </w:t>
      </w:r>
      <w:r w:rsidR="00E929C5" w:rsidRPr="00E929C5">
        <w:t>work</w:t>
      </w:r>
      <w:r w:rsidR="00E929C5">
        <w:t>ing</w:t>
      </w:r>
      <w:r w:rsidR="00E929C5" w:rsidRPr="00E929C5">
        <w:t xml:space="preserve"> in public dental hospitals, school dental services, general dental services, defence forces, tertiary education and 'other public' areas</w:t>
      </w:r>
      <w:r w:rsidR="00E929C5">
        <w:t>.</w:t>
      </w:r>
      <w:r w:rsidR="003D571A">
        <w:t xml:space="preserve"> </w:t>
      </w:r>
      <w:r w:rsidR="00E929C5" w:rsidRPr="007C4969">
        <w:rPr>
          <w:rStyle w:val="NoteLabel"/>
        </w:rPr>
        <w:t>c</w:t>
      </w:r>
      <w:r w:rsidR="00E929C5" w:rsidRPr="007C4969">
        <w:t xml:space="preserve"> </w:t>
      </w:r>
      <w:r w:rsidRPr="007C4969">
        <w:t xml:space="preserve">There were no public dentists in remote and very remote areas in </w:t>
      </w:r>
      <w:r w:rsidR="00B92490">
        <w:t>NSW</w:t>
      </w:r>
      <w:r w:rsidR="003A3C66">
        <w:t>,</w:t>
      </w:r>
      <w:r w:rsidR="00B92490">
        <w:t xml:space="preserve"> </w:t>
      </w:r>
      <w:smartTag w:uri="urn:schemas-microsoft-com:office:smarttags" w:element="State">
        <w:r w:rsidRPr="007C4969">
          <w:t>Victoria</w:t>
        </w:r>
      </w:smartTag>
      <w:r w:rsidRPr="007C4969">
        <w:t xml:space="preserve"> or </w:t>
      </w:r>
      <w:smartTag w:uri="urn:schemas-microsoft-com:office:smarttags" w:element="place">
        <w:smartTag w:uri="urn:schemas-microsoft-com:office:smarttags" w:element="State">
          <w:r w:rsidRPr="007C4969">
            <w:t>Tasmania</w:t>
          </w:r>
        </w:smartTag>
      </w:smartTag>
      <w:r w:rsidRPr="007C4969">
        <w:t xml:space="preserve">. There were no public dentists in inner regional areas in the ACT. </w:t>
      </w:r>
      <w:r w:rsidR="00E929C5">
        <w:rPr>
          <w:rStyle w:val="NoteLabel"/>
        </w:rPr>
        <w:t>d</w:t>
      </w:r>
      <w:r w:rsidRPr="007C4969">
        <w:t xml:space="preserve"> </w:t>
      </w:r>
      <w:smartTag w:uri="urn:schemas-microsoft-com:office:smarttags" w:element="place">
        <w:smartTag w:uri="urn:schemas-microsoft-com:office:smarttags" w:element="State">
          <w:r w:rsidRPr="007C4969">
            <w:t>Tasmania</w:t>
          </w:r>
        </w:smartTag>
      </w:smartTag>
      <w:r w:rsidRPr="007C4969">
        <w:t xml:space="preserve"> ha</w:t>
      </w:r>
      <w:r w:rsidR="0013691C">
        <w:t>s</w:t>
      </w:r>
      <w:r w:rsidRPr="007C4969">
        <w:t xml:space="preserve"> no major cit</w:t>
      </w:r>
      <w:r>
        <w:t>ies. The ACT ha</w:t>
      </w:r>
      <w:r w:rsidR="0013691C">
        <w:t>s</w:t>
      </w:r>
      <w:r>
        <w:t xml:space="preserve"> no outer regional, or remote and very remote, areas. The NT ha</w:t>
      </w:r>
      <w:r w:rsidR="0013691C">
        <w:t>s</w:t>
      </w:r>
      <w:r>
        <w:t xml:space="preserve"> no major cities or inner regional areas.</w:t>
      </w:r>
    </w:p>
    <w:p w:rsidR="00195A82" w:rsidRDefault="00195A82" w:rsidP="00DF4178">
      <w:pPr>
        <w:pStyle w:val="Note"/>
      </w:pPr>
      <w:r w:rsidRPr="00DF4178">
        <w:rPr>
          <w:i/>
        </w:rPr>
        <w:t>Source</w:t>
      </w:r>
      <w:r w:rsidRPr="00DF4178">
        <w:t xml:space="preserve">: AIHW (unpublished) National </w:t>
      </w:r>
      <w:r w:rsidR="00DF4178" w:rsidRPr="00DF4178">
        <w:t>Health Workforce Data Set</w:t>
      </w:r>
      <w:r w:rsidRPr="00DF4178">
        <w:t xml:space="preserve">; table </w:t>
      </w:r>
      <w:r w:rsidR="00E60498" w:rsidRPr="00DF4178">
        <w:t>11A.</w:t>
      </w:r>
      <w:r w:rsidR="00B464B6">
        <w:t>2</w:t>
      </w:r>
      <w:r w:rsidR="00874F45">
        <w:t>5</w:t>
      </w:r>
      <w:r w:rsidRPr="00DF4178">
        <w:t>.</w:t>
      </w:r>
    </w:p>
    <w:p w:rsidR="00A26245" w:rsidRDefault="00A26245" w:rsidP="006A354D">
      <w:pPr>
        <w:pStyle w:val="Heading5"/>
      </w:pPr>
      <w:r w:rsidRPr="00A26245">
        <w:t xml:space="preserve">Early </w:t>
      </w:r>
      <w:r w:rsidRPr="006A354D">
        <w:t>detection</w:t>
      </w:r>
      <w:r w:rsidRPr="00A26245">
        <w:t xml:space="preserve"> and early treatment for </w:t>
      </w:r>
      <w:r w:rsidR="006E4E2B">
        <w:t>Indigenous Australians</w:t>
      </w:r>
    </w:p>
    <w:p w:rsidR="00011668" w:rsidRDefault="00AA1187" w:rsidP="006A354D">
      <w:pPr>
        <w:pStyle w:val="BodyText"/>
      </w:pPr>
      <w:r>
        <w:t xml:space="preserve">‘Early </w:t>
      </w:r>
      <w:r w:rsidRPr="006A354D">
        <w:t>detection</w:t>
      </w:r>
      <w:r>
        <w:t xml:space="preserve"> and </w:t>
      </w:r>
      <w:r w:rsidRPr="00D22060">
        <w:t xml:space="preserve">early treatment for </w:t>
      </w:r>
      <w:r w:rsidR="006E4E2B">
        <w:t>Indigenous Australians</w:t>
      </w:r>
      <w:r>
        <w:t xml:space="preserve">’ is an indicator of governments’ objective to provide equitable access to primary and community healthcare services for </w:t>
      </w:r>
      <w:r w:rsidR="006E4E2B">
        <w:t>Indigenous Australians</w:t>
      </w:r>
      <w:r>
        <w:t xml:space="preserve"> (</w:t>
      </w:r>
      <w:smartTag w:uri="urn:schemas-microsoft-com:office:smarttags" w:element="address">
        <w:smartTag w:uri="urn:schemas-microsoft-com:office:smarttags" w:element="Street">
          <w:r w:rsidRPr="00636C4F">
            <w:t>box</w:t>
          </w:r>
        </w:smartTag>
        <w:r w:rsidRPr="00636C4F">
          <w:t> </w:t>
        </w:r>
        <w:r>
          <w:t>11.5</w:t>
        </w:r>
      </w:smartTag>
      <w:r w:rsidRPr="00636C4F">
        <w:t>).</w:t>
      </w:r>
    </w:p>
    <w:p w:rsidR="00CA0F22" w:rsidRDefault="00CA0F2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F22">
        <w:tc>
          <w:tcPr>
            <w:tcW w:w="8771" w:type="dxa"/>
            <w:tcBorders>
              <w:top w:val="single" w:sz="6" w:space="0" w:color="auto"/>
              <w:bottom w:val="nil"/>
            </w:tcBorders>
          </w:tcPr>
          <w:p w:rsidR="00CA0F22" w:rsidRDefault="00CA0F22">
            <w:pPr>
              <w:pStyle w:val="BoxTitle"/>
            </w:pPr>
            <w:smartTag w:uri="urn:schemas-microsoft-com:office:smarttags" w:element="Street">
              <w:r>
                <w:rPr>
                  <w:b w:val="0"/>
                </w:rPr>
                <w:t>Box</w:t>
              </w:r>
            </w:smartTag>
            <w:r>
              <w:rPr>
                <w:b w:val="0"/>
              </w:rPr>
              <w:t xml:space="preserve"> </w:t>
            </w:r>
            <w:bookmarkStart w:id="26" w:name="OLE_LINK13"/>
            <w:r>
              <w:rPr>
                <w:b w:val="0"/>
              </w:rPr>
              <w:t>11.</w:t>
            </w:r>
            <w:r w:rsidR="00C44281">
              <w:rPr>
                <w:b w:val="0"/>
                <w:noProof/>
              </w:rPr>
              <w:t>5</w:t>
            </w:r>
            <w:bookmarkEnd w:id="26"/>
            <w:r>
              <w:tab/>
            </w:r>
            <w:r w:rsidRPr="00A26245">
              <w:t xml:space="preserve">Early detection and early treatment for </w:t>
            </w:r>
            <w:r w:rsidR="006E4E2B">
              <w:t>Indigenous Australians</w:t>
            </w:r>
          </w:p>
        </w:tc>
      </w:tr>
      <w:tr w:rsidR="00CA0F22">
        <w:trPr>
          <w:cantSplit/>
        </w:trPr>
        <w:tc>
          <w:tcPr>
            <w:tcW w:w="8771" w:type="dxa"/>
            <w:tcBorders>
              <w:top w:val="nil"/>
              <w:left w:val="single" w:sz="6" w:space="0" w:color="auto"/>
              <w:bottom w:val="nil"/>
              <w:right w:val="single" w:sz="6" w:space="0" w:color="auto"/>
            </w:tcBorders>
          </w:tcPr>
          <w:p w:rsidR="00CA0F22" w:rsidRPr="00944E91" w:rsidRDefault="00CA0F22" w:rsidP="00CA0F22">
            <w:pPr>
              <w:pStyle w:val="Box"/>
            </w:pPr>
            <w:r w:rsidRPr="00A97B8B">
              <w:t xml:space="preserve">‘Early detection and early treatment for </w:t>
            </w:r>
            <w:r w:rsidR="006E4E2B">
              <w:t>Indigenous Australians</w:t>
            </w:r>
            <w:r w:rsidRPr="00A97B8B">
              <w:t xml:space="preserve">’ </w:t>
            </w:r>
            <w:r>
              <w:t xml:space="preserve">is </w:t>
            </w:r>
            <w:r w:rsidRPr="00CB289F">
              <w:t>defined as:</w:t>
            </w:r>
          </w:p>
          <w:p w:rsidR="00CA0F22" w:rsidRPr="00CB289F" w:rsidRDefault="00CA0F22" w:rsidP="00584945">
            <w:pPr>
              <w:pStyle w:val="BoxListBullet"/>
            </w:pPr>
            <w:r w:rsidRPr="00CB289F">
              <w:t>the identification of individuals who are at high risk for, or in the early stages of, preventable and/or treatable health conditions (early detection)</w:t>
            </w:r>
          </w:p>
          <w:p w:rsidR="00CA0F22" w:rsidRDefault="00CA0F22" w:rsidP="00584945">
            <w:pPr>
              <w:pStyle w:val="BoxListBullet"/>
            </w:pPr>
            <w:r>
              <w:t xml:space="preserve">the </w:t>
            </w:r>
            <w:r w:rsidRPr="00CB289F">
              <w:t>provision of appropriate</w:t>
            </w:r>
            <w:r w:rsidR="002345EB">
              <w:t xml:space="preserve"> and timely</w:t>
            </w:r>
            <w:r w:rsidRPr="00CB289F">
              <w:t xml:space="preserve"> prevention and intervention measures </w:t>
            </w:r>
            <w:r w:rsidRPr="00AB2F4C">
              <w:t>(early treatment).</w:t>
            </w:r>
          </w:p>
          <w:p w:rsidR="004D4931" w:rsidRPr="00944E91" w:rsidRDefault="004D4931" w:rsidP="004D4931">
            <w:pPr>
              <w:pStyle w:val="Box"/>
            </w:pPr>
            <w:r w:rsidRPr="00CB289F">
              <w:t xml:space="preserve">Four measures of early detection and early treatment for </w:t>
            </w:r>
            <w:r>
              <w:t>Indigenous Australians</w:t>
            </w:r>
            <w:r w:rsidRPr="00CB289F">
              <w:t xml:space="preserve"> are reported:</w:t>
            </w:r>
          </w:p>
          <w:p w:rsidR="004D4931" w:rsidRDefault="00A82343" w:rsidP="004D4931">
            <w:pPr>
              <w:pStyle w:val="BoxListBullet"/>
            </w:pPr>
            <w:r>
              <w:t>t</w:t>
            </w:r>
            <w:r w:rsidR="004D4931">
              <w:t>he proportion of older people who received a health assessment by Indigenous status, where</w:t>
            </w:r>
          </w:p>
          <w:p w:rsidR="004D4931" w:rsidRDefault="004D4931" w:rsidP="004D4931">
            <w:pPr>
              <w:pStyle w:val="BoxListBullet2"/>
            </w:pPr>
            <w:r>
              <w:t>o</w:t>
            </w:r>
            <w:r w:rsidRPr="002D0651">
              <w:t>lder people are defined as non</w:t>
            </w:r>
            <w:r w:rsidRPr="002D0651">
              <w:noBreakHyphen/>
            </w:r>
            <w:r>
              <w:t>Indigenous Australians</w:t>
            </w:r>
            <w:r w:rsidRPr="002D0651">
              <w:t xml:space="preserve"> aged 75 years or ove</w:t>
            </w:r>
            <w:r>
              <w:t>r and Indigenous Australians aged 55 </w:t>
            </w:r>
            <w:r w:rsidRPr="002D0651">
              <w:t>years or over, excluding hospital inpatients and people living in aged care facilities</w:t>
            </w:r>
            <w:r w:rsidRPr="00CA3416">
              <w:t xml:space="preserve">. The relatively young age at which </w:t>
            </w:r>
            <w:r>
              <w:t>Indigenous Australians</w:t>
            </w:r>
            <w:r w:rsidRPr="00CA3416">
              <w:t xml:space="preserve"> become eligible for ‘older’ people’s services recognises that they typically face increased health risks at younger ages than most other groups in the population. It also broadly reflects the difference in average life expectancy between the Indigenous and non-Indigenous populations (see the Health </w:t>
            </w:r>
            <w:r>
              <w:t>sector overview)</w:t>
            </w:r>
          </w:p>
          <w:p w:rsidR="004D4931" w:rsidRPr="00CB289F" w:rsidRDefault="004D4931" w:rsidP="004D4931">
            <w:pPr>
              <w:pStyle w:val="BoxListBullet2"/>
            </w:pPr>
            <w:r w:rsidRPr="00CB289F">
              <w:t xml:space="preserve">health assessments are MBS items that allow </w:t>
            </w:r>
            <w:r w:rsidRPr="009538E3">
              <w:t xml:space="preserve">comprehensive examinations of patient health, including physical, psychological and social functioning. </w:t>
            </w:r>
            <w:r w:rsidRPr="00CB289F">
              <w:t xml:space="preserve">The assessments are intended to facilitate </w:t>
            </w:r>
            <w:r w:rsidRPr="00822EBC">
              <w:t xml:space="preserve">timely prevention and intervention measures </w:t>
            </w:r>
            <w:r w:rsidRPr="00CB289F">
              <w:t xml:space="preserve">to </w:t>
            </w:r>
            <w:r>
              <w:t xml:space="preserve">improve </w:t>
            </w:r>
            <w:r w:rsidRPr="00CB289F">
              <w:t>patient health</w:t>
            </w:r>
            <w:r>
              <w:t xml:space="preserve"> and wellbeing.</w:t>
            </w:r>
          </w:p>
          <w:p w:rsidR="004D4931" w:rsidRDefault="00A82343" w:rsidP="004D4931">
            <w:pPr>
              <w:pStyle w:val="BoxListBullet"/>
            </w:pPr>
            <w:r>
              <w:t>t</w:t>
            </w:r>
            <w:r w:rsidR="004D4931">
              <w:t>he proportion of older Indigenous Australians who received a health assessment in success</w:t>
            </w:r>
            <w:r w:rsidR="00524266">
              <w:t>ive years of a five year period</w:t>
            </w:r>
          </w:p>
          <w:p w:rsidR="00524266" w:rsidRDefault="00A82343" w:rsidP="00524266">
            <w:pPr>
              <w:pStyle w:val="BoxListBullet"/>
            </w:pPr>
            <w:r>
              <w:t>t</w:t>
            </w:r>
            <w:r w:rsidR="00524266">
              <w:t>he proportion of Indigenous Australians who received a health assessment or check by age group — health assessment/checks are available for Indigenous children (</w:t>
            </w:r>
            <w:r w:rsidR="00524266" w:rsidRPr="00C722FC">
              <w:t>0–14 year</w:t>
            </w:r>
            <w:r w:rsidR="00524266">
              <w:t>s), adults (15</w:t>
            </w:r>
            <w:r w:rsidR="00524266" w:rsidRPr="00C722FC">
              <w:t>–</w:t>
            </w:r>
            <w:r w:rsidR="00524266">
              <w:t>54 years) and older people (55 years or over).</w:t>
            </w:r>
          </w:p>
          <w:p w:rsidR="00524266" w:rsidRDefault="00A82343" w:rsidP="00524266">
            <w:pPr>
              <w:pStyle w:val="BoxListBullet"/>
            </w:pPr>
            <w:r>
              <w:t>t</w:t>
            </w:r>
            <w:r w:rsidR="00524266">
              <w:t>he proportion of Aboriginal and Torres Strait Islander primary healthcare services that provided early detection services.</w:t>
            </w:r>
          </w:p>
          <w:p w:rsidR="00241D58" w:rsidRDefault="00524266" w:rsidP="00241D58">
            <w:pPr>
              <w:pStyle w:val="Box"/>
            </w:pPr>
            <w:r>
              <w:t>A low or decreasing gap between the proportion of all older people and older Indigenous Australians who received a health assessment can indicate more equitable access to early detection and early treatment services for Indigenous Australians. An increase over time in the proportion of older Indigenous Australians who received a health assessment is desirable as it indicates improved access to these services. A low or decreasing gap between the proportion of Indigenous Australians in different age groups who received a health assessment/check can indicate more equitable access to early detection and treatment services within the Indigenous population. A</w:t>
            </w:r>
            <w:r w:rsidR="0008764A">
              <w:t xml:space="preserve"> high or </w:t>
            </w:r>
            <w:r>
              <w:t>increas</w:t>
            </w:r>
            <w:r w:rsidR="0008764A">
              <w:t>ing</w:t>
            </w:r>
            <w:r>
              <w:t xml:space="preserve"> proportion of Aboriginal and Torres Strait Islander primary healthcare services that included early detection activities is desirable as it indicates improved access to early detection and treatment services for Indigenous Australians.</w:t>
            </w:r>
          </w:p>
          <w:p w:rsidR="00CA0F22" w:rsidRDefault="00CA0F22" w:rsidP="00CA0F22">
            <w:pPr>
              <w:pStyle w:val="Continued"/>
            </w:pPr>
            <w:r>
              <w:t>(Continued next page)</w:t>
            </w:r>
          </w:p>
        </w:tc>
      </w:tr>
      <w:tr w:rsidR="00CA0F22">
        <w:trPr>
          <w:cantSplit/>
        </w:trPr>
        <w:tc>
          <w:tcPr>
            <w:tcW w:w="8771" w:type="dxa"/>
            <w:tcBorders>
              <w:top w:val="nil"/>
              <w:left w:val="single" w:sz="6" w:space="0" w:color="auto"/>
              <w:bottom w:val="single" w:sz="6" w:space="0" w:color="auto"/>
              <w:right w:val="single" w:sz="6" w:space="0" w:color="auto"/>
            </w:tcBorders>
          </w:tcPr>
          <w:p w:rsidR="00CA0F22" w:rsidRDefault="00CA0F22">
            <w:pPr>
              <w:pStyle w:val="Box"/>
              <w:spacing w:before="0" w:line="120" w:lineRule="exact"/>
            </w:pPr>
          </w:p>
        </w:tc>
      </w:tr>
      <w:tr w:rsidR="00CA0F22" w:rsidTr="00CA0F22">
        <w:trPr>
          <w:trHeight w:hRule="exact" w:val="57"/>
        </w:trPr>
        <w:tc>
          <w:tcPr>
            <w:tcW w:w="8771" w:type="dxa"/>
            <w:tcBorders>
              <w:top w:val="nil"/>
              <w:left w:val="nil"/>
              <w:bottom w:val="nil"/>
              <w:right w:val="nil"/>
            </w:tcBorders>
          </w:tcPr>
          <w:p w:rsidR="00CA0F22" w:rsidRDefault="00CA0F22">
            <w:pPr>
              <w:pStyle w:val="Box"/>
              <w:keepNext w:val="0"/>
              <w:spacing w:before="60" w:after="60" w:line="80" w:lineRule="exact"/>
              <w:rPr>
                <w:b/>
                <w:color w:val="FF00FF"/>
                <w:sz w:val="14"/>
              </w:rPr>
            </w:pPr>
          </w:p>
        </w:tc>
      </w:tr>
    </w:tbl>
    <w:p w:rsidR="00CA0F22" w:rsidRDefault="00CA0F2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F22">
        <w:tc>
          <w:tcPr>
            <w:tcW w:w="8771" w:type="dxa"/>
            <w:tcBorders>
              <w:top w:val="single" w:sz="6" w:space="0" w:color="auto"/>
              <w:bottom w:val="nil"/>
            </w:tcBorders>
          </w:tcPr>
          <w:p w:rsidR="00CA0F22" w:rsidRDefault="00CA0F22">
            <w:pPr>
              <w:pStyle w:val="BoxTitle"/>
            </w:pPr>
            <w:smartTag w:uri="urn:schemas-microsoft-com:office:smarttags" w:element="Street">
              <w:r>
                <w:rPr>
                  <w:b w:val="0"/>
                </w:rPr>
                <w:t>Box</w:t>
              </w:r>
            </w:smartTag>
            <w:r>
              <w:rPr>
                <w:b w:val="0"/>
              </w:rPr>
              <w:t xml:space="preserve"> </w:t>
            </w:r>
            <w:r w:rsidRPr="00CA0F22">
              <w:rPr>
                <w:b w:val="0"/>
              </w:rPr>
              <w:t>11.5</w:t>
            </w:r>
            <w:r>
              <w:tab/>
            </w:r>
            <w:r w:rsidRPr="001A63CD">
              <w:rPr>
                <w:sz w:val="18"/>
                <w:szCs w:val="18"/>
              </w:rPr>
              <w:t>(Continued)</w:t>
            </w:r>
          </w:p>
        </w:tc>
      </w:tr>
      <w:tr w:rsidR="00CA0F22">
        <w:trPr>
          <w:cantSplit/>
        </w:trPr>
        <w:tc>
          <w:tcPr>
            <w:tcW w:w="8771" w:type="dxa"/>
            <w:tcBorders>
              <w:top w:val="nil"/>
              <w:left w:val="single" w:sz="6" w:space="0" w:color="auto"/>
              <w:bottom w:val="nil"/>
              <w:right w:val="single" w:sz="6" w:space="0" w:color="auto"/>
            </w:tcBorders>
          </w:tcPr>
          <w:p w:rsidR="00CA0F22" w:rsidRPr="001F6AA2" w:rsidRDefault="00CA0F22" w:rsidP="004D42BF">
            <w:pPr>
              <w:pStyle w:val="Box"/>
            </w:pPr>
            <w:r w:rsidRPr="001F6AA2">
              <w:t xml:space="preserve">This indicator provides no </w:t>
            </w:r>
            <w:r w:rsidRPr="00AA1187">
              <w:t xml:space="preserve">information about </w:t>
            </w:r>
            <w:r w:rsidR="00C4450C" w:rsidRPr="00C4450C">
              <w:t xml:space="preserve">health assessments provided </w:t>
            </w:r>
            <w:r w:rsidR="00C4450C">
              <w:t xml:space="preserve">outside DHS Medicare. </w:t>
            </w:r>
            <w:r w:rsidRPr="00AA1187">
              <w:t xml:space="preserve">Such services are provided </w:t>
            </w:r>
            <w:r w:rsidR="00C4450C">
              <w:t xml:space="preserve">under service delivery models </w:t>
            </w:r>
            <w:r w:rsidR="00C4450C" w:rsidRPr="00C4450C">
              <w:t xml:space="preserve">used, for example, in remote and very remote areas </w:t>
            </w:r>
            <w:r w:rsidR="00DC685E">
              <w:t>and therefore</w:t>
            </w:r>
            <w:r w:rsidR="00C4450C">
              <w:t xml:space="preserve"> accessed </w:t>
            </w:r>
            <w:r w:rsidR="00C4450C" w:rsidRPr="00C4450C">
              <w:t xml:space="preserve">predominantly by </w:t>
            </w:r>
            <w:r w:rsidR="00C4450C">
              <w:t>Indigenous Australians</w:t>
            </w:r>
            <w:r w:rsidRPr="001F6AA2">
              <w:t xml:space="preserve">. Accordingly, this indicator understates the proportion of </w:t>
            </w:r>
            <w:r w:rsidR="00C4450C">
              <w:t>Indigenous Australians</w:t>
            </w:r>
            <w:r w:rsidR="00C4450C" w:rsidRPr="001F6AA2">
              <w:t xml:space="preserve"> </w:t>
            </w:r>
            <w:r w:rsidRPr="001F6AA2">
              <w:t>who received early detection and early treatment services.</w:t>
            </w:r>
          </w:p>
          <w:p w:rsidR="004D4931" w:rsidRDefault="004D4931" w:rsidP="004D4931">
            <w:pPr>
              <w:pStyle w:val="Box"/>
            </w:pPr>
            <w:r>
              <w:t>Data reported for this indicator are:</w:t>
            </w:r>
          </w:p>
          <w:p w:rsidR="004D4931" w:rsidRDefault="004D4931" w:rsidP="00706464">
            <w:pPr>
              <w:pStyle w:val="BoxListBullet"/>
            </w:pPr>
            <w:r>
              <w:t>comparable (subject to caveats) across jurisdictions and over time</w:t>
            </w:r>
          </w:p>
          <w:p w:rsidR="00CA0F22" w:rsidRDefault="004D4931" w:rsidP="00524266">
            <w:pPr>
              <w:pStyle w:val="BoxListBullet"/>
            </w:pPr>
            <w:r>
              <w:t>complete (subject to caveats) for the current repo</w:t>
            </w:r>
            <w:r w:rsidR="00706464">
              <w:t xml:space="preserve">rting period. All required </w:t>
            </w:r>
            <w:r>
              <w:t>data are available for all jurisdictions</w:t>
            </w:r>
            <w:r w:rsidR="009F0067">
              <w:t xml:space="preserve"> for 2012</w:t>
            </w:r>
            <w:r w:rsidR="009F0067">
              <w:noBreakHyphen/>
              <w:t xml:space="preserve">13 for the three health assessment measures, and for 2011-12 for the </w:t>
            </w:r>
            <w:r w:rsidR="00575A21">
              <w:t xml:space="preserve">measure </w:t>
            </w:r>
            <w:r w:rsidR="009F0067">
              <w:t xml:space="preserve">primary healthcare services </w:t>
            </w:r>
            <w:r w:rsidR="00524266">
              <w:t xml:space="preserve">providing </w:t>
            </w:r>
            <w:r w:rsidR="00524266" w:rsidRPr="00524266">
              <w:t>early detection services</w:t>
            </w:r>
            <w:r>
              <w:t>.</w:t>
            </w:r>
          </w:p>
          <w:p w:rsidR="00CA0F22" w:rsidRDefault="00CA0F22" w:rsidP="00DC1F9B">
            <w:pPr>
              <w:pStyle w:val="Box"/>
              <w:spacing w:line="260" w:lineRule="atLeast"/>
            </w:pPr>
            <w:r w:rsidRPr="001F6AA2">
              <w:t>Data quality information for this</w:t>
            </w:r>
            <w:r>
              <w:t xml:space="preserve"> indicator is under development.</w:t>
            </w:r>
          </w:p>
        </w:tc>
      </w:tr>
      <w:tr w:rsidR="00CA0F22">
        <w:trPr>
          <w:cantSplit/>
        </w:trPr>
        <w:tc>
          <w:tcPr>
            <w:tcW w:w="8771" w:type="dxa"/>
            <w:tcBorders>
              <w:top w:val="nil"/>
              <w:left w:val="single" w:sz="6" w:space="0" w:color="auto"/>
              <w:bottom w:val="single" w:sz="6" w:space="0" w:color="auto"/>
              <w:right w:val="single" w:sz="6" w:space="0" w:color="auto"/>
            </w:tcBorders>
          </w:tcPr>
          <w:p w:rsidR="00CA0F22" w:rsidRDefault="00CA0F22">
            <w:pPr>
              <w:pStyle w:val="Box"/>
              <w:spacing w:before="0" w:line="120" w:lineRule="exact"/>
            </w:pPr>
          </w:p>
        </w:tc>
      </w:tr>
    </w:tbl>
    <w:p w:rsidR="00AA1187" w:rsidRPr="00944E91" w:rsidRDefault="00AA1187" w:rsidP="00944E91">
      <w:pPr>
        <w:pStyle w:val="BodyText"/>
      </w:pPr>
      <w:r w:rsidRPr="00A97B8B">
        <w:t>The high prevalence of preventable and/or treatable health conditions in the Indigenous population is strongly associated with relatively poor health outco</w:t>
      </w:r>
      <w:r>
        <w:t xml:space="preserve">mes for </w:t>
      </w:r>
      <w:r w:rsidR="006E4E2B">
        <w:t>Indigenous Australians</w:t>
      </w:r>
      <w:r>
        <w:t xml:space="preserve"> (</w:t>
      </w:r>
      <w:r w:rsidR="0088243E">
        <w:t>AIHW 2008a</w:t>
      </w:r>
      <w:r w:rsidRPr="00EF5536">
        <w:t xml:space="preserve">; </w:t>
      </w:r>
      <w:r w:rsidRPr="00EA5ED5">
        <w:t>SCRGSP 2011</w:t>
      </w:r>
      <w:r w:rsidRPr="00A97B8B">
        <w:t xml:space="preserve">). </w:t>
      </w:r>
      <w:r>
        <w:t xml:space="preserve">The </w:t>
      </w:r>
      <w:r w:rsidRPr="00A97B8B">
        <w:t xml:space="preserve">availability and uptake </w:t>
      </w:r>
      <w:r>
        <w:t>of e</w:t>
      </w:r>
      <w:r w:rsidRPr="00A97B8B">
        <w:t xml:space="preserve">arly detection and early treatment services is understood to be a significant </w:t>
      </w:r>
      <w:r w:rsidR="000A419E">
        <w:t>determinant of people’s health.</w:t>
      </w:r>
    </w:p>
    <w:p w:rsidR="00923A71" w:rsidRDefault="00AA1187" w:rsidP="00944E91">
      <w:pPr>
        <w:pStyle w:val="BodyText"/>
      </w:pPr>
      <w:r w:rsidRPr="000F232C">
        <w:t>In</w:t>
      </w:r>
      <w:r w:rsidR="00401391">
        <w:t xml:space="preserve"> </w:t>
      </w:r>
      <w:r w:rsidR="00401391" w:rsidRPr="00401391">
        <w:t>2012-13</w:t>
      </w:r>
      <w:r w:rsidR="00401391">
        <w:t xml:space="preserve">, </w:t>
      </w:r>
      <w:r w:rsidRPr="000F232C">
        <w:t xml:space="preserve">the proportion of Indigenous older </w:t>
      </w:r>
      <w:r w:rsidR="00923A71">
        <w:t xml:space="preserve">Australians </w:t>
      </w:r>
      <w:r w:rsidRPr="000F232C">
        <w:t xml:space="preserve">who received an annual health assessment was </w:t>
      </w:r>
      <w:r w:rsidR="00401391">
        <w:t xml:space="preserve">higher than </w:t>
      </w:r>
      <w:r w:rsidRPr="00DA2F1E">
        <w:t xml:space="preserve">the proportion of </w:t>
      </w:r>
      <w:r w:rsidR="00CD0769">
        <w:t>non</w:t>
      </w:r>
      <w:r w:rsidR="00CD0769">
        <w:noBreakHyphen/>
      </w:r>
      <w:r w:rsidR="00CD0769" w:rsidRPr="00DA2F1E">
        <w:t xml:space="preserve">Indigenous </w:t>
      </w:r>
      <w:r w:rsidRPr="00DA2F1E">
        <w:t xml:space="preserve">older </w:t>
      </w:r>
      <w:r w:rsidR="00923A71">
        <w:t xml:space="preserve">Australians </w:t>
      </w:r>
      <w:r w:rsidRPr="00DA2F1E">
        <w:t>who received an annual health assessment</w:t>
      </w:r>
      <w:r>
        <w:t xml:space="preserve"> in all jurisdictions </w:t>
      </w:r>
      <w:r w:rsidR="0063370D" w:rsidRPr="000F232C">
        <w:t xml:space="preserve">except </w:t>
      </w:r>
      <w:r w:rsidR="001F2FA5">
        <w:t xml:space="preserve">Victoria, SA and </w:t>
      </w:r>
      <w:r w:rsidR="009D5F5D">
        <w:t>Tasmania</w:t>
      </w:r>
      <w:r w:rsidR="0063370D">
        <w:t xml:space="preserve"> </w:t>
      </w:r>
      <w:r>
        <w:t>(</w:t>
      </w:r>
      <w:r w:rsidRPr="000E0E04">
        <w:t>figure 11.</w:t>
      </w:r>
      <w:r w:rsidR="00387E1D">
        <w:t>10</w:t>
      </w:r>
      <w:r w:rsidRPr="000E0E04">
        <w:t>).</w:t>
      </w:r>
    </w:p>
    <w:p w:rsidR="002D6B26" w:rsidRPr="00FB3120" w:rsidRDefault="002D6B26" w:rsidP="00421429">
      <w:pPr>
        <w:pStyle w:val="FigureTitle"/>
      </w:pPr>
      <w:r>
        <w:rPr>
          <w:b w:val="0"/>
        </w:rPr>
        <w:lastRenderedPageBreak/>
        <w:t xml:space="preserve">Figure </w:t>
      </w:r>
      <w:bookmarkStart w:id="27" w:name="OLE_LINK14"/>
      <w:r w:rsidR="00EC42DB">
        <w:rPr>
          <w:b w:val="0"/>
        </w:rPr>
        <w:t>11.</w:t>
      </w:r>
      <w:bookmarkEnd w:id="27"/>
      <w:r w:rsidR="00387E1D">
        <w:rPr>
          <w:b w:val="0"/>
          <w:noProof/>
        </w:rPr>
        <w:t>10</w:t>
      </w:r>
      <w:r>
        <w:tab/>
      </w:r>
      <w:r w:rsidRPr="002D6B26">
        <w:t>Older people who received an annual health assessment by Indigenous status</w:t>
      </w:r>
      <w:r w:rsidRPr="00F73449">
        <w:t>,</w:t>
      </w:r>
      <w:r w:rsidR="00401391">
        <w:t xml:space="preserve"> 2012-13</w:t>
      </w:r>
      <w:r w:rsidRPr="00401391">
        <w:rPr>
          <w:rStyle w:val="NoteLabel"/>
          <w:b/>
        </w:rPr>
        <w:t>a</w:t>
      </w:r>
      <w:r w:rsidRPr="00FB3120">
        <w:rPr>
          <w:rStyle w:val="NoteLabel"/>
          <w:b/>
        </w:rPr>
        <w:t>, b</w:t>
      </w:r>
      <w:r w:rsidR="005106FA">
        <w:rPr>
          <w:rStyle w:val="NoteLabel"/>
          <w:b/>
        </w:rPr>
        <w:t>, c</w:t>
      </w:r>
      <w:r w:rsidR="0001096A">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D6B26" w:rsidTr="00B03EF1">
        <w:tc>
          <w:tcPr>
            <w:tcW w:w="8777" w:type="dxa"/>
            <w:tcBorders>
              <w:top w:val="single" w:sz="6" w:space="0" w:color="auto"/>
              <w:bottom w:val="single" w:sz="6" w:space="0" w:color="auto"/>
              <w:right w:val="nil"/>
            </w:tcBorders>
          </w:tcPr>
          <w:p w:rsidR="002D6B26" w:rsidRDefault="00D4699C">
            <w:pPr>
              <w:pStyle w:val="Figure"/>
            </w:pPr>
            <w:r>
              <w:rPr>
                <w:noProof/>
              </w:rPr>
              <w:drawing>
                <wp:inline distT="0" distB="0" distL="0" distR="0">
                  <wp:extent cx="5368290" cy="2710815"/>
                  <wp:effectExtent l="0" t="0" r="3810" b="0"/>
                  <wp:docPr id="17" name="Picture 17" descr="Figure 11.10 Older people who received an annual health assessment by Indigenous statu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2D6B26" w:rsidRPr="00944E91" w:rsidRDefault="002D6B26" w:rsidP="00365939">
      <w:pPr>
        <w:pStyle w:val="Note"/>
        <w:keepNext/>
      </w:pPr>
      <w:r>
        <w:rPr>
          <w:rStyle w:val="NoteLabel"/>
        </w:rPr>
        <w:t>a</w:t>
      </w:r>
      <w:r w:rsidRPr="002D6B26">
        <w:t xml:space="preserve"> Older people are defined as </w:t>
      </w:r>
      <w:r w:rsidR="006E4E2B">
        <w:t>Indigenous Australians</w:t>
      </w:r>
      <w:r w:rsidRPr="002D6B26">
        <w:t xml:space="preserve"> aged 55</w:t>
      </w:r>
      <w:r w:rsidR="00AE7160">
        <w:t> </w:t>
      </w:r>
      <w:r w:rsidRPr="002D6B26">
        <w:t>years</w:t>
      </w:r>
      <w:r w:rsidR="00AE7160">
        <w:t> or </w:t>
      </w:r>
      <w:r w:rsidRPr="002D6B26">
        <w:t>over and non</w:t>
      </w:r>
      <w:r w:rsidR="0090244E">
        <w:noBreakHyphen/>
      </w:r>
      <w:r w:rsidR="006E4E2B">
        <w:t>Indigenous Australians</w:t>
      </w:r>
      <w:r w:rsidRPr="002D6B26">
        <w:t xml:space="preserve"> aged 75</w:t>
      </w:r>
      <w:r w:rsidR="00AE7160">
        <w:t> </w:t>
      </w:r>
      <w:r w:rsidRPr="002D6B26">
        <w:t>years</w:t>
      </w:r>
      <w:r w:rsidR="00AE7160">
        <w:t> or </w:t>
      </w:r>
      <w:r w:rsidRPr="002D6B26">
        <w:t xml:space="preserve">over. </w:t>
      </w:r>
      <w:r w:rsidRPr="00965A7A">
        <w:rPr>
          <w:rStyle w:val="NoteLabel"/>
        </w:rPr>
        <w:t>b</w:t>
      </w:r>
      <w:r w:rsidR="00AE7160">
        <w:t> </w:t>
      </w:r>
      <w:r w:rsidRPr="002D6B26">
        <w:t>Indigenous status is determined by self-identifica</w:t>
      </w:r>
      <w:r w:rsidR="00AE7160">
        <w:t xml:space="preserve">tion. </w:t>
      </w:r>
      <w:r w:rsidR="006E4E2B">
        <w:t>Indigenous Australians</w:t>
      </w:r>
      <w:r w:rsidR="00AE7160">
        <w:t xml:space="preserve"> aged 75 </w:t>
      </w:r>
      <w:r w:rsidRPr="002D6B26">
        <w:t>years</w:t>
      </w:r>
      <w:r w:rsidR="00AE7160">
        <w:t> </w:t>
      </w:r>
      <w:r w:rsidRPr="002D6B26">
        <w:t>or</w:t>
      </w:r>
      <w:r w:rsidR="00AE7160">
        <w:t> </w:t>
      </w:r>
      <w:r w:rsidRPr="002D6B26">
        <w:t xml:space="preserve">over may </w:t>
      </w:r>
      <w:r w:rsidR="00245255">
        <w:t xml:space="preserve">receive </w:t>
      </w:r>
      <w:r w:rsidRPr="002D6B26">
        <w:t>the</w:t>
      </w:r>
      <w:r w:rsidR="00245255">
        <w:t xml:space="preserve"> mainstream MBS Health Assessment for people aged 75 years or over</w:t>
      </w:r>
      <w:r w:rsidRPr="002D6B26">
        <w:t xml:space="preserve">. This is unlikely to affect overall proportions significantly, due to the relatively low average life expectancy of </w:t>
      </w:r>
      <w:r w:rsidR="006E4E2B">
        <w:t>Indigenous Australians</w:t>
      </w:r>
      <w:r w:rsidRPr="004D42BF">
        <w:t>.</w:t>
      </w:r>
      <w:r w:rsidR="005106FA" w:rsidRPr="004D42BF">
        <w:t xml:space="preserve"> </w:t>
      </w:r>
      <w:r w:rsidR="005106FA" w:rsidRPr="004D42BF">
        <w:rPr>
          <w:rStyle w:val="NoteLabel"/>
        </w:rPr>
        <w:t xml:space="preserve">c </w:t>
      </w:r>
      <w:r w:rsidR="009738FF" w:rsidRPr="004D42BF">
        <w:t>Data exclude health assessments provided outside DHS Medicare under service models used to increase access for people in remote areas and for Indigenous Australians. Data for Indigenous Australians are therefore likely to understate the proportion who access health assessments.</w:t>
      </w:r>
      <w:r w:rsidR="003D5799">
        <w:t xml:space="preserve"> </w:t>
      </w:r>
      <w:r w:rsidR="00AB26E4">
        <w:rPr>
          <w:rStyle w:val="NoteLabel"/>
        </w:rPr>
        <w:t>d</w:t>
      </w:r>
      <w:r w:rsidR="009738FF">
        <w:t> T</w:t>
      </w:r>
      <w:r w:rsidR="00AB26E4">
        <w:t>h</w:t>
      </w:r>
      <w:r w:rsidR="005106FA">
        <w:t>e populations used to derive the</w:t>
      </w:r>
      <w:r w:rsidR="009738FF">
        <w:t xml:space="preserve"> Indigenous Australians and non</w:t>
      </w:r>
      <w:r w:rsidR="009738FF">
        <w:noBreakHyphen/>
      </w:r>
      <w:r w:rsidR="005106FA">
        <w:t xml:space="preserve">Indigenous </w:t>
      </w:r>
      <w:r w:rsidR="005106FA" w:rsidRPr="00C51B37">
        <w:t>Australians</w:t>
      </w:r>
      <w:r w:rsidR="005106FA">
        <w:t>’</w:t>
      </w:r>
      <w:r w:rsidR="005106FA" w:rsidRPr="00C51B37">
        <w:t xml:space="preserve"> </w:t>
      </w:r>
      <w:r w:rsidR="005106FA">
        <w:t>rates are based on the 2006 Census.</w:t>
      </w:r>
    </w:p>
    <w:p w:rsidR="00E61973" w:rsidRPr="00944E91" w:rsidRDefault="00965A7A" w:rsidP="007644A0">
      <w:pPr>
        <w:pStyle w:val="Source"/>
        <w:rPr>
          <w:rStyle w:val="NoteChar"/>
        </w:rPr>
      </w:pPr>
      <w:r w:rsidRPr="001A57A2">
        <w:rPr>
          <w:i/>
        </w:rPr>
        <w:t>S</w:t>
      </w:r>
      <w:r w:rsidR="002D6B26" w:rsidRPr="001A57A2">
        <w:rPr>
          <w:i/>
        </w:rPr>
        <w:t>ource</w:t>
      </w:r>
      <w:r w:rsidR="002D6B26" w:rsidRPr="001A57A2">
        <w:t xml:space="preserve">: </w:t>
      </w:r>
      <w:r w:rsidR="00FA7114" w:rsidRPr="001A57A2">
        <w:t xml:space="preserve">Derived from </w:t>
      </w:r>
      <w:r w:rsidR="00B513D7">
        <w:t>Department of Health</w:t>
      </w:r>
      <w:r w:rsidRPr="001A57A2">
        <w:t xml:space="preserve"> (unpublished)</w:t>
      </w:r>
      <w:r w:rsidR="00427A51" w:rsidRPr="001A57A2">
        <w:t xml:space="preserve"> </w:t>
      </w:r>
      <w:r w:rsidR="006745F5" w:rsidRPr="001A57A2">
        <w:t xml:space="preserve">MBS </w:t>
      </w:r>
      <w:r w:rsidR="00524F26" w:rsidRPr="001A57A2">
        <w:t>Statistics</w:t>
      </w:r>
      <w:r w:rsidR="00FA7114" w:rsidRPr="001A57A2">
        <w:t>,</w:t>
      </w:r>
      <w:r w:rsidRPr="001A57A2">
        <w:t xml:space="preserve"> ABS </w:t>
      </w:r>
      <w:r w:rsidR="00565917" w:rsidRPr="001A57A2">
        <w:t>(</w:t>
      </w:r>
      <w:r w:rsidR="00E144F9" w:rsidRPr="001A57A2">
        <w:t>200</w:t>
      </w:r>
      <w:r w:rsidR="00E537EC" w:rsidRPr="001A57A2">
        <w:t>9</w:t>
      </w:r>
      <w:r w:rsidR="00565917" w:rsidRPr="001A57A2">
        <w:t>)</w:t>
      </w:r>
      <w:r w:rsidR="00E144F9" w:rsidRPr="001A57A2">
        <w:t xml:space="preserve"> </w:t>
      </w:r>
      <w:r w:rsidR="00E144F9" w:rsidRPr="001A57A2">
        <w:rPr>
          <w:i/>
        </w:rPr>
        <w:t xml:space="preserve">Experimental estimates and projections, Aboriginal and </w:t>
      </w:r>
      <w:smartTag w:uri="urn:schemas-microsoft-com:office:smarttags" w:element="place">
        <w:r w:rsidR="00E144F9" w:rsidRPr="001A57A2">
          <w:rPr>
            <w:i/>
          </w:rPr>
          <w:t>Torres Strait</w:t>
        </w:r>
      </w:smartTag>
      <w:r w:rsidR="00E144F9" w:rsidRPr="001A57A2">
        <w:rPr>
          <w:i/>
        </w:rPr>
        <w:t xml:space="preserve"> Islander Australians</w:t>
      </w:r>
      <w:r w:rsidR="00921E48" w:rsidRPr="001A57A2">
        <w:rPr>
          <w:i/>
        </w:rPr>
        <w:t xml:space="preserve"> 1991 to 2021</w:t>
      </w:r>
      <w:r w:rsidR="00FA7114" w:rsidRPr="001A57A2">
        <w:t>, Cat. no. 3238.0</w:t>
      </w:r>
      <w:r w:rsidR="00365939" w:rsidRPr="001A57A2">
        <w:t xml:space="preserve">; </w:t>
      </w:r>
      <w:r w:rsidR="00744A92" w:rsidRPr="001A57A2">
        <w:t>ABS </w:t>
      </w:r>
      <w:r w:rsidR="000A6CE7" w:rsidRPr="001A57A2">
        <w:t>(</w:t>
      </w:r>
      <w:r w:rsidR="00E144F9" w:rsidRPr="001A57A2">
        <w:t>20</w:t>
      </w:r>
      <w:r w:rsidR="00365939" w:rsidRPr="001A57A2">
        <w:t>1</w:t>
      </w:r>
      <w:r w:rsidR="001A57A2" w:rsidRPr="001A57A2">
        <w:t>1</w:t>
      </w:r>
      <w:r w:rsidR="000A6CE7" w:rsidRPr="001A57A2">
        <w:t xml:space="preserve">) </w:t>
      </w:r>
      <w:r w:rsidR="00E144F9" w:rsidRPr="001A57A2">
        <w:rPr>
          <w:i/>
        </w:rPr>
        <w:t xml:space="preserve">Australian demographic statistics </w:t>
      </w:r>
      <w:r w:rsidR="00365939" w:rsidRPr="001A57A2">
        <w:rPr>
          <w:i/>
        </w:rPr>
        <w:t>June</w:t>
      </w:r>
      <w:r w:rsidR="00E144F9" w:rsidRPr="001A57A2">
        <w:rPr>
          <w:i/>
        </w:rPr>
        <w:t xml:space="preserve"> quarter 20</w:t>
      </w:r>
      <w:r w:rsidR="00365939" w:rsidRPr="001A57A2">
        <w:rPr>
          <w:i/>
        </w:rPr>
        <w:t>1</w:t>
      </w:r>
      <w:r w:rsidR="001A57A2" w:rsidRPr="001A57A2">
        <w:rPr>
          <w:i/>
        </w:rPr>
        <w:t>1</w:t>
      </w:r>
      <w:r w:rsidR="00D62EDE" w:rsidRPr="001A57A2">
        <w:t>, Cat. no. </w:t>
      </w:r>
      <w:r w:rsidR="00E144F9" w:rsidRPr="001A57A2">
        <w:t xml:space="preserve">3101.0; </w:t>
      </w:r>
      <w:r w:rsidR="00427A51" w:rsidRPr="001A57A2">
        <w:t>table </w:t>
      </w:r>
      <w:r w:rsidR="00E60498" w:rsidRPr="001A57A2">
        <w:t>11A.</w:t>
      </w:r>
      <w:r w:rsidR="005E180F" w:rsidRPr="001A57A2">
        <w:t>2</w:t>
      </w:r>
      <w:r w:rsidR="00874F45">
        <w:t>7</w:t>
      </w:r>
      <w:r w:rsidRPr="001A57A2">
        <w:t>.</w:t>
      </w:r>
    </w:p>
    <w:p w:rsidR="00DF106F" w:rsidRPr="00903CF0" w:rsidRDefault="000C03BA" w:rsidP="00903CF0">
      <w:pPr>
        <w:pStyle w:val="BodyText"/>
        <w:rPr>
          <w:rStyle w:val="DraftingNote"/>
          <w:b w:val="0"/>
          <w:color w:val="auto"/>
          <w:sz w:val="26"/>
          <w:u w:val="none"/>
        </w:rPr>
      </w:pPr>
      <w:r w:rsidRPr="004F092B">
        <w:t>T</w:t>
      </w:r>
      <w:r w:rsidR="00DF106F" w:rsidRPr="004F092B">
        <w:t xml:space="preserve">he proportion of older </w:t>
      </w:r>
      <w:r w:rsidR="006E4E2B">
        <w:t>Indigenous Australians</w:t>
      </w:r>
      <w:r w:rsidR="00DF106F" w:rsidRPr="004F092B">
        <w:t xml:space="preserve"> who received an annual health assessment </w:t>
      </w:r>
      <w:r w:rsidR="00DF106F" w:rsidRPr="00404E68">
        <w:t>increased</w:t>
      </w:r>
      <w:r w:rsidR="00DF106F" w:rsidRPr="004F092B">
        <w:t xml:space="preserve"> in </w:t>
      </w:r>
      <w:r w:rsidR="004F092B" w:rsidRPr="004F092B">
        <w:t>all</w:t>
      </w:r>
      <w:r w:rsidR="00DF106F" w:rsidRPr="004F092B">
        <w:t xml:space="preserve"> jurisdictions between</w:t>
      </w:r>
      <w:r w:rsidR="00404E68">
        <w:t xml:space="preserve"> 2008-09 and 2012-13</w:t>
      </w:r>
      <w:r w:rsidR="00DF106F" w:rsidRPr="004F092B">
        <w:t xml:space="preserve"> </w:t>
      </w:r>
      <w:r w:rsidRPr="0063556F">
        <w:t>(figure</w:t>
      </w:r>
      <w:r w:rsidR="00EA4368" w:rsidRPr="0063556F">
        <w:t> </w:t>
      </w:r>
      <w:r w:rsidRPr="0063556F">
        <w:t>11.</w:t>
      </w:r>
      <w:r w:rsidR="005101BC">
        <w:t>1</w:t>
      </w:r>
      <w:r w:rsidR="00387E1D">
        <w:t>1</w:t>
      </w:r>
      <w:r w:rsidRPr="0063556F">
        <w:t>)</w:t>
      </w:r>
      <w:r w:rsidR="001D4F6A">
        <w:t>.</w:t>
      </w:r>
    </w:p>
    <w:p w:rsidR="00965A7A" w:rsidRPr="00965A7A" w:rsidRDefault="00965A7A" w:rsidP="00852044">
      <w:pPr>
        <w:pStyle w:val="FigureTitle"/>
        <w:ind w:left="1560" w:hanging="1560"/>
      </w:pPr>
      <w:r>
        <w:rPr>
          <w:b w:val="0"/>
        </w:rPr>
        <w:lastRenderedPageBreak/>
        <w:t xml:space="preserve">Figure </w:t>
      </w:r>
      <w:bookmarkStart w:id="28" w:name="OLE_LINK15"/>
      <w:r w:rsidR="00EC42DB">
        <w:rPr>
          <w:b w:val="0"/>
        </w:rPr>
        <w:t>11.</w:t>
      </w:r>
      <w:r w:rsidR="00C44281">
        <w:rPr>
          <w:b w:val="0"/>
          <w:noProof/>
        </w:rPr>
        <w:t>1</w:t>
      </w:r>
      <w:bookmarkEnd w:id="28"/>
      <w:r w:rsidR="00387E1D">
        <w:rPr>
          <w:b w:val="0"/>
          <w:noProof/>
        </w:rPr>
        <w:t>1</w:t>
      </w:r>
      <w:r>
        <w:tab/>
      </w:r>
      <w:r w:rsidRPr="00965A7A">
        <w:t xml:space="preserve">Older </w:t>
      </w:r>
      <w:r w:rsidR="006E4E2B">
        <w:t>Indigenous Australians</w:t>
      </w:r>
      <w:r w:rsidRPr="00965A7A">
        <w:t xml:space="preserve"> who received an annual health assessment</w:t>
      </w:r>
      <w:r w:rsidRPr="00965A7A">
        <w:rPr>
          <w:rStyle w:val="NoteLabel"/>
          <w:b/>
        </w:rPr>
        <w:t>a</w:t>
      </w:r>
      <w:r w:rsidR="0001096A">
        <w:rPr>
          <w:rStyle w:val="NoteLabel"/>
          <w:b/>
        </w:rPr>
        <w:t>, b</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965A7A" w:rsidTr="00D32B56">
        <w:tc>
          <w:tcPr>
            <w:tcW w:w="8777" w:type="dxa"/>
            <w:tcBorders>
              <w:top w:val="single" w:sz="6" w:space="0" w:color="auto"/>
              <w:bottom w:val="single" w:sz="6" w:space="0" w:color="auto"/>
              <w:right w:val="nil"/>
            </w:tcBorders>
          </w:tcPr>
          <w:p w:rsidR="00965A7A" w:rsidRDefault="00D4699C">
            <w:pPr>
              <w:pStyle w:val="Figure"/>
            </w:pPr>
            <w:r>
              <w:rPr>
                <w:noProof/>
              </w:rPr>
              <w:drawing>
                <wp:inline distT="0" distB="0" distL="0" distR="0">
                  <wp:extent cx="5368290" cy="2710815"/>
                  <wp:effectExtent l="0" t="0" r="3810" b="0"/>
                  <wp:docPr id="18" name="Picture 18" descr="Figure 11.11 Older Indigenous Australians who received an annual health assess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965A7A" w:rsidRPr="00944E91" w:rsidRDefault="00965A7A" w:rsidP="00BA2E9C">
      <w:pPr>
        <w:pStyle w:val="Note"/>
      </w:pPr>
      <w:r>
        <w:rPr>
          <w:rStyle w:val="NoteLabel"/>
        </w:rPr>
        <w:t>a</w:t>
      </w:r>
      <w:r>
        <w:sym w:font="Symbol" w:char="F020"/>
      </w:r>
      <w:r w:rsidR="00AE4B0A" w:rsidRPr="002D6B26">
        <w:t xml:space="preserve">Older people are defined as </w:t>
      </w:r>
      <w:r w:rsidR="006E4E2B">
        <w:t>Indigenous Australians</w:t>
      </w:r>
      <w:r w:rsidR="00AE4B0A" w:rsidRPr="002D6B26">
        <w:t xml:space="preserve"> aged 55</w:t>
      </w:r>
      <w:r w:rsidR="00AE4B0A">
        <w:t> </w:t>
      </w:r>
      <w:r w:rsidR="00AE4B0A" w:rsidRPr="002D6B26">
        <w:t>years</w:t>
      </w:r>
      <w:r w:rsidR="00AE4B0A">
        <w:t> or </w:t>
      </w:r>
      <w:r w:rsidR="00AE4B0A" w:rsidRPr="002D6B26">
        <w:t>over</w:t>
      </w:r>
      <w:r w:rsidRPr="00965A7A">
        <w:t>.</w:t>
      </w:r>
      <w:r w:rsidR="00AE4B0A">
        <w:t xml:space="preserve"> </w:t>
      </w:r>
      <w:r w:rsidR="00AE4B0A" w:rsidRPr="00965A7A">
        <w:t>Indigenous status is determined by self-identificati</w:t>
      </w:r>
      <w:r w:rsidR="00AE4B0A">
        <w:t xml:space="preserve">on. </w:t>
      </w:r>
      <w:r w:rsidR="00245255">
        <w:t>Indigenous Australians aged 75 </w:t>
      </w:r>
      <w:r w:rsidR="00245255" w:rsidRPr="002D6B26">
        <w:t>years</w:t>
      </w:r>
      <w:r w:rsidR="00245255">
        <w:t> </w:t>
      </w:r>
      <w:r w:rsidR="00245255" w:rsidRPr="002D6B26">
        <w:t>or</w:t>
      </w:r>
      <w:r w:rsidR="00245255">
        <w:t> </w:t>
      </w:r>
      <w:r w:rsidR="00245255" w:rsidRPr="002D6B26">
        <w:t xml:space="preserve">over may </w:t>
      </w:r>
      <w:r w:rsidR="00245255">
        <w:t xml:space="preserve">receive </w:t>
      </w:r>
      <w:r w:rsidR="00245255" w:rsidRPr="002D6B26">
        <w:t>the</w:t>
      </w:r>
      <w:r w:rsidR="00245255">
        <w:t xml:space="preserve"> mainstream MBS Health Assessment for people aged 75 years or over</w:t>
      </w:r>
      <w:r w:rsidR="00245255" w:rsidRPr="002D6B26">
        <w:t>.</w:t>
      </w:r>
      <w:r w:rsidR="00591626">
        <w:t xml:space="preserve"> T</w:t>
      </w:r>
      <w:r w:rsidR="00AE4B0A" w:rsidRPr="00965A7A">
        <w:t>his is considered unlikely to significantly affect overall proportions due to the relatively low average life e</w:t>
      </w:r>
      <w:r w:rsidR="00365939">
        <w:t xml:space="preserve">xpectancy of </w:t>
      </w:r>
      <w:r w:rsidR="006E4E2B">
        <w:t>Indigenous Australians</w:t>
      </w:r>
      <w:r w:rsidR="00365939">
        <w:t>.</w:t>
      </w:r>
      <w:r w:rsidR="0001096A" w:rsidRPr="006C7B73">
        <w:rPr>
          <w:rStyle w:val="NoteLabel"/>
        </w:rPr>
        <w:t xml:space="preserve"> </w:t>
      </w:r>
      <w:r w:rsidR="0001096A" w:rsidRPr="004D42BF">
        <w:rPr>
          <w:rStyle w:val="NoteLabel"/>
        </w:rPr>
        <w:t xml:space="preserve">b </w:t>
      </w:r>
      <w:r w:rsidR="0001096A" w:rsidRPr="004D42BF">
        <w:t>Data exclude health assessments provided outside DHS Medicare under service models used to increase access for people in remote areas and for Indigenous Australians. Data are therefore likely to understate the proportion who access health assessments.</w:t>
      </w:r>
    </w:p>
    <w:p w:rsidR="00965A7A" w:rsidRPr="00356F8A" w:rsidRDefault="00965A7A" w:rsidP="003E1ADB">
      <w:pPr>
        <w:pStyle w:val="Source"/>
        <w:rPr>
          <w:shd w:val="clear" w:color="auto" w:fill="00FFFF"/>
        </w:rPr>
      </w:pPr>
      <w:r>
        <w:rPr>
          <w:i/>
        </w:rPr>
        <w:t>Source</w:t>
      </w:r>
      <w:r w:rsidRPr="00965A7A">
        <w:t>:</w:t>
      </w:r>
      <w:r>
        <w:t xml:space="preserve"> </w:t>
      </w:r>
      <w:r w:rsidR="00D51E53">
        <w:t xml:space="preserve">Derived from </w:t>
      </w:r>
      <w:r w:rsidR="00B513D7">
        <w:t>Department of Health</w:t>
      </w:r>
      <w:r w:rsidR="00FF45CD" w:rsidRPr="00E144F9">
        <w:t xml:space="preserve"> (unpublished)</w:t>
      </w:r>
      <w:r w:rsidR="00FF45CD" w:rsidRPr="00427A51">
        <w:t xml:space="preserve"> </w:t>
      </w:r>
      <w:r w:rsidR="00FF45CD">
        <w:t xml:space="preserve">MBS data </w:t>
      </w:r>
      <w:r w:rsidR="00097F59">
        <w:t>collection</w:t>
      </w:r>
      <w:r w:rsidR="00D51E53">
        <w:t xml:space="preserve"> and</w:t>
      </w:r>
      <w:r w:rsidR="00FF45CD" w:rsidRPr="00E144F9">
        <w:t xml:space="preserve"> ABS </w:t>
      </w:r>
      <w:r w:rsidR="00565917">
        <w:t>(</w:t>
      </w:r>
      <w:r w:rsidR="00FF45CD" w:rsidRPr="00AB3891">
        <w:t>2009</w:t>
      </w:r>
      <w:r w:rsidR="00565917">
        <w:t>)</w:t>
      </w:r>
      <w:r w:rsidR="00FF45CD">
        <w:t xml:space="preserve"> </w:t>
      </w:r>
      <w:r w:rsidR="00FF45CD" w:rsidRPr="00E965EC">
        <w:rPr>
          <w:i/>
        </w:rPr>
        <w:t xml:space="preserve">Experimental estimates and </w:t>
      </w:r>
      <w:r w:rsidR="00FF45CD" w:rsidRPr="00AB074E">
        <w:rPr>
          <w:i/>
        </w:rPr>
        <w:t xml:space="preserve">projections, Aboriginal and </w:t>
      </w:r>
      <w:smartTag w:uri="urn:schemas-microsoft-com:office:smarttags" w:element="place">
        <w:r w:rsidR="00FF45CD" w:rsidRPr="00AB074E">
          <w:rPr>
            <w:i/>
          </w:rPr>
          <w:t>Torres Strait</w:t>
        </w:r>
      </w:smartTag>
      <w:r w:rsidR="00FF45CD" w:rsidRPr="00AB074E">
        <w:rPr>
          <w:i/>
        </w:rPr>
        <w:t xml:space="preserve"> Islander Australians 1991 to 2021</w:t>
      </w:r>
      <w:r w:rsidR="00D51E53" w:rsidRPr="00AB074E">
        <w:t xml:space="preserve">, Cat. no. 3238.0; </w:t>
      </w:r>
      <w:r w:rsidR="009514EF" w:rsidRPr="00AB074E">
        <w:t>table </w:t>
      </w:r>
      <w:r w:rsidR="00E60498" w:rsidRPr="00AB074E">
        <w:t>11A.2</w:t>
      </w:r>
      <w:r w:rsidR="00874F45">
        <w:t>8</w:t>
      </w:r>
      <w:r w:rsidRPr="00AB074E">
        <w:t>.</w:t>
      </w:r>
    </w:p>
    <w:p w:rsidR="0041093D" w:rsidRDefault="00965A7A" w:rsidP="00284302">
      <w:pPr>
        <w:pStyle w:val="BodyText"/>
      </w:pPr>
      <w:r>
        <w:t xml:space="preserve">Health check MBS items were introduced for </w:t>
      </w:r>
      <w:r w:rsidR="006E4E2B">
        <w:t>Indigenous Australians</w:t>
      </w:r>
      <w:r>
        <w:t xml:space="preserve"> aged 15–54 years in May 2004</w:t>
      </w:r>
      <w:r w:rsidR="0041093D">
        <w:t xml:space="preserve">. </w:t>
      </w:r>
      <w:r w:rsidR="00702F0E">
        <w:t>I</w:t>
      </w:r>
      <w:r w:rsidR="0041093D">
        <w:t xml:space="preserve">nitially available biennially, </w:t>
      </w:r>
      <w:r w:rsidR="00F463DA">
        <w:t>since</w:t>
      </w:r>
      <w:r w:rsidR="0041093D" w:rsidRPr="00844950">
        <w:t xml:space="preserve"> </w:t>
      </w:r>
      <w:r w:rsidR="00FD6BAF" w:rsidRPr="00844950">
        <w:t>1 May</w:t>
      </w:r>
      <w:r w:rsidR="0041093D" w:rsidRPr="00844950">
        <w:t xml:space="preserve"> 2010 </w:t>
      </w:r>
      <w:r w:rsidR="00702F0E" w:rsidRPr="00844950">
        <w:t xml:space="preserve">they </w:t>
      </w:r>
      <w:r w:rsidR="00F463DA">
        <w:t>have been</w:t>
      </w:r>
      <w:r w:rsidR="00702F0E" w:rsidRPr="00844950">
        <w:t xml:space="preserve"> available annually. Also available annually are health checks</w:t>
      </w:r>
      <w:r w:rsidR="0041093D" w:rsidRPr="00844950">
        <w:t xml:space="preserve"> </w:t>
      </w:r>
      <w:r w:rsidR="002E25C3" w:rsidRPr="00844950">
        <w:t>for</w:t>
      </w:r>
      <w:r w:rsidRPr="00844950">
        <w:t xml:space="preserve"> Indigenous</w:t>
      </w:r>
      <w:r>
        <w:t xml:space="preserve"> children aged 0–14 years</w:t>
      </w:r>
      <w:r w:rsidR="00702F0E">
        <w:t>, introduced in May 2006.</w:t>
      </w:r>
    </w:p>
    <w:p w:rsidR="0091386E" w:rsidRPr="00E24680" w:rsidRDefault="009775B9" w:rsidP="00E24680">
      <w:pPr>
        <w:pStyle w:val="BodyText"/>
        <w:rPr>
          <w:rStyle w:val="DraftingNote"/>
          <w:b w:val="0"/>
          <w:color w:val="auto"/>
          <w:sz w:val="26"/>
          <w:u w:val="none"/>
        </w:rPr>
      </w:pPr>
      <w:r w:rsidRPr="00AB074E">
        <w:t>T</w:t>
      </w:r>
      <w:r w:rsidR="00965A7A" w:rsidRPr="00AB074E">
        <w:t xml:space="preserve">he proportion of the eligible Indigenous population </w:t>
      </w:r>
      <w:r w:rsidR="00CA59A8" w:rsidRPr="00AB074E">
        <w:t>who</w:t>
      </w:r>
      <w:r w:rsidR="00965A7A" w:rsidRPr="00AB074E">
        <w:t xml:space="preserve"> received a health assessment or check was highest for older people and lowest</w:t>
      </w:r>
      <w:r w:rsidR="00EC6282" w:rsidRPr="00AB074E">
        <w:t xml:space="preserve"> for children aged</w:t>
      </w:r>
      <w:r w:rsidR="00EC6282" w:rsidRPr="00AB074E">
        <w:br/>
      </w:r>
      <w:r w:rsidR="00965A7A" w:rsidRPr="00AB074E">
        <w:t>0–14 years in most jurisdictions</w:t>
      </w:r>
      <w:r w:rsidRPr="00AB074E">
        <w:t xml:space="preserve"> (figure 11.1</w:t>
      </w:r>
      <w:r w:rsidR="00387E1D">
        <w:t>2</w:t>
      </w:r>
      <w:r w:rsidRPr="00AB074E">
        <w:t>)</w:t>
      </w:r>
      <w:r w:rsidR="00965A7A" w:rsidRPr="00AB074E">
        <w:t xml:space="preserve">. </w:t>
      </w:r>
      <w:r w:rsidR="00965A7A" w:rsidRPr="00854085">
        <w:t xml:space="preserve">This </w:t>
      </w:r>
      <w:r w:rsidRPr="00854085">
        <w:t>can,</w:t>
      </w:r>
      <w:r w:rsidR="00965A7A" w:rsidRPr="00854085">
        <w:t xml:space="preserve"> in part</w:t>
      </w:r>
      <w:r w:rsidRPr="00854085">
        <w:t>,</w:t>
      </w:r>
      <w:r w:rsidR="00965A7A" w:rsidRPr="00854085">
        <w:t xml:space="preserve"> reflect differences in how long the items have been available, as factors such as awareness and administrative requirements affect the uptake of new MBS items (AIHW 20</w:t>
      </w:r>
      <w:r w:rsidR="009F1275" w:rsidRPr="00854085">
        <w:t>08a</w:t>
      </w:r>
      <w:r w:rsidR="00D601CF" w:rsidRPr="00854085">
        <w:t>)</w:t>
      </w:r>
      <w:r w:rsidR="00965A7A" w:rsidRPr="00854085">
        <w:t>.</w:t>
      </w:r>
      <w:r w:rsidR="002F6012" w:rsidRPr="00854085">
        <w:tab/>
      </w:r>
    </w:p>
    <w:p w:rsidR="00965A7A" w:rsidRPr="00965A7A" w:rsidRDefault="00965A7A" w:rsidP="00566A91">
      <w:pPr>
        <w:pStyle w:val="FigureTitle"/>
        <w:ind w:left="1560" w:hanging="1560"/>
      </w:pPr>
      <w:r>
        <w:rPr>
          <w:b w:val="0"/>
        </w:rPr>
        <w:lastRenderedPageBreak/>
        <w:t xml:space="preserve">Figure </w:t>
      </w:r>
      <w:bookmarkStart w:id="29" w:name="OLE_LINK16"/>
      <w:r w:rsidR="00EC42DB">
        <w:rPr>
          <w:b w:val="0"/>
        </w:rPr>
        <w:t>11.</w:t>
      </w:r>
      <w:r w:rsidR="00C44281">
        <w:rPr>
          <w:b w:val="0"/>
          <w:noProof/>
        </w:rPr>
        <w:t>1</w:t>
      </w:r>
      <w:bookmarkEnd w:id="29"/>
      <w:r w:rsidR="00387E1D">
        <w:rPr>
          <w:b w:val="0"/>
          <w:noProof/>
        </w:rPr>
        <w:t>2</w:t>
      </w:r>
      <w:r>
        <w:tab/>
      </w:r>
      <w:r w:rsidR="006E4E2B">
        <w:t>Indigenous Australians</w:t>
      </w:r>
      <w:r w:rsidRPr="00965A7A">
        <w:t xml:space="preserve"> who received a health assessment </w:t>
      </w:r>
      <w:r w:rsidRPr="00755C7E">
        <w:t>by age</w:t>
      </w:r>
      <w:r w:rsidR="00224589" w:rsidRPr="00755C7E">
        <w:t>,</w:t>
      </w:r>
      <w:r w:rsidR="001C7B3B">
        <w:t xml:space="preserve"> 2012-13</w:t>
      </w:r>
      <w:r w:rsidR="00224589" w:rsidRPr="001C7B3B">
        <w:rPr>
          <w:rStyle w:val="NoteLabel"/>
          <w:b/>
        </w:rPr>
        <w:t>a</w:t>
      </w:r>
      <w:r w:rsidR="009738FF">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65A7A" w:rsidTr="006F085B">
        <w:tc>
          <w:tcPr>
            <w:tcW w:w="8777" w:type="dxa"/>
          </w:tcPr>
          <w:p w:rsidR="003D44B6" w:rsidRDefault="00D4699C" w:rsidP="009B3E99">
            <w:pPr>
              <w:pStyle w:val="Figure"/>
            </w:pPr>
            <w:r>
              <w:rPr>
                <w:noProof/>
              </w:rPr>
              <w:drawing>
                <wp:inline distT="0" distB="0" distL="0" distR="0">
                  <wp:extent cx="5368290" cy="2710815"/>
                  <wp:effectExtent l="0" t="0" r="3810" b="0"/>
                  <wp:docPr id="19" name="Picture 19" descr="Figure 11.12 Indigenous Australians who received a health assessment by ag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965A7A" w:rsidRPr="00944E91" w:rsidRDefault="00965A7A" w:rsidP="00356F8A">
      <w:pPr>
        <w:pStyle w:val="Note"/>
        <w:keepNext/>
      </w:pPr>
      <w:r>
        <w:rPr>
          <w:rStyle w:val="NoteLabel"/>
        </w:rPr>
        <w:t>a</w:t>
      </w:r>
      <w:r>
        <w:sym w:font="Symbol" w:char="F020"/>
      </w:r>
      <w:r w:rsidRPr="00965A7A">
        <w:t>Indigenous status is determined by self-identificati</w:t>
      </w:r>
      <w:r>
        <w:t xml:space="preserve">on. </w:t>
      </w:r>
      <w:r w:rsidR="007620D7">
        <w:t>Indigenous Australians aged 75 </w:t>
      </w:r>
      <w:r w:rsidR="007620D7" w:rsidRPr="002D6B26">
        <w:t>years</w:t>
      </w:r>
      <w:r w:rsidR="007620D7">
        <w:t> </w:t>
      </w:r>
      <w:r w:rsidR="007620D7" w:rsidRPr="002D6B26">
        <w:t>or</w:t>
      </w:r>
      <w:r w:rsidR="007620D7">
        <w:t> </w:t>
      </w:r>
      <w:r w:rsidR="007620D7" w:rsidRPr="002D6B26">
        <w:t xml:space="preserve">over may </w:t>
      </w:r>
      <w:r w:rsidR="007620D7">
        <w:t xml:space="preserve">receive </w:t>
      </w:r>
      <w:r w:rsidR="007620D7" w:rsidRPr="002D6B26">
        <w:t>the</w:t>
      </w:r>
      <w:r w:rsidR="007620D7">
        <w:t xml:space="preserve"> mainstream MBS Health Assessment for people aged 75 years or over</w:t>
      </w:r>
      <w:r w:rsidR="007620D7" w:rsidRPr="002D6B26">
        <w:t xml:space="preserve">. </w:t>
      </w:r>
      <w:r w:rsidR="00417D97">
        <w:t>T</w:t>
      </w:r>
      <w:r w:rsidRPr="00965A7A">
        <w:t xml:space="preserve">his is considered unlikely to significantly affect overall proportions due to the relatively low average life expectancy of </w:t>
      </w:r>
      <w:r w:rsidR="006E4E2B">
        <w:t>Indigenous Australians</w:t>
      </w:r>
      <w:r w:rsidRPr="004D42BF">
        <w:t>.</w:t>
      </w:r>
      <w:r w:rsidR="009738FF" w:rsidRPr="004D42BF">
        <w:t xml:space="preserve"> </w:t>
      </w:r>
      <w:r w:rsidR="009738FF" w:rsidRPr="004D42BF">
        <w:rPr>
          <w:rStyle w:val="NoteLabel"/>
        </w:rPr>
        <w:t xml:space="preserve">b </w:t>
      </w:r>
      <w:r w:rsidR="009738FF" w:rsidRPr="004D42BF">
        <w:t>Data exclude health assessments provided outside DHS Medicare under service models used to increase access for people in remote areas and for Indigenous Australians. Data are therefore likely to understate the proportion who access health assessments.</w:t>
      </w:r>
    </w:p>
    <w:p w:rsidR="00965A7A" w:rsidRPr="00965A7A" w:rsidRDefault="00965A7A" w:rsidP="003E1ADB">
      <w:pPr>
        <w:pStyle w:val="Source"/>
      </w:pPr>
      <w:r>
        <w:rPr>
          <w:i/>
        </w:rPr>
        <w:t>Source</w:t>
      </w:r>
      <w:r w:rsidRPr="00965A7A">
        <w:t>:</w:t>
      </w:r>
      <w:r>
        <w:t xml:space="preserve"> </w:t>
      </w:r>
      <w:r w:rsidR="00C84DAE">
        <w:t xml:space="preserve">Derived from </w:t>
      </w:r>
      <w:r w:rsidR="00B513D7">
        <w:t>Department of Health</w:t>
      </w:r>
      <w:r w:rsidR="00427A51" w:rsidRPr="00E144F9">
        <w:t xml:space="preserve"> (unpublished)</w:t>
      </w:r>
      <w:r w:rsidR="00427A51" w:rsidRPr="00427A51">
        <w:t xml:space="preserve"> </w:t>
      </w:r>
      <w:r w:rsidR="002D0D72">
        <w:t xml:space="preserve">MBS </w:t>
      </w:r>
      <w:r w:rsidR="00524F26">
        <w:t xml:space="preserve">Statistics </w:t>
      </w:r>
      <w:r w:rsidR="00C84DAE">
        <w:t>and</w:t>
      </w:r>
      <w:r w:rsidR="00427A51" w:rsidRPr="00E144F9">
        <w:t xml:space="preserve"> </w:t>
      </w:r>
      <w:r w:rsidR="00E965EC" w:rsidRPr="002D0D72">
        <w:t xml:space="preserve">ABS </w:t>
      </w:r>
      <w:r w:rsidR="00565917">
        <w:t>(</w:t>
      </w:r>
      <w:r w:rsidR="00E965EC" w:rsidRPr="002D0D72">
        <w:t>200</w:t>
      </w:r>
      <w:r w:rsidR="002D0D72" w:rsidRPr="002D0D72">
        <w:t>9</w:t>
      </w:r>
      <w:r w:rsidR="00565917">
        <w:t>)</w:t>
      </w:r>
      <w:r w:rsidR="00E965EC">
        <w:t xml:space="preserve"> </w:t>
      </w:r>
      <w:r w:rsidR="00E965EC" w:rsidRPr="00E965EC">
        <w:rPr>
          <w:i/>
        </w:rPr>
        <w:t xml:space="preserve">Experimental estimates and </w:t>
      </w:r>
      <w:r w:rsidR="00E965EC" w:rsidRPr="00C63CC4">
        <w:rPr>
          <w:i/>
        </w:rPr>
        <w:t xml:space="preserve">projections, Aboriginal and </w:t>
      </w:r>
      <w:smartTag w:uri="urn:schemas-microsoft-com:office:smarttags" w:element="place">
        <w:r w:rsidR="00E965EC" w:rsidRPr="00C63CC4">
          <w:rPr>
            <w:i/>
          </w:rPr>
          <w:t>Torres Strait</w:t>
        </w:r>
      </w:smartTag>
      <w:r w:rsidR="00E965EC" w:rsidRPr="00C63CC4">
        <w:rPr>
          <w:i/>
        </w:rPr>
        <w:t xml:space="preserve"> Islander Australians</w:t>
      </w:r>
      <w:r w:rsidR="002D0D72" w:rsidRPr="00C63CC4">
        <w:rPr>
          <w:i/>
        </w:rPr>
        <w:t xml:space="preserve"> 1991 to 2021</w:t>
      </w:r>
      <w:r w:rsidR="002D0D72" w:rsidRPr="00C63CC4">
        <w:t>, Cat. no. 3238.0</w:t>
      </w:r>
      <w:r w:rsidR="00E965EC" w:rsidRPr="00C63CC4">
        <w:t xml:space="preserve">; </w:t>
      </w:r>
      <w:r w:rsidR="00427A51" w:rsidRPr="00C63CC4">
        <w:t>table </w:t>
      </w:r>
      <w:r w:rsidR="00E60498" w:rsidRPr="00C63CC4">
        <w:t>11A.</w:t>
      </w:r>
      <w:r w:rsidR="00874F45">
        <w:t>29</w:t>
      </w:r>
      <w:r w:rsidRPr="00C63CC4">
        <w:t>.</w:t>
      </w:r>
    </w:p>
    <w:p w:rsidR="009E7BD6" w:rsidRDefault="000D146A" w:rsidP="00944E91">
      <w:pPr>
        <w:pStyle w:val="BodyText"/>
      </w:pPr>
      <w:r>
        <w:t xml:space="preserve">Nationally, the proportion of </w:t>
      </w:r>
      <w:r w:rsidRPr="00965A7A">
        <w:t>Indigenous primary healthcare services</w:t>
      </w:r>
      <w:r>
        <w:t xml:space="preserve"> providing early detection services varied little in the </w:t>
      </w:r>
      <w:r w:rsidRPr="002B4C46">
        <w:t>period 200</w:t>
      </w:r>
      <w:r w:rsidR="007E5EF8" w:rsidRPr="002B4C46">
        <w:t>8-09 to 201</w:t>
      </w:r>
      <w:r w:rsidR="002B4C46" w:rsidRPr="002B4C46">
        <w:t>1-12</w:t>
      </w:r>
      <w:r w:rsidR="007E5EF8" w:rsidRPr="002B4C46">
        <w:t xml:space="preserve"> (figure 11</w:t>
      </w:r>
      <w:r w:rsidR="007E5EF8">
        <w:t>.1</w:t>
      </w:r>
      <w:r w:rsidR="00387E1D">
        <w:t>3</w:t>
      </w:r>
      <w:r w:rsidR="007E5EF8">
        <w:t>).</w:t>
      </w:r>
    </w:p>
    <w:p w:rsidR="00AE7160" w:rsidRPr="00CD4521" w:rsidRDefault="00AE7160" w:rsidP="00566A91">
      <w:pPr>
        <w:pStyle w:val="FigureTitle"/>
        <w:ind w:left="1560" w:hanging="1560"/>
        <w:rPr>
          <w:rStyle w:val="NoteLabel"/>
        </w:rPr>
      </w:pPr>
      <w:r>
        <w:rPr>
          <w:b w:val="0"/>
        </w:rPr>
        <w:lastRenderedPageBreak/>
        <w:t xml:space="preserve">Figure </w:t>
      </w:r>
      <w:bookmarkStart w:id="30" w:name="OLE_LINK17"/>
      <w:r w:rsidR="00EC42DB">
        <w:rPr>
          <w:b w:val="0"/>
        </w:rPr>
        <w:t>11.</w:t>
      </w:r>
      <w:r w:rsidR="00C44281">
        <w:rPr>
          <w:b w:val="0"/>
          <w:noProof/>
        </w:rPr>
        <w:t>1</w:t>
      </w:r>
      <w:bookmarkEnd w:id="30"/>
      <w:r w:rsidR="00387E1D">
        <w:rPr>
          <w:b w:val="0"/>
          <w:noProof/>
        </w:rPr>
        <w:t>3</w:t>
      </w:r>
      <w:r>
        <w:tab/>
      </w:r>
      <w:r w:rsidRPr="00AE7160">
        <w:t xml:space="preserve">Indigenous primary healthcare services for which </w:t>
      </w:r>
      <w:r w:rsidR="007702D8" w:rsidRPr="007702D8">
        <w:t>OSR</w:t>
      </w:r>
      <w:r w:rsidRPr="007702D8">
        <w:t xml:space="preserve"> </w:t>
      </w:r>
      <w:r w:rsidRPr="00AE7160">
        <w:t>data are reported that provided early detection services</w:t>
      </w:r>
      <w:r w:rsidR="00CD4521" w:rsidRPr="00B61FBC">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E7160" w:rsidTr="00DA6A4B">
        <w:tc>
          <w:tcPr>
            <w:tcW w:w="8777" w:type="dxa"/>
          </w:tcPr>
          <w:p w:rsidR="00AE7160" w:rsidRDefault="00D4699C">
            <w:pPr>
              <w:pStyle w:val="Figure"/>
            </w:pPr>
            <w:r>
              <w:rPr>
                <w:noProof/>
              </w:rPr>
              <w:drawing>
                <wp:inline distT="0" distB="0" distL="0" distR="0">
                  <wp:extent cx="5389880" cy="2872105"/>
                  <wp:effectExtent l="0" t="0" r="1270" b="4445"/>
                  <wp:docPr id="20" name="Picture 20" descr="Figure 11.13 Indigenous primary healthcare services for which OSR data are reported that provided early detection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CD4521" w:rsidRDefault="00CD4521" w:rsidP="00CD4521">
      <w:pPr>
        <w:pStyle w:val="Note"/>
      </w:pPr>
      <w:r>
        <w:rPr>
          <w:rStyle w:val="NoteLabel"/>
        </w:rPr>
        <w:t>a</w:t>
      </w:r>
      <w:r>
        <w:t xml:space="preserve"> T</w:t>
      </w:r>
      <w:r w:rsidRPr="00CD4521">
        <w:t>he OSR data collection replaces the previous Service Activity Reporting (SAR</w:t>
      </w:r>
      <w:r>
        <w:t>) data collection from the 2008</w:t>
      </w:r>
      <w:r>
        <w:noBreakHyphen/>
      </w:r>
      <w:r w:rsidRPr="00CD4521">
        <w:t>09 reporting period.</w:t>
      </w:r>
      <w:r>
        <w:t xml:space="preserve"> Historical SAR </w:t>
      </w:r>
      <w:r w:rsidR="00AF0398">
        <w:t>data are published in previous r</w:t>
      </w:r>
      <w:r>
        <w:t>eports.</w:t>
      </w:r>
    </w:p>
    <w:p w:rsidR="002F28A6" w:rsidRPr="002F28A6" w:rsidRDefault="00AE7160" w:rsidP="004D42BF">
      <w:pPr>
        <w:pStyle w:val="Source"/>
      </w:pPr>
      <w:r w:rsidRPr="003A18E4">
        <w:rPr>
          <w:i/>
        </w:rPr>
        <w:t>Source</w:t>
      </w:r>
      <w:r w:rsidRPr="003A18E4">
        <w:t xml:space="preserve">: </w:t>
      </w:r>
      <w:r w:rsidR="000452D3" w:rsidRPr="003A18E4">
        <w:t>AIHW</w:t>
      </w:r>
      <w:r w:rsidRPr="003A18E4">
        <w:t xml:space="preserve"> </w:t>
      </w:r>
      <w:r w:rsidR="000430D4">
        <w:t>(</w:t>
      </w:r>
      <w:r w:rsidR="007751D3" w:rsidRPr="007751D3">
        <w:t>2012 and previous issues</w:t>
      </w:r>
      <w:r w:rsidR="000430D4">
        <w:t>)</w:t>
      </w:r>
      <w:r w:rsidR="007751D3" w:rsidRPr="007751D3">
        <w:t xml:space="preserve"> </w:t>
      </w:r>
      <w:r w:rsidR="007751D3" w:rsidRPr="007751D3">
        <w:rPr>
          <w:i/>
        </w:rPr>
        <w:t xml:space="preserve">Aboriginal and Torres Strait Islander health services </w:t>
      </w:r>
      <w:r w:rsidR="007751D3" w:rsidRPr="004D42BF">
        <w:rPr>
          <w:i/>
        </w:rPr>
        <w:t xml:space="preserve">report: </w:t>
      </w:r>
      <w:r w:rsidR="00A97671" w:rsidRPr="004D42BF">
        <w:rPr>
          <w:i/>
        </w:rPr>
        <w:t xml:space="preserve">online services report </w:t>
      </w:r>
      <w:r w:rsidR="007751D3" w:rsidRPr="004D42BF">
        <w:rPr>
          <w:i/>
        </w:rPr>
        <w:t>- key</w:t>
      </w:r>
      <w:r w:rsidR="007751D3" w:rsidRPr="007751D3">
        <w:rPr>
          <w:i/>
        </w:rPr>
        <w:t xml:space="preserve"> results, 2008-09, 2009-10 and 2010-11</w:t>
      </w:r>
      <w:r w:rsidR="007751D3">
        <w:t>, Cat. no.s IHW 31,</w:t>
      </w:r>
      <w:r w:rsidR="000430D4">
        <w:t xml:space="preserve"> </w:t>
      </w:r>
      <w:r w:rsidR="007751D3">
        <w:t>56</w:t>
      </w:r>
      <w:r w:rsidR="005E0F73" w:rsidRPr="005E0F73">
        <w:rPr>
          <w:lang w:val="en"/>
        </w:rPr>
        <w:t xml:space="preserve"> </w:t>
      </w:r>
      <w:r w:rsidR="005E0F73" w:rsidRPr="00C60B1C">
        <w:rPr>
          <w:lang w:val="en"/>
        </w:rPr>
        <w:t>and 79</w:t>
      </w:r>
      <w:r w:rsidR="000430D4">
        <w:t>; table </w:t>
      </w:r>
      <w:r w:rsidR="003D1BEB">
        <w:t>11A.3</w:t>
      </w:r>
      <w:r w:rsidR="00874F45">
        <w:t>0</w:t>
      </w:r>
      <w:r w:rsidR="0060338C" w:rsidRPr="003A18E4">
        <w:t>.</w:t>
      </w:r>
    </w:p>
    <w:p w:rsidR="00CD7789" w:rsidRDefault="00CC5101" w:rsidP="00561B83">
      <w:pPr>
        <w:pStyle w:val="Heading5"/>
      </w:pPr>
      <w:r>
        <w:t>D</w:t>
      </w:r>
      <w:r w:rsidR="00CD7789" w:rsidRPr="00561B83">
        <w:t>evelopmental</w:t>
      </w:r>
      <w:r>
        <w:t xml:space="preserve"> health checks</w:t>
      </w:r>
    </w:p>
    <w:p w:rsidR="00BF1008" w:rsidRPr="00C9039D" w:rsidRDefault="00CD7789" w:rsidP="0021526C">
      <w:pPr>
        <w:pStyle w:val="BodyText"/>
        <w:rPr>
          <w:rStyle w:val="DraftingNote"/>
          <w:b w:val="0"/>
          <w:color w:val="auto"/>
          <w:sz w:val="26"/>
          <w:u w:val="none"/>
        </w:rPr>
      </w:pPr>
      <w:r w:rsidRPr="006709FA">
        <w:t>‘</w:t>
      </w:r>
      <w:r w:rsidR="00CC5101">
        <w:t>D</w:t>
      </w:r>
      <w:r w:rsidRPr="006709FA">
        <w:t>evelopmental health check</w:t>
      </w:r>
      <w:r w:rsidR="00CC5101">
        <w:t>s</w:t>
      </w:r>
      <w:r w:rsidRPr="006709FA">
        <w:t>’ is an</w:t>
      </w:r>
      <w:r>
        <w:t xml:space="preserve"> </w:t>
      </w:r>
      <w:r w:rsidRPr="006709FA">
        <w:t xml:space="preserve">indicator of governments’ objective to provide </w:t>
      </w:r>
      <w:r w:rsidR="00BD2A3E">
        <w:t>equitable</w:t>
      </w:r>
      <w:r w:rsidRPr="006709FA">
        <w:t xml:space="preserve"> access to early detection and </w:t>
      </w:r>
      <w:r w:rsidR="00884427" w:rsidRPr="006709FA">
        <w:t>intervention</w:t>
      </w:r>
      <w:r w:rsidRPr="006709FA">
        <w:t xml:space="preserve"> services for children (</w:t>
      </w:r>
      <w:smartTag w:uri="urn:schemas-microsoft-com:office:smarttags" w:element="address">
        <w:smartTag w:uri="urn:schemas-microsoft-com:office:smarttags" w:element="Street">
          <w:r w:rsidRPr="006709FA">
            <w:t>box</w:t>
          </w:r>
        </w:smartTag>
        <w:r w:rsidRPr="006709FA">
          <w:t xml:space="preserve"> 11.</w:t>
        </w:r>
        <w:r w:rsidR="0078709A">
          <w:t>6</w:t>
        </w:r>
      </w:smartTag>
      <w:r w:rsidR="00F02E3C" w:rsidRPr="006709FA">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7789" w:rsidTr="00CD7789">
        <w:tc>
          <w:tcPr>
            <w:tcW w:w="8771" w:type="dxa"/>
            <w:tcBorders>
              <w:top w:val="single" w:sz="6" w:space="0" w:color="auto"/>
              <w:bottom w:val="nil"/>
            </w:tcBorders>
          </w:tcPr>
          <w:p w:rsidR="00CD7789" w:rsidRPr="00CC5101" w:rsidRDefault="00CD7789" w:rsidP="00B950BA">
            <w:pPr>
              <w:pStyle w:val="BoxTitle"/>
            </w:pPr>
            <w:r>
              <w:rPr>
                <w:b w:val="0"/>
              </w:rPr>
              <w:lastRenderedPageBreak/>
              <w:t xml:space="preserve">Box </w:t>
            </w:r>
            <w:bookmarkStart w:id="31" w:name="OLE_LINK55"/>
            <w:r w:rsidR="00EC42DB">
              <w:rPr>
                <w:b w:val="0"/>
              </w:rPr>
              <w:t>11.</w:t>
            </w:r>
            <w:r w:rsidR="00C44281">
              <w:rPr>
                <w:b w:val="0"/>
                <w:noProof/>
              </w:rPr>
              <w:t>6</w:t>
            </w:r>
            <w:bookmarkEnd w:id="31"/>
            <w:r>
              <w:tab/>
            </w:r>
            <w:r w:rsidR="00CC5101" w:rsidRPr="00CC5101">
              <w:t>Developmental health checks</w:t>
            </w:r>
          </w:p>
        </w:tc>
      </w:tr>
      <w:tr w:rsidR="00CD7789" w:rsidTr="00CD7789">
        <w:trPr>
          <w:cantSplit/>
        </w:trPr>
        <w:tc>
          <w:tcPr>
            <w:tcW w:w="8771" w:type="dxa"/>
            <w:tcBorders>
              <w:top w:val="nil"/>
              <w:left w:val="single" w:sz="6" w:space="0" w:color="auto"/>
              <w:bottom w:val="nil"/>
              <w:right w:val="single" w:sz="6" w:space="0" w:color="auto"/>
            </w:tcBorders>
          </w:tcPr>
          <w:p w:rsidR="00A16353" w:rsidRPr="00E24680" w:rsidRDefault="00753DC7" w:rsidP="00E24680">
            <w:pPr>
              <w:pStyle w:val="Box"/>
              <w:rPr>
                <w:rStyle w:val="DraftingNote"/>
                <w:b w:val="0"/>
                <w:color w:val="auto"/>
                <w:sz w:val="22"/>
                <w:u w:val="none"/>
              </w:rPr>
            </w:pPr>
            <w:r w:rsidRPr="00A97B8B">
              <w:t>‘</w:t>
            </w:r>
            <w:r w:rsidRPr="00CC5101">
              <w:t>Developmental health checks</w:t>
            </w:r>
            <w:r w:rsidRPr="00A97B8B">
              <w:t xml:space="preserve">’ </w:t>
            </w:r>
            <w:r>
              <w:t>is defined as the proportion</w:t>
            </w:r>
            <w:r w:rsidRPr="00DF475C">
              <w:t xml:space="preserve"> of children who received a</w:t>
            </w:r>
            <w:r w:rsidR="00A16353">
              <w:t xml:space="preserve"> </w:t>
            </w:r>
            <w:r w:rsidR="007E5F52">
              <w:t xml:space="preserve">fourth year </w:t>
            </w:r>
            <w:r w:rsidR="00AB437C">
              <w:t xml:space="preserve">developmental health </w:t>
            </w:r>
            <w:r w:rsidR="005C6A59">
              <w:t>assessment</w:t>
            </w:r>
            <w:r w:rsidR="0020334A">
              <w:t xml:space="preserve"> under </w:t>
            </w:r>
            <w:r w:rsidR="002D7882">
              <w:t xml:space="preserve">DHS </w:t>
            </w:r>
            <w:r w:rsidR="0020334A">
              <w:t>Medicare</w:t>
            </w:r>
            <w:r w:rsidR="00676D93">
              <w:t>,</w:t>
            </w:r>
            <w:r w:rsidR="0020334A">
              <w:t xml:space="preserve"> by health </w:t>
            </w:r>
            <w:r w:rsidR="005C6A59">
              <w:t>assessment</w:t>
            </w:r>
            <w:r w:rsidR="0020334A">
              <w:t xml:space="preserve"> type</w:t>
            </w:r>
            <w:r w:rsidR="00676D93">
              <w:t>.</w:t>
            </w:r>
            <w:r w:rsidR="0020334A">
              <w:t xml:space="preserve"> The ‘Health</w:t>
            </w:r>
            <w:r w:rsidR="00E65CF9">
              <w:t>y Kids Check</w:t>
            </w:r>
            <w:r w:rsidR="0020334A">
              <w:t xml:space="preserve">’ </w:t>
            </w:r>
            <w:r w:rsidR="00E65CF9">
              <w:t xml:space="preserve">MBS health assessment item </w:t>
            </w:r>
            <w:r w:rsidR="001E2932">
              <w:t>is available</w:t>
            </w:r>
            <w:r w:rsidR="0020334A">
              <w:t xml:space="preserve"> </w:t>
            </w:r>
            <w:r w:rsidR="00E65CF9">
              <w:t>to</w:t>
            </w:r>
            <w:r w:rsidR="0020334A">
              <w:t xml:space="preserve"> children</w:t>
            </w:r>
            <w:r w:rsidR="00320CF2">
              <w:t xml:space="preserve"> aged </w:t>
            </w:r>
            <w:r w:rsidR="00320CF2" w:rsidRPr="00DF475C">
              <w:t>3</w:t>
            </w:r>
            <w:r w:rsidR="004A1154">
              <w:t xml:space="preserve"> or 4</w:t>
            </w:r>
            <w:r w:rsidR="00320CF2">
              <w:t> </w:t>
            </w:r>
            <w:r w:rsidR="00320CF2" w:rsidRPr="00DF475C">
              <w:t>y</w:t>
            </w:r>
            <w:r w:rsidR="00320CF2">
              <w:t>ea</w:t>
            </w:r>
            <w:r w:rsidR="00320CF2" w:rsidRPr="00DF475C">
              <w:t>rs</w:t>
            </w:r>
            <w:r w:rsidR="0020334A">
              <w:t xml:space="preserve">, while </w:t>
            </w:r>
            <w:r w:rsidR="007F2249">
              <w:t>the</w:t>
            </w:r>
            <w:r w:rsidR="00E65CF9">
              <w:t xml:space="preserve"> ‘Aboriginal and Torres Strait Islander Peoples Health Assessment’ item is available to Indigenous </w:t>
            </w:r>
            <w:r w:rsidR="00085349">
              <w:t>Australians</w:t>
            </w:r>
            <w:r w:rsidR="0020334A">
              <w:t>.</w:t>
            </w:r>
          </w:p>
          <w:p w:rsidR="002C18AB" w:rsidRPr="00944E91" w:rsidRDefault="00D15C0D" w:rsidP="00CB3147">
            <w:pPr>
              <w:pStyle w:val="Box"/>
            </w:pPr>
            <w:r>
              <w:t>A</w:t>
            </w:r>
            <w:r w:rsidR="009B1DB2">
              <w:t xml:space="preserve"> high or </w:t>
            </w:r>
            <w:r>
              <w:t>increas</w:t>
            </w:r>
            <w:r w:rsidR="009B1DB2">
              <w:t>ing</w:t>
            </w:r>
            <w:r>
              <w:t xml:space="preserve"> proportion of children receiving a </w:t>
            </w:r>
            <w:r w:rsidR="0078043F">
              <w:t xml:space="preserve">fourth year </w:t>
            </w:r>
            <w:r w:rsidRPr="00DF475C">
              <w:t>development</w:t>
            </w:r>
            <w:r>
              <w:t>al</w:t>
            </w:r>
            <w:r w:rsidRPr="00DF475C">
              <w:t xml:space="preserve"> health </w:t>
            </w:r>
            <w:r w:rsidR="005C6A59">
              <w:t xml:space="preserve">assessment </w:t>
            </w:r>
            <w:r>
              <w:t>is desirable as it suggests imp</w:t>
            </w:r>
            <w:r w:rsidR="0054483E">
              <w:t>roved access to these services.</w:t>
            </w:r>
          </w:p>
          <w:p w:rsidR="00320CF2" w:rsidRDefault="002E3D33" w:rsidP="00237361">
            <w:pPr>
              <w:pStyle w:val="Box"/>
            </w:pPr>
            <w:r w:rsidRPr="007C02C1">
              <w:t xml:space="preserve">The proportion of </w:t>
            </w:r>
            <w:r w:rsidR="00414E11">
              <w:t xml:space="preserve">Indigenous </w:t>
            </w:r>
            <w:r w:rsidRPr="007C02C1">
              <w:t xml:space="preserve">children </w:t>
            </w:r>
            <w:r>
              <w:t>aged 3</w:t>
            </w:r>
            <w:r w:rsidR="004A1154">
              <w:t xml:space="preserve"> </w:t>
            </w:r>
            <w:r w:rsidR="003D1863">
              <w:t>t</w:t>
            </w:r>
            <w:r w:rsidR="004A1154">
              <w:t xml:space="preserve">o </w:t>
            </w:r>
            <w:r w:rsidR="003D1863">
              <w:t>5</w:t>
            </w:r>
            <w:r>
              <w:t xml:space="preserve"> years who received </w:t>
            </w:r>
            <w:r w:rsidR="006516C4">
              <w:t>the</w:t>
            </w:r>
            <w:r w:rsidR="00414E11">
              <w:t xml:space="preserve"> </w:t>
            </w:r>
            <w:r w:rsidRPr="007C02C1">
              <w:t>Aboriginal and Torres Str</w:t>
            </w:r>
            <w:r>
              <w:t xml:space="preserve">ait Islander </w:t>
            </w:r>
            <w:r w:rsidR="00320CF2">
              <w:t>Peoples</w:t>
            </w:r>
            <w:r>
              <w:t xml:space="preserve"> Health </w:t>
            </w:r>
            <w:r w:rsidR="00320CF2">
              <w:t>Assessment</w:t>
            </w:r>
            <w:r w:rsidRPr="007C02C1">
              <w:t xml:space="preserve"> is </w:t>
            </w:r>
            <w:r w:rsidR="007C41D1">
              <w:t>reported</w:t>
            </w:r>
            <w:r w:rsidRPr="007C02C1">
              <w:t xml:space="preserve"> as a proxy for the proportion of Indigenous children who receive</w:t>
            </w:r>
            <w:r>
              <w:t xml:space="preserve">d a fourth year developmental health </w:t>
            </w:r>
            <w:r w:rsidR="005C6A59">
              <w:t>assessment</w:t>
            </w:r>
            <w:r>
              <w:t>.</w:t>
            </w:r>
            <w:r w:rsidR="003D1863">
              <w:t xml:space="preserve"> </w:t>
            </w:r>
            <w:r w:rsidR="003D1863" w:rsidRPr="003D1863">
              <w:t>The proportion of</w:t>
            </w:r>
            <w:r w:rsidR="003D1863">
              <w:t xml:space="preserve"> non-</w:t>
            </w:r>
            <w:r w:rsidR="003D1863" w:rsidRPr="003D1863">
              <w:t xml:space="preserve">Indigenous children </w:t>
            </w:r>
            <w:r w:rsidR="003D1863">
              <w:t xml:space="preserve">who received a Healthy Kids Check or, </w:t>
            </w:r>
            <w:r w:rsidR="00CF228C">
              <w:t xml:space="preserve">for those who did not receive a Healthy Kids Check, </w:t>
            </w:r>
            <w:r w:rsidR="003D1863">
              <w:t>received a Health assessment at the age of 5 years</w:t>
            </w:r>
            <w:r w:rsidR="00CF228C">
              <w:t xml:space="preserve">, is </w:t>
            </w:r>
            <w:r w:rsidR="006A681E">
              <w:t>reported</w:t>
            </w:r>
            <w:r w:rsidR="00CF228C">
              <w:t xml:space="preserve"> </w:t>
            </w:r>
            <w:r w:rsidR="00F4557B">
              <w:t xml:space="preserve">as </w:t>
            </w:r>
            <w:r w:rsidR="00CF228C">
              <w:t xml:space="preserve">a proxy for the </w:t>
            </w:r>
            <w:r w:rsidR="00CF228C" w:rsidRPr="003D1863">
              <w:t>proportion of</w:t>
            </w:r>
            <w:r w:rsidR="006A681E">
              <w:t xml:space="preserve"> non</w:t>
            </w:r>
            <w:r w:rsidR="006A681E">
              <w:noBreakHyphen/>
            </w:r>
            <w:r w:rsidR="00CF228C" w:rsidRPr="003D1863">
              <w:t>Indigenous children</w:t>
            </w:r>
            <w:r w:rsidR="003D1863">
              <w:t xml:space="preserve"> </w:t>
            </w:r>
            <w:r w:rsidR="00CF228C" w:rsidRPr="007C02C1">
              <w:t>who receive</w:t>
            </w:r>
            <w:r w:rsidR="00CF228C">
              <w:t xml:space="preserve">d a fourth year developmental health </w:t>
            </w:r>
            <w:r w:rsidR="005C6A59">
              <w:t>assessment</w:t>
            </w:r>
            <w:r w:rsidR="00CF228C">
              <w:t>.</w:t>
            </w:r>
          </w:p>
          <w:p w:rsidR="002C18AB" w:rsidRDefault="002C18AB" w:rsidP="00237361">
            <w:pPr>
              <w:pStyle w:val="Box"/>
            </w:pPr>
            <w:r>
              <w:t xml:space="preserve">Fourth year developmental health </w:t>
            </w:r>
            <w:r w:rsidR="005C6A59">
              <w:t xml:space="preserve">assessment </w:t>
            </w:r>
            <w:r>
              <w:t xml:space="preserve">are intended to assess children’s </w:t>
            </w:r>
            <w:r w:rsidRPr="00EE0237">
              <w:t>physical health, general wellbeing and development</w:t>
            </w:r>
            <w:r>
              <w:t xml:space="preserve">. They enable identification of children who are </w:t>
            </w:r>
            <w:r w:rsidRPr="00A97B8B">
              <w:t>at high risk fo</w:t>
            </w:r>
            <w:r>
              <w:t>r</w:t>
            </w:r>
            <w:r w:rsidRPr="00A97B8B">
              <w:t xml:space="preserve"> </w:t>
            </w:r>
            <w:r>
              <w:t>or</w:t>
            </w:r>
            <w:r w:rsidR="0055352B">
              <w:t>,</w:t>
            </w:r>
            <w:r>
              <w:t xml:space="preserve"> have early signs of</w:t>
            </w:r>
            <w:r w:rsidR="0055352B">
              <w:t>,</w:t>
            </w:r>
            <w:r>
              <w:t xml:space="preserve"> delayed development and/or illness.</w:t>
            </w:r>
            <w:r w:rsidRPr="00A97B8B">
              <w:t xml:space="preserve"> </w:t>
            </w:r>
            <w:r>
              <w:t xml:space="preserve">Early identification provides the opportunity for </w:t>
            </w:r>
            <w:r w:rsidRPr="00A97B8B">
              <w:t>timely prevention and intervention measures</w:t>
            </w:r>
            <w:r>
              <w:t xml:space="preserve"> that can ensure that children are healthy, fit and ready to learn when they start schooling.</w:t>
            </w:r>
          </w:p>
          <w:p w:rsidR="00237361" w:rsidRDefault="00237361" w:rsidP="00237361">
            <w:pPr>
              <w:pStyle w:val="Box"/>
            </w:pPr>
            <w:r>
              <w:t xml:space="preserve">This indicator provides no information about </w:t>
            </w:r>
            <w:r w:rsidRPr="00DF475C">
              <w:t>development</w:t>
            </w:r>
            <w:r>
              <w:t>al</w:t>
            </w:r>
            <w:r w:rsidRPr="00DF475C">
              <w:t xml:space="preserve"> </w:t>
            </w:r>
            <w:r>
              <w:t xml:space="preserve">health checks for children that are provided outside </w:t>
            </w:r>
            <w:r w:rsidR="002D7882">
              <w:t>DHS Medicare</w:t>
            </w:r>
            <w:r w:rsidR="001407C3">
              <w:t>, as comparable data for such services are not available for all jurisdictions</w:t>
            </w:r>
            <w:r>
              <w:t xml:space="preserve">. </w:t>
            </w:r>
            <w:r w:rsidR="001407C3">
              <w:t>These</w:t>
            </w:r>
            <w:r>
              <w:t xml:space="preserve"> </w:t>
            </w:r>
            <w:r w:rsidR="006516C4">
              <w:t xml:space="preserve">checks </w:t>
            </w:r>
            <w:r>
              <w:t>are provided in the community, for example, maternal and child health services, community health centres, early childhood settings and the school</w:t>
            </w:r>
            <w:r w:rsidR="001407C3">
              <w:t xml:space="preserve"> education</w:t>
            </w:r>
            <w:r>
              <w:t xml:space="preserve"> sector. Accordingly, this indicator understates the proportion of children who receive </w:t>
            </w:r>
            <w:r w:rsidRPr="00DF475C">
              <w:t xml:space="preserve">a </w:t>
            </w:r>
            <w:r>
              <w:t>fourth</w:t>
            </w:r>
            <w:r w:rsidRPr="00DF475C">
              <w:t xml:space="preserve"> year development</w:t>
            </w:r>
            <w:r>
              <w:t>al</w:t>
            </w:r>
            <w:r w:rsidRPr="00DF475C">
              <w:t xml:space="preserve"> health check</w:t>
            </w:r>
            <w:r>
              <w:t>.</w:t>
            </w:r>
          </w:p>
          <w:p w:rsidR="002A6F67" w:rsidRDefault="002A6F67" w:rsidP="002A6F67">
            <w:pPr>
              <w:pStyle w:val="BoxListBullet"/>
            </w:pPr>
            <w:r w:rsidRPr="002A6F67">
              <w:t xml:space="preserve">comparable (subject to caveats) across jurisdictions but a break in series means that data for </w:t>
            </w:r>
            <w:r>
              <w:t>2012-13</w:t>
            </w:r>
            <w:r w:rsidRPr="002A6F67">
              <w:t xml:space="preserve"> are not comparable to </w:t>
            </w:r>
            <w:r>
              <w:t>historical data</w:t>
            </w:r>
          </w:p>
          <w:p w:rsidR="00237361" w:rsidRDefault="002A6F67" w:rsidP="002A6F67">
            <w:pPr>
              <w:pStyle w:val="BoxListBullet"/>
            </w:pPr>
            <w:r w:rsidRPr="002A6F67">
              <w:t xml:space="preserve">complete (subject to caveats) for the current reporting period. All required </w:t>
            </w:r>
            <w:r>
              <w:t>2012</w:t>
            </w:r>
            <w:r>
              <w:noBreakHyphen/>
              <w:t>13</w:t>
            </w:r>
            <w:r w:rsidRPr="002A6F67">
              <w:t xml:space="preserve"> data are available for all jurisdictions</w:t>
            </w:r>
            <w:r w:rsidR="00237361">
              <w:t>.</w:t>
            </w:r>
          </w:p>
          <w:p w:rsidR="0054483E" w:rsidRPr="0054483E" w:rsidRDefault="00355023" w:rsidP="00355023">
            <w:pPr>
              <w:pStyle w:val="Box"/>
            </w:pPr>
            <w:r w:rsidRPr="0027351B">
              <w:t xml:space="preserve">Data quality information </w:t>
            </w:r>
            <w:r w:rsidR="001D3C59">
              <w:t>for this indicator</w:t>
            </w:r>
            <w:r w:rsidR="00B86109" w:rsidRPr="00B86109">
              <w:t xml:space="preserve"> is at </w:t>
            </w:r>
            <w:r w:rsidR="00460F41">
              <w:t>www.pc.</w:t>
            </w:r>
            <w:r w:rsidR="00460F41" w:rsidRPr="003A18E4">
              <w:t>gov.au/gsp/reports/</w:t>
            </w:r>
            <w:r w:rsidR="009E5543">
              <w:t>rogs/2014</w:t>
            </w:r>
            <w:r w:rsidR="00237361" w:rsidRPr="003A18E4">
              <w:t>.</w:t>
            </w:r>
          </w:p>
        </w:tc>
      </w:tr>
      <w:tr w:rsidR="00CD7789" w:rsidTr="00CD7789">
        <w:trPr>
          <w:cantSplit/>
        </w:trPr>
        <w:tc>
          <w:tcPr>
            <w:tcW w:w="8771" w:type="dxa"/>
            <w:tcBorders>
              <w:top w:val="nil"/>
              <w:left w:val="single" w:sz="6" w:space="0" w:color="auto"/>
              <w:bottom w:val="single" w:sz="6" w:space="0" w:color="auto"/>
              <w:right w:val="single" w:sz="6" w:space="0" w:color="auto"/>
            </w:tcBorders>
          </w:tcPr>
          <w:p w:rsidR="00CD7789" w:rsidRDefault="00CD7789" w:rsidP="00B950BA">
            <w:pPr>
              <w:pStyle w:val="Box"/>
              <w:spacing w:before="0" w:line="120" w:lineRule="exact"/>
            </w:pPr>
          </w:p>
        </w:tc>
      </w:tr>
      <w:tr w:rsidR="00CD7789" w:rsidTr="00CD7789">
        <w:tc>
          <w:tcPr>
            <w:tcW w:w="8771" w:type="dxa"/>
            <w:tcBorders>
              <w:top w:val="nil"/>
              <w:left w:val="nil"/>
              <w:bottom w:val="nil"/>
              <w:right w:val="nil"/>
            </w:tcBorders>
          </w:tcPr>
          <w:p w:rsidR="00CD7789" w:rsidRDefault="00CD7789" w:rsidP="00B950BA">
            <w:pPr>
              <w:pStyle w:val="Box"/>
              <w:keepNext w:val="0"/>
              <w:spacing w:before="60" w:after="60" w:line="80" w:lineRule="exact"/>
              <w:rPr>
                <w:b/>
                <w:color w:val="FF00FF"/>
                <w:sz w:val="14"/>
              </w:rPr>
            </w:pPr>
          </w:p>
        </w:tc>
      </w:tr>
    </w:tbl>
    <w:p w:rsidR="005106FA" w:rsidRPr="00BD4DA5" w:rsidRDefault="00BF7463" w:rsidP="00BD4DA5">
      <w:pPr>
        <w:pStyle w:val="BodyText"/>
        <w:rPr>
          <w:rStyle w:val="DraftingNote"/>
          <w:b w:val="0"/>
          <w:color w:val="auto"/>
          <w:sz w:val="26"/>
          <w:u w:val="none"/>
        </w:rPr>
      </w:pPr>
      <w:r>
        <w:t>Nationally</w:t>
      </w:r>
      <w:r w:rsidRPr="00141D0A">
        <w:t xml:space="preserve">, </w:t>
      </w:r>
      <w:r w:rsidR="003B4400" w:rsidRPr="00141D0A">
        <w:t>5</w:t>
      </w:r>
      <w:r w:rsidR="00660C50" w:rsidRPr="00141D0A">
        <w:t>2</w:t>
      </w:r>
      <w:r w:rsidR="003B4400" w:rsidRPr="00141D0A">
        <w:t>.8</w:t>
      </w:r>
      <w:r w:rsidR="00777B0B" w:rsidRPr="00141D0A">
        <w:t xml:space="preserve"> </w:t>
      </w:r>
      <w:r w:rsidRPr="00141D0A">
        <w:t>per cent of children received</w:t>
      </w:r>
      <w:r>
        <w:t xml:space="preserve"> a </w:t>
      </w:r>
      <w:r w:rsidR="0053462C">
        <w:t>fourth</w:t>
      </w:r>
      <w:r w:rsidR="00AA6741">
        <w:t xml:space="preserve"> year </w:t>
      </w:r>
      <w:r>
        <w:t xml:space="preserve">developmental health check under </w:t>
      </w:r>
      <w:r w:rsidR="002D7882" w:rsidRPr="002D7882">
        <w:t xml:space="preserve">DHS Medicare </w:t>
      </w:r>
      <w:r w:rsidR="001A2480" w:rsidRPr="003A18E4">
        <w:t xml:space="preserve">in </w:t>
      </w:r>
      <w:r w:rsidR="001A2480" w:rsidRPr="003B4400">
        <w:t>20</w:t>
      </w:r>
      <w:r w:rsidR="00794B9C" w:rsidRPr="003B4400">
        <w:t>1</w:t>
      </w:r>
      <w:r w:rsidR="003B4400" w:rsidRPr="003B4400">
        <w:t>2</w:t>
      </w:r>
      <w:r w:rsidR="001A2480" w:rsidRPr="003B4400">
        <w:t>-1</w:t>
      </w:r>
      <w:r w:rsidR="003B4400" w:rsidRPr="003B4400">
        <w:t>3</w:t>
      </w:r>
      <w:r w:rsidR="00EE214A">
        <w:t xml:space="preserve">. </w:t>
      </w:r>
      <w:r w:rsidR="00A70B20" w:rsidRPr="003A18E4">
        <w:t>T</w:t>
      </w:r>
      <w:r w:rsidR="00AA6741" w:rsidRPr="003A18E4">
        <w:t>he</w:t>
      </w:r>
      <w:r w:rsidR="00AA6741">
        <w:t xml:space="preserve"> proportion of </w:t>
      </w:r>
      <w:r w:rsidR="00414E11">
        <w:t xml:space="preserve">Indigenous </w:t>
      </w:r>
      <w:r w:rsidR="00453289">
        <w:t xml:space="preserve">children who received </w:t>
      </w:r>
      <w:r w:rsidR="00CA077F">
        <w:t>a</w:t>
      </w:r>
      <w:r w:rsidR="00E20F29">
        <w:t>n</w:t>
      </w:r>
      <w:r w:rsidR="00453289">
        <w:t xml:space="preserve"> </w:t>
      </w:r>
      <w:r w:rsidR="00453289" w:rsidRPr="00453289">
        <w:t xml:space="preserve">Aboriginal and Torres Strait Islander </w:t>
      </w:r>
      <w:r w:rsidR="00414E11">
        <w:t>Peoples</w:t>
      </w:r>
      <w:r w:rsidR="00453289" w:rsidRPr="00453289">
        <w:t xml:space="preserve"> Health </w:t>
      </w:r>
      <w:r w:rsidR="00414E11">
        <w:t>Assessment</w:t>
      </w:r>
      <w:r w:rsidR="00453289">
        <w:t xml:space="preserve"> </w:t>
      </w:r>
      <w:r w:rsidR="00B8251A">
        <w:t xml:space="preserve">in their fourth year </w:t>
      </w:r>
      <w:r w:rsidR="00453289">
        <w:t xml:space="preserve">was </w:t>
      </w:r>
      <w:r w:rsidR="00453289" w:rsidRPr="00CB0861">
        <w:t xml:space="preserve">higher </w:t>
      </w:r>
      <w:r w:rsidR="00453289">
        <w:t>than</w:t>
      </w:r>
      <w:r w:rsidR="00453289" w:rsidRPr="00CB0861">
        <w:t xml:space="preserve"> the </w:t>
      </w:r>
      <w:r w:rsidR="00453289">
        <w:t xml:space="preserve">proportion of </w:t>
      </w:r>
      <w:r w:rsidR="00AA6741">
        <w:t xml:space="preserve">children </w:t>
      </w:r>
      <w:r w:rsidR="00453289">
        <w:t>who</w:t>
      </w:r>
      <w:r w:rsidR="00AA6741">
        <w:t xml:space="preserve"> received </w:t>
      </w:r>
      <w:r w:rsidR="00676D93">
        <w:t>a</w:t>
      </w:r>
      <w:r w:rsidR="00AA6741">
        <w:t xml:space="preserve"> </w:t>
      </w:r>
      <w:r w:rsidR="00A70B20">
        <w:t>Healthy Kids Check</w:t>
      </w:r>
      <w:r w:rsidR="00414E11">
        <w:t xml:space="preserve"> </w:t>
      </w:r>
      <w:r w:rsidR="00A70B20">
        <w:t>i</w:t>
      </w:r>
      <w:r w:rsidR="00A70B20" w:rsidRPr="00CB0861">
        <w:t xml:space="preserve">n </w:t>
      </w:r>
      <w:r w:rsidR="00A70B20">
        <w:t xml:space="preserve">most </w:t>
      </w:r>
      <w:r w:rsidR="00A70B20" w:rsidRPr="00CB0861">
        <w:t xml:space="preserve">jurisdictions </w:t>
      </w:r>
      <w:r w:rsidR="00CB0861">
        <w:t xml:space="preserve">(figure </w:t>
      </w:r>
      <w:r w:rsidR="00CB0861" w:rsidRPr="005101BC">
        <w:t>11.1</w:t>
      </w:r>
      <w:r w:rsidR="00F25CBB">
        <w:t>4</w:t>
      </w:r>
      <w:r w:rsidR="00CB0861" w:rsidRPr="005101BC">
        <w:t>)</w:t>
      </w:r>
      <w:r w:rsidR="00001351">
        <w:t>.</w:t>
      </w:r>
    </w:p>
    <w:p w:rsidR="00845B3B" w:rsidRDefault="00845B3B" w:rsidP="00584945">
      <w:pPr>
        <w:pStyle w:val="FigureTitle"/>
      </w:pPr>
      <w:r>
        <w:rPr>
          <w:b w:val="0"/>
        </w:rPr>
        <w:lastRenderedPageBreak/>
        <w:t xml:space="preserve">Figure </w:t>
      </w:r>
      <w:r w:rsidR="00EC42DB">
        <w:rPr>
          <w:b w:val="0"/>
        </w:rPr>
        <w:t>11.</w:t>
      </w:r>
      <w:r w:rsidR="00F25CBB">
        <w:rPr>
          <w:b w:val="0"/>
          <w:noProof/>
        </w:rPr>
        <w:t>14</w:t>
      </w:r>
      <w:r>
        <w:tab/>
        <w:t xml:space="preserve">Children who received a </w:t>
      </w:r>
      <w:r w:rsidR="0053462C">
        <w:t>fourth</w:t>
      </w:r>
      <w:r>
        <w:t xml:space="preserve"> year developmental</w:t>
      </w:r>
      <w:r w:rsidR="000777F3">
        <w:t xml:space="preserve"> </w:t>
      </w:r>
      <w:r>
        <w:t xml:space="preserve">health </w:t>
      </w:r>
      <w:r w:rsidRPr="005E24A3">
        <w:t xml:space="preserve">check, by </w:t>
      </w:r>
      <w:r w:rsidR="00C031B0" w:rsidRPr="005E24A3">
        <w:t>health check type</w:t>
      </w:r>
      <w:r w:rsidR="00B543FC" w:rsidRPr="005E24A3">
        <w:t xml:space="preserve">, </w:t>
      </w:r>
      <w:r w:rsidR="00B543FC" w:rsidRPr="001F2F67">
        <w:t>20</w:t>
      </w:r>
      <w:r w:rsidR="00794B9C" w:rsidRPr="001F2F67">
        <w:t>1</w:t>
      </w:r>
      <w:r w:rsidR="001F2F67" w:rsidRPr="001F2F67">
        <w:t>2</w:t>
      </w:r>
      <w:r w:rsidR="00B543FC" w:rsidRPr="001F2F67">
        <w:t>-1</w:t>
      </w:r>
      <w:r w:rsidR="001F2F67" w:rsidRPr="001F2F67">
        <w:t>3</w:t>
      </w:r>
      <w:r w:rsidRPr="001F2F67">
        <w:rPr>
          <w:rStyle w:val="NoteLabel"/>
          <w:b/>
        </w:rPr>
        <w:t>a</w:t>
      </w:r>
      <w:r w:rsidR="00B543FC" w:rsidRPr="005E24A3">
        <w:rPr>
          <w:rStyle w:val="NoteLabel"/>
          <w:b/>
        </w:rPr>
        <w:t>, b, c</w:t>
      </w:r>
      <w:r w:rsidR="00B66A54" w:rsidRPr="005E24A3">
        <w:rPr>
          <w:rStyle w:val="NoteLabel"/>
          <w:b/>
        </w:rPr>
        <w:t>, d</w:t>
      </w:r>
      <w:r w:rsidR="00F22508" w:rsidRPr="005E24A3">
        <w:rPr>
          <w:rStyle w:val="NoteLabel"/>
          <w:b/>
        </w:rPr>
        <w:t>, e</w:t>
      </w:r>
      <w:r w:rsidR="005106FA">
        <w:rPr>
          <w:rStyle w:val="NoteLabel"/>
          <w:b/>
        </w:rPr>
        <w:t>, f</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845B3B" w:rsidTr="00E20F29">
        <w:tc>
          <w:tcPr>
            <w:tcW w:w="8777" w:type="dxa"/>
            <w:tcBorders>
              <w:top w:val="single" w:sz="6" w:space="0" w:color="auto"/>
              <w:bottom w:val="single" w:sz="6" w:space="0" w:color="auto"/>
              <w:right w:val="nil"/>
            </w:tcBorders>
          </w:tcPr>
          <w:p w:rsidR="00845B3B" w:rsidRDefault="00D4699C">
            <w:pPr>
              <w:pStyle w:val="Figure"/>
            </w:pPr>
            <w:r>
              <w:rPr>
                <w:noProof/>
              </w:rPr>
              <w:drawing>
                <wp:inline distT="0" distB="0" distL="0" distR="0">
                  <wp:extent cx="5389880" cy="2710815"/>
                  <wp:effectExtent l="0" t="0" r="1270" b="0"/>
                  <wp:docPr id="21" name="Picture 21" descr="Figure 11.14 Children who received a fourth year developmental health check, by health check typ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9007E3" w:rsidRPr="00944E91" w:rsidRDefault="00845B3B" w:rsidP="001F4F99">
      <w:pPr>
        <w:pStyle w:val="Note"/>
      </w:pPr>
      <w:r w:rsidRPr="00EF5318">
        <w:rPr>
          <w:rStyle w:val="NoteLabel"/>
        </w:rPr>
        <w:t>a</w:t>
      </w:r>
      <w:r w:rsidRPr="00EF5318">
        <w:sym w:font="Symbol" w:char="F020"/>
      </w:r>
      <w:r w:rsidR="0063382A" w:rsidRPr="00EF5318">
        <w:t xml:space="preserve">Limited to health checks available under </w:t>
      </w:r>
      <w:r w:rsidR="002D7882" w:rsidRPr="002D7882">
        <w:t>DHS Medicare</w:t>
      </w:r>
      <w:r w:rsidR="0063382A" w:rsidRPr="00EF5318">
        <w:t xml:space="preserve">. </w:t>
      </w:r>
      <w:r w:rsidR="0063382A" w:rsidRPr="00EF5318">
        <w:rPr>
          <w:rStyle w:val="NoteLabel"/>
        </w:rPr>
        <w:t>b</w:t>
      </w:r>
      <w:r w:rsidR="0063382A" w:rsidRPr="00EF5318">
        <w:sym w:font="Symbol" w:char="F020"/>
      </w:r>
      <w:r w:rsidR="00EC0748" w:rsidRPr="00EC0748">
        <w:t xml:space="preserve"> </w:t>
      </w:r>
      <w:r w:rsidR="00EC0748" w:rsidRPr="00B57790">
        <w:t>Aboriginal and Torres Strait Islander People</w:t>
      </w:r>
      <w:r w:rsidR="00EC0748">
        <w:t>s</w:t>
      </w:r>
      <w:r w:rsidR="00EC0748" w:rsidRPr="00B57790">
        <w:t xml:space="preserve"> Health Assessment</w:t>
      </w:r>
      <w:r w:rsidR="00753385">
        <w:t xml:space="preserve"> data</w:t>
      </w:r>
      <w:r w:rsidR="00EC0748">
        <w:t xml:space="preserve"> include claims for MBS </w:t>
      </w:r>
      <w:r w:rsidR="00EC0748" w:rsidRPr="00B57790">
        <w:t>Item 715</w:t>
      </w:r>
      <w:r w:rsidR="009007E3" w:rsidRPr="009007E3">
        <w:t xml:space="preserve"> </w:t>
      </w:r>
      <w:r w:rsidR="009007E3" w:rsidRPr="00EF5318">
        <w:t xml:space="preserve">for children aged </w:t>
      </w:r>
      <w:r w:rsidR="009007E3">
        <w:t>3–5</w:t>
      </w:r>
      <w:r w:rsidR="009007E3" w:rsidRPr="00EF5318">
        <w:t xml:space="preserve"> years.</w:t>
      </w:r>
      <w:r w:rsidR="00EC0748" w:rsidRPr="00B57790">
        <w:t xml:space="preserve"> </w:t>
      </w:r>
      <w:r w:rsidR="0063382A" w:rsidRPr="00EF5318">
        <w:rPr>
          <w:rStyle w:val="NoteLabel"/>
        </w:rPr>
        <w:t>c</w:t>
      </w:r>
      <w:r w:rsidR="008A1473">
        <w:t> </w:t>
      </w:r>
      <w:r w:rsidR="009007E3" w:rsidRPr="006149C3">
        <w:t>Healthy Kids Check</w:t>
      </w:r>
      <w:r w:rsidR="00710769">
        <w:t xml:space="preserve"> data</w:t>
      </w:r>
      <w:r w:rsidR="009007E3">
        <w:t xml:space="preserve"> </w:t>
      </w:r>
      <w:r w:rsidR="008A6AD3">
        <w:t>i</w:t>
      </w:r>
      <w:r w:rsidRPr="00EF5318">
        <w:t xml:space="preserve">nclude claims for MBS </w:t>
      </w:r>
      <w:r w:rsidR="006149C3" w:rsidRPr="006149C3">
        <w:t>Items 701, 703, 705, 707</w:t>
      </w:r>
      <w:r w:rsidR="004D2C7E">
        <w:t xml:space="preserve"> </w:t>
      </w:r>
      <w:r w:rsidR="006149C3" w:rsidRPr="006149C3">
        <w:t>and 10</w:t>
      </w:r>
      <w:r w:rsidR="00A6151B">
        <w:t> </w:t>
      </w:r>
      <w:r w:rsidR="006149C3" w:rsidRPr="006149C3">
        <w:t xml:space="preserve">986 </w:t>
      </w:r>
      <w:r w:rsidRPr="00EF5318">
        <w:t>for chi</w:t>
      </w:r>
      <w:r w:rsidR="0063382A" w:rsidRPr="00EF5318">
        <w:t xml:space="preserve">ldren aged </w:t>
      </w:r>
      <w:r w:rsidR="00D32B56">
        <w:t>3–</w:t>
      </w:r>
      <w:r w:rsidR="00F4557B">
        <w:t>5</w:t>
      </w:r>
      <w:r w:rsidR="0063382A" w:rsidRPr="00EF5318">
        <w:t xml:space="preserve"> years.</w:t>
      </w:r>
      <w:r w:rsidR="00B66A54">
        <w:t xml:space="preserve"> </w:t>
      </w:r>
      <w:r w:rsidR="00B66A54" w:rsidRPr="009007E3">
        <w:rPr>
          <w:rStyle w:val="NoteLabel"/>
        </w:rPr>
        <w:t xml:space="preserve">d </w:t>
      </w:r>
      <w:r w:rsidR="009007E3">
        <w:t xml:space="preserve">Children are counted once only; where a child received both types of health check </w:t>
      </w:r>
      <w:r w:rsidR="009007E3" w:rsidRPr="00A76208">
        <w:t xml:space="preserve">during the reference period </w:t>
      </w:r>
      <w:r w:rsidR="009007E3">
        <w:t>they are</w:t>
      </w:r>
      <w:r w:rsidR="009007E3" w:rsidRPr="00A76208">
        <w:t xml:space="preserve"> counted against the Aboriginal and Torres Strait Islander </w:t>
      </w:r>
      <w:r w:rsidR="009007E3">
        <w:t>Peoples H</w:t>
      </w:r>
      <w:r w:rsidR="009007E3" w:rsidRPr="00A76208">
        <w:t>ealth assessment</w:t>
      </w:r>
      <w:r w:rsidR="009007E3">
        <w:t xml:space="preserve">. </w:t>
      </w:r>
      <w:r w:rsidR="00F22508" w:rsidRPr="009007E3">
        <w:rPr>
          <w:rStyle w:val="NoteLabel"/>
        </w:rPr>
        <w:t xml:space="preserve">e </w:t>
      </w:r>
      <w:r w:rsidR="009007E3">
        <w:t xml:space="preserve">Healthy Kids Check data include Indigenous children who received </w:t>
      </w:r>
      <w:r w:rsidR="0092462C">
        <w:t>a</w:t>
      </w:r>
      <w:r w:rsidR="009007E3">
        <w:t xml:space="preserve"> Healthy Kids Check </w:t>
      </w:r>
      <w:r w:rsidR="002165DC">
        <w:t>provided they did</w:t>
      </w:r>
      <w:r w:rsidR="009007E3">
        <w:t xml:space="preserve"> not </w:t>
      </w:r>
      <w:r w:rsidR="002165DC">
        <w:t xml:space="preserve">also receive </w:t>
      </w:r>
      <w:r w:rsidR="0092462C">
        <w:t>a</w:t>
      </w:r>
      <w:r w:rsidR="009007E3">
        <w:t xml:space="preserve"> </w:t>
      </w:r>
      <w:r w:rsidR="009007E3" w:rsidRPr="00A76208">
        <w:t>Aborigi</w:t>
      </w:r>
      <w:r w:rsidR="009007E3">
        <w:t>nal and Torres Strait Islander Peoples H</w:t>
      </w:r>
      <w:r w:rsidR="002165DC">
        <w:t>ealth A</w:t>
      </w:r>
      <w:r w:rsidR="009007E3" w:rsidRPr="00A76208">
        <w:t>ssessment</w:t>
      </w:r>
      <w:r w:rsidR="0092462C" w:rsidRPr="0092462C">
        <w:t xml:space="preserve"> </w:t>
      </w:r>
      <w:r w:rsidR="0092462C" w:rsidRPr="00A76208">
        <w:t xml:space="preserve">during the </w:t>
      </w:r>
      <w:r w:rsidR="001F2F67">
        <w:t xml:space="preserve">same or a previous </w:t>
      </w:r>
      <w:r w:rsidR="0092462C" w:rsidRPr="00A76208">
        <w:t>reference period</w:t>
      </w:r>
      <w:r w:rsidR="002A4BFF">
        <w:t>.</w:t>
      </w:r>
      <w:r w:rsidR="005106FA">
        <w:t xml:space="preserve"> </w:t>
      </w:r>
      <w:r w:rsidR="005106FA">
        <w:rPr>
          <w:rStyle w:val="NoteLabel"/>
        </w:rPr>
        <w:t>f</w:t>
      </w:r>
      <w:r w:rsidR="005106FA" w:rsidRPr="009007E3">
        <w:rPr>
          <w:rStyle w:val="NoteLabel"/>
        </w:rPr>
        <w:t xml:space="preserve"> </w:t>
      </w:r>
      <w:r w:rsidR="005106FA" w:rsidRPr="005106FA">
        <w:t>The populations used to derive the Indigenous Australians and non-Indigenous Australians’ rates are based on the 2006 Census.</w:t>
      </w:r>
    </w:p>
    <w:p w:rsidR="00176191" w:rsidRPr="00176191" w:rsidRDefault="00845B3B" w:rsidP="00584945">
      <w:pPr>
        <w:pStyle w:val="Note"/>
      </w:pPr>
      <w:r w:rsidRPr="00E55D02">
        <w:rPr>
          <w:i/>
        </w:rPr>
        <w:t>Source</w:t>
      </w:r>
      <w:r w:rsidRPr="00EF5318">
        <w:t xml:space="preserve">: </w:t>
      </w:r>
      <w:r w:rsidR="00B513D7">
        <w:t>Department of Health</w:t>
      </w:r>
      <w:r w:rsidRPr="00EF5318">
        <w:t xml:space="preserve"> (unpublished) </w:t>
      </w:r>
      <w:r w:rsidR="00EF5318">
        <w:t xml:space="preserve">MBS </w:t>
      </w:r>
      <w:r w:rsidR="00524F26">
        <w:t>Statistics</w:t>
      </w:r>
      <w:r w:rsidR="00EF5318">
        <w:t>;</w:t>
      </w:r>
      <w:r w:rsidRPr="00EF5318">
        <w:t xml:space="preserve"> ABS (20</w:t>
      </w:r>
      <w:r w:rsidR="00A76208">
        <w:t>09</w:t>
      </w:r>
      <w:r w:rsidRPr="00EF5318">
        <w:t xml:space="preserve">) </w:t>
      </w:r>
      <w:r w:rsidRPr="00A76208">
        <w:rPr>
          <w:i/>
        </w:rPr>
        <w:t xml:space="preserve">Experimental estimates and projections, Aboriginal and </w:t>
      </w:r>
      <w:smartTag w:uri="urn:schemas-microsoft-com:office:smarttags" w:element="place">
        <w:r w:rsidRPr="00A76208">
          <w:rPr>
            <w:i/>
          </w:rPr>
          <w:t>Torres Strait</w:t>
        </w:r>
      </w:smartTag>
      <w:r w:rsidRPr="00A76208">
        <w:rPr>
          <w:i/>
        </w:rPr>
        <w:t xml:space="preserve"> Islander Australians 1991 to 2021</w:t>
      </w:r>
      <w:r w:rsidRPr="00EF5318">
        <w:t>, Cat. no. 3238.0</w:t>
      </w:r>
      <w:r w:rsidR="00EF5318">
        <w:t>;</w:t>
      </w:r>
      <w:r w:rsidRPr="00EF5318">
        <w:t xml:space="preserve"> ABS</w:t>
      </w:r>
      <w:r w:rsidR="000F0AF1">
        <w:t xml:space="preserve"> (unpublished)</w:t>
      </w:r>
      <w:r w:rsidR="003423F7">
        <w:t xml:space="preserve"> </w:t>
      </w:r>
      <w:r w:rsidR="000F0AF1" w:rsidRPr="008F622B">
        <w:rPr>
          <w:i/>
        </w:rPr>
        <w:t xml:space="preserve">Australian </w:t>
      </w:r>
      <w:r w:rsidR="000F0AF1" w:rsidRPr="005E24A3">
        <w:rPr>
          <w:i/>
        </w:rPr>
        <w:t>demographic statistics</w:t>
      </w:r>
      <w:r w:rsidR="000F0AF1" w:rsidRPr="005E24A3">
        <w:t xml:space="preserve">, Cat. no. 3101.0; </w:t>
      </w:r>
      <w:r w:rsidRPr="005E24A3">
        <w:t>table </w:t>
      </w:r>
      <w:r w:rsidR="00874F45">
        <w:t>11A.31</w:t>
      </w:r>
      <w:r w:rsidRPr="005E24A3">
        <w:t>.</w:t>
      </w:r>
    </w:p>
    <w:p w:rsidR="00AE7160" w:rsidRDefault="00AE7160" w:rsidP="00EB32FF">
      <w:pPr>
        <w:pStyle w:val="Heading3"/>
      </w:pPr>
      <w:r>
        <w:t>Effectiveness</w:t>
      </w:r>
    </w:p>
    <w:p w:rsidR="00AE7160" w:rsidRDefault="00AE7160" w:rsidP="00AE7160">
      <w:pPr>
        <w:pStyle w:val="Heading4"/>
      </w:pPr>
      <w:r>
        <w:t>Access</w:t>
      </w:r>
    </w:p>
    <w:p w:rsidR="00176FEB" w:rsidRDefault="00176FEB" w:rsidP="00AE7160">
      <w:pPr>
        <w:pStyle w:val="Heading5"/>
      </w:pPr>
      <w:r>
        <w:t>Effectiveness of access to GPs</w:t>
      </w:r>
    </w:p>
    <w:p w:rsidR="007E3A16" w:rsidRDefault="00176FEB" w:rsidP="00944E91">
      <w:pPr>
        <w:pStyle w:val="BodyText"/>
      </w:pPr>
      <w:r>
        <w:t>‘</w:t>
      </w:r>
      <w:r w:rsidRPr="00176FEB">
        <w:t>Effectiveness of access to GPs</w:t>
      </w:r>
      <w:r>
        <w:t xml:space="preserve">’ is an indicator of governments’ objective to provide </w:t>
      </w:r>
      <w:r w:rsidR="002B3840">
        <w:t>effective</w:t>
      </w:r>
      <w:r w:rsidRPr="00351BBC">
        <w:t xml:space="preserve"> access to</w:t>
      </w:r>
      <w:r w:rsidR="00351BBC" w:rsidRPr="00351BBC">
        <w:t xml:space="preserve"> primary healthcare services</w:t>
      </w:r>
      <w:r w:rsidR="0078709A">
        <w:t xml:space="preserve"> (</w:t>
      </w:r>
      <w:smartTag w:uri="urn:schemas-microsoft-com:office:smarttags" w:element="address">
        <w:smartTag w:uri="urn:schemas-microsoft-com:office:smarttags" w:element="Street">
          <w:r w:rsidR="0078709A">
            <w:t>box</w:t>
          </w:r>
        </w:smartTag>
        <w:r w:rsidR="0078709A">
          <w:t> 11.7</w:t>
        </w:r>
      </w:smartTag>
      <w:r w:rsidR="0078709A">
        <w:t>)</w:t>
      </w:r>
      <w:r w:rsidR="00351BBC" w:rsidRPr="00351BBC">
        <w:t>.</w:t>
      </w:r>
      <w:r w:rsidR="002B3840">
        <w:t xml:space="preserve"> </w:t>
      </w:r>
      <w:r w:rsidR="00CE16B6">
        <w:t>The effectiveness of services can vary according to the affordability and timeliness of services that people can access.</w:t>
      </w:r>
    </w:p>
    <w:p w:rsidR="007E3A16" w:rsidRDefault="007E3A1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E3A16">
        <w:tc>
          <w:tcPr>
            <w:tcW w:w="8771" w:type="dxa"/>
            <w:tcBorders>
              <w:top w:val="single" w:sz="6" w:space="0" w:color="auto"/>
              <w:bottom w:val="nil"/>
            </w:tcBorders>
          </w:tcPr>
          <w:p w:rsidR="007E3A16" w:rsidRPr="007E3A16" w:rsidRDefault="007E3A16" w:rsidP="00EC5F05">
            <w:pPr>
              <w:pStyle w:val="BoxTitle"/>
            </w:pPr>
            <w:r>
              <w:rPr>
                <w:b w:val="0"/>
              </w:rPr>
              <w:t>Box 11.</w:t>
            </w:r>
            <w:r w:rsidR="00EC5F05">
              <w:rPr>
                <w:b w:val="0"/>
              </w:rPr>
              <w:t>7</w:t>
            </w:r>
            <w:r>
              <w:tab/>
            </w:r>
            <w:r w:rsidRPr="007E3A16">
              <w:t>Effectiveness of access to GPs</w:t>
            </w:r>
          </w:p>
        </w:tc>
      </w:tr>
      <w:tr w:rsidR="007E3A16">
        <w:trPr>
          <w:cantSplit/>
        </w:trPr>
        <w:tc>
          <w:tcPr>
            <w:tcW w:w="8771" w:type="dxa"/>
            <w:tcBorders>
              <w:top w:val="nil"/>
              <w:left w:val="single" w:sz="6" w:space="0" w:color="auto"/>
              <w:bottom w:val="nil"/>
              <w:right w:val="single" w:sz="6" w:space="0" w:color="auto"/>
            </w:tcBorders>
          </w:tcPr>
          <w:p w:rsidR="007E3A16" w:rsidRPr="004C1535" w:rsidRDefault="007E3A16" w:rsidP="007E3A16">
            <w:pPr>
              <w:pStyle w:val="Box"/>
            </w:pPr>
            <w:r w:rsidRPr="004C1535">
              <w:t>‘Effectiveness of access to GPs’ is defined by four measures:</w:t>
            </w:r>
          </w:p>
          <w:p w:rsidR="007E3A16" w:rsidRPr="004C1535" w:rsidRDefault="007E3A16" w:rsidP="007E3A16">
            <w:pPr>
              <w:pStyle w:val="BoxListBullet"/>
            </w:pPr>
            <w:r w:rsidRPr="004C1535">
              <w:t>bulk billing rates, defined as the number of GP visits that were bulk billed as a proportion of all GP visits</w:t>
            </w:r>
          </w:p>
          <w:p w:rsidR="007E3A16" w:rsidRPr="004C1535" w:rsidRDefault="007E3A16" w:rsidP="007E3A16">
            <w:pPr>
              <w:pStyle w:val="BoxListBullet"/>
            </w:pPr>
            <w:r w:rsidRPr="004C1535">
              <w:t>people deferring visits to GPs due to financial barriers, defined as the proportion of people who delayed seeing or did not see a GP due to cost</w:t>
            </w:r>
          </w:p>
          <w:p w:rsidR="007E3A16" w:rsidRPr="004C1535" w:rsidRDefault="007E3A16" w:rsidP="007E3A16">
            <w:pPr>
              <w:pStyle w:val="BoxListBullet"/>
            </w:pPr>
            <w:r w:rsidRPr="004C1535">
              <w:t>GP waiting times, defined as the number of people who saw a GP for urgent medical care within specified waiting time categories in the previous 12 months, divided by the number of people who saw a GP for urgent medical care in the previous 12 months. Specified waiting time categories are:</w:t>
            </w:r>
          </w:p>
          <w:p w:rsidR="007E3A16" w:rsidRPr="004C1535" w:rsidRDefault="007E3A16" w:rsidP="007E3A16">
            <w:pPr>
              <w:pStyle w:val="BoxListBullet2"/>
            </w:pPr>
            <w:r w:rsidRPr="004C1535">
              <w:t>less than 4 hours</w:t>
            </w:r>
          </w:p>
          <w:p w:rsidR="007E3A16" w:rsidRPr="004C1535" w:rsidRDefault="007E3A16" w:rsidP="007E3A16">
            <w:pPr>
              <w:pStyle w:val="BoxListBullet2"/>
            </w:pPr>
            <w:r w:rsidRPr="004C1535">
              <w:t xml:space="preserve">4 to </w:t>
            </w:r>
            <w:r>
              <w:t xml:space="preserve">less than </w:t>
            </w:r>
            <w:r w:rsidRPr="004C1535">
              <w:t>24 hours</w:t>
            </w:r>
          </w:p>
          <w:p w:rsidR="007E3A16" w:rsidRPr="004C1535" w:rsidRDefault="007E3A16" w:rsidP="007E3A16">
            <w:pPr>
              <w:pStyle w:val="BoxListBullet2"/>
            </w:pPr>
            <w:r w:rsidRPr="004C1535">
              <w:t>24 hours</w:t>
            </w:r>
            <w:r>
              <w:t xml:space="preserve"> or</w:t>
            </w:r>
            <w:r w:rsidRPr="004C1535">
              <w:t xml:space="preserve"> more</w:t>
            </w:r>
          </w:p>
          <w:p w:rsidR="007E3A16" w:rsidRDefault="007E3A16" w:rsidP="007E3A16">
            <w:pPr>
              <w:pStyle w:val="BoxListBullet"/>
            </w:pPr>
            <w:r w:rsidRPr="004C1535">
              <w:t>potentially avoidable present</w:t>
            </w:r>
            <w:r>
              <w:t xml:space="preserve">ations to emergency departments </w:t>
            </w:r>
            <w:r>
              <w:rPr>
                <w:rFonts w:cs="Arial"/>
              </w:rPr>
              <w:t xml:space="preserve">— </w:t>
            </w:r>
            <w:r>
              <w:t>two measures,</w:t>
            </w:r>
            <w:r w:rsidRPr="004C1535">
              <w:t xml:space="preserve"> defined as</w:t>
            </w:r>
            <w:r>
              <w:t>:</w:t>
            </w:r>
          </w:p>
          <w:p w:rsidR="007E3A16" w:rsidRPr="004C1535" w:rsidRDefault="007E3A16" w:rsidP="007E3A16">
            <w:pPr>
              <w:pStyle w:val="BoxListBullet2"/>
            </w:pPr>
            <w:r>
              <w:t>the proportion of people who visited a hospital emergency department for care they thought at the time could have been provided by a GP</w:t>
            </w:r>
          </w:p>
          <w:p w:rsidR="007E3A16" w:rsidRPr="004C1535" w:rsidRDefault="007E3A16" w:rsidP="007E3A16">
            <w:pPr>
              <w:pStyle w:val="BoxListBullet2"/>
            </w:pPr>
            <w:r w:rsidRPr="004C1535">
              <w:t>the number of selected ‘GP-type presentations’ to emergency departments, where selected GP-type presentations are those:</w:t>
            </w:r>
          </w:p>
          <w:p w:rsidR="007E3A16" w:rsidRPr="004C1535" w:rsidRDefault="007E3A16" w:rsidP="007E3A16">
            <w:pPr>
              <w:pStyle w:val="BoxListBullet3"/>
            </w:pPr>
            <w:r w:rsidRPr="004C1535">
              <w:t>allocated to triage category 4 or 5</w:t>
            </w:r>
          </w:p>
          <w:p w:rsidR="007E3A16" w:rsidRPr="004C1535" w:rsidRDefault="007E3A16" w:rsidP="007E3A16">
            <w:pPr>
              <w:pStyle w:val="BoxListBullet3"/>
            </w:pPr>
            <w:r w:rsidRPr="004C1535">
              <w:t>not arriving by ambulance, with police or corrections</w:t>
            </w:r>
          </w:p>
          <w:p w:rsidR="007E3A16" w:rsidRPr="004C1535" w:rsidRDefault="007E3A16" w:rsidP="007E3A16">
            <w:pPr>
              <w:pStyle w:val="BoxListBullet3"/>
            </w:pPr>
            <w:r w:rsidRPr="004C1535">
              <w:t>not admitted or referred to another hospital</w:t>
            </w:r>
          </w:p>
          <w:p w:rsidR="007E3A16" w:rsidRDefault="007E3A16" w:rsidP="007E3A16">
            <w:pPr>
              <w:pStyle w:val="BoxListBullet3"/>
            </w:pPr>
            <w:r>
              <w:t>who did not die.</w:t>
            </w:r>
          </w:p>
          <w:p w:rsidR="007E3A16" w:rsidRDefault="007E3A16" w:rsidP="007E3A16">
            <w:pPr>
              <w:pStyle w:val="Box"/>
            </w:pPr>
            <w:r w:rsidRPr="004C1535">
              <w:t>A high or increasing proportion of bulk billed attendances can indicate more affordable access to GP services. GP visits that are bulk billed do not require patients to pay part of the cost of the visit, while GP visits that are not bulk billed do. This measure does not provide information on whether the services are appropriate for the needs of the people receiving them.</w:t>
            </w:r>
          </w:p>
          <w:p w:rsidR="007E3A16" w:rsidRDefault="007E3A16" w:rsidP="007E3A16">
            <w:pPr>
              <w:pStyle w:val="Box"/>
            </w:pPr>
            <w:r>
              <w:t>Data reported for this measure are:</w:t>
            </w:r>
          </w:p>
          <w:p w:rsidR="007E3A16" w:rsidRDefault="007E3A16" w:rsidP="007E3A16">
            <w:pPr>
              <w:pStyle w:val="BoxListBullet"/>
            </w:pPr>
            <w:r>
              <w:t xml:space="preserve">comparable (subject to caveats) across jurisdictions </w:t>
            </w:r>
            <w:r w:rsidRPr="0001501E">
              <w:t>and over time</w:t>
            </w:r>
          </w:p>
          <w:p w:rsidR="007E3A16" w:rsidRDefault="007E3A16" w:rsidP="007E3A16">
            <w:pPr>
              <w:pStyle w:val="BoxListBullet"/>
            </w:pPr>
            <w:r>
              <w:t>complete (subject to caveats) for the current reporting period. All required 2012</w:t>
            </w:r>
            <w:r>
              <w:noBreakHyphen/>
              <w:t>13 data are available for all jurisdictions.</w:t>
            </w:r>
          </w:p>
          <w:p w:rsidR="007E3A16" w:rsidRDefault="007E3A16" w:rsidP="007E3A16">
            <w:pPr>
              <w:pStyle w:val="Box"/>
            </w:pPr>
            <w:r w:rsidRPr="004C1535">
              <w:t xml:space="preserve">A low or decreasing proportion of people deferring visits to GPs due to financial barriers indicates more widely affordable access to GPs. </w:t>
            </w:r>
          </w:p>
          <w:p w:rsidR="007E3A16" w:rsidRDefault="007E3A16" w:rsidP="007E3A16">
            <w:pPr>
              <w:pStyle w:val="Box"/>
            </w:pPr>
            <w:r>
              <w:t>Data reported for this measure are:</w:t>
            </w:r>
          </w:p>
          <w:p w:rsidR="007E3A16" w:rsidRDefault="007E3A16" w:rsidP="007E3A16">
            <w:pPr>
              <w:pStyle w:val="BoxListBullet"/>
            </w:pPr>
            <w:r>
              <w:t xml:space="preserve">comparable (subject to caveats) across </w:t>
            </w:r>
            <w:r w:rsidRPr="009254B9">
              <w:t>jurisdictions but not comparable over time</w:t>
            </w:r>
          </w:p>
          <w:p w:rsidR="007E3A16" w:rsidRDefault="007E3A16" w:rsidP="00C77FA2">
            <w:pPr>
              <w:pStyle w:val="BoxListBullet"/>
            </w:pPr>
            <w:r>
              <w:t>complete (subject to caveats) for the current reporting period. All required 2012</w:t>
            </w:r>
            <w:r>
              <w:noBreakHyphen/>
              <w:t>13 data are available for all jurisdictions.</w:t>
            </w:r>
          </w:p>
          <w:p w:rsidR="007E3A16" w:rsidRDefault="007E3A16" w:rsidP="007E3A16">
            <w:pPr>
              <w:pStyle w:val="Continued"/>
            </w:pPr>
            <w:r>
              <w:t>(Continued next pa</w:t>
            </w:r>
            <w:r w:rsidRPr="00C95ADC">
              <w:t>ge)</w:t>
            </w:r>
          </w:p>
        </w:tc>
      </w:tr>
      <w:tr w:rsidR="007E3A16">
        <w:trPr>
          <w:cantSplit/>
        </w:trPr>
        <w:tc>
          <w:tcPr>
            <w:tcW w:w="8771" w:type="dxa"/>
            <w:tcBorders>
              <w:top w:val="nil"/>
              <w:left w:val="single" w:sz="6" w:space="0" w:color="auto"/>
              <w:bottom w:val="single" w:sz="6" w:space="0" w:color="auto"/>
              <w:right w:val="single" w:sz="6" w:space="0" w:color="auto"/>
            </w:tcBorders>
          </w:tcPr>
          <w:p w:rsidR="007E3A16" w:rsidRDefault="007E3A16">
            <w:pPr>
              <w:pStyle w:val="Box"/>
              <w:spacing w:before="0" w:line="120" w:lineRule="exact"/>
            </w:pPr>
          </w:p>
        </w:tc>
      </w:tr>
      <w:tr w:rsidR="007E3A16" w:rsidRPr="000863A5">
        <w:tc>
          <w:tcPr>
            <w:tcW w:w="8771" w:type="dxa"/>
            <w:tcBorders>
              <w:top w:val="nil"/>
              <w:left w:val="nil"/>
              <w:bottom w:val="nil"/>
              <w:right w:val="nil"/>
            </w:tcBorders>
          </w:tcPr>
          <w:p w:rsidR="007E3A16" w:rsidRPr="00626D32" w:rsidRDefault="007E3A16" w:rsidP="009B2A59">
            <w:pPr>
              <w:pStyle w:val="BoxSpaceBelow"/>
            </w:pPr>
          </w:p>
        </w:tc>
      </w:tr>
    </w:tbl>
    <w:p w:rsidR="00C95ADC" w:rsidRDefault="00C95ADC" w:rsidP="0071004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5ADC" w:rsidTr="00EC5F05">
        <w:tc>
          <w:tcPr>
            <w:tcW w:w="8771" w:type="dxa"/>
            <w:tcBorders>
              <w:top w:val="single" w:sz="6" w:space="0" w:color="auto"/>
              <w:bottom w:val="nil"/>
            </w:tcBorders>
          </w:tcPr>
          <w:p w:rsidR="00C95ADC" w:rsidRDefault="00C95ADC" w:rsidP="00604EBE">
            <w:pPr>
              <w:pStyle w:val="BoxTitle"/>
            </w:pPr>
            <w:smartTag w:uri="urn:schemas-microsoft-com:office:smarttags" w:element="Street">
              <w:r>
                <w:rPr>
                  <w:b w:val="0"/>
                </w:rPr>
                <w:t>Box</w:t>
              </w:r>
            </w:smartTag>
            <w:r>
              <w:rPr>
                <w:b w:val="0"/>
              </w:rPr>
              <w:t xml:space="preserve"> 11.7</w:t>
            </w:r>
            <w:r>
              <w:tab/>
            </w:r>
            <w:r w:rsidRPr="001A63CD">
              <w:rPr>
                <w:sz w:val="18"/>
                <w:szCs w:val="18"/>
              </w:rPr>
              <w:t>(Continued)</w:t>
            </w:r>
          </w:p>
        </w:tc>
      </w:tr>
      <w:tr w:rsidR="00C77FA2" w:rsidRPr="004C1535" w:rsidTr="00EC5F05">
        <w:trPr>
          <w:cantSplit/>
        </w:trPr>
        <w:tc>
          <w:tcPr>
            <w:tcW w:w="8771" w:type="dxa"/>
            <w:tcBorders>
              <w:top w:val="nil"/>
              <w:left w:val="single" w:sz="6" w:space="0" w:color="auto"/>
              <w:bottom w:val="single" w:sz="4" w:space="0" w:color="auto"/>
              <w:right w:val="single" w:sz="6" w:space="0" w:color="auto"/>
            </w:tcBorders>
            <w:shd w:val="clear" w:color="auto" w:fill="auto"/>
          </w:tcPr>
          <w:p w:rsidR="00C77FA2" w:rsidRDefault="00C77FA2" w:rsidP="009B2A59">
            <w:pPr>
              <w:pStyle w:val="Box"/>
            </w:pPr>
            <w:r w:rsidRPr="004C1535">
              <w:t xml:space="preserve">A high or increasing proportion of people who saw a GP within 4 hours for urgent medical care indicates more timely access to GPs. </w:t>
            </w:r>
          </w:p>
          <w:p w:rsidR="00C77FA2" w:rsidRDefault="00C77FA2" w:rsidP="009B2A59">
            <w:pPr>
              <w:pStyle w:val="Box"/>
            </w:pPr>
            <w:r>
              <w:t>Data reported for this measure are:</w:t>
            </w:r>
          </w:p>
          <w:p w:rsidR="00C77FA2" w:rsidRDefault="00C77FA2" w:rsidP="009B2A59">
            <w:pPr>
              <w:pStyle w:val="BoxListBullet"/>
            </w:pPr>
            <w:r>
              <w:t xml:space="preserve">comparable (subject to caveats) across jurisdictions and </w:t>
            </w:r>
            <w:r w:rsidRPr="009254B9">
              <w:t>comparable over time for 2011-12 and 2012-13 but not for previous years</w:t>
            </w:r>
          </w:p>
          <w:p w:rsidR="00C77FA2" w:rsidRDefault="00C77FA2" w:rsidP="009B2A59">
            <w:pPr>
              <w:pStyle w:val="BoxListBullet"/>
            </w:pPr>
            <w:r>
              <w:t>complete (subject to caveats) for the current reporting period. All required 2012</w:t>
            </w:r>
            <w:r>
              <w:noBreakHyphen/>
              <w:t>13 data are available for all jurisdictions.</w:t>
            </w:r>
          </w:p>
          <w:p w:rsidR="00C77FA2" w:rsidRDefault="00C77FA2" w:rsidP="009B2A59">
            <w:pPr>
              <w:pStyle w:val="Box"/>
            </w:pPr>
            <w:r w:rsidRPr="004C1535">
              <w:t>A low or decreasing proportion of potentially avoidable presentations to emergency departments can indicate better access to primary and community health care.</w:t>
            </w:r>
          </w:p>
          <w:p w:rsidR="00C77FA2" w:rsidRDefault="00C77FA2" w:rsidP="009B2A59">
            <w:pPr>
              <w:pStyle w:val="Box"/>
            </w:pPr>
            <w:r>
              <w:t>Data reported for this measure are:</w:t>
            </w:r>
          </w:p>
          <w:p w:rsidR="00EC5F05" w:rsidRDefault="00EC5F05" w:rsidP="00EC5F05">
            <w:pPr>
              <w:pStyle w:val="BoxListBullet"/>
            </w:pPr>
            <w:r w:rsidRPr="00226A5B">
              <w:t xml:space="preserve">comparable (subject to caveats) within some jurisdictions over time but </w:t>
            </w:r>
            <w:r>
              <w:t>are</w:t>
            </w:r>
            <w:r w:rsidRPr="00226A5B">
              <w:t xml:space="preserve"> not comparable within other jurisdictions </w:t>
            </w:r>
            <w:r>
              <w:t xml:space="preserve">over time or </w:t>
            </w:r>
            <w:r w:rsidRPr="00226A5B">
              <w:t>across jurisdictions (see caveats in attachment tab</w:t>
            </w:r>
            <w:r>
              <w:t>les for specific jurisdictions)</w:t>
            </w:r>
          </w:p>
          <w:p w:rsidR="00EC5F05" w:rsidRPr="004C1535" w:rsidRDefault="00EC5F05" w:rsidP="00EC5F05">
            <w:pPr>
              <w:pStyle w:val="BoxListBullet"/>
            </w:pPr>
            <w:r>
              <w:t>complete (subject to caveats) for the current reporting period. All required 2012</w:t>
            </w:r>
            <w:r>
              <w:noBreakHyphen/>
              <w:t>13 data are available for all jurisdictions.</w:t>
            </w:r>
          </w:p>
          <w:p w:rsidR="00EC5F05" w:rsidRPr="0001501E" w:rsidRDefault="00355023" w:rsidP="00355023">
            <w:pPr>
              <w:pStyle w:val="Box"/>
            </w:pPr>
            <w:r w:rsidRPr="0027351B">
              <w:t xml:space="preserve">Data quality information </w:t>
            </w:r>
            <w:r w:rsidR="00EC5F05" w:rsidRPr="00B86109">
              <w:t xml:space="preserve">for this </w:t>
            </w:r>
            <w:r w:rsidR="00EC5F05">
              <w:t>indicator</w:t>
            </w:r>
            <w:r w:rsidR="00EC5F05" w:rsidRPr="00B86109">
              <w:t xml:space="preserve"> is at </w:t>
            </w:r>
            <w:r w:rsidR="00EC5F05" w:rsidRPr="004C1535">
              <w:t>www.pc.gov.au/gsp/reports/</w:t>
            </w:r>
            <w:r w:rsidR="00EC5F05">
              <w:t>rogs/2014</w:t>
            </w:r>
            <w:r w:rsidR="00EC5F05" w:rsidRPr="004C1535">
              <w:t>.</w:t>
            </w:r>
          </w:p>
        </w:tc>
      </w:tr>
      <w:tr w:rsidR="00C77FA2" w:rsidTr="00EC5F05">
        <w:tc>
          <w:tcPr>
            <w:tcW w:w="8771" w:type="dxa"/>
            <w:tcBorders>
              <w:top w:val="single" w:sz="4" w:space="0" w:color="auto"/>
              <w:left w:val="nil"/>
              <w:bottom w:val="nil"/>
              <w:right w:val="nil"/>
            </w:tcBorders>
          </w:tcPr>
          <w:p w:rsidR="00C77FA2" w:rsidRDefault="00C77FA2">
            <w:pPr>
              <w:pStyle w:val="Box"/>
              <w:keepNext w:val="0"/>
              <w:spacing w:before="60" w:after="60" w:line="80" w:lineRule="exact"/>
              <w:rPr>
                <w:b/>
                <w:color w:val="FF00FF"/>
                <w:sz w:val="14"/>
              </w:rPr>
            </w:pPr>
          </w:p>
        </w:tc>
      </w:tr>
    </w:tbl>
    <w:p w:rsidR="00D60E9F" w:rsidRPr="00D77D61" w:rsidRDefault="00D60E9F" w:rsidP="00D60E9F">
      <w:pPr>
        <w:pStyle w:val="Heading5"/>
      </w:pPr>
      <w:r w:rsidRPr="00D77D61">
        <w:t>Effectiveness of access to GPs</w:t>
      </w:r>
      <w:r>
        <w:t xml:space="preserve"> — bulk billing rates</w:t>
      </w:r>
    </w:p>
    <w:p w:rsidR="00D60E9F" w:rsidRPr="00234A99" w:rsidRDefault="00D60E9F" w:rsidP="00D60E9F">
      <w:pPr>
        <w:pStyle w:val="BodyText"/>
      </w:pPr>
      <w:r w:rsidRPr="00234A99">
        <w:t>Patient visits to GPs are either bulk billed, or the patient is required to pay part of the cost of the visit. GP visits are classed as non</w:t>
      </w:r>
      <w:r>
        <w:noBreakHyphen/>
      </w:r>
      <w:r w:rsidRPr="00234A99">
        <w:t xml:space="preserve">referred attendances under </w:t>
      </w:r>
      <w:r>
        <w:t>DHS</w:t>
      </w:r>
      <w:r w:rsidRPr="002D7882">
        <w:t xml:space="preserve"> Medicare</w:t>
      </w:r>
      <w:r w:rsidRPr="00234A99">
        <w:t xml:space="preserve">. Where a patient is bulk billed they make no out-of-pocket contribution; the GP bills </w:t>
      </w:r>
      <w:r w:rsidRPr="002D7882">
        <w:t xml:space="preserve">DHS Medicare </w:t>
      </w:r>
      <w:r w:rsidRPr="00234A99">
        <w:t>directly and, since 1 January 2005, receives 100</w:t>
      </w:r>
      <w:r>
        <w:t> </w:t>
      </w:r>
      <w:r w:rsidRPr="00234A99">
        <w:t>per</w:t>
      </w:r>
      <w:r>
        <w:t> </w:t>
      </w:r>
      <w:r w:rsidRPr="00234A99">
        <w:t xml:space="preserve">cent of the Schedule fee (the patient rebate) as full payment for the service. The 100 per cent </w:t>
      </w:r>
      <w:r w:rsidRPr="002D7882">
        <w:t xml:space="preserve">DHS Medicare </w:t>
      </w:r>
      <w:r w:rsidRPr="00234A99">
        <w:t>rebate applies to most GP services.</w:t>
      </w:r>
    </w:p>
    <w:p w:rsidR="00D60E9F" w:rsidRPr="00944E91" w:rsidRDefault="00D60E9F" w:rsidP="00D60E9F">
      <w:pPr>
        <w:pStyle w:val="BodyText"/>
      </w:pPr>
      <w:r>
        <w:t>Nationally, the bulk </w:t>
      </w:r>
      <w:r w:rsidRPr="0042128A">
        <w:t xml:space="preserve">billed </w:t>
      </w:r>
      <w:r w:rsidRPr="000A78DF">
        <w:t>proportion of non</w:t>
      </w:r>
      <w:r w:rsidRPr="000A78DF">
        <w:noBreakHyphen/>
        <w:t xml:space="preserve">referred attendances, including those </w:t>
      </w:r>
      <w:r w:rsidRPr="007C5C32">
        <w:t>by practice nurses, was</w:t>
      </w:r>
      <w:r>
        <w:t xml:space="preserve"> </w:t>
      </w:r>
      <w:r w:rsidRPr="002F2F5F">
        <w:t>82.3 per cent in 2012</w:t>
      </w:r>
      <w:r w:rsidRPr="002F2F5F">
        <w:noBreakHyphen/>
        <w:t>13. For most jurisdictions, this proportion increased in the period 200</w:t>
      </w:r>
      <w:r>
        <w:t>8</w:t>
      </w:r>
      <w:r w:rsidRPr="002F2F5F">
        <w:t>-0</w:t>
      </w:r>
      <w:r>
        <w:t>9</w:t>
      </w:r>
      <w:r w:rsidRPr="002F2F5F">
        <w:t xml:space="preserve"> to 2012</w:t>
      </w:r>
      <w:r w:rsidRPr="002F2F5F">
        <w:noBreakHyphen/>
        <w:t>13</w:t>
      </w:r>
      <w:r w:rsidRPr="007C5C32">
        <w:t xml:space="preserve"> (figure 11.1</w:t>
      </w:r>
      <w:r>
        <w:t>5)</w:t>
      </w:r>
      <w:r w:rsidRPr="007C5C32">
        <w:t xml:space="preserve">. </w:t>
      </w:r>
      <w:r w:rsidRPr="002F2F5F">
        <w:t>Th</w:t>
      </w:r>
      <w:r>
        <w:t>e bulk billed proportion of non</w:t>
      </w:r>
      <w:r>
        <w:noBreakHyphen/>
      </w:r>
      <w:r w:rsidRPr="002F2F5F">
        <w:t>referred attendances was higher in very remote areas than in major cities,  where the proportion was in turn higher than in inner regional, outer region</w:t>
      </w:r>
      <w:r>
        <w:t>al and remote areas (table 11A.32</w:t>
      </w:r>
      <w:r w:rsidRPr="007C5C32">
        <w:t>).</w:t>
      </w:r>
      <w:r>
        <w:t xml:space="preserve"> The bulk </w:t>
      </w:r>
      <w:r w:rsidRPr="0042128A">
        <w:t xml:space="preserve">billed </w:t>
      </w:r>
      <w:r w:rsidRPr="000A78DF">
        <w:t>proportion of non</w:t>
      </w:r>
      <w:r w:rsidRPr="000A78DF">
        <w:noBreakHyphen/>
        <w:t>referred attendances</w:t>
      </w:r>
      <w:r>
        <w:t xml:space="preserve"> </w:t>
      </w:r>
      <w:r w:rsidRPr="007C5C32">
        <w:t xml:space="preserve">was </w:t>
      </w:r>
      <w:r w:rsidRPr="002F2F5F">
        <w:t>higher</w:t>
      </w:r>
      <w:r w:rsidRPr="007C5C32">
        <w:t xml:space="preserve"> for children</w:t>
      </w:r>
      <w:r>
        <w:t xml:space="preserve"> under 16 years and older people than for people </w:t>
      </w:r>
      <w:r w:rsidRPr="007C5C32">
        <w:t>aged 16 to 64 years (table 11A.</w:t>
      </w:r>
      <w:r>
        <w:t>34</w:t>
      </w:r>
      <w:r w:rsidRPr="007C5C32">
        <w:t>).</w:t>
      </w:r>
    </w:p>
    <w:p w:rsidR="00D60E9F" w:rsidRPr="0042128A" w:rsidRDefault="00D60E9F" w:rsidP="00D60E9F">
      <w:pPr>
        <w:pStyle w:val="FigureTitle"/>
        <w:ind w:left="1560" w:hanging="1560"/>
      </w:pPr>
      <w:r>
        <w:rPr>
          <w:b w:val="0"/>
        </w:rPr>
        <w:lastRenderedPageBreak/>
        <w:t xml:space="preserve">Figure </w:t>
      </w:r>
      <w:bookmarkStart w:id="32" w:name="OLE_LINK19"/>
      <w:r>
        <w:rPr>
          <w:b w:val="0"/>
        </w:rPr>
        <w:t>11.</w:t>
      </w:r>
      <w:r>
        <w:rPr>
          <w:b w:val="0"/>
          <w:noProof/>
        </w:rPr>
        <w:t>1</w:t>
      </w:r>
      <w:bookmarkEnd w:id="32"/>
      <w:r>
        <w:rPr>
          <w:b w:val="0"/>
          <w:noProof/>
        </w:rPr>
        <w:t>5</w:t>
      </w:r>
      <w:r>
        <w:tab/>
        <w:t>GP visits</w:t>
      </w:r>
      <w:r w:rsidRPr="0042128A">
        <w:t xml:space="preserve"> that were bulk billed</w:t>
      </w:r>
      <w:r w:rsidRPr="0042128A">
        <w:rPr>
          <w:rStyle w:val="NoteLabel"/>
          <w:b/>
        </w:rPr>
        <w:t>a</w:t>
      </w:r>
      <w:r>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60E9F" w:rsidTr="002C2C36">
        <w:tc>
          <w:tcPr>
            <w:tcW w:w="8777" w:type="dxa"/>
          </w:tcPr>
          <w:p w:rsidR="00D60E9F" w:rsidRDefault="00D4699C" w:rsidP="002C2C36">
            <w:pPr>
              <w:pStyle w:val="Figure"/>
            </w:pPr>
            <w:r>
              <w:rPr>
                <w:noProof/>
              </w:rPr>
              <w:drawing>
                <wp:inline distT="0" distB="0" distL="0" distR="0">
                  <wp:extent cx="5368290" cy="2710815"/>
                  <wp:effectExtent l="0" t="0" r="3810" b="0"/>
                  <wp:docPr id="22" name="Picture 22" descr="Figure 11.15 GP visits that were bulk bill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D60E9F" w:rsidRPr="005425AC" w:rsidRDefault="00D60E9F" w:rsidP="00D60E9F">
      <w:pPr>
        <w:pStyle w:val="Note"/>
        <w:keepNext/>
      </w:pPr>
      <w:r>
        <w:rPr>
          <w:rStyle w:val="NoteLabel"/>
        </w:rPr>
        <w:t>a</w:t>
      </w:r>
      <w:r w:rsidRPr="005425AC">
        <w:t xml:space="preserve"> Includes attendances by practice nurses.</w:t>
      </w:r>
      <w:r w:rsidRPr="00D74945">
        <w:rPr>
          <w:rStyle w:val="NoteLabel"/>
        </w:rPr>
        <w:t xml:space="preserve"> </w:t>
      </w:r>
      <w:r>
        <w:rPr>
          <w:rStyle w:val="NoteLabel"/>
        </w:rPr>
        <w:t>b</w:t>
      </w:r>
      <w:r w:rsidRPr="005425AC">
        <w:t xml:space="preserve"> </w:t>
      </w:r>
      <w:r>
        <w:t>A</w:t>
      </w:r>
      <w:r w:rsidRPr="00D74945">
        <w:t xml:space="preserve">llocation to </w:t>
      </w:r>
      <w:r>
        <w:t xml:space="preserve">State/Territory based on patients’ </w:t>
      </w:r>
      <w:r w:rsidRPr="002D7882">
        <w:t xml:space="preserve">DHS Medicare </w:t>
      </w:r>
      <w:r>
        <w:t>e</w:t>
      </w:r>
      <w:r w:rsidRPr="00D74945">
        <w:t xml:space="preserve">nrolment </w:t>
      </w:r>
      <w:r>
        <w:t>p</w:t>
      </w:r>
      <w:r w:rsidRPr="00D74945">
        <w:t>ostcode.</w:t>
      </w:r>
    </w:p>
    <w:p w:rsidR="00D60E9F" w:rsidRDefault="00D60E9F" w:rsidP="00D60E9F">
      <w:pPr>
        <w:pStyle w:val="Source"/>
      </w:pPr>
      <w:r w:rsidRPr="00F3427A">
        <w:rPr>
          <w:i/>
        </w:rPr>
        <w:t>Source</w:t>
      </w:r>
      <w:r w:rsidRPr="00F3427A">
        <w:t xml:space="preserve">: </w:t>
      </w:r>
      <w:r>
        <w:t>Department of Health</w:t>
      </w:r>
      <w:r w:rsidRPr="00F3427A">
        <w:t xml:space="preserve"> (unpublished) MBS Statistics; table </w:t>
      </w:r>
      <w:r>
        <w:t>11A.34</w:t>
      </w:r>
      <w:r w:rsidRPr="00F3427A">
        <w:t>.</w:t>
      </w:r>
    </w:p>
    <w:p w:rsidR="00D77D61" w:rsidRPr="00944E91" w:rsidRDefault="00D77D61" w:rsidP="00944E91">
      <w:pPr>
        <w:pStyle w:val="Heading5"/>
      </w:pPr>
      <w:r w:rsidRPr="00944E91">
        <w:t>Effectiveness of access to GPs — people deferring visits to GPs due to financial barriers</w:t>
      </w:r>
    </w:p>
    <w:p w:rsidR="00AC4DD5" w:rsidRDefault="000656F5" w:rsidP="00B037F7">
      <w:pPr>
        <w:pStyle w:val="BodyText"/>
      </w:pPr>
      <w:r w:rsidRPr="00F3427A">
        <w:t xml:space="preserve">Timely access to healthcare services is important to people’s health and wellbeing. Deferring or not visiting a GP can result in poorer health. </w:t>
      </w:r>
      <w:r w:rsidRPr="00B037F7">
        <w:t>Nationally,</w:t>
      </w:r>
      <w:r w:rsidR="00C947F2" w:rsidRPr="00B037F7">
        <w:t xml:space="preserve"> in 201</w:t>
      </w:r>
      <w:r w:rsidR="00211276" w:rsidRPr="00B037F7">
        <w:t>2</w:t>
      </w:r>
      <w:r w:rsidR="003F42CD" w:rsidRPr="00B037F7">
        <w:t>-1</w:t>
      </w:r>
      <w:r w:rsidR="00211276" w:rsidRPr="00B037F7">
        <w:t>3</w:t>
      </w:r>
      <w:r w:rsidR="00C947F2" w:rsidRPr="00B037F7">
        <w:t xml:space="preserve">, </w:t>
      </w:r>
      <w:r w:rsidR="00211276" w:rsidRPr="00B037F7">
        <w:t>5.8</w:t>
      </w:r>
      <w:r w:rsidRPr="00B037F7">
        <w:t xml:space="preserve"> per cent of </w:t>
      </w:r>
      <w:r w:rsidR="00645EC0">
        <w:t xml:space="preserve">ABS Patient experience </w:t>
      </w:r>
      <w:r w:rsidR="0083370D">
        <w:t xml:space="preserve">survey </w:t>
      </w:r>
      <w:r w:rsidRPr="00B037F7">
        <w:t>respondents reported that they delayed</w:t>
      </w:r>
      <w:r w:rsidRPr="00211276">
        <w:t xml:space="preserve"> or did no</w:t>
      </w:r>
      <w:r w:rsidR="00234A99" w:rsidRPr="00211276">
        <w:t>t visit a GP in the previous 12 </w:t>
      </w:r>
      <w:r w:rsidRPr="00211276">
        <w:t>months</w:t>
      </w:r>
      <w:r w:rsidR="005F13D0" w:rsidRPr="00211276">
        <w:t xml:space="preserve"> because of cost</w:t>
      </w:r>
      <w:r w:rsidR="002E1F48">
        <w:t xml:space="preserve"> (figure 11.16</w:t>
      </w:r>
      <w:r w:rsidR="00211276">
        <w:t>).</w:t>
      </w:r>
      <w:r w:rsidR="0083370D">
        <w:t xml:space="preserve"> </w:t>
      </w:r>
    </w:p>
    <w:p w:rsidR="0026730D" w:rsidRPr="00D60E9F" w:rsidRDefault="0083370D" w:rsidP="00D60E9F">
      <w:pPr>
        <w:pStyle w:val="BodyText"/>
      </w:pPr>
      <w:r w:rsidRPr="007305C4">
        <w:t>Data for Indigenous Australians</w:t>
      </w:r>
      <w:r w:rsidR="00645EC0" w:rsidRPr="007305C4">
        <w:t xml:space="preserve"> deferring access to GPs due to cost</w:t>
      </w:r>
      <w:r w:rsidRPr="007305C4">
        <w:t xml:space="preserve">, available for the first time from the </w:t>
      </w:r>
      <w:r w:rsidR="00645EC0" w:rsidRPr="007305C4">
        <w:t xml:space="preserve">ABS </w:t>
      </w:r>
      <w:r w:rsidRPr="007305C4">
        <w:t xml:space="preserve">2011-12 </w:t>
      </w:r>
      <w:r w:rsidR="00D73682" w:rsidRPr="007305C4">
        <w:t>Australian Aboriginal and Torres Strait Islander  Health Survey (A</w:t>
      </w:r>
      <w:r w:rsidRPr="007305C4">
        <w:t>ATSIHS</w:t>
      </w:r>
      <w:r w:rsidR="00D73682" w:rsidRPr="007305C4">
        <w:t>)</w:t>
      </w:r>
      <w:r w:rsidRPr="007305C4">
        <w:t>, are presented in tabl</w:t>
      </w:r>
      <w:r w:rsidR="00645EC0" w:rsidRPr="007305C4">
        <w:t>e </w:t>
      </w:r>
      <w:r w:rsidRPr="007305C4">
        <w:t>11A</w:t>
      </w:r>
      <w:r w:rsidR="009366D3" w:rsidRPr="007305C4">
        <w:t>.3</w:t>
      </w:r>
      <w:r w:rsidR="009967B8">
        <w:t>6</w:t>
      </w:r>
      <w:r w:rsidRPr="007305C4">
        <w:t xml:space="preserve">. However, </w:t>
      </w:r>
      <w:r w:rsidR="00645EC0" w:rsidRPr="007305C4">
        <w:t xml:space="preserve">differences in survey design and methodology mean </w:t>
      </w:r>
      <w:r w:rsidRPr="007305C4">
        <w:t xml:space="preserve">data </w:t>
      </w:r>
      <w:r w:rsidR="00645EC0" w:rsidRPr="007305C4">
        <w:t xml:space="preserve">from the Patient experience </w:t>
      </w:r>
      <w:r w:rsidR="00AC4DD5" w:rsidRPr="007305C4">
        <w:t xml:space="preserve">survey </w:t>
      </w:r>
      <w:r w:rsidR="00D73682" w:rsidRPr="007305C4">
        <w:t>and the A</w:t>
      </w:r>
      <w:r w:rsidR="00645EC0" w:rsidRPr="007305C4">
        <w:t>ATSIHS are not comparable</w:t>
      </w:r>
      <w:r w:rsidR="00645EC0">
        <w:t>.</w:t>
      </w:r>
      <w:r w:rsidR="0026730D" w:rsidRPr="007C2D4F">
        <w:rPr>
          <w:sz w:val="20"/>
        </w:rPr>
        <w:t> </w:t>
      </w:r>
    </w:p>
    <w:p w:rsidR="000656F5" w:rsidRPr="00DC2389" w:rsidRDefault="000656F5" w:rsidP="000656F5">
      <w:pPr>
        <w:pStyle w:val="FigureTitle"/>
        <w:rPr>
          <w:rStyle w:val="NoteLabel"/>
        </w:rPr>
      </w:pPr>
      <w:r>
        <w:rPr>
          <w:b w:val="0"/>
        </w:rPr>
        <w:lastRenderedPageBreak/>
        <w:t>Figure 11.</w:t>
      </w:r>
      <w:r w:rsidR="002E1F48">
        <w:rPr>
          <w:b w:val="0"/>
          <w:noProof/>
        </w:rPr>
        <w:t>16</w:t>
      </w:r>
      <w:r>
        <w:rPr>
          <w:b w:val="0"/>
        </w:rPr>
        <w:tab/>
      </w:r>
      <w:r>
        <w:tab/>
      </w:r>
      <w:r w:rsidRPr="00DC2389">
        <w:t xml:space="preserve">People deferring </w:t>
      </w:r>
      <w:r>
        <w:t>visits to GPs due to cost</w:t>
      </w:r>
      <w:r w:rsidR="003A0F89" w:rsidRPr="00B037F7">
        <w:t>, 2012-13</w:t>
      </w:r>
      <w:r w:rsidRPr="00B037F7">
        <w:rPr>
          <w:rStyle w:val="NoteLabel"/>
          <w:b/>
        </w:rPr>
        <w:t>a, b</w:t>
      </w:r>
      <w:r>
        <w:rPr>
          <w:rStyle w:val="NoteLabel"/>
          <w:b/>
        </w:rPr>
        <w:t>, c, d</w:t>
      </w:r>
      <w:r w:rsidR="0025262E">
        <w:rPr>
          <w:rStyle w:val="NoteLabel"/>
          <w:b/>
        </w:rPr>
        <w:t>, e</w:t>
      </w:r>
      <w:r w:rsidR="00E75F37">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656F5" w:rsidTr="000656F5">
        <w:tc>
          <w:tcPr>
            <w:tcW w:w="8777" w:type="dxa"/>
          </w:tcPr>
          <w:p w:rsidR="000656F5" w:rsidRPr="00B96952" w:rsidRDefault="00D4699C" w:rsidP="000656F5">
            <w:pPr>
              <w:pStyle w:val="Figure"/>
            </w:pPr>
            <w:r>
              <w:rPr>
                <w:noProof/>
              </w:rPr>
              <w:drawing>
                <wp:inline distT="0" distB="0" distL="0" distR="0">
                  <wp:extent cx="5389880" cy="2861310"/>
                  <wp:effectExtent l="0" t="0" r="1270" b="0"/>
                  <wp:docPr id="23" name="Picture 23" descr="Figure 11.16 People deferring visits to GPs due to cost,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0656F5" w:rsidRPr="00192148" w:rsidRDefault="000656F5" w:rsidP="007305C4">
      <w:pPr>
        <w:pStyle w:val="Note"/>
        <w:keepNext/>
      </w:pPr>
      <w:r>
        <w:rPr>
          <w:rStyle w:val="NoteLabel"/>
        </w:rPr>
        <w:t>a</w:t>
      </w:r>
      <w:r>
        <w:t xml:space="preserve"> </w:t>
      </w:r>
      <w:r w:rsidRPr="00D22563">
        <w:t>Pe</w:t>
      </w:r>
      <w:r>
        <w:t>ople</w:t>
      </w:r>
      <w:r w:rsidRPr="00D22563">
        <w:t xml:space="preserve"> aged 15 years </w:t>
      </w:r>
      <w:r>
        <w:t>or</w:t>
      </w:r>
      <w:r w:rsidRPr="00D22563">
        <w:t xml:space="preserve"> over</w:t>
      </w:r>
      <w:r>
        <w:t>.</w:t>
      </w:r>
      <w:r w:rsidRPr="00D22563">
        <w:t xml:space="preserve"> </w:t>
      </w:r>
      <w:r>
        <w:rPr>
          <w:rStyle w:val="NoteLabel"/>
        </w:rPr>
        <w:t>b</w:t>
      </w:r>
      <w:r>
        <w:t xml:space="preserve"> </w:t>
      </w:r>
      <w:r w:rsidRPr="00F9597A">
        <w:t xml:space="preserve">Delayed </w:t>
      </w:r>
      <w:r>
        <w:t>visiting</w:t>
      </w:r>
      <w:r w:rsidRPr="00F9597A">
        <w:t xml:space="preserve"> or did not </w:t>
      </w:r>
      <w:r>
        <w:t>visit a GP</w:t>
      </w:r>
      <w:r w:rsidRPr="00F9597A">
        <w:t xml:space="preserve"> </w:t>
      </w:r>
      <w:r>
        <w:t>at any time in the previous 12 </w:t>
      </w:r>
      <w:r w:rsidRPr="00F9597A">
        <w:t>months</w:t>
      </w:r>
      <w:r w:rsidR="005F13D0">
        <w:t xml:space="preserve"> due to cost</w:t>
      </w:r>
      <w:r>
        <w:t>.</w:t>
      </w:r>
      <w:r w:rsidRPr="00192148">
        <w:rPr>
          <w:rStyle w:val="NoteLabel"/>
        </w:rPr>
        <w:t xml:space="preserve"> </w:t>
      </w:r>
      <w:r>
        <w:rPr>
          <w:rStyle w:val="NoteLabel"/>
        </w:rPr>
        <w:t>c</w:t>
      </w:r>
      <w:r>
        <w:t> Rates are age standardised to the Australian population at 30 June 2001.</w:t>
      </w:r>
      <w:r w:rsidRPr="00F9597A">
        <w:rPr>
          <w:rStyle w:val="NoteLabel"/>
        </w:rPr>
        <w:t xml:space="preserve"> </w:t>
      </w:r>
      <w:r w:rsidRPr="00B037F7">
        <w:rPr>
          <w:rStyle w:val="NoteLabel"/>
        </w:rPr>
        <w:t>d</w:t>
      </w:r>
      <w:r w:rsidRPr="00B037F7">
        <w:t xml:space="preserve"> </w:t>
      </w:r>
      <w:r w:rsidR="003A0F89" w:rsidRPr="007305C4">
        <w:t>Data are not comparable to data for previous years due to a change</w:t>
      </w:r>
      <w:r w:rsidR="0083370D" w:rsidRPr="007305C4">
        <w:t xml:space="preserve"> in</w:t>
      </w:r>
      <w:r w:rsidR="003A0F89" w:rsidRPr="007305C4">
        <w:t xml:space="preserve"> survey question</w:t>
      </w:r>
      <w:r w:rsidR="0083370D" w:rsidRPr="007305C4">
        <w:t xml:space="preserve"> wording and sequencing</w:t>
      </w:r>
      <w:r w:rsidR="003A0F89" w:rsidRPr="007305C4">
        <w:t xml:space="preserve">. </w:t>
      </w:r>
      <w:r w:rsidR="003A0F89" w:rsidRPr="007305C4">
        <w:rPr>
          <w:rStyle w:val="NoteLabel"/>
        </w:rPr>
        <w:t>e</w:t>
      </w:r>
      <w:r w:rsidR="003A0F89" w:rsidRPr="007305C4">
        <w:t xml:space="preserve"> </w:t>
      </w:r>
      <w:r w:rsidR="00E75F37" w:rsidRPr="007305C4">
        <w:t>Data exclude discrete Indigenous communities, which will affect the NT more than other jurisdictions</w:t>
      </w:r>
      <w:r w:rsidR="00E75F37">
        <w:t xml:space="preserve">. </w:t>
      </w:r>
      <w:r w:rsidR="00E75F37">
        <w:rPr>
          <w:rStyle w:val="NoteLabel"/>
        </w:rPr>
        <w:t>f</w:t>
      </w:r>
      <w:r w:rsidR="00E75F37" w:rsidRPr="00B037F7">
        <w:t xml:space="preserve"> </w:t>
      </w:r>
      <w:r w:rsidRPr="00B037F7">
        <w:t>Error bar</w:t>
      </w:r>
      <w:r>
        <w:t>s represent the 95 per </w:t>
      </w:r>
      <w:r w:rsidRPr="00192148">
        <w:t>cent confidence interval associated with each p</w:t>
      </w:r>
      <w:r>
        <w:t>oint estimate.</w:t>
      </w:r>
      <w:r w:rsidR="008B5067">
        <w:t xml:space="preserve"> </w:t>
      </w:r>
    </w:p>
    <w:p w:rsidR="000656F5" w:rsidRDefault="000656F5" w:rsidP="00B10D88">
      <w:pPr>
        <w:pStyle w:val="Source"/>
        <w:spacing w:before="60" w:after="0"/>
      </w:pPr>
      <w:r w:rsidRPr="00C60B1C">
        <w:rPr>
          <w:i/>
        </w:rPr>
        <w:t>Source</w:t>
      </w:r>
      <w:r w:rsidRPr="00C60B1C">
        <w:t xml:space="preserve">: </w:t>
      </w:r>
      <w:r w:rsidR="007164F7" w:rsidRPr="00C60B1C">
        <w:t xml:space="preserve">ABS (unpublished) </w:t>
      </w:r>
      <w:r w:rsidR="007164F7" w:rsidRPr="00C60B1C">
        <w:rPr>
          <w:i/>
        </w:rPr>
        <w:t>Patient Experience Survey</w:t>
      </w:r>
      <w:r w:rsidR="007164F7" w:rsidRPr="00C60B1C">
        <w:t xml:space="preserve"> </w:t>
      </w:r>
      <w:r w:rsidR="007164F7" w:rsidRPr="00C60B1C">
        <w:rPr>
          <w:i/>
        </w:rPr>
        <w:t>201</w:t>
      </w:r>
      <w:r w:rsidR="003A0F89">
        <w:rPr>
          <w:i/>
        </w:rPr>
        <w:t>2</w:t>
      </w:r>
      <w:r w:rsidR="007164F7" w:rsidRPr="00C60B1C">
        <w:rPr>
          <w:i/>
        </w:rPr>
        <w:t>-1</w:t>
      </w:r>
      <w:r w:rsidR="003A0F89">
        <w:rPr>
          <w:i/>
        </w:rPr>
        <w:t>3</w:t>
      </w:r>
      <w:r w:rsidR="007164F7" w:rsidRPr="00C60B1C">
        <w:t>, Cat. no. 4839.0</w:t>
      </w:r>
      <w:r w:rsidRPr="00C60B1C">
        <w:t>;</w:t>
      </w:r>
      <w:r w:rsidRPr="00F3427A">
        <w:t xml:space="preserve"> </w:t>
      </w:r>
      <w:r w:rsidR="007164F7">
        <w:t>table </w:t>
      </w:r>
      <w:r w:rsidR="003D1BEB">
        <w:t>11A.3</w:t>
      </w:r>
      <w:r w:rsidR="00874F45">
        <w:t>5</w:t>
      </w:r>
      <w:r w:rsidRPr="00F3427A">
        <w:t>.</w:t>
      </w:r>
    </w:p>
    <w:p w:rsidR="00D77D61" w:rsidRPr="00944E91" w:rsidRDefault="00D77D61" w:rsidP="00944E91">
      <w:pPr>
        <w:pStyle w:val="Heading5"/>
      </w:pPr>
      <w:r w:rsidRPr="00944E91">
        <w:t>Effectiveness of access to GPs — GP waiting times</w:t>
      </w:r>
    </w:p>
    <w:p w:rsidR="0026730D" w:rsidRPr="002C2C36" w:rsidRDefault="00DC7AEC" w:rsidP="002C2C36">
      <w:pPr>
        <w:pStyle w:val="BodyText"/>
      </w:pPr>
      <w:r w:rsidRPr="00F3427A">
        <w:t xml:space="preserve">Nationally, </w:t>
      </w:r>
      <w:r w:rsidR="005852B7" w:rsidRPr="00B037F7">
        <w:t>6</w:t>
      </w:r>
      <w:r w:rsidR="00E34933" w:rsidRPr="00B037F7">
        <w:t>4</w:t>
      </w:r>
      <w:r w:rsidR="005852B7" w:rsidRPr="00B037F7">
        <w:t>.</w:t>
      </w:r>
      <w:r w:rsidR="00E34933" w:rsidRPr="00B037F7">
        <w:t>1</w:t>
      </w:r>
      <w:r w:rsidRPr="00B037F7">
        <w:t xml:space="preserve"> per cent of people </w:t>
      </w:r>
      <w:r w:rsidR="00B60B67" w:rsidRPr="00B037F7">
        <w:t xml:space="preserve">who saw a GP for urgent care </w:t>
      </w:r>
      <w:r w:rsidRPr="00B037F7">
        <w:t xml:space="preserve">waited less than </w:t>
      </w:r>
      <w:r w:rsidR="00732525" w:rsidRPr="00B037F7">
        <w:t>4 </w:t>
      </w:r>
      <w:r w:rsidRPr="00B037F7">
        <w:t>hours</w:t>
      </w:r>
      <w:r w:rsidR="004D0BB6" w:rsidRPr="00B037F7">
        <w:t xml:space="preserve"> in 20</w:t>
      </w:r>
      <w:r w:rsidR="00E34933" w:rsidRPr="00B037F7">
        <w:t>12</w:t>
      </w:r>
      <w:r w:rsidR="005852B7" w:rsidRPr="00B037F7">
        <w:t>-1</w:t>
      </w:r>
      <w:r w:rsidR="00E34933" w:rsidRPr="00B037F7">
        <w:t>3</w:t>
      </w:r>
      <w:r w:rsidR="005852B7" w:rsidRPr="00B037F7">
        <w:t xml:space="preserve"> </w:t>
      </w:r>
      <w:r w:rsidRPr="00B037F7">
        <w:t>(figure 11.1</w:t>
      </w:r>
      <w:r w:rsidR="002E1F48" w:rsidRPr="00B037F7">
        <w:t>7</w:t>
      </w:r>
      <w:r w:rsidRPr="00B037F7">
        <w:t>).</w:t>
      </w:r>
      <w:r w:rsidR="00730165" w:rsidRPr="00B037F7">
        <w:t xml:space="preserve"> Around </w:t>
      </w:r>
      <w:r w:rsidR="005852B7" w:rsidRPr="00B037F7">
        <w:t>1</w:t>
      </w:r>
      <w:r w:rsidR="00E34933" w:rsidRPr="00B037F7">
        <w:t>1</w:t>
      </w:r>
      <w:r w:rsidR="005852B7" w:rsidRPr="00B037F7">
        <w:t>.</w:t>
      </w:r>
      <w:r w:rsidR="00E34933" w:rsidRPr="00B037F7">
        <w:t>4</w:t>
      </w:r>
      <w:r w:rsidR="00730165" w:rsidRPr="00B037F7">
        <w:t xml:space="preserve"> per cent waited from </w:t>
      </w:r>
      <w:r w:rsidR="00732525" w:rsidRPr="00B037F7">
        <w:t>4</w:t>
      </w:r>
      <w:r w:rsidR="00730165" w:rsidRPr="00B037F7">
        <w:t xml:space="preserve"> to less than 24 hours, and </w:t>
      </w:r>
      <w:r w:rsidR="005852B7" w:rsidRPr="00B037F7">
        <w:t>24.</w:t>
      </w:r>
      <w:r w:rsidR="00E34933" w:rsidRPr="00B037F7">
        <w:t>6</w:t>
      </w:r>
      <w:r w:rsidR="00730165" w:rsidRPr="00B037F7">
        <w:t xml:space="preserve"> per cent </w:t>
      </w:r>
      <w:r w:rsidR="00B30974" w:rsidRPr="00B037F7">
        <w:t xml:space="preserve">waited for </w:t>
      </w:r>
      <w:r w:rsidR="00730165" w:rsidRPr="00B037F7">
        <w:t>24 hours</w:t>
      </w:r>
      <w:r w:rsidR="003053B9" w:rsidRPr="00B037F7">
        <w:t xml:space="preserve"> or more</w:t>
      </w:r>
      <w:r w:rsidR="00730165" w:rsidRPr="00B037F7">
        <w:t>.</w:t>
      </w:r>
      <w:r w:rsidR="00D02E54" w:rsidRPr="00B037F7">
        <w:t xml:space="preserve"> </w:t>
      </w:r>
      <w:r w:rsidR="00840EAD" w:rsidRPr="007305C4">
        <w:t>Overall, 20.9 per cent of people who saw a GP for any reason</w:t>
      </w:r>
      <w:r w:rsidR="00164524" w:rsidRPr="00F3427A">
        <w:t xml:space="preserve"> waited longer than they felt was acceptable to get an appointment </w:t>
      </w:r>
      <w:r w:rsidR="0009280D" w:rsidRPr="00F3427A">
        <w:t>(</w:t>
      </w:r>
      <w:r w:rsidR="00164524" w:rsidRPr="00F3427A">
        <w:t xml:space="preserve">table </w:t>
      </w:r>
      <w:r w:rsidR="001A6EFD" w:rsidRPr="00F3427A">
        <w:t>11A.3</w:t>
      </w:r>
      <w:r w:rsidR="009967B8">
        <w:t>8</w:t>
      </w:r>
      <w:r w:rsidR="0009280D" w:rsidRPr="00F3427A">
        <w:t>)</w:t>
      </w:r>
      <w:r w:rsidR="00E34933">
        <w:t>.</w:t>
      </w:r>
    </w:p>
    <w:p w:rsidR="00FD0402" w:rsidRPr="009B6931" w:rsidRDefault="00FD0402" w:rsidP="00B037F7">
      <w:pPr>
        <w:pStyle w:val="FigureTitle"/>
        <w:rPr>
          <w:rStyle w:val="NoteLabel"/>
        </w:rPr>
      </w:pPr>
      <w:r w:rsidRPr="00F3427A">
        <w:rPr>
          <w:b w:val="0"/>
        </w:rPr>
        <w:lastRenderedPageBreak/>
        <w:t xml:space="preserve">Figure </w:t>
      </w:r>
      <w:r w:rsidR="00EC42DB" w:rsidRPr="00F3427A">
        <w:rPr>
          <w:b w:val="0"/>
        </w:rPr>
        <w:t>11.</w:t>
      </w:r>
      <w:r w:rsidR="00C44281">
        <w:rPr>
          <w:b w:val="0"/>
          <w:noProof/>
        </w:rPr>
        <w:t>1</w:t>
      </w:r>
      <w:r w:rsidR="002E1F48">
        <w:rPr>
          <w:b w:val="0"/>
          <w:noProof/>
        </w:rPr>
        <w:t>7</w:t>
      </w:r>
      <w:r w:rsidRPr="00F3427A">
        <w:tab/>
        <w:t xml:space="preserve"> </w:t>
      </w:r>
      <w:r w:rsidR="00B56BC7" w:rsidRPr="00F3427A">
        <w:t xml:space="preserve">Hours waited for </w:t>
      </w:r>
      <w:r w:rsidR="009B6931" w:rsidRPr="00F3427A">
        <w:t>urgent treatment</w:t>
      </w:r>
      <w:r w:rsidR="00B56BC7" w:rsidRPr="00F3427A">
        <w:t xml:space="preserve"> by </w:t>
      </w:r>
      <w:r w:rsidR="004D342B">
        <w:t xml:space="preserve">a </w:t>
      </w:r>
      <w:r w:rsidR="00B56BC7" w:rsidRPr="00F3427A">
        <w:t>GP</w:t>
      </w:r>
      <w:r w:rsidR="009B6931" w:rsidRPr="00F3427A">
        <w:t xml:space="preserve">, </w:t>
      </w:r>
      <w:r w:rsidR="009B6931" w:rsidRPr="00B037F7">
        <w:t>20</w:t>
      </w:r>
      <w:r w:rsidR="00E451B2" w:rsidRPr="00B037F7">
        <w:t>1</w:t>
      </w:r>
      <w:r w:rsidR="00E34933" w:rsidRPr="00B037F7">
        <w:t>2</w:t>
      </w:r>
      <w:r w:rsidR="00931C02" w:rsidRPr="00B037F7">
        <w:t>-1</w:t>
      </w:r>
      <w:r w:rsidR="00E34933" w:rsidRPr="00B037F7">
        <w:t>3</w:t>
      </w:r>
      <w:r w:rsidR="009B6931" w:rsidRPr="00B037F7">
        <w:rPr>
          <w:rStyle w:val="NoteLabel"/>
          <w:b/>
        </w:rPr>
        <w:t>a</w:t>
      </w:r>
      <w:r w:rsidR="00A8140B" w:rsidRPr="00B037F7">
        <w:rPr>
          <w:rStyle w:val="NoteLabel"/>
          <w:b/>
        </w:rPr>
        <w:t xml:space="preserve">, b, </w:t>
      </w:r>
      <w:r w:rsidR="00A8140B" w:rsidRPr="00F3427A">
        <w:rPr>
          <w:rStyle w:val="NoteLabel"/>
          <w:b/>
        </w:rPr>
        <w:t>c, d</w:t>
      </w:r>
      <w:r w:rsidR="00FF3CD7">
        <w:rPr>
          <w:rStyle w:val="NoteLabel"/>
          <w:b/>
        </w:rPr>
        <w:t>, e</w:t>
      </w:r>
      <w:r w:rsidR="00E75F37">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D0402" w:rsidTr="00A32004">
        <w:tc>
          <w:tcPr>
            <w:tcW w:w="8777" w:type="dxa"/>
          </w:tcPr>
          <w:p w:rsidR="00FD0402" w:rsidRPr="00153635" w:rsidRDefault="00D4699C" w:rsidP="00B60B67">
            <w:pPr>
              <w:pStyle w:val="Figure"/>
              <w:pBdr>
                <w:right w:val="single" w:sz="4" w:space="1" w:color="auto"/>
              </w:pBdr>
            </w:pPr>
            <w:r>
              <w:rPr>
                <w:noProof/>
              </w:rPr>
              <w:drawing>
                <wp:inline distT="0" distB="0" distL="0" distR="0">
                  <wp:extent cx="5389880" cy="2700020"/>
                  <wp:effectExtent l="0" t="0" r="1270" b="5080"/>
                  <wp:docPr id="24" name="Picture 24" descr="Figure 11.17 Hours waited for urgent treatment by a GP,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9880" cy="2700020"/>
                          </a:xfrm>
                          <a:prstGeom prst="rect">
                            <a:avLst/>
                          </a:prstGeom>
                          <a:noFill/>
                          <a:ln>
                            <a:noFill/>
                          </a:ln>
                        </pic:spPr>
                      </pic:pic>
                    </a:graphicData>
                  </a:graphic>
                </wp:inline>
              </w:drawing>
            </w:r>
          </w:p>
        </w:tc>
      </w:tr>
    </w:tbl>
    <w:p w:rsidR="002A4BFF" w:rsidRDefault="00FD0402" w:rsidP="007305C4">
      <w:pPr>
        <w:pStyle w:val="Note"/>
        <w:keepNext/>
      </w:pPr>
      <w:r>
        <w:rPr>
          <w:rStyle w:val="NoteLabel"/>
        </w:rPr>
        <w:t>a</w:t>
      </w:r>
      <w:r>
        <w:sym w:font="Symbol" w:char="F020"/>
      </w:r>
      <w:r w:rsidR="00D0561C" w:rsidRPr="00175C7B">
        <w:t>Pe</w:t>
      </w:r>
      <w:r w:rsidR="00D0561C">
        <w:t>ople</w:t>
      </w:r>
      <w:r w:rsidR="00D0561C" w:rsidRPr="00175C7B">
        <w:t xml:space="preserve"> </w:t>
      </w:r>
      <w:r w:rsidR="00175C7B" w:rsidRPr="00175C7B">
        <w:t xml:space="preserve">aged 15 years </w:t>
      </w:r>
      <w:r w:rsidR="00706008">
        <w:t>or</w:t>
      </w:r>
      <w:r w:rsidR="00175C7B" w:rsidRPr="00175C7B">
        <w:t xml:space="preserve"> over who saw a GP for urgent medical care for </w:t>
      </w:r>
      <w:r w:rsidR="00175C7B">
        <w:t xml:space="preserve">their own health in the </w:t>
      </w:r>
      <w:r w:rsidR="002919F2">
        <w:t>previous</w:t>
      </w:r>
      <w:r w:rsidR="00175C7B">
        <w:t xml:space="preserve"> 12 </w:t>
      </w:r>
      <w:r w:rsidR="00175C7B" w:rsidRPr="00175C7B">
        <w:t>months</w:t>
      </w:r>
      <w:r w:rsidR="00175C7B">
        <w:t>.</w:t>
      </w:r>
      <w:r w:rsidR="00175C7B" w:rsidRPr="00175C7B">
        <w:rPr>
          <w:rStyle w:val="NoteLabel"/>
        </w:rPr>
        <w:t xml:space="preserve"> </w:t>
      </w:r>
      <w:r w:rsidR="00175C7B">
        <w:rPr>
          <w:rStyle w:val="NoteLabel"/>
        </w:rPr>
        <w:t>b</w:t>
      </w:r>
      <w:r w:rsidR="00175C7B">
        <w:sym w:font="Symbol" w:char="F020"/>
      </w:r>
      <w:r w:rsidR="00175C7B" w:rsidRPr="00175C7B">
        <w:t>Time waited between making an appointment and seeing the GP for urgent medical care.</w:t>
      </w:r>
      <w:r w:rsidR="00FF3CD7">
        <w:t xml:space="preserve"> </w:t>
      </w:r>
      <w:r w:rsidR="00FF3CD7">
        <w:rPr>
          <w:rStyle w:val="NoteLabel"/>
        </w:rPr>
        <w:t>c </w:t>
      </w:r>
      <w:r w:rsidR="00FF3CD7" w:rsidRPr="00B037F7">
        <w:t xml:space="preserve">Data </w:t>
      </w:r>
      <w:r w:rsidR="00FF3CD7" w:rsidRPr="002C2C36">
        <w:t xml:space="preserve">are comparable </w:t>
      </w:r>
      <w:r w:rsidR="00E75F37" w:rsidRPr="002C2C36">
        <w:t>with</w:t>
      </w:r>
      <w:r w:rsidR="00FF3CD7" w:rsidRPr="002C2C36">
        <w:t xml:space="preserve"> data for 201</w:t>
      </w:r>
      <w:r w:rsidR="00D27E6C" w:rsidRPr="002C2C36">
        <w:t>1</w:t>
      </w:r>
      <w:r w:rsidR="00FF3CD7" w:rsidRPr="002C2C36">
        <w:t>-1</w:t>
      </w:r>
      <w:r w:rsidR="00D27E6C" w:rsidRPr="002C2C36">
        <w:t>2</w:t>
      </w:r>
      <w:r w:rsidR="00FF3CD7" w:rsidRPr="002C2C36">
        <w:t xml:space="preserve"> but not </w:t>
      </w:r>
      <w:r w:rsidR="00E75F37" w:rsidRPr="002C2C36">
        <w:t>with</w:t>
      </w:r>
      <w:r w:rsidR="00FF3CD7" w:rsidRPr="002C2C36">
        <w:t xml:space="preserve"> data for previous years</w:t>
      </w:r>
      <w:r w:rsidR="00FF3CD7" w:rsidRPr="00B037F7">
        <w:t xml:space="preserve"> due to a changed survey question. </w:t>
      </w:r>
      <w:r w:rsidR="00FF3CD7">
        <w:rPr>
          <w:rStyle w:val="NoteLabel"/>
        </w:rPr>
        <w:t>d</w:t>
      </w:r>
      <w:r w:rsidR="00706008">
        <w:t> </w:t>
      </w:r>
      <w:r w:rsidR="00A8140B">
        <w:t>Rates are age standardised to the Australian population at 30 June 2001.</w:t>
      </w:r>
      <w:r w:rsidR="00A8140B" w:rsidRPr="00A8140B">
        <w:rPr>
          <w:rStyle w:val="NoteLabel"/>
        </w:rPr>
        <w:t xml:space="preserve"> </w:t>
      </w:r>
      <w:r w:rsidR="00FF3CD7">
        <w:rPr>
          <w:rStyle w:val="NoteLabel"/>
        </w:rPr>
        <w:t>e</w:t>
      </w:r>
      <w:r w:rsidR="00A8140B">
        <w:t> </w:t>
      </w:r>
      <w:r w:rsidR="00E75F37" w:rsidRPr="007305C4">
        <w:t>Data exclude discrete Indigenous communities, which will affect the NT more than other jurisdictions.</w:t>
      </w:r>
      <w:r w:rsidR="00E75F37">
        <w:t xml:space="preserve"> </w:t>
      </w:r>
      <w:r w:rsidR="00E75F37">
        <w:rPr>
          <w:rStyle w:val="NoteLabel"/>
        </w:rPr>
        <w:t>f</w:t>
      </w:r>
      <w:r w:rsidR="00E75F37">
        <w:t xml:space="preserve"> </w:t>
      </w:r>
      <w:r w:rsidR="00A8140B">
        <w:t>Error bars represent the 95 per </w:t>
      </w:r>
      <w:r w:rsidR="00192148" w:rsidRPr="00192148">
        <w:t>cent confidence interval associated with each point estimate.</w:t>
      </w:r>
    </w:p>
    <w:p w:rsidR="00FD0402" w:rsidRDefault="00FD0402" w:rsidP="00B037F7">
      <w:pPr>
        <w:pStyle w:val="Source"/>
      </w:pPr>
      <w:r w:rsidRPr="00F3427A">
        <w:rPr>
          <w:i/>
        </w:rPr>
        <w:t>Source</w:t>
      </w:r>
      <w:r w:rsidRPr="00F3427A">
        <w:t xml:space="preserve">: </w:t>
      </w:r>
      <w:r w:rsidR="007164F7" w:rsidRPr="00A97F84">
        <w:t xml:space="preserve">ABS (unpublished) </w:t>
      </w:r>
      <w:r w:rsidR="007164F7" w:rsidRPr="00A97F84">
        <w:rPr>
          <w:i/>
        </w:rPr>
        <w:t xml:space="preserve">Patient Experience </w:t>
      </w:r>
      <w:r w:rsidR="007164F7" w:rsidRPr="00B037F7">
        <w:rPr>
          <w:i/>
        </w:rPr>
        <w:t>Survey</w:t>
      </w:r>
      <w:r w:rsidR="007164F7" w:rsidRPr="00B037F7">
        <w:t xml:space="preserve"> </w:t>
      </w:r>
      <w:r w:rsidR="00E34933" w:rsidRPr="00B037F7">
        <w:rPr>
          <w:i/>
        </w:rPr>
        <w:t>2012-13</w:t>
      </w:r>
      <w:r w:rsidR="007164F7" w:rsidRPr="00B037F7">
        <w:t>, Cat. no</w:t>
      </w:r>
      <w:r w:rsidR="007164F7">
        <w:t>. 4839.0</w:t>
      </w:r>
      <w:r w:rsidR="0093751E" w:rsidRPr="00F3427A">
        <w:t xml:space="preserve">; </w:t>
      </w:r>
      <w:r w:rsidR="0042344E" w:rsidRPr="00F3427A">
        <w:t xml:space="preserve">table </w:t>
      </w:r>
      <w:r w:rsidR="00E60498" w:rsidRPr="00F3427A">
        <w:t>11A.</w:t>
      </w:r>
      <w:r w:rsidR="003D1BEB">
        <w:t>3</w:t>
      </w:r>
      <w:r w:rsidR="009967B8">
        <w:t>7</w:t>
      </w:r>
      <w:r w:rsidR="001C36F2" w:rsidRPr="00F3427A">
        <w:t>.</w:t>
      </w:r>
    </w:p>
    <w:p w:rsidR="00D77D61" w:rsidRPr="00D77D61" w:rsidRDefault="00D77D61" w:rsidP="00D77D61">
      <w:pPr>
        <w:pStyle w:val="Heading5"/>
      </w:pPr>
      <w:r w:rsidRPr="00D77D61">
        <w:t>Effectiveness of access to GPs — GP-type presentations to emergency departments</w:t>
      </w:r>
    </w:p>
    <w:p w:rsidR="000656F5" w:rsidRPr="00944E91" w:rsidRDefault="000656F5" w:rsidP="00944E91">
      <w:pPr>
        <w:pStyle w:val="BodyText"/>
      </w:pPr>
      <w:r>
        <w:t xml:space="preserve">GP-type presentations </w:t>
      </w:r>
      <w:r w:rsidR="005919AC">
        <w:t>to</w:t>
      </w:r>
      <w:r w:rsidR="005919AC" w:rsidRPr="005919AC">
        <w:t xml:space="preserve"> </w:t>
      </w:r>
      <w:r w:rsidR="005919AC">
        <w:t xml:space="preserve">emergency departments </w:t>
      </w:r>
      <w:r w:rsidR="001D02F2">
        <w:t xml:space="preserve">are </w:t>
      </w:r>
      <w:r>
        <w:t>presentations for conditions that could be appropriately managed in the prima</w:t>
      </w:r>
      <w:r w:rsidR="001D02F2">
        <w:t>ry and community health sector (</w:t>
      </w:r>
      <w:r>
        <w:t xml:space="preserve">Van Konkelenberg, Esterman and Van Konkelenberg </w:t>
      </w:r>
      <w:r w:rsidRPr="00C20806">
        <w:t>2003</w:t>
      </w:r>
      <w:r>
        <w:t xml:space="preserve">). One of several factors contributing to </w:t>
      </w:r>
      <w:r w:rsidR="00744763">
        <w:t>GP</w:t>
      </w:r>
      <w:r w:rsidR="00744763">
        <w:noBreakHyphen/>
        <w:t>type</w:t>
      </w:r>
      <w:r>
        <w:t xml:space="preserve"> presentations at emergency departments is perceived or actual lack of access to GP services. Other factors include proximity of emergency departments and trust</w:t>
      </w:r>
      <w:r w:rsidR="00C20806">
        <w:t xml:space="preserve"> for emergency department staff.</w:t>
      </w:r>
    </w:p>
    <w:p w:rsidR="00F27A6B" w:rsidRDefault="008A2833" w:rsidP="00B037F7">
      <w:pPr>
        <w:pStyle w:val="BodyText"/>
      </w:pPr>
      <w:r>
        <w:t xml:space="preserve">Nationally, </w:t>
      </w:r>
      <w:r w:rsidR="00A846EC">
        <w:t xml:space="preserve">23.6 per cent </w:t>
      </w:r>
      <w:r>
        <w:t xml:space="preserve">of people who went to a hospital emergency department for their own health thought at the time that care could have been provided </w:t>
      </w:r>
      <w:r w:rsidR="002C160F">
        <w:t xml:space="preserve">at </w:t>
      </w:r>
      <w:r>
        <w:t xml:space="preserve">a </w:t>
      </w:r>
      <w:r w:rsidR="002C160F">
        <w:t>general practice</w:t>
      </w:r>
      <w:r>
        <w:t xml:space="preserve"> </w:t>
      </w:r>
      <w:r w:rsidR="00A846EC">
        <w:t>(figure </w:t>
      </w:r>
      <w:r>
        <w:t>11</w:t>
      </w:r>
      <w:r w:rsidR="00F27A6B">
        <w:t>.18</w:t>
      </w:r>
      <w:r>
        <w:t>).</w:t>
      </w:r>
    </w:p>
    <w:p w:rsidR="008A2833" w:rsidRPr="00124B42" w:rsidRDefault="008A2833" w:rsidP="00B037F7">
      <w:pPr>
        <w:pStyle w:val="FigureTitle"/>
        <w:rPr>
          <w:vertAlign w:val="superscript"/>
        </w:rPr>
      </w:pPr>
      <w:r>
        <w:rPr>
          <w:b w:val="0"/>
        </w:rPr>
        <w:lastRenderedPageBreak/>
        <w:t>Figure 11.</w:t>
      </w:r>
      <w:r w:rsidR="004A5577">
        <w:rPr>
          <w:b w:val="0"/>
        </w:rPr>
        <w:t>18</w:t>
      </w:r>
      <w:r>
        <w:tab/>
        <w:t>P</w:t>
      </w:r>
      <w:r w:rsidRPr="00CA3F7F">
        <w:t xml:space="preserve">eople </w:t>
      </w:r>
      <w:r>
        <w:t>visiting a</w:t>
      </w:r>
      <w:r w:rsidRPr="00CA3F7F">
        <w:t xml:space="preserve"> hospital emergency department for care </w:t>
      </w:r>
      <w:r>
        <w:t xml:space="preserve">they thought </w:t>
      </w:r>
      <w:r w:rsidRPr="00CA3F7F">
        <w:t xml:space="preserve">could have been provided </w:t>
      </w:r>
      <w:r w:rsidR="002E02E4">
        <w:t xml:space="preserve">at </w:t>
      </w:r>
      <w:r w:rsidRPr="00CA3F7F">
        <w:t xml:space="preserve">a </w:t>
      </w:r>
      <w:r w:rsidR="002E02E4">
        <w:t>general practice</w:t>
      </w:r>
      <w:r w:rsidR="00124B42">
        <w:rPr>
          <w:vertAlign w:val="superscript"/>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A2833" w:rsidTr="00B95E36">
        <w:tc>
          <w:tcPr>
            <w:tcW w:w="8777" w:type="dxa"/>
          </w:tcPr>
          <w:p w:rsidR="008A2833" w:rsidRDefault="00D4699C" w:rsidP="00B95E36">
            <w:pPr>
              <w:pStyle w:val="Figure"/>
            </w:pPr>
            <w:r>
              <w:rPr>
                <w:noProof/>
              </w:rPr>
              <w:drawing>
                <wp:inline distT="0" distB="0" distL="0" distR="0">
                  <wp:extent cx="5389880" cy="2861310"/>
                  <wp:effectExtent l="0" t="0" r="1270" b="0"/>
                  <wp:docPr id="25" name="Picture 25" descr="Figure 11.18 People visiting a hospital emergency department for care they thought could have been provided at a general pract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8A2833" w:rsidRDefault="008A2833" w:rsidP="00B037F7">
      <w:pPr>
        <w:pStyle w:val="Note"/>
      </w:pPr>
      <w:r>
        <w:rPr>
          <w:rStyle w:val="NoteLabel"/>
        </w:rPr>
        <w:t>a</w:t>
      </w:r>
      <w:r>
        <w:t xml:space="preserve"> </w:t>
      </w:r>
      <w:r w:rsidRPr="001C0D1B">
        <w:t xml:space="preserve">Proportion of people aged 15 years or over who went to </w:t>
      </w:r>
      <w:r w:rsidR="00232C7D">
        <w:t>a</w:t>
      </w:r>
      <w:r w:rsidRPr="001C0D1B">
        <w:t xml:space="preserve"> hospital emergency department for their own health and at the time, thought the care could have been provided </w:t>
      </w:r>
      <w:r w:rsidR="00232C7D">
        <w:t>at</w:t>
      </w:r>
      <w:r w:rsidRPr="001C0D1B">
        <w:t xml:space="preserve"> a </w:t>
      </w:r>
      <w:r w:rsidR="00232C7D">
        <w:t>general practice</w:t>
      </w:r>
      <w:r>
        <w:t>.</w:t>
      </w:r>
      <w:r w:rsidR="00232C7D">
        <w:t xml:space="preserve"> </w:t>
      </w:r>
      <w:r w:rsidR="00232C7D">
        <w:rPr>
          <w:rStyle w:val="NoteLabel"/>
        </w:rPr>
        <w:t>b</w:t>
      </w:r>
      <w:r w:rsidR="00232C7D">
        <w:t xml:space="preserve"> Rates are age</w:t>
      </w:r>
      <w:r w:rsidR="00232C7D">
        <w:noBreakHyphen/>
        <w:t xml:space="preserve">standardised to the 2001 Australian standard population. </w:t>
      </w:r>
      <w:r w:rsidR="00124B42">
        <w:rPr>
          <w:rStyle w:val="NoteLabel"/>
        </w:rPr>
        <w:t>c</w:t>
      </w:r>
      <w:r w:rsidR="00232C7D">
        <w:t xml:space="preserve"> Data </w:t>
      </w:r>
      <w:r w:rsidR="00232C7D" w:rsidRPr="00232C7D">
        <w:t xml:space="preserve">for 2010-11 for the NT should be used with care as </w:t>
      </w:r>
      <w:r w:rsidR="0055498F" w:rsidRPr="00232C7D">
        <w:t xml:space="preserve">the survey </w:t>
      </w:r>
      <w:r w:rsidR="0055498F">
        <w:t xml:space="preserve">excluded </w:t>
      </w:r>
      <w:r w:rsidR="00232C7D" w:rsidRPr="00232C7D">
        <w:t>very re</w:t>
      </w:r>
      <w:r w:rsidR="0055498F">
        <w:t>mote areas where</w:t>
      </w:r>
      <w:r w:rsidR="00232C7D" w:rsidRPr="00232C7D">
        <w:t xml:space="preserve"> </w:t>
      </w:r>
      <w:r w:rsidR="00232C7D">
        <w:t>around 23 per cent</w:t>
      </w:r>
      <w:r w:rsidR="00232C7D" w:rsidRPr="00232C7D">
        <w:t xml:space="preserve"> of the NT population</w:t>
      </w:r>
      <w:r w:rsidR="0055498F">
        <w:t xml:space="preserve"> usually reside</w:t>
      </w:r>
      <w:r w:rsidR="00232C7D" w:rsidRPr="00232C7D">
        <w:t>.</w:t>
      </w:r>
      <w:r w:rsidR="00232C7D">
        <w:t xml:space="preserve"> </w:t>
      </w:r>
      <w:r w:rsidR="00124B42">
        <w:rPr>
          <w:rStyle w:val="NoteLabel"/>
        </w:rPr>
        <w:t>d</w:t>
      </w:r>
      <w:r w:rsidR="00232C7D">
        <w:t xml:space="preserve"> </w:t>
      </w:r>
      <w:r w:rsidR="00232C7D" w:rsidRPr="00232C7D">
        <w:t xml:space="preserve">Data </w:t>
      </w:r>
      <w:r w:rsidR="00232C7D">
        <w:t>for</w:t>
      </w:r>
      <w:r w:rsidR="00232C7D" w:rsidRPr="00232C7D">
        <w:t xml:space="preserve"> 2011-12 </w:t>
      </w:r>
      <w:r w:rsidR="00232C7D">
        <w:t xml:space="preserve">and 2012-13 </w:t>
      </w:r>
      <w:r w:rsidR="00232C7D" w:rsidRPr="00232C7D">
        <w:t>include very remote areas</w:t>
      </w:r>
      <w:r w:rsidR="00232C7D">
        <w:t xml:space="preserve"> but not </w:t>
      </w:r>
      <w:r w:rsidR="00232C7D" w:rsidRPr="00232C7D">
        <w:t>discrete Indigenous communities, which will affect the NT more than other jurisdictions.</w:t>
      </w:r>
    </w:p>
    <w:p w:rsidR="008A2833" w:rsidRPr="00CA3F7F" w:rsidRDefault="008A2833" w:rsidP="00B037F7">
      <w:pPr>
        <w:pStyle w:val="Source"/>
      </w:pPr>
      <w:r>
        <w:rPr>
          <w:i/>
        </w:rPr>
        <w:t>Source</w:t>
      </w:r>
      <w:r w:rsidRPr="00167F06">
        <w:t xml:space="preserve">: </w:t>
      </w:r>
      <w:r w:rsidRPr="007A3C00">
        <w:t xml:space="preserve">ABS unpublished, </w:t>
      </w:r>
      <w:r w:rsidRPr="007A3C00">
        <w:rPr>
          <w:i/>
        </w:rPr>
        <w:t>Patient Experience Survey 2010-11, 2011-12, 2012-13</w:t>
      </w:r>
      <w:r w:rsidR="00157BB8">
        <w:t>, Cat. n</w:t>
      </w:r>
      <w:r w:rsidRPr="007A3C00">
        <w:t>o. 4839.0</w:t>
      </w:r>
      <w:r w:rsidR="009967B8">
        <w:t>; table 11A.40</w:t>
      </w:r>
      <w:r w:rsidRPr="007A3C00">
        <w:t>.</w:t>
      </w:r>
    </w:p>
    <w:p w:rsidR="00CA3F7F" w:rsidRDefault="000656F5" w:rsidP="00944E91">
      <w:pPr>
        <w:pStyle w:val="BodyText"/>
      </w:pPr>
      <w:r w:rsidRPr="006762B5">
        <w:t xml:space="preserve">Nationally, there were </w:t>
      </w:r>
      <w:r w:rsidRPr="00C60B1C">
        <w:t xml:space="preserve">around </w:t>
      </w:r>
      <w:r w:rsidR="004743C2" w:rsidRPr="00B037F7">
        <w:t>2.</w:t>
      </w:r>
      <w:r w:rsidR="008C219C" w:rsidRPr="00B037F7">
        <w:t>2</w:t>
      </w:r>
      <w:r w:rsidRPr="00B037F7">
        <w:t xml:space="preserve"> million GP-type presentations to public hospital emergency departments in</w:t>
      </w:r>
      <w:r w:rsidR="008C219C" w:rsidRPr="00B037F7">
        <w:t xml:space="preserve"> 2012-13</w:t>
      </w:r>
      <w:r w:rsidRPr="00EF4734">
        <w:t xml:space="preserve"> </w:t>
      </w:r>
      <w:r w:rsidR="00781EAD">
        <w:t>(table 11.</w:t>
      </w:r>
      <w:r w:rsidR="009821C3">
        <w:t>6</w:t>
      </w:r>
      <w:r w:rsidR="00781EAD">
        <w:t>).</w:t>
      </w:r>
    </w:p>
    <w:p w:rsidR="000656F5" w:rsidRPr="00363D6D" w:rsidRDefault="000656F5" w:rsidP="00FD61FF">
      <w:pPr>
        <w:pStyle w:val="TableTitle"/>
        <w:rPr>
          <w:rStyle w:val="NoteLabel"/>
          <w:b/>
        </w:rPr>
      </w:pPr>
      <w:r>
        <w:rPr>
          <w:b w:val="0"/>
        </w:rPr>
        <w:t>Table 11.</w:t>
      </w:r>
      <w:r w:rsidR="009821C3">
        <w:rPr>
          <w:b w:val="0"/>
        </w:rPr>
        <w:t>6</w:t>
      </w:r>
      <w:r>
        <w:tab/>
      </w:r>
      <w:r w:rsidRPr="00126714">
        <w:t>GP-type presentations to emergency departments</w:t>
      </w:r>
      <w:r w:rsidR="00CA3F7F">
        <w:t xml:space="preserve">, </w:t>
      </w:r>
      <w:r>
        <w:t>(‘000)</w:t>
      </w:r>
      <w:r w:rsidRPr="00363D6D">
        <w:rPr>
          <w:rStyle w:val="NoteLabel"/>
          <w:b/>
        </w:rPr>
        <w:t>a, b, c</w:t>
      </w:r>
    </w:p>
    <w:tbl>
      <w:tblPr>
        <w:tblW w:w="5000" w:type="pct"/>
        <w:tblBorders>
          <w:top w:val="single" w:sz="6" w:space="0" w:color="auto"/>
          <w:bottom w:val="single" w:sz="6" w:space="0" w:color="auto"/>
          <w:insideH w:val="single" w:sz="6" w:space="0" w:color="auto"/>
        </w:tblBorders>
        <w:tblCellMar>
          <w:left w:w="0" w:type="dxa"/>
          <w:right w:w="0" w:type="dxa"/>
        </w:tblCellMar>
        <w:tblLook w:val="0000" w:firstRow="0" w:lastRow="0" w:firstColumn="0" w:lastColumn="0" w:noHBand="0" w:noVBand="0"/>
      </w:tblPr>
      <w:tblGrid>
        <w:gridCol w:w="880"/>
        <w:gridCol w:w="880"/>
        <w:gridCol w:w="881"/>
        <w:gridCol w:w="881"/>
        <w:gridCol w:w="879"/>
        <w:gridCol w:w="879"/>
        <w:gridCol w:w="879"/>
        <w:gridCol w:w="786"/>
        <w:gridCol w:w="853"/>
        <w:gridCol w:w="991"/>
      </w:tblGrid>
      <w:tr w:rsidR="000656F5" w:rsidRPr="00B65FFF" w:rsidTr="008F6CBD">
        <w:trPr>
          <w:trHeight w:val="303"/>
        </w:trPr>
        <w:tc>
          <w:tcPr>
            <w:tcW w:w="501" w:type="pct"/>
            <w:shd w:val="clear" w:color="auto" w:fill="auto"/>
            <w:vAlign w:val="center"/>
          </w:tcPr>
          <w:p w:rsidR="000656F5" w:rsidRPr="00B65FFF" w:rsidRDefault="000656F5" w:rsidP="00FD61FF">
            <w:pPr>
              <w:pStyle w:val="TableColumnHeading"/>
              <w:ind w:right="57"/>
            </w:pPr>
          </w:p>
        </w:tc>
        <w:tc>
          <w:tcPr>
            <w:tcW w:w="501" w:type="pct"/>
            <w:shd w:val="clear" w:color="auto" w:fill="auto"/>
            <w:vAlign w:val="center"/>
          </w:tcPr>
          <w:p w:rsidR="000656F5" w:rsidRPr="00B65FFF" w:rsidRDefault="000656F5" w:rsidP="00B22CF3">
            <w:pPr>
              <w:pStyle w:val="TableColumnHeading"/>
              <w:spacing w:before="0" w:afterLines="40" w:after="96"/>
            </w:pPr>
            <w:r w:rsidRPr="00B65FFF">
              <w:t>NSW</w:t>
            </w:r>
          </w:p>
        </w:tc>
        <w:tc>
          <w:tcPr>
            <w:tcW w:w="501" w:type="pct"/>
          </w:tcPr>
          <w:p w:rsidR="000656F5" w:rsidRPr="00B65FFF" w:rsidRDefault="000656F5" w:rsidP="00B22CF3">
            <w:pPr>
              <w:pStyle w:val="TableColumnHeading"/>
              <w:spacing w:before="0" w:afterLines="40" w:after="96"/>
            </w:pPr>
            <w:r w:rsidRPr="00B65FFF">
              <w:t>Vic</w:t>
            </w:r>
          </w:p>
        </w:tc>
        <w:tc>
          <w:tcPr>
            <w:tcW w:w="501" w:type="pct"/>
            <w:shd w:val="clear" w:color="auto" w:fill="auto"/>
            <w:vAlign w:val="center"/>
          </w:tcPr>
          <w:p w:rsidR="000656F5" w:rsidRPr="00B65FFF" w:rsidRDefault="000656F5" w:rsidP="00B22CF3">
            <w:pPr>
              <w:pStyle w:val="TableColumnHeading"/>
              <w:spacing w:before="0" w:afterLines="40" w:after="96"/>
            </w:pPr>
            <w:r w:rsidRPr="00B65FFF">
              <w:t>Qld</w:t>
            </w:r>
          </w:p>
        </w:tc>
        <w:tc>
          <w:tcPr>
            <w:tcW w:w="500" w:type="pct"/>
            <w:shd w:val="clear" w:color="auto" w:fill="auto"/>
            <w:vAlign w:val="center"/>
          </w:tcPr>
          <w:p w:rsidR="000656F5" w:rsidRPr="00B65FFF" w:rsidRDefault="000656F5" w:rsidP="00B22CF3">
            <w:pPr>
              <w:pStyle w:val="TableColumnHeading"/>
              <w:spacing w:before="0" w:afterLines="40" w:after="96"/>
            </w:pPr>
            <w:r w:rsidRPr="00B65FFF">
              <w:t>WA</w:t>
            </w:r>
          </w:p>
        </w:tc>
        <w:tc>
          <w:tcPr>
            <w:tcW w:w="500" w:type="pct"/>
            <w:shd w:val="clear" w:color="auto" w:fill="auto"/>
            <w:vAlign w:val="center"/>
          </w:tcPr>
          <w:p w:rsidR="000656F5" w:rsidRPr="00B65FFF" w:rsidRDefault="000656F5" w:rsidP="00B22CF3">
            <w:pPr>
              <w:pStyle w:val="TableColumnHeading"/>
              <w:spacing w:before="0" w:afterLines="40" w:after="96"/>
            </w:pPr>
            <w:r w:rsidRPr="00B65FFF">
              <w:t>SA</w:t>
            </w:r>
          </w:p>
        </w:tc>
        <w:tc>
          <w:tcPr>
            <w:tcW w:w="500" w:type="pct"/>
            <w:shd w:val="clear" w:color="auto" w:fill="auto"/>
            <w:vAlign w:val="center"/>
          </w:tcPr>
          <w:p w:rsidR="000656F5" w:rsidRPr="00B65FFF" w:rsidRDefault="000656F5" w:rsidP="00B22CF3">
            <w:pPr>
              <w:pStyle w:val="TableColumnHeading"/>
              <w:spacing w:before="0" w:afterLines="40" w:after="96"/>
            </w:pPr>
            <w:r w:rsidRPr="00B65FFF">
              <w:t>Tas</w:t>
            </w:r>
          </w:p>
        </w:tc>
        <w:tc>
          <w:tcPr>
            <w:tcW w:w="447" w:type="pct"/>
            <w:shd w:val="clear" w:color="auto" w:fill="auto"/>
            <w:vAlign w:val="center"/>
          </w:tcPr>
          <w:p w:rsidR="000656F5" w:rsidRPr="00B65FFF" w:rsidRDefault="000656F5" w:rsidP="00B22CF3">
            <w:pPr>
              <w:pStyle w:val="TableColumnHeading"/>
              <w:spacing w:before="0" w:afterLines="40" w:after="96"/>
            </w:pPr>
            <w:r w:rsidRPr="00B65FFF">
              <w:t>ACT</w:t>
            </w:r>
          </w:p>
        </w:tc>
        <w:tc>
          <w:tcPr>
            <w:tcW w:w="485" w:type="pct"/>
            <w:shd w:val="clear" w:color="auto" w:fill="auto"/>
            <w:vAlign w:val="center"/>
          </w:tcPr>
          <w:p w:rsidR="000656F5" w:rsidRPr="00B65FFF" w:rsidRDefault="000656F5" w:rsidP="00B22CF3">
            <w:pPr>
              <w:pStyle w:val="TableColumnHeading"/>
              <w:spacing w:before="0" w:afterLines="40" w:after="96"/>
            </w:pPr>
            <w:r w:rsidRPr="00B65FFF">
              <w:t>NT</w:t>
            </w:r>
          </w:p>
        </w:tc>
        <w:tc>
          <w:tcPr>
            <w:tcW w:w="564" w:type="pct"/>
            <w:shd w:val="clear" w:color="auto" w:fill="auto"/>
            <w:vAlign w:val="center"/>
          </w:tcPr>
          <w:p w:rsidR="000656F5" w:rsidRPr="00B65FFF" w:rsidRDefault="000656F5" w:rsidP="00B22CF3">
            <w:pPr>
              <w:pStyle w:val="TableColumnHeading"/>
              <w:spacing w:before="0" w:afterLines="40" w:after="96"/>
            </w:pPr>
            <w:r w:rsidRPr="00B65FFF">
              <w:t>Aust</w:t>
            </w:r>
          </w:p>
        </w:tc>
      </w:tr>
      <w:tr w:rsidR="00C246A0" w:rsidTr="00B037F7">
        <w:trPr>
          <w:trHeight w:val="324"/>
        </w:trPr>
        <w:tc>
          <w:tcPr>
            <w:tcW w:w="501" w:type="pct"/>
            <w:shd w:val="clear" w:color="auto" w:fill="auto"/>
            <w:vAlign w:val="bottom"/>
          </w:tcPr>
          <w:p w:rsidR="00C246A0" w:rsidRPr="007478DE" w:rsidRDefault="00C246A0" w:rsidP="007E79C8">
            <w:pPr>
              <w:pStyle w:val="TableUnitsRow"/>
              <w:spacing w:before="0" w:afterLines="40" w:after="96"/>
            </w:pPr>
            <w:r w:rsidRPr="007478DE">
              <w:t>201</w:t>
            </w:r>
            <w:r>
              <w:t>2</w:t>
            </w:r>
            <w:r w:rsidRPr="007478DE">
              <w:t>-1</w:t>
            </w:r>
            <w:r>
              <w:t>3</w:t>
            </w:r>
          </w:p>
        </w:tc>
        <w:tc>
          <w:tcPr>
            <w:tcW w:w="501"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682.3</w:t>
            </w:r>
          </w:p>
        </w:tc>
        <w:tc>
          <w:tcPr>
            <w:tcW w:w="501"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574.5</w:t>
            </w:r>
          </w:p>
        </w:tc>
        <w:tc>
          <w:tcPr>
            <w:tcW w:w="501"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383.8</w:t>
            </w:r>
          </w:p>
        </w:tc>
        <w:tc>
          <w:tcPr>
            <w:tcW w:w="500"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282.1</w:t>
            </w:r>
          </w:p>
        </w:tc>
        <w:tc>
          <w:tcPr>
            <w:tcW w:w="500"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105.9</w:t>
            </w:r>
          </w:p>
        </w:tc>
        <w:tc>
          <w:tcPr>
            <w:tcW w:w="500"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61.6</w:t>
            </w:r>
          </w:p>
        </w:tc>
        <w:tc>
          <w:tcPr>
            <w:tcW w:w="447"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46.6</w:t>
            </w:r>
          </w:p>
        </w:tc>
        <w:tc>
          <w:tcPr>
            <w:tcW w:w="485"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39.8</w:t>
            </w:r>
          </w:p>
        </w:tc>
        <w:tc>
          <w:tcPr>
            <w:tcW w:w="564" w:type="pct"/>
            <w:shd w:val="clear" w:color="auto" w:fill="auto"/>
            <w:tcMar>
              <w:left w:w="108" w:type="dxa"/>
              <w:right w:w="108" w:type="dxa"/>
            </w:tcMar>
            <w:vAlign w:val="bottom"/>
          </w:tcPr>
          <w:p w:rsidR="00C246A0" w:rsidRPr="00C246A0" w:rsidRDefault="00C246A0" w:rsidP="007E79C8">
            <w:pPr>
              <w:spacing w:afterLines="40" w:after="96"/>
              <w:jc w:val="right"/>
              <w:rPr>
                <w:rFonts w:ascii="Arial" w:hAnsi="Arial" w:cs="Arial"/>
                <w:sz w:val="20"/>
                <w:szCs w:val="20"/>
              </w:rPr>
            </w:pPr>
            <w:r w:rsidRPr="00C246A0">
              <w:rPr>
                <w:rFonts w:ascii="Arial" w:hAnsi="Arial" w:cs="Arial"/>
                <w:sz w:val="20"/>
                <w:szCs w:val="20"/>
              </w:rPr>
              <w:t xml:space="preserve"> 2 176.6</w:t>
            </w:r>
          </w:p>
        </w:tc>
      </w:tr>
    </w:tbl>
    <w:p w:rsidR="000656F5" w:rsidRPr="00126714" w:rsidRDefault="000656F5" w:rsidP="005919AC">
      <w:pPr>
        <w:pStyle w:val="Note"/>
        <w:keepNext/>
      </w:pPr>
      <w:r w:rsidRPr="00126714">
        <w:rPr>
          <w:rStyle w:val="NoteLabel"/>
        </w:rPr>
        <w:t>a</w:t>
      </w:r>
      <w:r>
        <w:rPr>
          <w:rFonts w:cs="Arial"/>
        </w:rPr>
        <w:t xml:space="preserve"> </w:t>
      </w:r>
      <w:r w:rsidRPr="00126714">
        <w:t xml:space="preserve">GP-type emergency department presentations </w:t>
      </w:r>
      <w:r>
        <w:t>a</w:t>
      </w:r>
      <w:r w:rsidRPr="00126714">
        <w:t xml:space="preserve">re defined </w:t>
      </w:r>
      <w:r>
        <w:t>as presentations for which the type of visit was reported as e</w:t>
      </w:r>
      <w:r w:rsidRPr="00126714">
        <w:t xml:space="preserve">mergency presentation, which did not arrive by </w:t>
      </w:r>
      <w:r>
        <w:t>a</w:t>
      </w:r>
      <w:r w:rsidRPr="00126714">
        <w:t xml:space="preserve">mbulance or by </w:t>
      </w:r>
      <w:r>
        <w:t>p</w:t>
      </w:r>
      <w:r w:rsidRPr="00126714">
        <w:t>olice or othe</w:t>
      </w:r>
      <w:r>
        <w:t>r correctional vehicle, with a triage category of semi-urgent or n</w:t>
      </w:r>
      <w:r w:rsidRPr="00126714">
        <w:t>on-urgent, and where the episode end status was not</w:t>
      </w:r>
      <w:r>
        <w:t xml:space="preserve"> admitted to the hospital, or r</w:t>
      </w:r>
      <w:r w:rsidRPr="00126714">
        <w:t>e</w:t>
      </w:r>
      <w:r>
        <w:t>ferred to another hospital, or d</w:t>
      </w:r>
      <w:r w:rsidRPr="00126714">
        <w:t>ied.</w:t>
      </w:r>
      <w:r>
        <w:t xml:space="preserve"> </w:t>
      </w:r>
      <w:r w:rsidR="00FA4F9B" w:rsidRPr="00FA4F9B">
        <w:t xml:space="preserve">This is an interim definition, pending development of new methodology to more closely approximate the population that could receive services in the primary care sector. </w:t>
      </w:r>
      <w:r>
        <w:rPr>
          <w:rStyle w:val="NoteLabel"/>
        </w:rPr>
        <w:t>b</w:t>
      </w:r>
      <w:r>
        <w:rPr>
          <w:rFonts w:cs="Arial"/>
        </w:rPr>
        <w:t xml:space="preserve"> </w:t>
      </w:r>
      <w:r w:rsidRPr="00126714">
        <w:t xml:space="preserve">Data are presented by </w:t>
      </w:r>
      <w:r>
        <w:t>S</w:t>
      </w:r>
      <w:r w:rsidRPr="00126714">
        <w:t>tate/</w:t>
      </w:r>
      <w:r>
        <w:t>T</w:t>
      </w:r>
      <w:r w:rsidRPr="00126714">
        <w:t>erritory of</w:t>
      </w:r>
      <w:r>
        <w:t xml:space="preserve"> usual residence of the patient</w:t>
      </w:r>
      <w:r w:rsidRPr="00126714">
        <w:t>.</w:t>
      </w:r>
      <w:r>
        <w:t xml:space="preserve"> </w:t>
      </w:r>
      <w:r>
        <w:rPr>
          <w:rStyle w:val="NoteLabel"/>
        </w:rPr>
        <w:t>c</w:t>
      </w:r>
      <w:r>
        <w:rPr>
          <w:rFonts w:cs="Arial"/>
        </w:rPr>
        <w:t xml:space="preserve"> Data are for </w:t>
      </w:r>
      <w:r w:rsidRPr="00126714">
        <w:t>peer group A and B public hospitals</w:t>
      </w:r>
      <w:r>
        <w:t xml:space="preserve"> only</w:t>
      </w:r>
      <w:r w:rsidRPr="00126714">
        <w:t>.</w:t>
      </w:r>
    </w:p>
    <w:p w:rsidR="000656F5" w:rsidRDefault="000656F5" w:rsidP="005919AC">
      <w:pPr>
        <w:pStyle w:val="Source"/>
      </w:pPr>
      <w:r w:rsidRPr="00D66DA2">
        <w:rPr>
          <w:i/>
        </w:rPr>
        <w:t>Source</w:t>
      </w:r>
      <w:r w:rsidRPr="00D66DA2">
        <w:t xml:space="preserve">: AIHW (unpublished) National non-admitted emergency patient database; table </w:t>
      </w:r>
      <w:r w:rsidR="00F73056">
        <w:t>11A.3</w:t>
      </w:r>
      <w:r w:rsidR="009967B8">
        <w:t>9</w:t>
      </w:r>
      <w:r w:rsidRPr="00D66DA2">
        <w:t>.</w:t>
      </w:r>
    </w:p>
    <w:p w:rsidR="00927DD2" w:rsidRPr="00927DD2" w:rsidRDefault="001D3BA4" w:rsidP="00927DD2">
      <w:pPr>
        <w:pStyle w:val="Heading5"/>
      </w:pPr>
      <w:r w:rsidRPr="001D3BA4">
        <w:t xml:space="preserve">Financial barriers to </w:t>
      </w:r>
      <w:r>
        <w:t>PBS</w:t>
      </w:r>
      <w:r w:rsidRPr="001D3BA4">
        <w:t xml:space="preserve"> medicines</w:t>
      </w:r>
    </w:p>
    <w:p w:rsidR="004743C2" w:rsidRPr="00944E91" w:rsidRDefault="00FD0402" w:rsidP="00944E91">
      <w:pPr>
        <w:pStyle w:val="BodyText"/>
      </w:pPr>
      <w:r>
        <w:t>‘</w:t>
      </w:r>
      <w:r w:rsidR="001D3BA4" w:rsidRPr="001D3BA4">
        <w:t xml:space="preserve">Financial barriers to PBS </w:t>
      </w:r>
      <w:r w:rsidR="00AB1CDB">
        <w:t>medicines</w:t>
      </w:r>
      <w:r>
        <w:t xml:space="preserve">’ is an indicator of governments’ objective to ensure </w:t>
      </w:r>
      <w:r w:rsidR="00F27E16">
        <w:t>effective</w:t>
      </w:r>
      <w:r>
        <w:t xml:space="preserve"> access to </w:t>
      </w:r>
      <w:r w:rsidR="00472FD3">
        <w:t>prescribed medicines</w:t>
      </w:r>
      <w:r w:rsidR="00ED562D">
        <w:t xml:space="preserve"> (</w:t>
      </w:r>
      <w:smartTag w:uri="urn:schemas-microsoft-com:office:smarttags" w:element="address">
        <w:smartTag w:uri="urn:schemas-microsoft-com:office:smarttags" w:element="Street">
          <w:r w:rsidR="00ED562D" w:rsidRPr="00CD5CD3">
            <w:t>box</w:t>
          </w:r>
        </w:smartTag>
        <w:r w:rsidR="008C5A11">
          <w:t xml:space="preserve"> 11.</w:t>
        </w:r>
        <w:r w:rsidR="00CD5CD3" w:rsidRPr="00CD5CD3">
          <w:t>8</w:t>
        </w:r>
      </w:smartTag>
      <w:r w:rsidR="00ED562D" w:rsidRPr="00CD5CD3">
        <w:t>)</w:t>
      </w:r>
      <w:r w:rsidRPr="00CD5CD3">
        <w:t>.</w:t>
      </w:r>
    </w:p>
    <w:p w:rsidR="00DC2389" w:rsidRDefault="00DC2389" w:rsidP="00A3200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2389">
        <w:tc>
          <w:tcPr>
            <w:tcW w:w="8771" w:type="dxa"/>
            <w:tcBorders>
              <w:top w:val="single" w:sz="6" w:space="0" w:color="auto"/>
              <w:bottom w:val="nil"/>
            </w:tcBorders>
          </w:tcPr>
          <w:p w:rsidR="00DC2389" w:rsidRPr="00AB1CDB" w:rsidRDefault="00DC2389" w:rsidP="00A32004">
            <w:pPr>
              <w:pStyle w:val="BoxTitle"/>
            </w:pPr>
            <w:smartTag w:uri="urn:schemas-microsoft-com:office:smarttags" w:element="Street">
              <w:r>
                <w:rPr>
                  <w:b w:val="0"/>
                </w:rPr>
                <w:t>Box</w:t>
              </w:r>
            </w:smartTag>
            <w:r>
              <w:rPr>
                <w:b w:val="0"/>
              </w:rPr>
              <w:t xml:space="preserve"> </w:t>
            </w:r>
            <w:r w:rsidR="00EC42DB">
              <w:rPr>
                <w:b w:val="0"/>
              </w:rPr>
              <w:t>11.</w:t>
            </w:r>
            <w:r w:rsidR="00C44281">
              <w:rPr>
                <w:b w:val="0"/>
                <w:noProof/>
              </w:rPr>
              <w:t>8</w:t>
            </w:r>
            <w:r>
              <w:tab/>
            </w:r>
            <w:r w:rsidR="001D3BA4" w:rsidRPr="001D3BA4">
              <w:t xml:space="preserve">Financial barriers to </w:t>
            </w:r>
            <w:r w:rsidR="001D3BA4">
              <w:t>PBS</w:t>
            </w:r>
            <w:r w:rsidR="00AB1CDB" w:rsidRPr="00AB1CDB">
              <w:t xml:space="preserve"> medicines</w:t>
            </w:r>
          </w:p>
        </w:tc>
      </w:tr>
      <w:tr w:rsidR="00DC2389">
        <w:trPr>
          <w:cantSplit/>
        </w:trPr>
        <w:tc>
          <w:tcPr>
            <w:tcW w:w="8771" w:type="dxa"/>
            <w:tcBorders>
              <w:top w:val="nil"/>
              <w:left w:val="single" w:sz="6" w:space="0" w:color="auto"/>
              <w:bottom w:val="nil"/>
              <w:right w:val="single" w:sz="6" w:space="0" w:color="auto"/>
            </w:tcBorders>
          </w:tcPr>
          <w:p w:rsidR="00DC2389" w:rsidRPr="00A97F84" w:rsidRDefault="00924B95" w:rsidP="00727325">
            <w:pPr>
              <w:pStyle w:val="Box"/>
            </w:pPr>
            <w:r w:rsidRPr="00A97F84">
              <w:t>‘</w:t>
            </w:r>
            <w:r w:rsidR="001D3BA4" w:rsidRPr="00A97F84">
              <w:t>Financial barriers to PBS medicines</w:t>
            </w:r>
            <w:r w:rsidR="0005218D" w:rsidRPr="00A97F84">
              <w:t>’</w:t>
            </w:r>
            <w:r w:rsidR="00727325" w:rsidRPr="00A97F84">
              <w:t xml:space="preserve"> is</w:t>
            </w:r>
            <w:r w:rsidR="0005218D" w:rsidRPr="00A97F84">
              <w:t xml:space="preserve"> defined as </w:t>
            </w:r>
            <w:r w:rsidR="00727B3D" w:rsidRPr="00A97F84">
              <w:t>the proportion of people who delayed getting or did not get a prescription filled due to cost.</w:t>
            </w:r>
          </w:p>
          <w:p w:rsidR="00593547" w:rsidRPr="00A97F84" w:rsidRDefault="00593547" w:rsidP="00593547">
            <w:pPr>
              <w:pStyle w:val="Box"/>
            </w:pPr>
            <w:r w:rsidRPr="00A97F84">
              <w:t>A low</w:t>
            </w:r>
            <w:r w:rsidR="00741241" w:rsidRPr="00A97F84">
              <w:t xml:space="preserve"> or decreasing</w:t>
            </w:r>
            <w:r w:rsidRPr="00A97F84">
              <w:t xml:space="preserve"> proportion of people deferring treatment due to financial barriers indicates more widely affordable access to medications.</w:t>
            </w:r>
          </w:p>
          <w:p w:rsidR="00593547" w:rsidRDefault="00593547" w:rsidP="00593547">
            <w:pPr>
              <w:pStyle w:val="Box"/>
            </w:pPr>
            <w:r w:rsidRPr="00A97F84">
              <w:t xml:space="preserve">Data </w:t>
            </w:r>
            <w:r w:rsidR="005309BA">
              <w:t xml:space="preserve">reported </w:t>
            </w:r>
            <w:r w:rsidRPr="00A97F84">
              <w:t>for this indicator are</w:t>
            </w:r>
            <w:r w:rsidR="005309BA">
              <w:t>:</w:t>
            </w:r>
          </w:p>
          <w:p w:rsidR="00065D58" w:rsidRDefault="00065D58" w:rsidP="00065D58">
            <w:pPr>
              <w:pStyle w:val="BoxListBullet"/>
            </w:pPr>
            <w:r w:rsidRPr="00065D58">
              <w:t>comparable (subject to caveats) across jurisdictions and over time</w:t>
            </w:r>
          </w:p>
          <w:p w:rsidR="00065D58" w:rsidRDefault="00065D58" w:rsidP="00065D58">
            <w:pPr>
              <w:pStyle w:val="BoxListBullet"/>
            </w:pPr>
            <w:r w:rsidRPr="00065D58">
              <w:t xml:space="preserve">complete (subject to caveats) for the current reporting period. All required </w:t>
            </w:r>
            <w:r w:rsidR="007F1DD5">
              <w:t>2012</w:t>
            </w:r>
            <w:r>
              <w:noBreakHyphen/>
              <w:t>1</w:t>
            </w:r>
            <w:r w:rsidR="007F1DD5">
              <w:t>3</w:t>
            </w:r>
            <w:r w:rsidRPr="00065D58">
              <w:t xml:space="preserve"> data are available for all jurisdictions</w:t>
            </w:r>
            <w:r>
              <w:t>.</w:t>
            </w:r>
          </w:p>
          <w:p w:rsidR="00D32CDF" w:rsidRPr="002706CE" w:rsidRDefault="00355023" w:rsidP="00355023">
            <w:pPr>
              <w:pStyle w:val="Box"/>
              <w:rPr>
                <w:rStyle w:val="DraftingNote"/>
                <w:b w:val="0"/>
                <w:color w:val="auto"/>
                <w:sz w:val="22"/>
                <w:u w:val="none"/>
              </w:rPr>
            </w:pPr>
            <w:r w:rsidRPr="0027351B">
              <w:t xml:space="preserve">Data quality information </w:t>
            </w:r>
            <w:r w:rsidR="001D3C59" w:rsidRPr="001D3C59">
              <w:t xml:space="preserve">for this indicator is at </w:t>
            </w:r>
            <w:r w:rsidR="00460F41" w:rsidRPr="00A97F84">
              <w:t>www.pc.gov.au/gsp/reports/</w:t>
            </w:r>
            <w:r w:rsidR="009E5543">
              <w:t>rogs/2014</w:t>
            </w:r>
            <w:r w:rsidR="002706CE" w:rsidRPr="00944E91">
              <w:t>.</w:t>
            </w:r>
          </w:p>
        </w:tc>
      </w:tr>
      <w:tr w:rsidR="00DC2389">
        <w:trPr>
          <w:cantSplit/>
        </w:trPr>
        <w:tc>
          <w:tcPr>
            <w:tcW w:w="8771" w:type="dxa"/>
            <w:tcBorders>
              <w:top w:val="nil"/>
              <w:left w:val="single" w:sz="6" w:space="0" w:color="auto"/>
              <w:bottom w:val="single" w:sz="6" w:space="0" w:color="auto"/>
              <w:right w:val="single" w:sz="6" w:space="0" w:color="auto"/>
            </w:tcBorders>
          </w:tcPr>
          <w:p w:rsidR="00DC2389" w:rsidRDefault="00DC2389" w:rsidP="00A32004">
            <w:pPr>
              <w:pStyle w:val="Box"/>
              <w:spacing w:before="0" w:line="120" w:lineRule="exact"/>
            </w:pPr>
          </w:p>
        </w:tc>
      </w:tr>
      <w:tr w:rsidR="00DC2389">
        <w:tc>
          <w:tcPr>
            <w:tcW w:w="8771" w:type="dxa"/>
            <w:tcBorders>
              <w:top w:val="nil"/>
              <w:left w:val="nil"/>
              <w:bottom w:val="nil"/>
              <w:right w:val="nil"/>
            </w:tcBorders>
          </w:tcPr>
          <w:p w:rsidR="00DC2389" w:rsidRDefault="00DC2389" w:rsidP="00A32004">
            <w:pPr>
              <w:pStyle w:val="Box"/>
              <w:keepNext w:val="0"/>
              <w:spacing w:before="60" w:after="60" w:line="80" w:lineRule="exact"/>
              <w:rPr>
                <w:b/>
                <w:color w:val="FF00FF"/>
                <w:sz w:val="14"/>
              </w:rPr>
            </w:pPr>
          </w:p>
        </w:tc>
      </w:tr>
    </w:tbl>
    <w:p w:rsidR="007B63F1" w:rsidRDefault="003930F9" w:rsidP="007305C4">
      <w:pPr>
        <w:pStyle w:val="BodyText"/>
      </w:pPr>
      <w:r w:rsidRPr="00A97F84">
        <w:t>Nationally</w:t>
      </w:r>
      <w:r w:rsidR="00C77D26" w:rsidRPr="00A97F84">
        <w:t>,</w:t>
      </w:r>
      <w:r w:rsidR="00040398" w:rsidRPr="00A97F84">
        <w:t xml:space="preserve"> </w:t>
      </w:r>
      <w:r w:rsidR="00040398" w:rsidRPr="00B037F7">
        <w:t>in 201</w:t>
      </w:r>
      <w:r w:rsidR="00FD0E34" w:rsidRPr="00B037F7">
        <w:t>2</w:t>
      </w:r>
      <w:r w:rsidR="005852B7" w:rsidRPr="00B037F7">
        <w:t>-1</w:t>
      </w:r>
      <w:r w:rsidR="00FD0E34" w:rsidRPr="00B037F7">
        <w:t>3</w:t>
      </w:r>
      <w:r w:rsidR="00040398" w:rsidRPr="00B037F7">
        <w:t>,</w:t>
      </w:r>
      <w:r w:rsidR="00C77D26" w:rsidRPr="00B037F7">
        <w:t xml:space="preserve"> </w:t>
      </w:r>
      <w:r w:rsidR="00FD0E34" w:rsidRPr="00B037F7">
        <w:t>8</w:t>
      </w:r>
      <w:r w:rsidR="00562FBB" w:rsidRPr="00B037F7">
        <w:t>.</w:t>
      </w:r>
      <w:r w:rsidR="00FD0E34" w:rsidRPr="00B037F7">
        <w:t>5</w:t>
      </w:r>
      <w:r w:rsidR="00C77D26" w:rsidRPr="00B037F7">
        <w:t xml:space="preserve"> per cent of respondents delay</w:t>
      </w:r>
      <w:r w:rsidR="00184473" w:rsidRPr="00B037F7">
        <w:t>ed</w:t>
      </w:r>
      <w:r w:rsidR="00C77D26" w:rsidRPr="00B037F7">
        <w:t xml:space="preserve"> or </w:t>
      </w:r>
      <w:r w:rsidR="00184473" w:rsidRPr="00B037F7">
        <w:t xml:space="preserve">did </w:t>
      </w:r>
      <w:r w:rsidR="00C77D26" w:rsidRPr="00B037F7">
        <w:t>not purchas</w:t>
      </w:r>
      <w:r w:rsidR="00184473" w:rsidRPr="00B037F7">
        <w:t>e</w:t>
      </w:r>
      <w:r w:rsidR="00991698" w:rsidRPr="00B037F7">
        <w:t xml:space="preserve"> prescribed</w:t>
      </w:r>
      <w:r w:rsidR="00C77D26" w:rsidRPr="00B037F7">
        <w:t xml:space="preserve"> medicines due to cost </w:t>
      </w:r>
      <w:r w:rsidR="00D0561C" w:rsidRPr="00B037F7">
        <w:t>in</w:t>
      </w:r>
      <w:r w:rsidR="00D0561C" w:rsidRPr="00CD5CD3">
        <w:t xml:space="preserve"> the previous</w:t>
      </w:r>
      <w:r w:rsidR="00C77D26" w:rsidRPr="00CD5CD3">
        <w:t xml:space="preserve"> </w:t>
      </w:r>
      <w:r w:rsidR="00184473" w:rsidRPr="00CD5CD3">
        <w:t>12 month period</w:t>
      </w:r>
      <w:r w:rsidR="003C4080">
        <w:t xml:space="preserve"> (figure 11.1</w:t>
      </w:r>
      <w:r w:rsidR="004A5577">
        <w:t>9</w:t>
      </w:r>
      <w:r w:rsidR="00A04C16">
        <w:t>).</w:t>
      </w:r>
      <w:r w:rsidR="003E66D6">
        <w:t xml:space="preserve"> National data by remoteness are reported in table 11A.4</w:t>
      </w:r>
      <w:r w:rsidR="00DB46E1">
        <w:t>4</w:t>
      </w:r>
      <w:r w:rsidR="003E66D6">
        <w:t xml:space="preserve">. </w:t>
      </w:r>
      <w:r w:rsidR="004449C3" w:rsidRPr="007305C4">
        <w:t>Data for Indigenous Australians</w:t>
      </w:r>
      <w:r w:rsidR="003E66D6" w:rsidRPr="007305C4">
        <w:t xml:space="preserve"> </w:t>
      </w:r>
      <w:r w:rsidR="00747C21">
        <w:t>are available for the first time</w:t>
      </w:r>
      <w:r w:rsidR="00787214" w:rsidRPr="007305C4">
        <w:t xml:space="preserve"> </w:t>
      </w:r>
      <w:r w:rsidR="00747C21" w:rsidRPr="007305C4">
        <w:t xml:space="preserve">from the ABS 2011-12 AATSIHS </w:t>
      </w:r>
      <w:r w:rsidR="00747C21">
        <w:t xml:space="preserve">and are presented </w:t>
      </w:r>
      <w:r w:rsidR="00787214" w:rsidRPr="007305C4">
        <w:t xml:space="preserve">in </w:t>
      </w:r>
      <w:r w:rsidR="002E6281" w:rsidRPr="007305C4">
        <w:t>table 11A</w:t>
      </w:r>
      <w:r w:rsidR="005F227C" w:rsidRPr="007305C4">
        <w:t>.4</w:t>
      </w:r>
      <w:r w:rsidR="009967B8">
        <w:t>2</w:t>
      </w:r>
      <w:r w:rsidR="00747C21">
        <w:t>.</w:t>
      </w:r>
      <w:r w:rsidR="004449C3" w:rsidRPr="007305C4">
        <w:t xml:space="preserve"> </w:t>
      </w:r>
      <w:r w:rsidR="00747C21" w:rsidRPr="007305C4">
        <w:t>However, differences in survey design and methodology mean data from the Patient experience survey and the AATSIHS are not comparable</w:t>
      </w:r>
      <w:r w:rsidR="00747C21">
        <w:t>.</w:t>
      </w:r>
    </w:p>
    <w:p w:rsidR="00DC2389" w:rsidRPr="00DC2389" w:rsidRDefault="00DC2389" w:rsidP="00CE16B6">
      <w:pPr>
        <w:pStyle w:val="FigureTitle"/>
      </w:pPr>
      <w:r>
        <w:rPr>
          <w:b w:val="0"/>
        </w:rPr>
        <w:lastRenderedPageBreak/>
        <w:t xml:space="preserve">Figure </w:t>
      </w:r>
      <w:r w:rsidR="00EC42DB">
        <w:rPr>
          <w:b w:val="0"/>
        </w:rPr>
        <w:t>11.</w:t>
      </w:r>
      <w:r w:rsidR="00C44281">
        <w:rPr>
          <w:b w:val="0"/>
          <w:noProof/>
        </w:rPr>
        <w:t>1</w:t>
      </w:r>
      <w:r w:rsidR="004A5577">
        <w:rPr>
          <w:b w:val="0"/>
          <w:noProof/>
        </w:rPr>
        <w:t>9</w:t>
      </w:r>
      <w:r w:rsidR="00ED0A29">
        <w:rPr>
          <w:b w:val="0"/>
        </w:rPr>
        <w:tab/>
      </w:r>
      <w:r w:rsidRPr="00DC2389">
        <w:t xml:space="preserve">People deferring </w:t>
      </w:r>
      <w:r>
        <w:t>purchas</w:t>
      </w:r>
      <w:r w:rsidR="00703C18">
        <w:t>e of</w:t>
      </w:r>
      <w:r>
        <w:t xml:space="preserve"> </w:t>
      </w:r>
      <w:r w:rsidR="00991698">
        <w:t xml:space="preserve">prescribed </w:t>
      </w:r>
      <w:r>
        <w:t xml:space="preserve">medicines due to </w:t>
      </w:r>
      <w:r w:rsidR="00C26E62">
        <w:t>cost</w:t>
      </w:r>
      <w:r w:rsidRPr="00CD5CD3">
        <w:rPr>
          <w:rStyle w:val="NoteLabel"/>
          <w:b/>
        </w:rPr>
        <w:t>a</w:t>
      </w:r>
      <w:r w:rsidR="00D22563">
        <w:rPr>
          <w:rStyle w:val="NoteLabel"/>
          <w:b/>
        </w:rPr>
        <w:t>, </w:t>
      </w:r>
      <w:r w:rsidR="00D22563" w:rsidRPr="00D22563">
        <w:rPr>
          <w:rStyle w:val="NoteLabel"/>
          <w:b/>
        </w:rPr>
        <w:t>b</w:t>
      </w:r>
      <w:r w:rsidR="00D22563">
        <w:rPr>
          <w:rStyle w:val="NoteLabel"/>
          <w:b/>
        </w:rPr>
        <w:t>, c</w:t>
      </w:r>
      <w:r w:rsidR="00D43F13">
        <w:rPr>
          <w:rStyle w:val="NoteLabel"/>
          <w:b/>
        </w:rPr>
        <w:t>,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C2389" w:rsidTr="00A32004">
        <w:tc>
          <w:tcPr>
            <w:tcW w:w="8777" w:type="dxa"/>
          </w:tcPr>
          <w:p w:rsidR="00DC2389" w:rsidRPr="007125E0" w:rsidRDefault="00D4699C" w:rsidP="00CE16B6">
            <w:pPr>
              <w:pStyle w:val="Figure"/>
            </w:pPr>
            <w:r>
              <w:rPr>
                <w:noProof/>
              </w:rPr>
              <w:drawing>
                <wp:inline distT="0" distB="0" distL="0" distR="0">
                  <wp:extent cx="5389880" cy="2753995"/>
                  <wp:effectExtent l="0" t="0" r="1270" b="8255"/>
                  <wp:docPr id="26" name="Picture 26" descr="Figure 11.19 People deferring purchase of prescribed medicines due to cos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9880" cy="2753995"/>
                          </a:xfrm>
                          <a:prstGeom prst="rect">
                            <a:avLst/>
                          </a:prstGeom>
                          <a:noFill/>
                          <a:ln>
                            <a:noFill/>
                          </a:ln>
                        </pic:spPr>
                      </pic:pic>
                    </a:graphicData>
                  </a:graphic>
                </wp:inline>
              </w:drawing>
            </w:r>
          </w:p>
        </w:tc>
      </w:tr>
    </w:tbl>
    <w:p w:rsidR="00B6560A" w:rsidRPr="00D22563" w:rsidRDefault="00B6560A" w:rsidP="007305C4">
      <w:pPr>
        <w:pStyle w:val="Note"/>
        <w:keepNext/>
      </w:pPr>
      <w:r>
        <w:rPr>
          <w:rStyle w:val="NoteLabel"/>
        </w:rPr>
        <w:t>a</w:t>
      </w:r>
      <w:r w:rsidR="00996A11">
        <w:t> </w:t>
      </w:r>
      <w:r w:rsidR="00A04C16" w:rsidRPr="00A04C16">
        <w:t>People 15 years or over who</w:t>
      </w:r>
      <w:r w:rsidR="00A3197E">
        <w:t>,</w:t>
      </w:r>
      <w:r w:rsidR="00A04C16" w:rsidRPr="00A04C16">
        <w:t xml:space="preserve"> in the last 12 months</w:t>
      </w:r>
      <w:r w:rsidR="00A3197E">
        <w:t>,</w:t>
      </w:r>
      <w:r w:rsidR="00A04C16" w:rsidRPr="00A04C16">
        <w:t xml:space="preserve"> were prescribed medication and delayed getting or did not get the medication due to cost.</w:t>
      </w:r>
      <w:r w:rsidR="002E78C7" w:rsidRPr="00F9597A">
        <w:rPr>
          <w:rStyle w:val="NoteLabel"/>
        </w:rPr>
        <w:t xml:space="preserve"> </w:t>
      </w:r>
      <w:r w:rsidR="00A04C16">
        <w:rPr>
          <w:rStyle w:val="NoteLabel"/>
        </w:rPr>
        <w:t>b</w:t>
      </w:r>
      <w:r w:rsidR="00D0561C">
        <w:t> </w:t>
      </w:r>
      <w:r w:rsidR="002E78C7">
        <w:t>Rates are age standardised to the Australian population at 30 June 2001.</w:t>
      </w:r>
      <w:r w:rsidR="002E78C7" w:rsidRPr="00D22563">
        <w:rPr>
          <w:rStyle w:val="NoteLabel"/>
        </w:rPr>
        <w:t xml:space="preserve"> </w:t>
      </w:r>
      <w:r w:rsidR="0055498F">
        <w:rPr>
          <w:rStyle w:val="NoteLabel"/>
        </w:rPr>
        <w:t>c</w:t>
      </w:r>
      <w:r w:rsidR="0055498F">
        <w:t xml:space="preserve"> </w:t>
      </w:r>
      <w:r w:rsidR="0055498F" w:rsidRPr="007305C4">
        <w:t>Data for 2010-11 for the NT should be used with care as the survey excluded very remote areas where around 23 per cent of the NT population usually reside.</w:t>
      </w:r>
      <w:r w:rsidR="0055498F" w:rsidRPr="007305C4">
        <w:rPr>
          <w:rStyle w:val="NoteLabel"/>
        </w:rPr>
        <w:t xml:space="preserve"> d</w:t>
      </w:r>
      <w:r w:rsidR="00F9597A" w:rsidRPr="007305C4">
        <w:t xml:space="preserve"> </w:t>
      </w:r>
      <w:r w:rsidR="00477C02" w:rsidRPr="007305C4">
        <w:t>Data for 2011-12 and 2012-13 include very remote areas but not discrete Indigenous communities, which will affect the NT more than other jurisdictions</w:t>
      </w:r>
      <w:r w:rsidR="00D43F13">
        <w:t>.</w:t>
      </w:r>
      <w:r w:rsidR="00D43F13" w:rsidRPr="00D43F13">
        <w:rPr>
          <w:rStyle w:val="NoteLabel"/>
        </w:rPr>
        <w:t xml:space="preserve"> </w:t>
      </w:r>
      <w:r w:rsidR="00D43F13">
        <w:rPr>
          <w:rStyle w:val="NoteLabel"/>
        </w:rPr>
        <w:t>e</w:t>
      </w:r>
      <w:r w:rsidR="00477C02">
        <w:t> </w:t>
      </w:r>
      <w:r w:rsidR="00F9597A">
        <w:t>Error bars represent the 95 per </w:t>
      </w:r>
      <w:r w:rsidR="00F9597A" w:rsidRPr="00192148">
        <w:t>cent confidence interval associated with each p</w:t>
      </w:r>
      <w:r w:rsidR="00F9597A">
        <w:t>oint estimate.</w:t>
      </w:r>
    </w:p>
    <w:p w:rsidR="00B6560A" w:rsidRDefault="00B6560A" w:rsidP="00584945">
      <w:pPr>
        <w:pStyle w:val="Source"/>
      </w:pPr>
      <w:r w:rsidRPr="00A97F84">
        <w:rPr>
          <w:i/>
        </w:rPr>
        <w:t>Source</w:t>
      </w:r>
      <w:r w:rsidRPr="00A97F84">
        <w:t xml:space="preserve">: ABS </w:t>
      </w:r>
      <w:r w:rsidR="00D22563" w:rsidRPr="00A97F84">
        <w:t>(unpublished)</w:t>
      </w:r>
      <w:r w:rsidR="00F36AC0" w:rsidRPr="00A97F84">
        <w:t xml:space="preserve"> </w:t>
      </w:r>
      <w:r w:rsidRPr="00A97F84">
        <w:rPr>
          <w:i/>
        </w:rPr>
        <w:t>Patient Experience Survey</w:t>
      </w:r>
      <w:r w:rsidR="00562FBB" w:rsidRPr="00A97F84">
        <w:rPr>
          <w:i/>
        </w:rPr>
        <w:t>, 2010-</w:t>
      </w:r>
      <w:r w:rsidR="00446FA7">
        <w:rPr>
          <w:i/>
        </w:rPr>
        <w:t>1</w:t>
      </w:r>
      <w:r w:rsidR="00562FBB" w:rsidRPr="00A97F84">
        <w:rPr>
          <w:i/>
        </w:rPr>
        <w:t>1</w:t>
      </w:r>
      <w:r w:rsidR="00446FA7">
        <w:rPr>
          <w:i/>
        </w:rPr>
        <w:t>, 2011-12</w:t>
      </w:r>
      <w:r w:rsidR="00446FA7">
        <w:t xml:space="preserve">, </w:t>
      </w:r>
      <w:r w:rsidR="00D667C4">
        <w:rPr>
          <w:i/>
        </w:rPr>
        <w:t>2012-13</w:t>
      </w:r>
      <w:r w:rsidR="00D667C4">
        <w:t xml:space="preserve">, </w:t>
      </w:r>
      <w:r w:rsidR="00446FA7">
        <w:t>Cat. no. 4839.0</w:t>
      </w:r>
      <w:r w:rsidRPr="00A97F84">
        <w:t xml:space="preserve">; </w:t>
      </w:r>
      <w:r w:rsidR="00446FA7">
        <w:t>table </w:t>
      </w:r>
      <w:r w:rsidR="003D1BEB">
        <w:t>11A.</w:t>
      </w:r>
      <w:r w:rsidR="001A6EFD" w:rsidRPr="00A97F84">
        <w:t>4</w:t>
      </w:r>
      <w:r w:rsidR="009967B8">
        <w:t>1</w:t>
      </w:r>
      <w:r w:rsidRPr="00A97F84">
        <w:t>.</w:t>
      </w:r>
    </w:p>
    <w:p w:rsidR="00904CC7" w:rsidRDefault="00685082" w:rsidP="00F728FE">
      <w:pPr>
        <w:pStyle w:val="Heading5"/>
      </w:pPr>
      <w:r>
        <w:t>P</w:t>
      </w:r>
      <w:r w:rsidRPr="00BD668B">
        <w:t>ublic dentistry</w:t>
      </w:r>
      <w:r>
        <w:t xml:space="preserve"> waiting times</w:t>
      </w:r>
    </w:p>
    <w:p w:rsidR="00B96D0A" w:rsidRDefault="00BD668B" w:rsidP="00F728FE">
      <w:pPr>
        <w:pStyle w:val="BodyText"/>
      </w:pPr>
      <w:r>
        <w:t>‘</w:t>
      </w:r>
      <w:r w:rsidR="00685082" w:rsidRPr="00685082">
        <w:t>Public dentistry waiting times</w:t>
      </w:r>
      <w:r>
        <w:t>’ is an indicator of governments’ objective to ensure timely access to public dental services for eligible people</w:t>
      </w:r>
      <w:r w:rsidR="001A3585">
        <w:t xml:space="preserve"> (</w:t>
      </w:r>
      <w:smartTag w:uri="urn:schemas-microsoft-com:office:smarttags" w:element="Street">
        <w:r w:rsidR="001A3585" w:rsidRPr="00AE52AB">
          <w:t>box</w:t>
        </w:r>
      </w:smartTag>
      <w:r w:rsidR="001A3585" w:rsidRPr="00AE52AB">
        <w:t xml:space="preserve"> 11.</w:t>
      </w:r>
      <w:r w:rsidR="00B96D0A">
        <w:t>9)</w:t>
      </w:r>
      <w:r w:rsidR="008D6683">
        <w:t>.</w:t>
      </w:r>
    </w:p>
    <w:p w:rsidR="00BD668B" w:rsidRDefault="00BD668B" w:rsidP="0099689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668B" w:rsidRPr="00C66DC8" w:rsidTr="00996890">
        <w:tc>
          <w:tcPr>
            <w:tcW w:w="8771" w:type="dxa"/>
            <w:tcBorders>
              <w:top w:val="single" w:sz="6" w:space="0" w:color="auto"/>
              <w:left w:val="single" w:sz="6" w:space="0" w:color="auto"/>
              <w:bottom w:val="nil"/>
              <w:right w:val="single" w:sz="6" w:space="0" w:color="auto"/>
            </w:tcBorders>
          </w:tcPr>
          <w:p w:rsidR="00BD668B" w:rsidRPr="00C66DC8" w:rsidRDefault="00BD668B" w:rsidP="00121EF2">
            <w:pPr>
              <w:pStyle w:val="BoxTitle"/>
            </w:pPr>
            <w:r w:rsidRPr="00C66DC8">
              <w:rPr>
                <w:b w:val="0"/>
              </w:rPr>
              <w:t xml:space="preserve">Box </w:t>
            </w:r>
            <w:r w:rsidR="00EC42DB" w:rsidRPr="00C66DC8">
              <w:rPr>
                <w:b w:val="0"/>
              </w:rPr>
              <w:t>11.</w:t>
            </w:r>
            <w:r w:rsidR="00C44281">
              <w:rPr>
                <w:b w:val="0"/>
                <w:noProof/>
              </w:rPr>
              <w:t>9</w:t>
            </w:r>
            <w:r w:rsidRPr="00C66DC8">
              <w:tab/>
            </w:r>
            <w:r w:rsidR="00685082" w:rsidRPr="00C66DC8">
              <w:t>Public dentistry waiting times</w:t>
            </w:r>
          </w:p>
        </w:tc>
      </w:tr>
      <w:tr w:rsidR="00BD668B" w:rsidRPr="00C66DC8" w:rsidTr="00C60B1C">
        <w:trPr>
          <w:cantSplit/>
        </w:trPr>
        <w:tc>
          <w:tcPr>
            <w:tcW w:w="8771" w:type="dxa"/>
            <w:tcBorders>
              <w:top w:val="nil"/>
              <w:left w:val="single" w:sz="6" w:space="0" w:color="auto"/>
              <w:bottom w:val="nil"/>
              <w:right w:val="single" w:sz="6" w:space="0" w:color="auto"/>
            </w:tcBorders>
            <w:shd w:val="clear" w:color="auto" w:fill="auto"/>
          </w:tcPr>
          <w:p w:rsidR="00C65F2B" w:rsidRPr="00944E91" w:rsidRDefault="00BD668B" w:rsidP="001F4F99">
            <w:pPr>
              <w:pStyle w:val="Box"/>
            </w:pPr>
            <w:r w:rsidRPr="00C66DC8">
              <w:t>‘</w:t>
            </w:r>
            <w:r w:rsidR="00685082" w:rsidRPr="00C66DC8">
              <w:t>Public dentistry waiting times</w:t>
            </w:r>
            <w:r w:rsidRPr="00C66DC8">
              <w:t xml:space="preserve">’ is defined as </w:t>
            </w:r>
            <w:r w:rsidR="00C66DC8">
              <w:t xml:space="preserve">the time waited </w:t>
            </w:r>
            <w:r w:rsidR="00C66DC8" w:rsidRPr="00C66DC8">
              <w:t xml:space="preserve">between being placed on </w:t>
            </w:r>
            <w:r w:rsidR="003217E0">
              <w:br/>
            </w:r>
            <w:r w:rsidR="00C66DC8" w:rsidRPr="00C66DC8">
              <w:t>a public dentistry waiting list and being seen by a dental professional</w:t>
            </w:r>
            <w:r w:rsidR="00C66DC8">
              <w:t xml:space="preserve">. </w:t>
            </w:r>
            <w:r w:rsidR="00005A70">
              <w:t xml:space="preserve">It is measured </w:t>
            </w:r>
            <w:r w:rsidR="003217E0">
              <w:br/>
            </w:r>
            <w:r w:rsidR="00005A70">
              <w:t>as</w:t>
            </w:r>
            <w:r w:rsidR="00C66DC8">
              <w:t xml:space="preserve"> the proportion of </w:t>
            </w:r>
            <w:r w:rsidR="00C66DC8" w:rsidRPr="00A97F84">
              <w:t xml:space="preserve">people </w:t>
            </w:r>
            <w:r w:rsidR="00C66DC8" w:rsidRPr="00C66DC8">
              <w:t xml:space="preserve">on a public dental waiting list </w:t>
            </w:r>
            <w:r w:rsidR="00C66DC8" w:rsidRPr="0052184D">
              <w:t xml:space="preserve">who </w:t>
            </w:r>
            <w:r w:rsidR="00005A70" w:rsidRPr="0052184D">
              <w:t>saw</w:t>
            </w:r>
            <w:r w:rsidR="00C66DC8" w:rsidRPr="0052184D">
              <w:t xml:space="preserve"> a dental professional at a government dental clinic</w:t>
            </w:r>
            <w:r w:rsidR="00005A70" w:rsidRPr="0052184D">
              <w:t xml:space="preserve">, </w:t>
            </w:r>
            <w:r w:rsidR="00C66DC8" w:rsidRPr="0052184D">
              <w:t xml:space="preserve">within specified waiting </w:t>
            </w:r>
            <w:r w:rsidR="00C66DC8" w:rsidRPr="00C66DC8">
              <w:t>time categories.</w:t>
            </w:r>
          </w:p>
          <w:p w:rsidR="00005A70" w:rsidRDefault="00005A70" w:rsidP="00C65F2B">
            <w:pPr>
              <w:pStyle w:val="Box"/>
            </w:pPr>
            <w:r>
              <w:t>A high or increasing proportion of people waiting short</w:t>
            </w:r>
            <w:r w:rsidR="003217E0">
              <w:t>er</w:t>
            </w:r>
            <w:r>
              <w:t xml:space="preserve"> periods to see a dental professional indicates more timely access to public dental services.</w:t>
            </w:r>
          </w:p>
          <w:p w:rsidR="005309BA" w:rsidRDefault="005309BA" w:rsidP="005309BA">
            <w:pPr>
              <w:pStyle w:val="Box"/>
            </w:pPr>
            <w:r w:rsidRPr="00A97F84">
              <w:t xml:space="preserve">Data </w:t>
            </w:r>
            <w:r>
              <w:t xml:space="preserve">reported </w:t>
            </w:r>
            <w:r w:rsidRPr="00A97F84">
              <w:t>for this indicator are</w:t>
            </w:r>
            <w:r>
              <w:t>:</w:t>
            </w:r>
          </w:p>
          <w:p w:rsidR="005309BA" w:rsidRDefault="005309BA" w:rsidP="005309BA">
            <w:pPr>
              <w:pStyle w:val="BoxListBullet"/>
            </w:pPr>
            <w:r w:rsidRPr="00065D58">
              <w:t xml:space="preserve">comparable (subject to caveats) across jurisdictions </w:t>
            </w:r>
            <w:r w:rsidR="005E75FE" w:rsidRPr="0052184D">
              <w:t>but not</w:t>
            </w:r>
            <w:r w:rsidRPr="0052184D">
              <w:t xml:space="preserve"> over time</w:t>
            </w:r>
            <w:r w:rsidR="005E75FE" w:rsidRPr="0052184D">
              <w:t>. Data for 2012-13 are not comparable with data</w:t>
            </w:r>
            <w:r w:rsidR="00E24680" w:rsidRPr="0052184D">
              <w:t xml:space="preserve"> for 2011-12 and previous years</w:t>
            </w:r>
          </w:p>
          <w:p w:rsidR="005309BA" w:rsidRDefault="005309BA" w:rsidP="005309BA">
            <w:pPr>
              <w:pStyle w:val="BoxListBullet"/>
            </w:pPr>
            <w:r w:rsidRPr="00065D58">
              <w:t xml:space="preserve">complete (subject to caveats) for the current reporting period. All required </w:t>
            </w:r>
            <w:r>
              <w:t>201</w:t>
            </w:r>
            <w:r w:rsidR="00F90370">
              <w:t>2</w:t>
            </w:r>
            <w:r>
              <w:noBreakHyphen/>
              <w:t>1</w:t>
            </w:r>
            <w:r w:rsidR="00C2341C">
              <w:t>3</w:t>
            </w:r>
            <w:r w:rsidRPr="00065D58">
              <w:t xml:space="preserve"> data are available for all jurisdictions</w:t>
            </w:r>
            <w:r>
              <w:t>.</w:t>
            </w:r>
          </w:p>
          <w:p w:rsidR="00D116B0" w:rsidRPr="00C66DC8" w:rsidRDefault="00355023" w:rsidP="00892C5E">
            <w:pPr>
              <w:pStyle w:val="Box"/>
              <w:rPr>
                <w:rStyle w:val="DraftingNote"/>
                <w:b w:val="0"/>
                <w:color w:val="auto"/>
                <w:sz w:val="22"/>
                <w:u w:val="none"/>
              </w:rPr>
            </w:pPr>
            <w:r w:rsidRPr="0027351B">
              <w:t xml:space="preserve">Data quality information </w:t>
            </w:r>
            <w:r w:rsidR="001D3C59" w:rsidRPr="00C66DC8">
              <w:t>for this indicator is at www.pc.gov.au/gsp/reports/</w:t>
            </w:r>
            <w:r w:rsidR="009E5543">
              <w:t>rogs/2014</w:t>
            </w:r>
            <w:r w:rsidR="00C65F2B" w:rsidRPr="00C66DC8">
              <w:t>.</w:t>
            </w:r>
          </w:p>
        </w:tc>
      </w:tr>
      <w:tr w:rsidR="00BD668B" w:rsidRPr="00C66DC8">
        <w:trPr>
          <w:cantSplit/>
        </w:trPr>
        <w:tc>
          <w:tcPr>
            <w:tcW w:w="8771" w:type="dxa"/>
            <w:tcBorders>
              <w:top w:val="nil"/>
              <w:left w:val="single" w:sz="6" w:space="0" w:color="auto"/>
              <w:bottom w:val="single" w:sz="6" w:space="0" w:color="auto"/>
              <w:right w:val="single" w:sz="6" w:space="0" w:color="auto"/>
            </w:tcBorders>
          </w:tcPr>
          <w:p w:rsidR="00BD668B" w:rsidRPr="00C66DC8" w:rsidRDefault="00BD668B" w:rsidP="00121EF2">
            <w:pPr>
              <w:pStyle w:val="Box"/>
              <w:spacing w:before="0" w:line="120" w:lineRule="exact"/>
            </w:pPr>
          </w:p>
        </w:tc>
      </w:tr>
      <w:tr w:rsidR="00BD668B" w:rsidRPr="00B079F5">
        <w:tc>
          <w:tcPr>
            <w:tcW w:w="8771" w:type="dxa"/>
            <w:tcBorders>
              <w:top w:val="nil"/>
              <w:left w:val="nil"/>
              <w:bottom w:val="nil"/>
              <w:right w:val="nil"/>
            </w:tcBorders>
          </w:tcPr>
          <w:p w:rsidR="00BD668B" w:rsidRPr="00C66DC8" w:rsidRDefault="00BD668B" w:rsidP="00121EF2">
            <w:pPr>
              <w:pStyle w:val="Box"/>
              <w:keepNext w:val="0"/>
              <w:spacing w:before="60" w:after="60" w:line="80" w:lineRule="exact"/>
              <w:rPr>
                <w:b/>
                <w:color w:val="FF00FF"/>
                <w:sz w:val="14"/>
              </w:rPr>
            </w:pPr>
          </w:p>
        </w:tc>
      </w:tr>
    </w:tbl>
    <w:p w:rsidR="00191F68" w:rsidRDefault="00CD3AF3" w:rsidP="007305C4">
      <w:pPr>
        <w:pStyle w:val="BodyText"/>
      </w:pPr>
      <w:r w:rsidRPr="0052184D">
        <w:t xml:space="preserve">Nationally, </w:t>
      </w:r>
      <w:r w:rsidR="00D2217D" w:rsidRPr="0052184D">
        <w:t>30.5</w:t>
      </w:r>
      <w:r w:rsidRPr="0052184D">
        <w:t xml:space="preserve"> per cent of people </w:t>
      </w:r>
      <w:r w:rsidR="008D6683" w:rsidRPr="0052184D">
        <w:t xml:space="preserve">who were </w:t>
      </w:r>
      <w:r w:rsidR="00821480" w:rsidRPr="0052184D">
        <w:t xml:space="preserve">on a public dental waiting list </w:t>
      </w:r>
      <w:r w:rsidR="008D6683" w:rsidRPr="0052184D">
        <w:t xml:space="preserve">for waited less than </w:t>
      </w:r>
      <w:r w:rsidR="00D2217D" w:rsidRPr="0052184D">
        <w:t>1 month</w:t>
      </w:r>
      <w:r w:rsidR="00821480" w:rsidRPr="0052184D">
        <w:t xml:space="preserve"> </w:t>
      </w:r>
      <w:r w:rsidR="00005A70" w:rsidRPr="0052184D">
        <w:t>to see a dental professional</w:t>
      </w:r>
      <w:r w:rsidR="00C66DC8" w:rsidRPr="0052184D">
        <w:t xml:space="preserve"> at a government dental clinic</w:t>
      </w:r>
      <w:r w:rsidR="008D6683" w:rsidRPr="0052184D">
        <w:t xml:space="preserve"> </w:t>
      </w:r>
      <w:r w:rsidR="00821480" w:rsidRPr="0052184D">
        <w:t xml:space="preserve">in </w:t>
      </w:r>
      <w:r w:rsidRPr="0052184D">
        <w:t>201</w:t>
      </w:r>
      <w:r w:rsidR="00D2217D" w:rsidRPr="0052184D">
        <w:t>2</w:t>
      </w:r>
      <w:r w:rsidR="00A97F84" w:rsidRPr="0052184D">
        <w:t>-1</w:t>
      </w:r>
      <w:r w:rsidR="00D2217D" w:rsidRPr="0052184D">
        <w:t>3</w:t>
      </w:r>
      <w:r w:rsidR="00354479" w:rsidRPr="00821480">
        <w:t xml:space="preserve"> </w:t>
      </w:r>
      <w:r w:rsidRPr="00821480">
        <w:t>(</w:t>
      </w:r>
      <w:r w:rsidR="00D2217D">
        <w:t>figure </w:t>
      </w:r>
      <w:r w:rsidR="00D2217D" w:rsidRPr="00821480">
        <w:t>11.</w:t>
      </w:r>
      <w:r w:rsidR="004A5577">
        <w:t>20</w:t>
      </w:r>
      <w:r w:rsidR="00821480">
        <w:t>)</w:t>
      </w:r>
      <w:r w:rsidR="00D2217D">
        <w:t>.</w:t>
      </w:r>
      <w:r w:rsidR="00191F68">
        <w:t xml:space="preserve"> </w:t>
      </w:r>
      <w:r w:rsidR="00AA45E5">
        <w:t xml:space="preserve">Data are presented by remoteness in table 11A.44. </w:t>
      </w:r>
      <w:r w:rsidR="00191F68" w:rsidRPr="007305C4">
        <w:t xml:space="preserve">Data for Indigenous Australians </w:t>
      </w:r>
      <w:r w:rsidR="00A81990">
        <w:t xml:space="preserve">that </w:t>
      </w:r>
      <w:r w:rsidR="00191F68" w:rsidRPr="007305C4">
        <w:t>are reported in table 11A.</w:t>
      </w:r>
      <w:r w:rsidR="00F71281" w:rsidRPr="007305C4">
        <w:t>4</w:t>
      </w:r>
      <w:r w:rsidR="00DB46E1">
        <w:t>5</w:t>
      </w:r>
      <w:r w:rsidR="00AA45E5">
        <w:t xml:space="preserve"> </w:t>
      </w:r>
      <w:r w:rsidR="00191F68" w:rsidRPr="007305C4">
        <w:t xml:space="preserve">are not comparable to data </w:t>
      </w:r>
      <w:r w:rsidR="00A81990">
        <w:t>for all Australians (see DQI for details)</w:t>
      </w:r>
      <w:r w:rsidR="00191F68">
        <w:t>.</w:t>
      </w:r>
    </w:p>
    <w:p w:rsidR="00CD3AF3" w:rsidRPr="00821480" w:rsidRDefault="00CD3AF3" w:rsidP="00CD3AF3">
      <w:pPr>
        <w:pStyle w:val="FigureTitle"/>
        <w:rPr>
          <w:rStyle w:val="NoteLabel"/>
        </w:rPr>
      </w:pPr>
      <w:r w:rsidRPr="00821480">
        <w:rPr>
          <w:b w:val="0"/>
        </w:rPr>
        <w:lastRenderedPageBreak/>
        <w:t>Figure 11.</w:t>
      </w:r>
      <w:r w:rsidR="004A5577">
        <w:rPr>
          <w:b w:val="0"/>
        </w:rPr>
        <w:t>20</w:t>
      </w:r>
      <w:r w:rsidRPr="00821480">
        <w:tab/>
        <w:t xml:space="preserve"> </w:t>
      </w:r>
      <w:r w:rsidR="002D1BB3" w:rsidRPr="00821480">
        <w:t>Time</w:t>
      </w:r>
      <w:r w:rsidRPr="00821480">
        <w:t xml:space="preserve"> waited for </w:t>
      </w:r>
      <w:r w:rsidR="002D1BB3" w:rsidRPr="00821480">
        <w:t>public dentistry services</w:t>
      </w:r>
      <w:r w:rsidRPr="00821480">
        <w:t xml:space="preserve">, </w:t>
      </w:r>
      <w:r w:rsidR="00D2217D" w:rsidRPr="0052184D">
        <w:t>2012-13</w:t>
      </w:r>
      <w:r w:rsidR="00D2217D" w:rsidRPr="0052184D">
        <w:rPr>
          <w:rStyle w:val="NoteLabel"/>
          <w:b/>
        </w:rPr>
        <w:t>a,</w:t>
      </w:r>
      <w:r w:rsidR="00D2217D">
        <w:rPr>
          <w:rStyle w:val="NoteLabel"/>
          <w:b/>
        </w:rPr>
        <w:t xml:space="preserve"> </w:t>
      </w:r>
      <w:r w:rsidRPr="00821480">
        <w:rPr>
          <w:rStyle w:val="NoteLabel"/>
          <w:b/>
        </w:rPr>
        <w:t>b, c</w:t>
      </w:r>
      <w:r w:rsidR="00455FAA">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D3AF3" w:rsidRPr="00B079F5" w:rsidTr="006C74C6">
        <w:tc>
          <w:tcPr>
            <w:tcW w:w="8777" w:type="dxa"/>
          </w:tcPr>
          <w:p w:rsidR="00CD3AF3" w:rsidRPr="00B079F5" w:rsidRDefault="00D4699C" w:rsidP="006C74C6">
            <w:pPr>
              <w:pStyle w:val="Figure"/>
              <w:pBdr>
                <w:right w:val="single" w:sz="4" w:space="1" w:color="auto"/>
              </w:pBdr>
              <w:rPr>
                <w:highlight w:val="lightGray"/>
              </w:rPr>
            </w:pPr>
            <w:r>
              <w:rPr>
                <w:noProof/>
              </w:rPr>
              <w:drawing>
                <wp:inline distT="0" distB="0" distL="0" distR="0">
                  <wp:extent cx="5368290" cy="2700020"/>
                  <wp:effectExtent l="0" t="0" r="3810" b="5080"/>
                  <wp:docPr id="27" name="Picture 27" descr="Figure 11.20 Time waited for public dentistry service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68290" cy="2700020"/>
                          </a:xfrm>
                          <a:prstGeom prst="rect">
                            <a:avLst/>
                          </a:prstGeom>
                          <a:noFill/>
                          <a:ln>
                            <a:noFill/>
                          </a:ln>
                        </pic:spPr>
                      </pic:pic>
                    </a:graphicData>
                  </a:graphic>
                </wp:inline>
              </w:drawing>
            </w:r>
          </w:p>
        </w:tc>
      </w:tr>
    </w:tbl>
    <w:p w:rsidR="00CD3AF3" w:rsidRPr="00C60B1C" w:rsidRDefault="00CD3AF3" w:rsidP="007305C4">
      <w:pPr>
        <w:pStyle w:val="Note"/>
        <w:keepNext/>
        <w:shd w:val="clear" w:color="auto" w:fill="FFFFFF" w:themeFill="background1"/>
      </w:pPr>
      <w:r w:rsidRPr="00C60B1C">
        <w:rPr>
          <w:rStyle w:val="NoteLabel"/>
          <w:shd w:val="clear" w:color="auto" w:fill="FFFFFF" w:themeFill="background1"/>
        </w:rPr>
        <w:t>a</w:t>
      </w:r>
      <w:r w:rsidR="00492093" w:rsidRPr="00C60B1C">
        <w:rPr>
          <w:shd w:val="clear" w:color="auto" w:fill="FFFFFF" w:themeFill="background1"/>
        </w:rPr>
        <w:t xml:space="preserve"> </w:t>
      </w:r>
      <w:r w:rsidR="00492093" w:rsidRPr="007A4875">
        <w:t xml:space="preserve">Time waited for treatment at a government dental clinic for people 15 </w:t>
      </w:r>
      <w:r w:rsidR="00492093" w:rsidRPr="007F369C">
        <w:t>years or over who were on a public</w:t>
      </w:r>
      <w:r w:rsidR="00492093" w:rsidRPr="007A4875">
        <w:t xml:space="preserve"> dental waiting list in the last 12 months. Excludes treatment for urgent dental </w:t>
      </w:r>
      <w:r w:rsidR="00492093" w:rsidRPr="007F369C">
        <w:t>care.</w:t>
      </w:r>
      <w:r w:rsidR="007F369C">
        <w:rPr>
          <w:rStyle w:val="NoteLabel"/>
          <w:shd w:val="clear" w:color="auto" w:fill="FFFFFF" w:themeFill="background1"/>
        </w:rPr>
        <w:t xml:space="preserve"> </w:t>
      </w:r>
      <w:r w:rsidRPr="007E081B">
        <w:rPr>
          <w:rStyle w:val="NoteLabel"/>
        </w:rPr>
        <w:t>b</w:t>
      </w:r>
      <w:r w:rsidRPr="00C60B1C">
        <w:rPr>
          <w:shd w:val="clear" w:color="auto" w:fill="FFFFFF" w:themeFill="background1"/>
        </w:rPr>
        <w:sym w:font="Symbol" w:char="F020"/>
      </w:r>
      <w:r w:rsidRPr="007A4875">
        <w:t>Rates are age standardised to the Australian population at 30 June 2001.</w:t>
      </w:r>
      <w:r w:rsidR="00492093" w:rsidRPr="00C60B1C">
        <w:rPr>
          <w:rStyle w:val="NoteLabel"/>
          <w:shd w:val="clear" w:color="auto" w:fill="FFFFFF" w:themeFill="background1"/>
        </w:rPr>
        <w:t xml:space="preserve"> </w:t>
      </w:r>
      <w:r w:rsidR="00455FAA" w:rsidRPr="007305C4">
        <w:rPr>
          <w:rStyle w:val="NoteLabel"/>
        </w:rPr>
        <w:t>c</w:t>
      </w:r>
      <w:r w:rsidR="00455FAA" w:rsidRPr="007305C4">
        <w:t>  Data exclude discrete Indigenous communities, which will affect the NT more than other jurisdictions</w:t>
      </w:r>
      <w:r w:rsidR="00E737F1" w:rsidRPr="007305C4">
        <w:t>.</w:t>
      </w:r>
      <w:r w:rsidR="00455FAA" w:rsidRPr="00C60B1C">
        <w:rPr>
          <w:rStyle w:val="NoteLabel"/>
          <w:shd w:val="clear" w:color="auto" w:fill="FFFFFF" w:themeFill="background1"/>
        </w:rPr>
        <w:t xml:space="preserve"> </w:t>
      </w:r>
      <w:r w:rsidR="00455FAA">
        <w:rPr>
          <w:rStyle w:val="NoteLabel"/>
          <w:shd w:val="clear" w:color="auto" w:fill="FFFFFF" w:themeFill="background1"/>
        </w:rPr>
        <w:t>d</w:t>
      </w:r>
      <w:r w:rsidRPr="00C60B1C">
        <w:rPr>
          <w:shd w:val="clear" w:color="auto" w:fill="FFFFFF" w:themeFill="background1"/>
        </w:rPr>
        <w:t> </w:t>
      </w:r>
      <w:r w:rsidRPr="007A4875">
        <w:t>Error bars represent the 95 per cent confidence interval associated with each point estimate.</w:t>
      </w:r>
    </w:p>
    <w:p w:rsidR="00354479" w:rsidRPr="00C60B1C" w:rsidRDefault="00CD3AF3" w:rsidP="007305C4">
      <w:pPr>
        <w:pStyle w:val="Source"/>
        <w:shd w:val="clear" w:color="auto" w:fill="FFFFFF" w:themeFill="background1"/>
      </w:pPr>
      <w:r w:rsidRPr="00C60B1C">
        <w:rPr>
          <w:i/>
          <w:shd w:val="clear" w:color="auto" w:fill="FFFFFF" w:themeFill="background1"/>
        </w:rPr>
        <w:t>Source</w:t>
      </w:r>
      <w:r w:rsidRPr="00C60B1C">
        <w:rPr>
          <w:shd w:val="clear" w:color="auto" w:fill="FFFFFF" w:themeFill="background1"/>
        </w:rPr>
        <w:t xml:space="preserve">: ABS (unpublished) </w:t>
      </w:r>
      <w:r w:rsidRPr="00C60B1C">
        <w:rPr>
          <w:i/>
          <w:shd w:val="clear" w:color="auto" w:fill="FFFFFF" w:themeFill="background1"/>
        </w:rPr>
        <w:t xml:space="preserve">Patient Experience </w:t>
      </w:r>
      <w:r w:rsidRPr="0052184D">
        <w:rPr>
          <w:i/>
        </w:rPr>
        <w:t>Survey 201</w:t>
      </w:r>
      <w:r w:rsidR="00944D51" w:rsidRPr="0052184D">
        <w:rPr>
          <w:i/>
        </w:rPr>
        <w:t>2</w:t>
      </w:r>
      <w:r w:rsidRPr="0052184D">
        <w:rPr>
          <w:i/>
        </w:rPr>
        <w:t>-1</w:t>
      </w:r>
      <w:r w:rsidR="00944D51" w:rsidRPr="0052184D">
        <w:rPr>
          <w:i/>
        </w:rPr>
        <w:t>3</w:t>
      </w:r>
      <w:r w:rsidRPr="0052184D">
        <w:t xml:space="preserve">; table </w:t>
      </w:r>
      <w:r w:rsidR="00DE1CD9" w:rsidRPr="00C60B1C">
        <w:rPr>
          <w:shd w:val="clear" w:color="auto" w:fill="FFFFFF" w:themeFill="background1"/>
        </w:rPr>
        <w:t>11A</w:t>
      </w:r>
      <w:r w:rsidR="003D1BEB">
        <w:rPr>
          <w:shd w:val="clear" w:color="auto" w:fill="FFFFFF" w:themeFill="background1"/>
        </w:rPr>
        <w:t>.4</w:t>
      </w:r>
      <w:r w:rsidR="00DB46E1">
        <w:rPr>
          <w:shd w:val="clear" w:color="auto" w:fill="FFFFFF" w:themeFill="background1"/>
        </w:rPr>
        <w:t>3</w:t>
      </w:r>
      <w:r w:rsidRPr="00C60B1C">
        <w:rPr>
          <w:shd w:val="clear" w:color="auto" w:fill="FFFFFF" w:themeFill="background1"/>
        </w:rPr>
        <w:t>.</w:t>
      </w:r>
    </w:p>
    <w:p w:rsidR="002A4BFF" w:rsidRPr="00944E91" w:rsidRDefault="00CF7831" w:rsidP="00380CC8">
      <w:pPr>
        <w:pStyle w:val="Heading4"/>
      </w:pPr>
      <w:r w:rsidRPr="00C60B1C">
        <w:t>Appropriateness</w:t>
      </w:r>
    </w:p>
    <w:p w:rsidR="006A4C88" w:rsidRDefault="006A4C88" w:rsidP="006A4C88">
      <w:pPr>
        <w:pStyle w:val="Heading5"/>
      </w:pPr>
      <w:r w:rsidRPr="00B934AF">
        <w:t>GPs with vocational registration</w:t>
      </w:r>
    </w:p>
    <w:p w:rsidR="006A4C88" w:rsidRPr="00CF1C0F" w:rsidRDefault="006A4C88" w:rsidP="006A4C88">
      <w:pPr>
        <w:pStyle w:val="BodyText"/>
      </w:pPr>
      <w:r>
        <w:t>‘</w:t>
      </w:r>
      <w:r w:rsidRPr="00E90439">
        <w:t>GPs with vocational registration</w:t>
      </w:r>
      <w:r>
        <w:t xml:space="preserve">’ is an indicator of governments’ objective to ensure </w:t>
      </w:r>
      <w:r w:rsidRPr="00E90439">
        <w:t xml:space="preserve">the GP workforce </w:t>
      </w:r>
      <w:r>
        <w:t xml:space="preserve">has the </w:t>
      </w:r>
      <w:r w:rsidRPr="00E90439">
        <w:t>capability to deliver high quality services</w:t>
      </w:r>
      <w:r>
        <w:t xml:space="preserve"> (</w:t>
      </w:r>
      <w:smartTag w:uri="urn:schemas-microsoft-com:office:smarttags" w:element="address">
        <w:smartTag w:uri="urn:schemas-microsoft-com:office:smarttags" w:element="Street">
          <w:r>
            <w:t>box</w:t>
          </w:r>
        </w:smartTag>
        <w:r>
          <w:t> </w:t>
        </w:r>
        <w:r w:rsidRPr="00AE52AB">
          <w:t>11.1</w:t>
        </w:r>
        <w:r w:rsidR="00AE52AB" w:rsidRPr="00AE52AB">
          <w:t>0</w:t>
        </w:r>
      </w:smartTag>
      <w:r>
        <w:t>).</w:t>
      </w:r>
    </w:p>
    <w:p w:rsidR="006A4C88" w:rsidRDefault="006A4C88" w:rsidP="006A4C8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4C88" w:rsidTr="006A4C88">
        <w:tc>
          <w:tcPr>
            <w:tcW w:w="8771" w:type="dxa"/>
            <w:tcBorders>
              <w:top w:val="single" w:sz="6" w:space="0" w:color="auto"/>
              <w:bottom w:val="nil"/>
            </w:tcBorders>
          </w:tcPr>
          <w:p w:rsidR="006A4C88" w:rsidRPr="00B934AF" w:rsidRDefault="006A4C88" w:rsidP="006A4C88">
            <w:pPr>
              <w:pStyle w:val="BoxTitle"/>
            </w:pPr>
            <w:smartTag w:uri="urn:schemas-microsoft-com:office:smarttags" w:element="Street">
              <w:r>
                <w:rPr>
                  <w:b w:val="0"/>
                </w:rPr>
                <w:t>Box</w:t>
              </w:r>
            </w:smartTag>
            <w:r>
              <w:rPr>
                <w:b w:val="0"/>
              </w:rPr>
              <w:t xml:space="preserve"> </w:t>
            </w:r>
            <w:bookmarkStart w:id="33" w:name="OLE_LINK33"/>
            <w:r w:rsidR="00EC42DB">
              <w:rPr>
                <w:b w:val="0"/>
              </w:rPr>
              <w:t>11.</w:t>
            </w:r>
            <w:r w:rsidR="00C44281">
              <w:rPr>
                <w:b w:val="0"/>
                <w:noProof/>
              </w:rPr>
              <w:t>10</w:t>
            </w:r>
            <w:bookmarkEnd w:id="33"/>
            <w:r>
              <w:tab/>
            </w:r>
            <w:r w:rsidRPr="00B934AF">
              <w:t>GPs with vocational registration</w:t>
            </w:r>
          </w:p>
        </w:tc>
      </w:tr>
      <w:tr w:rsidR="006A4C88" w:rsidTr="006A4C88">
        <w:trPr>
          <w:cantSplit/>
        </w:trPr>
        <w:tc>
          <w:tcPr>
            <w:tcW w:w="8771" w:type="dxa"/>
            <w:tcBorders>
              <w:top w:val="nil"/>
              <w:left w:val="single" w:sz="6" w:space="0" w:color="auto"/>
              <w:bottom w:val="nil"/>
              <w:right w:val="single" w:sz="6" w:space="0" w:color="auto"/>
            </w:tcBorders>
          </w:tcPr>
          <w:p w:rsidR="006A4C88" w:rsidRPr="00944E91" w:rsidRDefault="006A4C88" w:rsidP="00E23041">
            <w:pPr>
              <w:pStyle w:val="Box"/>
            </w:pPr>
            <w:r w:rsidRPr="00E90439">
              <w:t xml:space="preserve">‘GPs with vocational registration’ is </w:t>
            </w:r>
            <w:r>
              <w:t>defined as the proportion of FWE GPs with vocational registration.</w:t>
            </w:r>
            <w:r w:rsidR="00FE1C5B" w:rsidRPr="00B70220">
              <w:t xml:space="preserve"> Vocationally registered GPs are considered to have the values, skills and knowledge necessary for competent unsupervised general practice within </w:t>
            </w:r>
            <w:smartTag w:uri="urn:schemas-microsoft-com:office:smarttags" w:element="place">
              <w:smartTag w:uri="urn:schemas-microsoft-com:office:smarttags" w:element="country-region">
                <w:r w:rsidR="00FE1C5B" w:rsidRPr="00B70220">
                  <w:t>Australia</w:t>
                </w:r>
              </w:smartTag>
            </w:smartTag>
            <w:r w:rsidR="00FE1C5B" w:rsidRPr="00B70220">
              <w:t xml:space="preserve"> (RACGP</w:t>
            </w:r>
            <w:r w:rsidR="00FE1C5B">
              <w:t> </w:t>
            </w:r>
            <w:r w:rsidR="00FE1C5B" w:rsidRPr="00664084">
              <w:t>2007</w:t>
            </w:r>
            <w:r w:rsidR="00FE1C5B">
              <w:t>)</w:t>
            </w:r>
            <w:r w:rsidR="00311200">
              <w:t>.</w:t>
            </w:r>
          </w:p>
          <w:p w:rsidR="006A4C88" w:rsidRPr="00944E91" w:rsidRDefault="006A4C88" w:rsidP="00E23041">
            <w:pPr>
              <w:pStyle w:val="Box"/>
            </w:pPr>
            <w:r>
              <w:t>A</w:t>
            </w:r>
            <w:r w:rsidR="00136E86">
              <w:t xml:space="preserve"> high or increasing</w:t>
            </w:r>
            <w:r>
              <w:t xml:space="preserve"> proportion of FWE GPs with vocational registration can indicate an improvement in the capability of the GP workforce to deliver high quality services</w:t>
            </w:r>
            <w:r w:rsidRPr="006E5535">
              <w:t xml:space="preserve">. GPs without vocational registration </w:t>
            </w:r>
            <w:r w:rsidR="00424332" w:rsidRPr="006E5535">
              <w:t>may</w:t>
            </w:r>
            <w:r w:rsidRPr="006E5535">
              <w:t xml:space="preserve"> deliver s</w:t>
            </w:r>
            <w:r w:rsidR="00A3060F" w:rsidRPr="006E5535">
              <w:t xml:space="preserve">ervices of equally high quality, however, their access to DHS Medicare rebates for </w:t>
            </w:r>
            <w:r w:rsidR="00875D02" w:rsidRPr="006E5535">
              <w:t xml:space="preserve">the </w:t>
            </w:r>
            <w:r w:rsidR="00A3060F" w:rsidRPr="006E5535">
              <w:t>general practice services they provide is limited compared to vocationally registered GPs.</w:t>
            </w:r>
          </w:p>
          <w:p w:rsidR="005309BA" w:rsidRDefault="005309BA" w:rsidP="005309BA">
            <w:pPr>
              <w:pStyle w:val="Box"/>
            </w:pPr>
            <w:r w:rsidRPr="00A97F84">
              <w:t xml:space="preserve">Data </w:t>
            </w:r>
            <w:r>
              <w:t xml:space="preserve">reported </w:t>
            </w:r>
            <w:r w:rsidRPr="00A97F84">
              <w:t>for this indicator are</w:t>
            </w:r>
            <w:r>
              <w:t>:</w:t>
            </w:r>
          </w:p>
          <w:p w:rsidR="005309BA" w:rsidRDefault="005309BA" w:rsidP="005309BA">
            <w:pPr>
              <w:pStyle w:val="BoxListBullet"/>
            </w:pPr>
            <w:r w:rsidRPr="00065D58">
              <w:t>comparable (subject to caveats) across jurisdictions and over time</w:t>
            </w:r>
          </w:p>
          <w:p w:rsidR="005309BA" w:rsidRDefault="005309BA" w:rsidP="005309BA">
            <w:pPr>
              <w:pStyle w:val="BoxListBullet"/>
            </w:pPr>
            <w:r w:rsidRPr="00065D58">
              <w:t xml:space="preserve">complete (subject to caveats) for the current reporting period. All required </w:t>
            </w:r>
            <w:r>
              <w:t>201</w:t>
            </w:r>
            <w:r w:rsidR="00C2341C">
              <w:t>2</w:t>
            </w:r>
            <w:r>
              <w:noBreakHyphen/>
              <w:t>1</w:t>
            </w:r>
            <w:r w:rsidR="00C2341C">
              <w:t>3</w:t>
            </w:r>
            <w:r w:rsidRPr="00065D58">
              <w:t xml:space="preserve"> data are available for all jurisdictions</w:t>
            </w:r>
            <w:r>
              <w:t>.</w:t>
            </w:r>
          </w:p>
          <w:p w:rsidR="0027351B" w:rsidRDefault="0027351B" w:rsidP="005309BA">
            <w:pPr>
              <w:pStyle w:val="Box"/>
            </w:pPr>
            <w:r w:rsidRPr="0027351B">
              <w:t>Data quality information for this indicator is under deve</w:t>
            </w:r>
            <w:r>
              <w:t>lopment.</w:t>
            </w:r>
          </w:p>
        </w:tc>
      </w:tr>
      <w:tr w:rsidR="006A4C88" w:rsidTr="006A4C88">
        <w:trPr>
          <w:cantSplit/>
        </w:trPr>
        <w:tc>
          <w:tcPr>
            <w:tcW w:w="8771" w:type="dxa"/>
            <w:tcBorders>
              <w:top w:val="nil"/>
              <w:left w:val="single" w:sz="6" w:space="0" w:color="auto"/>
              <w:bottom w:val="single" w:sz="6" w:space="0" w:color="auto"/>
              <w:right w:val="single" w:sz="6" w:space="0" w:color="auto"/>
            </w:tcBorders>
          </w:tcPr>
          <w:p w:rsidR="006A4C88" w:rsidRDefault="006A4C88" w:rsidP="006A4C88">
            <w:pPr>
              <w:pStyle w:val="Box"/>
              <w:spacing w:before="0" w:line="120" w:lineRule="exact"/>
            </w:pPr>
          </w:p>
        </w:tc>
      </w:tr>
      <w:tr w:rsidR="006A4C88" w:rsidTr="006A4C88">
        <w:tc>
          <w:tcPr>
            <w:tcW w:w="8771" w:type="dxa"/>
            <w:tcBorders>
              <w:top w:val="nil"/>
              <w:left w:val="nil"/>
              <w:bottom w:val="nil"/>
              <w:right w:val="nil"/>
            </w:tcBorders>
          </w:tcPr>
          <w:p w:rsidR="006A4C88" w:rsidRDefault="006A4C88" w:rsidP="006A4C88">
            <w:pPr>
              <w:pStyle w:val="Box"/>
              <w:keepNext w:val="0"/>
              <w:spacing w:before="60" w:after="60" w:line="80" w:lineRule="exact"/>
              <w:rPr>
                <w:b/>
                <w:color w:val="FF00FF"/>
                <w:sz w:val="14"/>
              </w:rPr>
            </w:pPr>
          </w:p>
        </w:tc>
      </w:tr>
    </w:tbl>
    <w:p w:rsidR="006A4C88" w:rsidRPr="00944E91" w:rsidRDefault="006A4C88" w:rsidP="00944E91">
      <w:pPr>
        <w:pStyle w:val="BodyText"/>
      </w:pPr>
      <w:r w:rsidRPr="006E5535">
        <w:t>Since 1996, a GP can only achieve vocational registration by attaining Fellowship of the RACGP</w:t>
      </w:r>
      <w:r w:rsidR="00896F05" w:rsidRPr="006E5535">
        <w:t xml:space="preserve"> or (from April 2007) the Australian College of Rural and Remote Medicine (ACRRM) or equivalent, or hold a recognised training placement.</w:t>
      </w:r>
      <w:r w:rsidR="00896F05">
        <w:t xml:space="preserve"> </w:t>
      </w:r>
      <w:r w:rsidRPr="00E90439">
        <w:t xml:space="preserve">GPs can attain Fellowship through the successful completion of a formal general practice training program or through the ‘practice eligible’ route. </w:t>
      </w:r>
      <w:r w:rsidRPr="006E5535">
        <w:t xml:space="preserve">Once vocational registration is achieved, GPs must </w:t>
      </w:r>
      <w:r w:rsidR="00E21C19" w:rsidRPr="006E5535">
        <w:t>meet mandated registration standards which include Conti</w:t>
      </w:r>
      <w:r w:rsidR="00090CD0">
        <w:t>nuing Professional Development</w:t>
      </w:r>
      <w:r w:rsidR="00E21C19" w:rsidRPr="006E5535">
        <w:t xml:space="preserve"> in order to maintain registration.</w:t>
      </w:r>
    </w:p>
    <w:p w:rsidR="006A4C88" w:rsidRPr="00E31EAF" w:rsidRDefault="006A4C88" w:rsidP="00E31EAF">
      <w:pPr>
        <w:pStyle w:val="BodyText"/>
        <w:rPr>
          <w:rStyle w:val="DraftingNote"/>
          <w:b w:val="0"/>
          <w:color w:val="auto"/>
          <w:sz w:val="26"/>
          <w:u w:val="none"/>
        </w:rPr>
      </w:pPr>
      <w:r w:rsidRPr="003D21F8">
        <w:t xml:space="preserve">The proportion of FWE GPs with vocational registration remained relatively </w:t>
      </w:r>
      <w:r w:rsidRPr="00800FE2">
        <w:t>constant over the five years to 20</w:t>
      </w:r>
      <w:r w:rsidR="008D1C79" w:rsidRPr="00800FE2">
        <w:t>1</w:t>
      </w:r>
      <w:r w:rsidR="00800FE2">
        <w:t>2</w:t>
      </w:r>
      <w:r w:rsidRPr="00800FE2">
        <w:noBreakHyphen/>
        <w:t>1</w:t>
      </w:r>
      <w:r w:rsidR="00800FE2">
        <w:t>3</w:t>
      </w:r>
      <w:r w:rsidRPr="003D21F8">
        <w:t xml:space="preserve"> (figure 11.</w:t>
      </w:r>
      <w:r w:rsidR="008149C0">
        <w:t>2</w:t>
      </w:r>
      <w:r w:rsidR="004A5577">
        <w:t>1</w:t>
      </w:r>
      <w:r w:rsidRPr="003D21F8">
        <w:t xml:space="preserve">). The proportion of FWE GPs with vocational registration was </w:t>
      </w:r>
      <w:r w:rsidRPr="002B724C">
        <w:t>highest</w:t>
      </w:r>
      <w:r w:rsidRPr="003D21F8">
        <w:t xml:space="preserve"> in </w:t>
      </w:r>
      <w:r w:rsidR="002B724C">
        <w:t>major</w:t>
      </w:r>
      <w:r w:rsidRPr="003D21F8">
        <w:t xml:space="preserve"> cities and lowest in remote areas in</w:t>
      </w:r>
      <w:r w:rsidR="002B724C">
        <w:t xml:space="preserve"> 2012-13</w:t>
      </w:r>
      <w:r w:rsidRPr="003D21F8">
        <w:t xml:space="preserve"> (table </w:t>
      </w:r>
      <w:r w:rsidR="003D1BEB">
        <w:t>11A.4</w:t>
      </w:r>
      <w:r w:rsidR="00DB46E1">
        <w:t>6</w:t>
      </w:r>
      <w:r w:rsidRPr="003D21F8">
        <w:t>).</w:t>
      </w:r>
    </w:p>
    <w:p w:rsidR="006A4C88" w:rsidRPr="003171F4" w:rsidRDefault="006A4C88" w:rsidP="006A4C88">
      <w:pPr>
        <w:pStyle w:val="FigureTitle"/>
        <w:ind w:left="1560" w:hanging="1560"/>
        <w:rPr>
          <w:rStyle w:val="NoteLabel"/>
        </w:rPr>
      </w:pPr>
      <w:r>
        <w:rPr>
          <w:b w:val="0"/>
        </w:rPr>
        <w:lastRenderedPageBreak/>
        <w:t xml:space="preserve">Figure </w:t>
      </w:r>
      <w:bookmarkStart w:id="34" w:name="OLE_LINK34"/>
      <w:r w:rsidR="00EC42DB">
        <w:rPr>
          <w:b w:val="0"/>
        </w:rPr>
        <w:t>11.</w:t>
      </w:r>
      <w:bookmarkEnd w:id="34"/>
      <w:r w:rsidR="008149C0">
        <w:rPr>
          <w:b w:val="0"/>
        </w:rPr>
        <w:t>2</w:t>
      </w:r>
      <w:r w:rsidR="004A5577">
        <w:rPr>
          <w:b w:val="0"/>
        </w:rPr>
        <w:t>1</w:t>
      </w:r>
      <w:r>
        <w:tab/>
      </w:r>
      <w:r w:rsidRPr="00B245AB">
        <w:t>GPs (full time workload equivalent) with vocational registration</w:t>
      </w:r>
      <w:r w:rsidR="003171F4" w:rsidRPr="003171F4">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A4C88" w:rsidTr="00887D9B">
        <w:tc>
          <w:tcPr>
            <w:tcW w:w="8777" w:type="dxa"/>
          </w:tcPr>
          <w:p w:rsidR="006A4C88" w:rsidRDefault="00D4699C" w:rsidP="006A4C88">
            <w:pPr>
              <w:pStyle w:val="Figure"/>
            </w:pPr>
            <w:r>
              <w:rPr>
                <w:noProof/>
              </w:rPr>
              <w:drawing>
                <wp:inline distT="0" distB="0" distL="0" distR="0">
                  <wp:extent cx="5368290" cy="2710815"/>
                  <wp:effectExtent l="0" t="0" r="3810" b="0"/>
                  <wp:docPr id="28" name="Picture 28" descr="Figure 11.21 GPs (full time workload equivalent) with vocational registration&#10;&#10;More details can be found within the text surrounding this image.&#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3171F4" w:rsidRDefault="003171F4" w:rsidP="00807C85">
      <w:pPr>
        <w:pStyle w:val="Note"/>
        <w:keepNext/>
        <w:spacing w:before="60"/>
      </w:pPr>
      <w:r w:rsidRPr="003171F4">
        <w:rPr>
          <w:rStyle w:val="NoteLabel"/>
        </w:rPr>
        <w:t>a</w:t>
      </w:r>
      <w:r>
        <w:t xml:space="preserve"> </w:t>
      </w:r>
      <w:r w:rsidRPr="003171F4">
        <w:t xml:space="preserve">FWE GP numbers include vocationally </w:t>
      </w:r>
      <w:r w:rsidR="000B2487" w:rsidRPr="000B2487">
        <w:t xml:space="preserve">registered </w:t>
      </w:r>
      <w:r w:rsidRPr="003171F4">
        <w:t xml:space="preserve">GPs and OMPs billing </w:t>
      </w:r>
      <w:r w:rsidR="002D7882" w:rsidRPr="002D7882">
        <w:t>DHS Medicare</w:t>
      </w:r>
      <w:r w:rsidRPr="003171F4">
        <w:t>, who are allocated to a jurisdiction based on the postcode of their major practice</w:t>
      </w:r>
      <w:r>
        <w:t>.</w:t>
      </w:r>
    </w:p>
    <w:p w:rsidR="006A4C88" w:rsidRPr="00944E91" w:rsidRDefault="006A4C88" w:rsidP="00807C85">
      <w:pPr>
        <w:pStyle w:val="Source"/>
        <w:spacing w:before="60" w:after="0"/>
      </w:pPr>
      <w:r w:rsidRPr="00B245AB">
        <w:rPr>
          <w:i/>
        </w:rPr>
        <w:t>Source</w:t>
      </w:r>
      <w:r w:rsidRPr="00B245AB">
        <w:t xml:space="preserve">: </w:t>
      </w:r>
      <w:r w:rsidR="00B513D7">
        <w:t>Department of Health</w:t>
      </w:r>
      <w:r w:rsidRPr="00B156DD">
        <w:t xml:space="preserve"> (unpublished) MBS </w:t>
      </w:r>
      <w:r w:rsidR="00524F26">
        <w:t>Statistics</w:t>
      </w:r>
      <w:r w:rsidRPr="00B245AB">
        <w:t>; table</w:t>
      </w:r>
      <w:r>
        <w:t> </w:t>
      </w:r>
      <w:r w:rsidR="003D7DFA">
        <w:t>11A.4</w:t>
      </w:r>
      <w:r w:rsidR="00614308">
        <w:t>8</w:t>
      </w:r>
      <w:r w:rsidRPr="006C74C6">
        <w:t>.</w:t>
      </w:r>
    </w:p>
    <w:p w:rsidR="006A4C88" w:rsidRDefault="006A4C88" w:rsidP="006A4C88">
      <w:pPr>
        <w:pStyle w:val="Heading5"/>
      </w:pPr>
      <w:r w:rsidRPr="00B245AB">
        <w:t>General practices with accreditation</w:t>
      </w:r>
    </w:p>
    <w:p w:rsidR="006A4C88" w:rsidRPr="009D1F2C" w:rsidRDefault="006A4C88" w:rsidP="006A4C88">
      <w:pPr>
        <w:pStyle w:val="BodyText"/>
      </w:pPr>
      <w:r>
        <w:t>‘</w:t>
      </w:r>
      <w:r w:rsidRPr="009D1F2C">
        <w:t>General practices with accreditation</w:t>
      </w:r>
      <w:r>
        <w:t>’ is an indicator of governments’ objective to ensure the general practitioner workforce has the capability to provide high quality services (box </w:t>
      </w:r>
      <w:r w:rsidRPr="0080159D">
        <w:t>11.1</w:t>
      </w:r>
      <w:r w:rsidR="00AE52AB">
        <w:t>1</w:t>
      </w:r>
      <w:r>
        <w:t>).</w:t>
      </w:r>
    </w:p>
    <w:p w:rsidR="006A4C88" w:rsidRDefault="006A4C88" w:rsidP="006A4C8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4C88" w:rsidTr="006A4C88">
        <w:tc>
          <w:tcPr>
            <w:tcW w:w="8771" w:type="dxa"/>
            <w:tcBorders>
              <w:top w:val="single" w:sz="6" w:space="0" w:color="auto"/>
              <w:bottom w:val="nil"/>
            </w:tcBorders>
          </w:tcPr>
          <w:p w:rsidR="006A4C88" w:rsidRPr="00B245AB" w:rsidRDefault="006A4C88" w:rsidP="006A4C88">
            <w:pPr>
              <w:pStyle w:val="BoxTitle"/>
            </w:pPr>
            <w:smartTag w:uri="urn:schemas-microsoft-com:office:smarttags" w:element="Street">
              <w:r>
                <w:rPr>
                  <w:b w:val="0"/>
                </w:rPr>
                <w:t>Box</w:t>
              </w:r>
            </w:smartTag>
            <w:r>
              <w:rPr>
                <w:b w:val="0"/>
              </w:rPr>
              <w:t xml:space="preserve"> </w:t>
            </w:r>
            <w:bookmarkStart w:id="35" w:name="OLE_LINK35"/>
            <w:r w:rsidR="00EC42DB">
              <w:rPr>
                <w:b w:val="0"/>
              </w:rPr>
              <w:t>11.</w:t>
            </w:r>
            <w:r w:rsidR="00C44281">
              <w:rPr>
                <w:b w:val="0"/>
                <w:noProof/>
              </w:rPr>
              <w:t>11</w:t>
            </w:r>
            <w:bookmarkEnd w:id="35"/>
            <w:r>
              <w:tab/>
            </w:r>
            <w:r w:rsidRPr="00B245AB">
              <w:t>General practices with accreditation</w:t>
            </w:r>
          </w:p>
        </w:tc>
      </w:tr>
      <w:tr w:rsidR="006A4C88" w:rsidTr="006A4C88">
        <w:trPr>
          <w:cantSplit/>
        </w:trPr>
        <w:tc>
          <w:tcPr>
            <w:tcW w:w="8771" w:type="dxa"/>
            <w:tcBorders>
              <w:top w:val="nil"/>
              <w:left w:val="single" w:sz="6" w:space="0" w:color="auto"/>
              <w:bottom w:val="nil"/>
              <w:right w:val="single" w:sz="6" w:space="0" w:color="auto"/>
            </w:tcBorders>
          </w:tcPr>
          <w:p w:rsidR="00136E86" w:rsidRDefault="006A4C88" w:rsidP="006A4C88">
            <w:pPr>
              <w:pStyle w:val="Box"/>
            </w:pPr>
            <w:r>
              <w:t>‘</w:t>
            </w:r>
            <w:r w:rsidRPr="009D1F2C">
              <w:t>General practices with accreditation</w:t>
            </w:r>
            <w:r>
              <w:t xml:space="preserve">’ is defined as the number of general practices that are accredited as a proportion of all general </w:t>
            </w:r>
            <w:r w:rsidRPr="00CD48F3">
              <w:t xml:space="preserve">practices in </w:t>
            </w:r>
            <w:smartTag w:uri="urn:schemas-microsoft-com:office:smarttags" w:element="country-region">
              <w:r w:rsidRPr="00CD48F3">
                <w:t>Australia</w:t>
              </w:r>
            </w:smartTag>
            <w:r w:rsidRPr="00CD48F3">
              <w:t>.</w:t>
            </w:r>
            <w:r w:rsidR="00136E86">
              <w:t xml:space="preserve"> </w:t>
            </w:r>
            <w:r w:rsidRPr="00FC52FD">
              <w:t xml:space="preserve">Accreditation of general practice is a voluntary </w:t>
            </w:r>
            <w:r w:rsidRPr="0052184D">
              <w:t xml:space="preserve">process of </w:t>
            </w:r>
            <w:r w:rsidR="007620D7" w:rsidRPr="0052184D">
              <w:t xml:space="preserve">independent third-party </w:t>
            </w:r>
            <w:r w:rsidRPr="0052184D">
              <w:t>peer review tha</w:t>
            </w:r>
            <w:r w:rsidRPr="00FC52FD">
              <w:t>t involves the assessment of general practices against a set of standards developed by the RACGP. Accredited practices, therefore, have been assessed as complying with a set of national standards.</w:t>
            </w:r>
          </w:p>
          <w:p w:rsidR="0027351B" w:rsidRDefault="00255156" w:rsidP="00255156">
            <w:pPr>
              <w:pStyle w:val="Continued"/>
            </w:pPr>
            <w:r>
              <w:t>(Continued next page)</w:t>
            </w:r>
          </w:p>
        </w:tc>
      </w:tr>
      <w:tr w:rsidR="006A4C88" w:rsidTr="006A4C88">
        <w:trPr>
          <w:cantSplit/>
        </w:trPr>
        <w:tc>
          <w:tcPr>
            <w:tcW w:w="8771" w:type="dxa"/>
            <w:tcBorders>
              <w:top w:val="nil"/>
              <w:left w:val="single" w:sz="6" w:space="0" w:color="auto"/>
              <w:bottom w:val="single" w:sz="6" w:space="0" w:color="auto"/>
              <w:right w:val="single" w:sz="6" w:space="0" w:color="auto"/>
            </w:tcBorders>
          </w:tcPr>
          <w:p w:rsidR="006A4C88" w:rsidRDefault="006A4C88" w:rsidP="006A4C88">
            <w:pPr>
              <w:pStyle w:val="Box"/>
              <w:spacing w:before="0" w:line="120" w:lineRule="exact"/>
            </w:pPr>
          </w:p>
        </w:tc>
      </w:tr>
      <w:tr w:rsidR="006A4C88" w:rsidTr="006A4C88">
        <w:tc>
          <w:tcPr>
            <w:tcW w:w="8771" w:type="dxa"/>
            <w:tcBorders>
              <w:top w:val="nil"/>
              <w:left w:val="nil"/>
              <w:bottom w:val="nil"/>
              <w:right w:val="nil"/>
            </w:tcBorders>
          </w:tcPr>
          <w:p w:rsidR="006A4C88" w:rsidRDefault="006A4C88" w:rsidP="006A4C88">
            <w:pPr>
              <w:pStyle w:val="Box"/>
              <w:keepNext w:val="0"/>
              <w:spacing w:before="60" w:after="60" w:line="80" w:lineRule="exact"/>
              <w:rPr>
                <w:b/>
                <w:color w:val="FF00FF"/>
                <w:sz w:val="14"/>
              </w:rPr>
            </w:pPr>
          </w:p>
        </w:tc>
      </w:tr>
    </w:tbl>
    <w:p w:rsidR="00255156" w:rsidRDefault="0025515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55156">
        <w:tc>
          <w:tcPr>
            <w:tcW w:w="8771" w:type="dxa"/>
            <w:tcBorders>
              <w:top w:val="single" w:sz="6" w:space="0" w:color="auto"/>
              <w:bottom w:val="nil"/>
            </w:tcBorders>
          </w:tcPr>
          <w:p w:rsidR="00255156" w:rsidRDefault="00255156">
            <w:pPr>
              <w:pStyle w:val="BoxTitle"/>
            </w:pPr>
            <w:r>
              <w:rPr>
                <w:b w:val="0"/>
              </w:rPr>
              <w:t>Box 11.</w:t>
            </w:r>
            <w:r>
              <w:rPr>
                <w:b w:val="0"/>
                <w:noProof/>
              </w:rPr>
              <w:t>11</w:t>
            </w:r>
            <w:r>
              <w:tab/>
            </w:r>
            <w:r w:rsidRPr="002006A3">
              <w:rPr>
                <w:sz w:val="18"/>
                <w:szCs w:val="18"/>
              </w:rPr>
              <w:t>(Continued)</w:t>
            </w:r>
          </w:p>
        </w:tc>
      </w:tr>
      <w:tr w:rsidR="00255156">
        <w:trPr>
          <w:cantSplit/>
        </w:trPr>
        <w:tc>
          <w:tcPr>
            <w:tcW w:w="8771" w:type="dxa"/>
            <w:tcBorders>
              <w:top w:val="nil"/>
              <w:left w:val="single" w:sz="6" w:space="0" w:color="auto"/>
              <w:bottom w:val="nil"/>
              <w:right w:val="single" w:sz="6" w:space="0" w:color="auto"/>
            </w:tcBorders>
          </w:tcPr>
          <w:p w:rsidR="00255156" w:rsidRDefault="00255156" w:rsidP="00255156">
            <w:pPr>
              <w:pStyle w:val="Box"/>
            </w:pPr>
            <w:r>
              <w:t>A high or increasing proportion of practices with accreditation can indicate an improvement in the capability of general practice to deliver high quality services. However, general practices without accreditation may deliver services of equally high quality. For a particular general practice, the decision to seek accreditation might be influenced by perceived costs and benefits unrelated to its quality standards. Accreditation affects eligibility for some government programs (such as PIP), so there are financial incentives for gaining accreditation.</w:t>
            </w:r>
          </w:p>
          <w:p w:rsidR="00B34B8D" w:rsidRDefault="00B34B8D" w:rsidP="00B34B8D">
            <w:pPr>
              <w:pStyle w:val="Box"/>
            </w:pPr>
            <w:r>
              <w:t>Data reported for this indicator are:</w:t>
            </w:r>
          </w:p>
          <w:p w:rsidR="00B34B8D" w:rsidRDefault="00B34B8D" w:rsidP="00B34B8D">
            <w:pPr>
              <w:pStyle w:val="BoxListBullet"/>
            </w:pPr>
            <w:r>
              <w:t>comparable (subject to caveats) across jurisdictions and over time</w:t>
            </w:r>
          </w:p>
          <w:p w:rsidR="00B34B8D" w:rsidRDefault="00B34B8D" w:rsidP="00B34B8D">
            <w:pPr>
              <w:pStyle w:val="BoxListBullet"/>
            </w:pPr>
            <w:r>
              <w:t>not available for the current reporting period.</w:t>
            </w:r>
          </w:p>
          <w:p w:rsidR="00255156" w:rsidRDefault="00255156" w:rsidP="00BA0FCD">
            <w:pPr>
              <w:pStyle w:val="Box"/>
            </w:pPr>
            <w:r w:rsidRPr="0027351B">
              <w:t>Data quality information for this indicator is under deve</w:t>
            </w:r>
            <w:r>
              <w:t>lopment.</w:t>
            </w:r>
          </w:p>
        </w:tc>
      </w:tr>
      <w:tr w:rsidR="00255156">
        <w:trPr>
          <w:cantSplit/>
        </w:trPr>
        <w:tc>
          <w:tcPr>
            <w:tcW w:w="8771" w:type="dxa"/>
            <w:tcBorders>
              <w:top w:val="nil"/>
              <w:left w:val="single" w:sz="6" w:space="0" w:color="auto"/>
              <w:bottom w:val="single" w:sz="6" w:space="0" w:color="auto"/>
              <w:right w:val="single" w:sz="6" w:space="0" w:color="auto"/>
            </w:tcBorders>
          </w:tcPr>
          <w:p w:rsidR="00255156" w:rsidRDefault="00255156">
            <w:pPr>
              <w:pStyle w:val="Box"/>
              <w:spacing w:before="0" w:line="120" w:lineRule="exact"/>
            </w:pPr>
          </w:p>
        </w:tc>
      </w:tr>
      <w:tr w:rsidR="00255156" w:rsidRPr="000863A5">
        <w:tc>
          <w:tcPr>
            <w:tcW w:w="8771" w:type="dxa"/>
            <w:tcBorders>
              <w:top w:val="nil"/>
              <w:left w:val="nil"/>
              <w:bottom w:val="nil"/>
              <w:right w:val="nil"/>
            </w:tcBorders>
          </w:tcPr>
          <w:p w:rsidR="00255156" w:rsidRPr="000863A5" w:rsidRDefault="00255156" w:rsidP="00530BA7">
            <w:pPr>
              <w:pStyle w:val="Box"/>
              <w:keepNext w:val="0"/>
              <w:spacing w:before="60" w:after="60" w:line="80" w:lineRule="exact"/>
              <w:rPr>
                <w:b/>
                <w:sz w:val="14"/>
              </w:rPr>
            </w:pPr>
          </w:p>
        </w:tc>
      </w:tr>
    </w:tbl>
    <w:p w:rsidR="006A4C88" w:rsidRPr="00944E91" w:rsidRDefault="006A4C88" w:rsidP="00944E91">
      <w:pPr>
        <w:pStyle w:val="BodyText"/>
      </w:pPr>
      <w:r w:rsidRPr="009D1F2C">
        <w:t>The two providers of general practice accreditation services are Australian General Practice Accreditation Limited (AGPAL) and</w:t>
      </w:r>
      <w:r w:rsidR="00DC4B41">
        <w:t xml:space="preserve"> Quality Practice Acc</w:t>
      </w:r>
      <w:r w:rsidR="001A1B20">
        <w:t>reditation Pty </w:t>
      </w:r>
      <w:r w:rsidR="00DC4B41">
        <w:t>Ltd</w:t>
      </w:r>
      <w:r>
        <w:t>.</w:t>
      </w:r>
    </w:p>
    <w:p w:rsidR="001F03AA" w:rsidRPr="00E24680" w:rsidRDefault="00F21002" w:rsidP="00E24680">
      <w:pPr>
        <w:pStyle w:val="BodyText"/>
        <w:rPr>
          <w:rStyle w:val="DraftingNote"/>
          <w:b w:val="0"/>
          <w:color w:val="auto"/>
          <w:sz w:val="26"/>
          <w:u w:val="none"/>
        </w:rPr>
      </w:pPr>
      <w:r>
        <w:t>Current</w:t>
      </w:r>
      <w:r w:rsidR="00652D6B" w:rsidRPr="006E5535">
        <w:t xml:space="preserve"> data for the number of general practices </w:t>
      </w:r>
      <w:r w:rsidR="003E382F">
        <w:t>remained un</w:t>
      </w:r>
      <w:r w:rsidR="00652D6B" w:rsidRPr="006E5535">
        <w:t xml:space="preserve">available for the </w:t>
      </w:r>
      <w:r w:rsidR="003E382F">
        <w:t>2014</w:t>
      </w:r>
      <w:r w:rsidR="00652D6B" w:rsidRPr="00BA1BB4">
        <w:t xml:space="preserve"> Report. </w:t>
      </w:r>
      <w:r w:rsidR="00652D6B" w:rsidRPr="003E382F">
        <w:t xml:space="preserve">In June 2011, </w:t>
      </w:r>
      <w:r w:rsidR="00BA1BB4" w:rsidRPr="003E382F">
        <w:t>4783</w:t>
      </w:r>
      <w:r w:rsidR="00652D6B" w:rsidRPr="003E382F">
        <w:t xml:space="preserve"> general practices — representing 6</w:t>
      </w:r>
      <w:r w:rsidR="00BA1BB4" w:rsidRPr="003E382F">
        <w:t>7.4</w:t>
      </w:r>
      <w:r w:rsidR="00652D6B" w:rsidRPr="003E382F">
        <w:t xml:space="preserve"> per cent</w:t>
      </w:r>
      <w:r w:rsidR="00652D6B" w:rsidRPr="00BA1BB4">
        <w:t xml:space="preserve"> of</w:t>
      </w:r>
      <w:r w:rsidR="00652D6B" w:rsidRPr="00652D6B">
        <w:t xml:space="preserve"> general practices — were accredited nationally </w:t>
      </w:r>
      <w:r w:rsidR="001F03AA">
        <w:t>(figure </w:t>
      </w:r>
      <w:r w:rsidR="001F03AA" w:rsidRPr="00E123C7">
        <w:t>11.</w:t>
      </w:r>
      <w:r w:rsidR="00411092">
        <w:t>2</w:t>
      </w:r>
      <w:r w:rsidR="004A5577">
        <w:t>2</w:t>
      </w:r>
      <w:r w:rsidR="00652D6B">
        <w:t>).</w:t>
      </w:r>
    </w:p>
    <w:p w:rsidR="006A4C88" w:rsidRPr="005842D6" w:rsidRDefault="006A4C88" w:rsidP="00807C85">
      <w:pPr>
        <w:pStyle w:val="FigureTitle"/>
        <w:ind w:left="1559" w:hanging="1559"/>
      </w:pPr>
      <w:r>
        <w:rPr>
          <w:b w:val="0"/>
        </w:rPr>
        <w:t xml:space="preserve">Figure </w:t>
      </w:r>
      <w:bookmarkStart w:id="36" w:name="OLE_LINK36"/>
      <w:r w:rsidR="00EC42DB">
        <w:rPr>
          <w:b w:val="0"/>
        </w:rPr>
        <w:t>11.</w:t>
      </w:r>
      <w:r w:rsidR="00C44281">
        <w:rPr>
          <w:b w:val="0"/>
          <w:noProof/>
        </w:rPr>
        <w:t>2</w:t>
      </w:r>
      <w:bookmarkEnd w:id="36"/>
      <w:r w:rsidR="004A5577">
        <w:rPr>
          <w:b w:val="0"/>
          <w:noProof/>
        </w:rPr>
        <w:t>2</w:t>
      </w:r>
      <w:r>
        <w:tab/>
      </w:r>
      <w:r w:rsidRPr="005842D6">
        <w:t>General pra</w:t>
      </w:r>
      <w:r>
        <w:t>ctices with accreditation, at 30 June</w:t>
      </w:r>
    </w:p>
    <w:tbl>
      <w:tblPr>
        <w:tblW w:w="0" w:type="auto"/>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6A4C88" w:rsidTr="00AC2BE6">
        <w:tc>
          <w:tcPr>
            <w:tcW w:w="8777" w:type="dxa"/>
            <w:tcBorders>
              <w:top w:val="single" w:sz="6" w:space="0" w:color="auto"/>
              <w:left w:val="nil"/>
              <w:bottom w:val="single" w:sz="6" w:space="0" w:color="auto"/>
              <w:right w:val="nil"/>
            </w:tcBorders>
          </w:tcPr>
          <w:p w:rsidR="006A4C88" w:rsidRDefault="00D4699C" w:rsidP="006A4C88">
            <w:pPr>
              <w:pStyle w:val="Figure"/>
            </w:pPr>
            <w:r>
              <w:rPr>
                <w:noProof/>
              </w:rPr>
              <w:drawing>
                <wp:inline distT="0" distB="0" distL="0" distR="0">
                  <wp:extent cx="5368290" cy="2710815"/>
                  <wp:effectExtent l="0" t="0" r="3810" b="0"/>
                  <wp:docPr id="29" name="Picture 29" descr="Figure 11.22 General practices with accreditation, at 30 Jun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6A4C88" w:rsidRDefault="006A4C88" w:rsidP="00807C85">
      <w:pPr>
        <w:pStyle w:val="Source"/>
      </w:pPr>
      <w:r w:rsidRPr="005842D6">
        <w:rPr>
          <w:i/>
        </w:rPr>
        <w:t>Source</w:t>
      </w:r>
      <w:r w:rsidRPr="005842D6">
        <w:t xml:space="preserve">: AGPAL (unpublished); </w:t>
      </w:r>
      <w:r w:rsidR="00D27986" w:rsidRPr="00D27986">
        <w:t xml:space="preserve">Quality Practice Accreditation Pty Ltd </w:t>
      </w:r>
      <w:r w:rsidRPr="005842D6">
        <w:t>(unpublished); Primary Health Care Resear</w:t>
      </w:r>
      <w:r>
        <w:t xml:space="preserve">ch and </w:t>
      </w:r>
      <w:r w:rsidRPr="00411092">
        <w:t xml:space="preserve">Information Service and </w:t>
      </w:r>
      <w:r w:rsidR="00B513D7">
        <w:t>Department of Health</w:t>
      </w:r>
      <w:r w:rsidRPr="00411092">
        <w:t xml:space="preserve"> (unpublished) </w:t>
      </w:r>
      <w:r w:rsidRPr="00411092">
        <w:rPr>
          <w:i/>
        </w:rPr>
        <w:t xml:space="preserve">Annual Survey of Divisions of General Practice </w:t>
      </w:r>
      <w:r w:rsidRPr="00BC4CF6">
        <w:rPr>
          <w:i/>
        </w:rPr>
        <w:t>20</w:t>
      </w:r>
      <w:r w:rsidR="00E123C7" w:rsidRPr="00BC4CF6">
        <w:rPr>
          <w:i/>
        </w:rPr>
        <w:t>1</w:t>
      </w:r>
      <w:r w:rsidR="00652D6B" w:rsidRPr="00BC4CF6">
        <w:rPr>
          <w:i/>
        </w:rPr>
        <w:t>0</w:t>
      </w:r>
      <w:r w:rsidRPr="00BC4CF6">
        <w:rPr>
          <w:i/>
        </w:rPr>
        <w:t>-1</w:t>
      </w:r>
      <w:r w:rsidR="00652D6B" w:rsidRPr="00BC4CF6">
        <w:rPr>
          <w:i/>
        </w:rPr>
        <w:t>1</w:t>
      </w:r>
      <w:r w:rsidRPr="00411092">
        <w:t>;</w:t>
      </w:r>
      <w:r w:rsidRPr="00B532A7">
        <w:t xml:space="preserve"> table </w:t>
      </w:r>
      <w:r w:rsidR="003D7DFA">
        <w:t>11A.4</w:t>
      </w:r>
      <w:r w:rsidR="009C7361">
        <w:t>9</w:t>
      </w:r>
      <w:r w:rsidRPr="00B532A7">
        <w:t>.</w:t>
      </w:r>
    </w:p>
    <w:p w:rsidR="000A6D38" w:rsidRPr="00944E91" w:rsidRDefault="006A4C88" w:rsidP="00944E91">
      <w:pPr>
        <w:pStyle w:val="BodyText"/>
      </w:pPr>
      <w:r w:rsidRPr="005842D6">
        <w:lastRenderedPageBreak/>
        <w:t xml:space="preserve">The proportion of patients attending accredited practices provides useful </w:t>
      </w:r>
      <w:r w:rsidRPr="00807C85">
        <w:t>additional</w:t>
      </w:r>
      <w:r w:rsidRPr="005842D6">
        <w:t xml:space="preserve"> information relating to accreditation. For this measure, PIP practices provide a proxy for accredited practices, as accreditation is a requirement </w:t>
      </w:r>
      <w:r>
        <w:t>for PIP registration. Nationally</w:t>
      </w:r>
      <w:r w:rsidRPr="005842D6">
        <w:t xml:space="preserve">, the proportion of </w:t>
      </w:r>
      <w:r w:rsidRPr="00E04293">
        <w:t xml:space="preserve">general practice patient care </w:t>
      </w:r>
      <w:r>
        <w:t xml:space="preserve">— </w:t>
      </w:r>
      <w:r w:rsidRPr="00431431">
        <w:t>measured as standardised whole patient equivalents (SWPEs</w:t>
      </w:r>
      <w:r>
        <w:t>)</w:t>
      </w:r>
      <w:r w:rsidRPr="00F8208A">
        <w:rPr>
          <w:color w:val="008000"/>
        </w:rPr>
        <w:t xml:space="preserve"> </w:t>
      </w:r>
      <w:r>
        <w:t>— provided</w:t>
      </w:r>
      <w:r w:rsidRPr="005842D6">
        <w:t xml:space="preserve"> </w:t>
      </w:r>
      <w:r>
        <w:t>by</w:t>
      </w:r>
      <w:r w:rsidRPr="005842D6">
        <w:t xml:space="preserve"> PIP practices </w:t>
      </w:r>
      <w:r>
        <w:t xml:space="preserve">has </w:t>
      </w:r>
      <w:r w:rsidR="00BC4CF6">
        <w:t xml:space="preserve">increased </w:t>
      </w:r>
      <w:r w:rsidR="00F117C0">
        <w:t xml:space="preserve">slightly </w:t>
      </w:r>
      <w:r w:rsidRPr="00411092">
        <w:t xml:space="preserve">in the period from </w:t>
      </w:r>
      <w:r w:rsidRPr="00BC4CF6">
        <w:t>200</w:t>
      </w:r>
      <w:r w:rsidR="00BC4CF6" w:rsidRPr="00BC4CF6">
        <w:t>7</w:t>
      </w:r>
      <w:r w:rsidR="0080159D" w:rsidRPr="00BC4CF6">
        <w:noBreakHyphen/>
        <w:t>0</w:t>
      </w:r>
      <w:r w:rsidR="00BC4CF6" w:rsidRPr="00BC4CF6">
        <w:t>8</w:t>
      </w:r>
      <w:r w:rsidR="0080159D" w:rsidRPr="00BC4CF6">
        <w:t xml:space="preserve"> to 20</w:t>
      </w:r>
      <w:r w:rsidR="00411092" w:rsidRPr="00BC4CF6">
        <w:t>1</w:t>
      </w:r>
      <w:r w:rsidR="00BC4CF6" w:rsidRPr="00BC4CF6">
        <w:t>1</w:t>
      </w:r>
      <w:r w:rsidR="0080159D" w:rsidRPr="00BC4CF6">
        <w:t>-1</w:t>
      </w:r>
      <w:r w:rsidR="00BC4CF6" w:rsidRPr="00BC4CF6">
        <w:t>2</w:t>
      </w:r>
      <w:r w:rsidRPr="00411092">
        <w:t xml:space="preserve"> (figure </w:t>
      </w:r>
      <w:r w:rsidR="009A1232" w:rsidRPr="00411092">
        <w:t>11.</w:t>
      </w:r>
      <w:r w:rsidR="00411092" w:rsidRPr="00411092">
        <w:t>2</w:t>
      </w:r>
      <w:r w:rsidR="004A5577">
        <w:t>3</w:t>
      </w:r>
      <w:r w:rsidR="00720450" w:rsidRPr="00411092">
        <w:t>).</w:t>
      </w:r>
    </w:p>
    <w:p w:rsidR="006A4C88" w:rsidRPr="00085B88" w:rsidRDefault="006A4C88" w:rsidP="006A4C88">
      <w:pPr>
        <w:pStyle w:val="FigureTitle"/>
        <w:ind w:left="1560" w:hanging="1560"/>
      </w:pPr>
      <w:r>
        <w:rPr>
          <w:b w:val="0"/>
        </w:rPr>
        <w:t xml:space="preserve">Figure </w:t>
      </w:r>
      <w:bookmarkStart w:id="37" w:name="OLE_LINK37"/>
      <w:r w:rsidR="00EC42DB">
        <w:rPr>
          <w:b w:val="0"/>
        </w:rPr>
        <w:t>11.</w:t>
      </w:r>
      <w:r w:rsidR="00C44281">
        <w:rPr>
          <w:b w:val="0"/>
          <w:noProof/>
        </w:rPr>
        <w:t>2</w:t>
      </w:r>
      <w:bookmarkEnd w:id="37"/>
      <w:r w:rsidR="004A5577">
        <w:rPr>
          <w:b w:val="0"/>
          <w:noProof/>
        </w:rPr>
        <w:t>3</w:t>
      </w:r>
      <w:r>
        <w:tab/>
      </w:r>
      <w:r w:rsidRPr="00085B88">
        <w:t xml:space="preserve">Proportion of </w:t>
      </w:r>
      <w:r w:rsidRPr="00270364">
        <w:t xml:space="preserve">general practice patient care provided by </w:t>
      </w:r>
      <w:r w:rsidRPr="00085B88">
        <w:t>PIP practices</w:t>
      </w:r>
      <w:r w:rsidRPr="00085B88">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A4C88" w:rsidTr="006A4C88">
        <w:tc>
          <w:tcPr>
            <w:tcW w:w="8777" w:type="dxa"/>
          </w:tcPr>
          <w:p w:rsidR="006A4C88" w:rsidRDefault="00D4699C" w:rsidP="006A4C88">
            <w:pPr>
              <w:pStyle w:val="Figure"/>
            </w:pPr>
            <w:r>
              <w:rPr>
                <w:noProof/>
              </w:rPr>
              <w:drawing>
                <wp:inline distT="0" distB="0" distL="0" distR="0">
                  <wp:extent cx="5368290" cy="2710815"/>
                  <wp:effectExtent l="0" t="0" r="3810" b="0"/>
                  <wp:docPr id="30" name="Picture 30" descr="Figure 11.23 Proportion of general practice patient care provided by PIP pract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6A4C88" w:rsidRDefault="006A4C88" w:rsidP="006A4C88">
      <w:pPr>
        <w:pStyle w:val="Note"/>
      </w:pPr>
      <w:r>
        <w:rPr>
          <w:rStyle w:val="NoteLabel"/>
        </w:rPr>
        <w:t>a</w:t>
      </w:r>
      <w:r>
        <w:sym w:font="Symbol" w:char="F020"/>
      </w:r>
      <w:r w:rsidRPr="00085B88">
        <w:t xml:space="preserve"> </w:t>
      </w:r>
      <w:r>
        <w:t>Patients are measured as SWPEs. A SWPE is an indicator of practice workload based on the number of patients seen. The SWPE value for a jurisdiction is the sum of the fractions of care provided by doctors in that jurisdiction to their patients, weighted for the age and sex of each patient in accordance with national ratios.</w:t>
      </w:r>
    </w:p>
    <w:p w:rsidR="006A4C88" w:rsidRPr="00944E91" w:rsidRDefault="006A4C88" w:rsidP="00807C85">
      <w:pPr>
        <w:pStyle w:val="Source"/>
        <w:spacing w:before="60" w:after="0"/>
      </w:pPr>
      <w:r w:rsidRPr="00085B88">
        <w:rPr>
          <w:i/>
        </w:rPr>
        <w:t>Source</w:t>
      </w:r>
      <w:r>
        <w:t xml:space="preserve">: </w:t>
      </w:r>
      <w:r w:rsidR="00B513D7">
        <w:t>Department of Health</w:t>
      </w:r>
      <w:r>
        <w:t xml:space="preserve"> (unpublished) </w:t>
      </w:r>
      <w:r w:rsidRPr="00B156DD">
        <w:t xml:space="preserve">PIP and MBS data </w:t>
      </w:r>
      <w:r w:rsidRPr="006C74C6">
        <w:t>collections; table </w:t>
      </w:r>
      <w:r w:rsidR="009C7361">
        <w:t>11A.50</w:t>
      </w:r>
      <w:r w:rsidRPr="006C74C6">
        <w:t>.</w:t>
      </w:r>
    </w:p>
    <w:p w:rsidR="00271E49" w:rsidRDefault="00271E49" w:rsidP="00445FCA">
      <w:pPr>
        <w:pStyle w:val="Heading5"/>
        <w:tabs>
          <w:tab w:val="left" w:pos="1965"/>
        </w:tabs>
      </w:pPr>
      <w:r w:rsidRPr="00271E49">
        <w:t xml:space="preserve">Management of </w:t>
      </w:r>
      <w:r w:rsidR="005E4E9F">
        <w:t xml:space="preserve">acute </w:t>
      </w:r>
      <w:r w:rsidRPr="00271E49">
        <w:t>upper respiratory tract infection</w:t>
      </w:r>
    </w:p>
    <w:p w:rsidR="00B32B08" w:rsidRDefault="00B32B08" w:rsidP="00944E91">
      <w:pPr>
        <w:pStyle w:val="BodyText"/>
      </w:pPr>
      <w:r w:rsidRPr="00C052BA">
        <w:t xml:space="preserve">‘Management of </w:t>
      </w:r>
      <w:r w:rsidR="00064B9F">
        <w:t xml:space="preserve">acute </w:t>
      </w:r>
      <w:r w:rsidRPr="00C052BA">
        <w:t>upper respiratory tract infection’ is an indicator of governments’ objective to ensure that antibiotics are used appropriately and effectively</w:t>
      </w:r>
      <w:r w:rsidR="00D31B9B" w:rsidRPr="00C052BA">
        <w:t xml:space="preserve"> (</w:t>
      </w:r>
      <w:smartTag w:uri="urn:schemas-microsoft-com:office:smarttags" w:element="address">
        <w:smartTag w:uri="urn:schemas-microsoft-com:office:smarttags" w:element="Street">
          <w:r w:rsidR="00D31B9B" w:rsidRPr="00C052BA">
            <w:t>box</w:t>
          </w:r>
        </w:smartTag>
        <w:r w:rsidR="00EA4368">
          <w:t> </w:t>
        </w:r>
        <w:r w:rsidR="00445562" w:rsidRPr="00AE52AB">
          <w:t>11.</w:t>
        </w:r>
        <w:r w:rsidR="006A4C88" w:rsidRPr="00AE52AB">
          <w:t>1</w:t>
        </w:r>
        <w:r w:rsidR="00AE52AB" w:rsidRPr="00AE52AB">
          <w:t>2</w:t>
        </w:r>
      </w:smartTag>
      <w:r w:rsidR="00D31B9B" w:rsidRPr="00AE52AB">
        <w:t>)</w:t>
      </w:r>
      <w:r w:rsidR="00655626">
        <w:t>.</w:t>
      </w:r>
    </w:p>
    <w:p w:rsidR="00271E49" w:rsidRDefault="00271E4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1E49">
        <w:tc>
          <w:tcPr>
            <w:tcW w:w="8771" w:type="dxa"/>
            <w:tcBorders>
              <w:top w:val="single" w:sz="6" w:space="0" w:color="auto"/>
              <w:bottom w:val="nil"/>
            </w:tcBorders>
          </w:tcPr>
          <w:p w:rsidR="00271E49" w:rsidRPr="00271E49" w:rsidRDefault="00271E49" w:rsidP="00064B9F">
            <w:pPr>
              <w:pStyle w:val="BoxTitle"/>
            </w:pPr>
            <w:smartTag w:uri="urn:schemas-microsoft-com:office:smarttags" w:element="Street">
              <w:r>
                <w:rPr>
                  <w:b w:val="0"/>
                </w:rPr>
                <w:t>Box</w:t>
              </w:r>
            </w:smartTag>
            <w:r>
              <w:rPr>
                <w:b w:val="0"/>
              </w:rPr>
              <w:t xml:space="preserve"> </w:t>
            </w:r>
            <w:bookmarkStart w:id="38" w:name="OLE_LINK20"/>
            <w:r w:rsidR="00EC42DB">
              <w:rPr>
                <w:b w:val="0"/>
              </w:rPr>
              <w:t>11.</w:t>
            </w:r>
            <w:r w:rsidR="00C44281">
              <w:rPr>
                <w:b w:val="0"/>
                <w:noProof/>
              </w:rPr>
              <w:t>12</w:t>
            </w:r>
            <w:bookmarkEnd w:id="38"/>
            <w:r>
              <w:tab/>
            </w:r>
            <w:r w:rsidRPr="00271E49">
              <w:t>Management of upper respiratory tract infection</w:t>
            </w:r>
          </w:p>
        </w:tc>
      </w:tr>
      <w:tr w:rsidR="00271E49">
        <w:trPr>
          <w:cantSplit/>
        </w:trPr>
        <w:tc>
          <w:tcPr>
            <w:tcW w:w="8771" w:type="dxa"/>
            <w:tcBorders>
              <w:top w:val="nil"/>
              <w:left w:val="single" w:sz="6" w:space="0" w:color="auto"/>
              <w:bottom w:val="nil"/>
              <w:right w:val="single" w:sz="6" w:space="0" w:color="auto"/>
            </w:tcBorders>
          </w:tcPr>
          <w:p w:rsidR="00EA2767" w:rsidRDefault="00F33400" w:rsidP="00271E49">
            <w:pPr>
              <w:pStyle w:val="Box"/>
            </w:pPr>
            <w:r w:rsidRPr="00F33400">
              <w:t xml:space="preserve">‘Management of acute upper respiratory tract infection’ </w:t>
            </w:r>
            <w:r w:rsidR="00252785">
              <w:t xml:space="preserve">(URTI) </w:t>
            </w:r>
            <w:r w:rsidRPr="00F33400">
              <w:t>is defined by two measures:</w:t>
            </w:r>
          </w:p>
          <w:p w:rsidR="00F33400" w:rsidRDefault="00ED1B14" w:rsidP="00F33400">
            <w:pPr>
              <w:pStyle w:val="BoxListBullet"/>
            </w:pPr>
            <w:r>
              <w:t xml:space="preserve">filled </w:t>
            </w:r>
            <w:r w:rsidR="0014037A">
              <w:t xml:space="preserve">GP </w:t>
            </w:r>
            <w:r w:rsidR="00F33400">
              <w:t>prescriptions for selected antibiotics (those oral antibiotics most commonly prescribed to treat URTI</w:t>
            </w:r>
            <w:r>
              <w:t>)</w:t>
            </w:r>
            <w:r w:rsidR="00F33400">
              <w:t xml:space="preserve"> per 1000 </w:t>
            </w:r>
            <w:r w:rsidR="00064A12">
              <w:t>people</w:t>
            </w:r>
          </w:p>
          <w:p w:rsidR="00F33400" w:rsidRPr="00426009" w:rsidRDefault="00F33400" w:rsidP="00F33400">
            <w:pPr>
              <w:pStyle w:val="BoxListBullet"/>
            </w:pPr>
            <w:r>
              <w:t>proportion of visits to GPs for acute URTI where systemic antibiotics are prescribed.</w:t>
            </w:r>
          </w:p>
          <w:p w:rsidR="00271E49" w:rsidRDefault="00DF4FBA" w:rsidP="00A73D31">
            <w:pPr>
              <w:pStyle w:val="Box"/>
            </w:pPr>
            <w:r>
              <w:t>L</w:t>
            </w:r>
            <w:r w:rsidR="00F33400" w:rsidRPr="00F33400">
              <w:t>ow or decreasing rate</w:t>
            </w:r>
            <w:r>
              <w:t>s</w:t>
            </w:r>
            <w:r w:rsidR="00F33400" w:rsidRPr="00F33400">
              <w:t xml:space="preserve"> of</w:t>
            </w:r>
            <w:r w:rsidR="000D30AE">
              <w:t xml:space="preserve"> </w:t>
            </w:r>
            <w:r w:rsidR="00F33400" w:rsidRPr="00F33400">
              <w:t>prescription</w:t>
            </w:r>
            <w:r>
              <w:t xml:space="preserve"> of</w:t>
            </w:r>
            <w:r w:rsidR="00F33400" w:rsidRPr="00F33400">
              <w:t xml:space="preserve"> the selected antibiotics </w:t>
            </w:r>
            <w:r w:rsidR="00DD2EF4">
              <w:t xml:space="preserve">and </w:t>
            </w:r>
            <w:r w:rsidR="00B72D44" w:rsidRPr="00F33400">
              <w:t xml:space="preserve">acute URTI </w:t>
            </w:r>
            <w:r w:rsidR="00DD2EF4" w:rsidRPr="00F33400">
              <w:t xml:space="preserve">GP visits where systemic antibiotics are prescribed </w:t>
            </w:r>
            <w:r w:rsidR="00F33400" w:rsidRPr="00F33400">
              <w:t xml:space="preserve">can indicate that GPs’ management of </w:t>
            </w:r>
            <w:r w:rsidR="00B72D44">
              <w:t xml:space="preserve">acute </w:t>
            </w:r>
            <w:r w:rsidR="00F33400" w:rsidRPr="00F33400">
              <w:t>URTI more closely follows guidelines.</w:t>
            </w:r>
          </w:p>
          <w:p w:rsidR="00F33400" w:rsidRDefault="00F33400" w:rsidP="00F33400">
            <w:pPr>
              <w:pStyle w:val="Box"/>
            </w:pPr>
            <w:r>
              <w:t xml:space="preserve">URTI without complication (acute URTI or the ‘common cold’) is most often caused by a virus. Antibiotics have no efficacy in the treatment of viral infections, but are nevertheless often prescribed for their treatment. Unnecessarily high rates of antibiotic prescription have the potential to increase </w:t>
            </w:r>
            <w:r w:rsidR="004B43D9">
              <w:t xml:space="preserve">both </w:t>
            </w:r>
            <w:r>
              <w:t>pharmaceutical costs and antibiotic resistance in the community.</w:t>
            </w:r>
          </w:p>
          <w:p w:rsidR="006E7FC5" w:rsidRDefault="006E7FC5" w:rsidP="006E7FC5">
            <w:pPr>
              <w:pStyle w:val="Box"/>
            </w:pPr>
            <w:r w:rsidRPr="00A97F84">
              <w:t xml:space="preserve">Data </w:t>
            </w:r>
            <w:r>
              <w:t xml:space="preserve">reported </w:t>
            </w:r>
            <w:r w:rsidRPr="00A97F84">
              <w:t>for this indicator are</w:t>
            </w:r>
            <w:r>
              <w:t>:</w:t>
            </w:r>
          </w:p>
          <w:p w:rsidR="006E7FC5" w:rsidRDefault="006E7FC5" w:rsidP="006E7FC5">
            <w:pPr>
              <w:pStyle w:val="BoxListBullet"/>
            </w:pPr>
            <w:r w:rsidRPr="00065D58">
              <w:t>comparable (subject to caveats) across jurisdictions and over time</w:t>
            </w:r>
          </w:p>
          <w:p w:rsidR="00FC1D86" w:rsidRDefault="006E7FC5" w:rsidP="006E7FC5">
            <w:pPr>
              <w:pStyle w:val="BoxListBullet"/>
            </w:pPr>
            <w:r w:rsidRPr="00065D58">
              <w:t xml:space="preserve">complete (subject to caveats) for the current reporting period. All required </w:t>
            </w:r>
            <w:r>
              <w:t>2012</w:t>
            </w:r>
            <w:r>
              <w:noBreakHyphen/>
              <w:t>13</w:t>
            </w:r>
            <w:r w:rsidRPr="00065D58">
              <w:t xml:space="preserve"> data are available for all jurisdictions</w:t>
            </w:r>
            <w:r>
              <w:t>.</w:t>
            </w:r>
          </w:p>
          <w:p w:rsidR="00FC1D86" w:rsidRDefault="0014037A" w:rsidP="0014037A">
            <w:pPr>
              <w:pStyle w:val="Box"/>
            </w:pPr>
            <w:r w:rsidRPr="00A73D31">
              <w:t>Data quality information for the measure filled GP prescriptions for selected antibiotics is at www.pc.gov.au/gsp/reports/rogs/2014. Data quality information for the measure</w:t>
            </w:r>
            <w:r w:rsidR="00FC1D86" w:rsidRPr="00A73D31">
              <w:t xml:space="preserve"> </w:t>
            </w:r>
            <w:r w:rsidRPr="00A73D31">
              <w:t xml:space="preserve">acute URTI GP visits where systemic antibiotics are prescribed </w:t>
            </w:r>
            <w:r w:rsidR="00FC1D86" w:rsidRPr="00A73D31">
              <w:t xml:space="preserve">is under </w:t>
            </w:r>
            <w:r w:rsidR="00FC1D86" w:rsidRPr="00DF389D">
              <w:t>development.</w:t>
            </w:r>
          </w:p>
        </w:tc>
      </w:tr>
      <w:tr w:rsidR="00271E49">
        <w:trPr>
          <w:cantSplit/>
        </w:trPr>
        <w:tc>
          <w:tcPr>
            <w:tcW w:w="8771" w:type="dxa"/>
            <w:tcBorders>
              <w:top w:val="nil"/>
              <w:left w:val="single" w:sz="6" w:space="0" w:color="auto"/>
              <w:bottom w:val="single" w:sz="6" w:space="0" w:color="auto"/>
              <w:right w:val="single" w:sz="6" w:space="0" w:color="auto"/>
            </w:tcBorders>
          </w:tcPr>
          <w:p w:rsidR="00271E49" w:rsidRDefault="00271E49">
            <w:pPr>
              <w:pStyle w:val="Box"/>
              <w:spacing w:before="0" w:line="120" w:lineRule="exact"/>
            </w:pPr>
          </w:p>
        </w:tc>
      </w:tr>
      <w:tr w:rsidR="00271E49">
        <w:tc>
          <w:tcPr>
            <w:tcW w:w="8771" w:type="dxa"/>
            <w:tcBorders>
              <w:top w:val="nil"/>
              <w:left w:val="nil"/>
              <w:bottom w:val="nil"/>
              <w:right w:val="nil"/>
            </w:tcBorders>
          </w:tcPr>
          <w:p w:rsidR="00271E49" w:rsidRDefault="00271E49">
            <w:pPr>
              <w:pStyle w:val="Box"/>
              <w:keepNext w:val="0"/>
              <w:spacing w:before="60" w:after="60" w:line="80" w:lineRule="exact"/>
              <w:rPr>
                <w:b/>
                <w:color w:val="FF00FF"/>
                <w:sz w:val="14"/>
              </w:rPr>
            </w:pPr>
          </w:p>
        </w:tc>
      </w:tr>
    </w:tbl>
    <w:p w:rsidR="004B2F04" w:rsidRDefault="004B2F04" w:rsidP="004B2F04">
      <w:pPr>
        <w:pStyle w:val="Heading5"/>
      </w:pPr>
      <w:r w:rsidRPr="004B2F04">
        <w:t>Rate of prescription of selected antibiotics</w:t>
      </w:r>
    </w:p>
    <w:p w:rsidR="00ED1B14" w:rsidRDefault="004B2F04" w:rsidP="004B2F04">
      <w:pPr>
        <w:pStyle w:val="BodyText"/>
      </w:pPr>
      <w:r>
        <w:t xml:space="preserve">Caution should be used in </w:t>
      </w:r>
      <w:r w:rsidR="00766884">
        <w:t>interpreting</w:t>
      </w:r>
      <w:r>
        <w:t xml:space="preserve"> th</w:t>
      </w:r>
      <w:r w:rsidR="00DF4FBA">
        <w:t xml:space="preserve">e rate of </w:t>
      </w:r>
      <w:r w:rsidR="00766884" w:rsidRPr="00766884">
        <w:t>prescription of the selected antibiotics</w:t>
      </w:r>
      <w:r>
        <w:t xml:space="preserve"> as the oral antibiotics most commonly prescribed to treat acute URTI are also prescribed for other illnesses. Information about the condition for which the antibiotics are prescribed is not available. </w:t>
      </w:r>
    </w:p>
    <w:p w:rsidR="004B2F04" w:rsidRDefault="00ED1B14" w:rsidP="004B2F04">
      <w:pPr>
        <w:pStyle w:val="BodyText"/>
      </w:pPr>
      <w:r>
        <w:t xml:space="preserve">Complete data are </w:t>
      </w:r>
      <w:r w:rsidR="00145ACD">
        <w:t xml:space="preserve">available for the first time, </w:t>
      </w:r>
      <w:r>
        <w:t>for 2012-13</w:t>
      </w:r>
      <w:r w:rsidR="00145ACD">
        <w:t>,</w:t>
      </w:r>
      <w:r>
        <w:t xml:space="preserve"> for all </w:t>
      </w:r>
      <w:r w:rsidR="00766884" w:rsidRPr="00766884">
        <w:t>prescription</w:t>
      </w:r>
      <w:r w:rsidR="00766884">
        <w:t>s</w:t>
      </w:r>
      <w:r w:rsidR="00766884" w:rsidRPr="00766884">
        <w:t xml:space="preserve"> </w:t>
      </w:r>
      <w:r>
        <w:t>for the selected antibiotics</w:t>
      </w:r>
      <w:r w:rsidR="00145ACD" w:rsidRPr="00145ACD">
        <w:t xml:space="preserve"> </w:t>
      </w:r>
      <w:r w:rsidR="00145ACD">
        <w:t>that are filled</w:t>
      </w:r>
      <w:r w:rsidR="00976ED5">
        <w:t>.</w:t>
      </w:r>
      <w:r>
        <w:t xml:space="preserve"> </w:t>
      </w:r>
      <w:r w:rsidR="00976ED5">
        <w:t>C</w:t>
      </w:r>
      <w:r>
        <w:t>omplete historical data were available only for prescriptions provided to holders of PBS concession cards</w:t>
      </w:r>
      <w:r w:rsidR="003E42C2">
        <w:t xml:space="preserve"> </w:t>
      </w:r>
      <w:r w:rsidR="00F211FD">
        <w:t>(see</w:t>
      </w:r>
      <w:r w:rsidR="003E42C2">
        <w:t xml:space="preserve"> table </w:t>
      </w:r>
      <w:r w:rsidR="00C86AE5">
        <w:t>11A.5</w:t>
      </w:r>
      <w:r w:rsidR="009C7361">
        <w:t>2</w:t>
      </w:r>
      <w:r w:rsidR="00F211FD">
        <w:t>)</w:t>
      </w:r>
      <w:r>
        <w:t>.</w:t>
      </w:r>
    </w:p>
    <w:p w:rsidR="004B2F04" w:rsidRPr="00EB169B" w:rsidRDefault="004B2F04" w:rsidP="00EB169B">
      <w:pPr>
        <w:pStyle w:val="BodyText"/>
        <w:rPr>
          <w:rStyle w:val="DraftingNote"/>
          <w:b w:val="0"/>
          <w:color w:val="auto"/>
          <w:sz w:val="26"/>
          <w:u w:val="none"/>
        </w:rPr>
      </w:pPr>
      <w:r>
        <w:t xml:space="preserve">Nationally, the prescription rate for the oral antibiotics most commonly used </w:t>
      </w:r>
      <w:r>
        <w:br/>
        <w:t>to treat acute URTI was</w:t>
      </w:r>
      <w:r w:rsidR="009967E7">
        <w:t xml:space="preserve"> </w:t>
      </w:r>
      <w:r w:rsidR="009967E7" w:rsidRPr="009967E7">
        <w:t>297</w:t>
      </w:r>
      <w:r w:rsidRPr="009967E7">
        <w:t xml:space="preserve"> per 1000 </w:t>
      </w:r>
      <w:r w:rsidR="00ED1B14" w:rsidRPr="009967E7">
        <w:t>people</w:t>
      </w:r>
      <w:r w:rsidR="00093F77" w:rsidRPr="009967E7">
        <w:t xml:space="preserve"> in </w:t>
      </w:r>
      <w:r w:rsidR="009967E7" w:rsidRPr="009967E7">
        <w:t xml:space="preserve">2012-13 </w:t>
      </w:r>
      <w:r w:rsidRPr="009967E7">
        <w:t>(figure</w:t>
      </w:r>
      <w:r>
        <w:t> 11.</w:t>
      </w:r>
      <w:r w:rsidR="00076040">
        <w:t>2</w:t>
      </w:r>
      <w:r w:rsidR="004A5577">
        <w:t>4</w:t>
      </w:r>
      <w:r>
        <w:t>).</w:t>
      </w:r>
    </w:p>
    <w:p w:rsidR="00753514" w:rsidRPr="00150753" w:rsidRDefault="00753514" w:rsidP="00566A91">
      <w:pPr>
        <w:pStyle w:val="FigureTitle"/>
        <w:ind w:left="1560" w:hanging="1560"/>
        <w:rPr>
          <w:rStyle w:val="NoteLabel"/>
        </w:rPr>
      </w:pPr>
      <w:r>
        <w:rPr>
          <w:b w:val="0"/>
        </w:rPr>
        <w:lastRenderedPageBreak/>
        <w:t xml:space="preserve">Figure </w:t>
      </w:r>
      <w:bookmarkStart w:id="39" w:name="OLE_LINK21"/>
      <w:r w:rsidR="00EC42DB">
        <w:rPr>
          <w:b w:val="0"/>
        </w:rPr>
        <w:t>11.</w:t>
      </w:r>
      <w:r w:rsidR="00C44281">
        <w:rPr>
          <w:b w:val="0"/>
          <w:noProof/>
        </w:rPr>
        <w:t>2</w:t>
      </w:r>
      <w:bookmarkEnd w:id="39"/>
      <w:r w:rsidR="004A5577">
        <w:rPr>
          <w:b w:val="0"/>
          <w:noProof/>
        </w:rPr>
        <w:t>4</w:t>
      </w:r>
      <w:r>
        <w:tab/>
      </w:r>
      <w:r w:rsidRPr="00753514">
        <w:t xml:space="preserve">Rate of </w:t>
      </w:r>
      <w:r w:rsidR="003D7DFA">
        <w:t xml:space="preserve">filled </w:t>
      </w:r>
      <w:r w:rsidRPr="00753514">
        <w:t>prescription</w:t>
      </w:r>
      <w:r w:rsidR="003D7DFA">
        <w:t>s</w:t>
      </w:r>
      <w:r w:rsidRPr="00753514">
        <w:t xml:space="preserve"> of the oral antibiotics used most commonly to treat </w:t>
      </w:r>
      <w:r w:rsidR="004B2F04" w:rsidRPr="004B2F04">
        <w:t xml:space="preserve">acute </w:t>
      </w:r>
      <w:r w:rsidRPr="00753514">
        <w:t>upper respiratory tract infection</w:t>
      </w:r>
      <w:r w:rsidR="00ED1B14">
        <w:t>, per 1000 people, 2012</w:t>
      </w:r>
      <w:r w:rsidR="00ED1B14">
        <w:noBreakHyphen/>
        <w:t>13</w:t>
      </w:r>
      <w:r w:rsidR="00150753" w:rsidRPr="00150753">
        <w:rPr>
          <w:rStyle w:val="NoteLabel"/>
          <w:b/>
        </w:rPr>
        <w:t>a</w:t>
      </w:r>
      <w:r w:rsidR="00180ADE">
        <w:rPr>
          <w:rStyle w:val="NoteLabel"/>
          <w:b/>
        </w:rPr>
        <w:t>, b</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753514" w:rsidTr="00941DCE">
        <w:tc>
          <w:tcPr>
            <w:tcW w:w="8777" w:type="dxa"/>
            <w:tcBorders>
              <w:top w:val="single" w:sz="6" w:space="0" w:color="auto"/>
              <w:bottom w:val="single" w:sz="6" w:space="0" w:color="auto"/>
              <w:right w:val="nil"/>
            </w:tcBorders>
          </w:tcPr>
          <w:p w:rsidR="00753514" w:rsidRDefault="00D4699C">
            <w:pPr>
              <w:pStyle w:val="Figure"/>
            </w:pPr>
            <w:r>
              <w:rPr>
                <w:noProof/>
              </w:rPr>
              <w:drawing>
                <wp:inline distT="0" distB="0" distL="0" distR="0">
                  <wp:extent cx="5389880" cy="2861310"/>
                  <wp:effectExtent l="0" t="0" r="1270" b="0"/>
                  <wp:docPr id="31" name="Picture 31" descr="Figure 11.24 Rate of filled prescriptions of the oral antibiotics used most commonly to treat acute upper respiratory tract infection, per 1000 peopl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150753" w:rsidRPr="00180ADE" w:rsidRDefault="00150753" w:rsidP="00150753">
      <w:pPr>
        <w:pStyle w:val="Note"/>
      </w:pPr>
      <w:r>
        <w:rPr>
          <w:rStyle w:val="NoteLabel"/>
        </w:rPr>
        <w:t>a</w:t>
      </w:r>
      <w:r>
        <w:t xml:space="preserve"> P</w:t>
      </w:r>
      <w:r w:rsidRPr="00150753">
        <w:t xml:space="preserve">rescriptions ordered by vocationally </w:t>
      </w:r>
      <w:r w:rsidR="000B2487" w:rsidRPr="000B2487">
        <w:t>registered</w:t>
      </w:r>
      <w:r w:rsidRPr="00150753">
        <w:t xml:space="preserve"> GPs and other medical practitioners (OMPs)</w:t>
      </w:r>
      <w:r w:rsidR="00ED1B14">
        <w:t xml:space="preserve"> and dispensed</w:t>
      </w:r>
      <w:r w:rsidRPr="00150753">
        <w:t>.</w:t>
      </w:r>
      <w:r w:rsidR="00180ADE">
        <w:t xml:space="preserve"> </w:t>
      </w:r>
      <w:r w:rsidR="00180ADE">
        <w:rPr>
          <w:rStyle w:val="NoteLabel"/>
        </w:rPr>
        <w:t>b</w:t>
      </w:r>
      <w:r w:rsidR="00180ADE">
        <w:t xml:space="preserve"> Data are not limited to prescriptions for</w:t>
      </w:r>
      <w:r w:rsidR="00180ADE" w:rsidRPr="00180ADE">
        <w:t xml:space="preserve"> treatment of upper respiratory tract infection.</w:t>
      </w:r>
    </w:p>
    <w:p w:rsidR="00753514" w:rsidRPr="00EB169B" w:rsidRDefault="00753514" w:rsidP="00EB169B">
      <w:pPr>
        <w:pStyle w:val="Note"/>
        <w:rPr>
          <w:rStyle w:val="DraftingNote"/>
          <w:b w:val="0"/>
          <w:color w:val="auto"/>
          <w:sz w:val="18"/>
          <w:u w:val="none"/>
        </w:rPr>
      </w:pPr>
      <w:r w:rsidRPr="00EB169B">
        <w:rPr>
          <w:i/>
        </w:rPr>
        <w:t>Source</w:t>
      </w:r>
      <w:r w:rsidRPr="00EB169B">
        <w:t xml:space="preserve">: </w:t>
      </w:r>
      <w:r w:rsidR="00B513D7">
        <w:t>Department of Health</w:t>
      </w:r>
      <w:r w:rsidR="00400785" w:rsidRPr="00EB169B">
        <w:t xml:space="preserve"> (unpublished) </w:t>
      </w:r>
      <w:r w:rsidR="00DC0D3E" w:rsidRPr="00EB169B">
        <w:t>PBS</w:t>
      </w:r>
      <w:r w:rsidR="00400785" w:rsidRPr="00EB169B">
        <w:t xml:space="preserve"> </w:t>
      </w:r>
      <w:r w:rsidR="00524F26" w:rsidRPr="00EB169B">
        <w:t>Statistics</w:t>
      </w:r>
      <w:r w:rsidRPr="00EB169B">
        <w:t>; table</w:t>
      </w:r>
      <w:r w:rsidR="00EA4368" w:rsidRPr="00EB169B">
        <w:t> </w:t>
      </w:r>
      <w:r w:rsidR="009C7361">
        <w:t>11A.5</w:t>
      </w:r>
      <w:r w:rsidR="00614308">
        <w:t>1</w:t>
      </w:r>
      <w:r w:rsidRPr="00EB169B">
        <w:t>.</w:t>
      </w:r>
    </w:p>
    <w:p w:rsidR="002C44D9" w:rsidRDefault="002C44D9" w:rsidP="002C44D9">
      <w:pPr>
        <w:pStyle w:val="Heading5"/>
      </w:pPr>
      <w:r w:rsidRPr="002C44D9">
        <w:t>Proportion of GP visits for acute URTI where systemic antibiotics are prescribed</w:t>
      </w:r>
    </w:p>
    <w:p w:rsidR="002C44D9" w:rsidRDefault="002C44D9" w:rsidP="002C44D9">
      <w:pPr>
        <w:pStyle w:val="BodyText"/>
      </w:pPr>
      <w:r>
        <w:t xml:space="preserve">Data for the proportion of GP visits for acute URTI where systemic antibiotics are prescribed are for the first time available at </w:t>
      </w:r>
      <w:r w:rsidR="0037103E">
        <w:t>S</w:t>
      </w:r>
      <w:r w:rsidR="0037103E" w:rsidRPr="004B2F04">
        <w:t>tate/</w:t>
      </w:r>
      <w:r w:rsidR="0037103E">
        <w:t>T</w:t>
      </w:r>
      <w:r w:rsidR="0037103E" w:rsidRPr="004B2F04">
        <w:t>erritory level</w:t>
      </w:r>
      <w:r>
        <w:t>, from the annual BEACH survey of general practice activity in Australia.</w:t>
      </w:r>
    </w:p>
    <w:p w:rsidR="00AA68C6" w:rsidRDefault="002C44D9" w:rsidP="002C44D9">
      <w:pPr>
        <w:pStyle w:val="BodyText"/>
      </w:pPr>
      <w:r>
        <w:t xml:space="preserve">The BEACH survey collects information on the reason for the GP visit as well as the treatment prescribed or provided. This allows derivation of the proportion of visits to GPs for acute URTI for which systemic antibiotics were prescribed or supplied. Each year, the national BEACH sample comprises around 1000 GPs, each providing data for around 100 patient visits. </w:t>
      </w:r>
      <w:r w:rsidR="007E4C19">
        <w:t>A</w:t>
      </w:r>
      <w:r>
        <w:t>ggregat</w:t>
      </w:r>
      <w:r w:rsidR="007E4C19">
        <w:t>ion of data</w:t>
      </w:r>
      <w:r>
        <w:t xml:space="preserve"> for a period of </w:t>
      </w:r>
      <w:r w:rsidR="001521CE">
        <w:t>5 </w:t>
      </w:r>
      <w:r>
        <w:t>years allow</w:t>
      </w:r>
      <w:r w:rsidR="007E4C19">
        <w:t>s</w:t>
      </w:r>
      <w:r>
        <w:t xml:space="preserve"> publication of data for all States and Territories (figure 11.</w:t>
      </w:r>
      <w:r w:rsidR="00360BA5">
        <w:t>2</w:t>
      </w:r>
      <w:r w:rsidR="004A5577">
        <w:t>5</w:t>
      </w:r>
      <w:r>
        <w:t>).</w:t>
      </w:r>
      <w:r w:rsidR="00444E24">
        <w:t xml:space="preserve"> </w:t>
      </w:r>
      <w:r w:rsidR="00DD2EF4" w:rsidRPr="004B2F04">
        <w:t>This has some limitations — short-term change will be reflected only if sub</w:t>
      </w:r>
      <w:r w:rsidR="007E4C19">
        <w:t>stantive when averaged over a 5 </w:t>
      </w:r>
      <w:r w:rsidR="00DD2EF4" w:rsidRPr="004B2F04">
        <w:t xml:space="preserve">year period, and proximate causes </w:t>
      </w:r>
      <w:r w:rsidR="007E4C19">
        <w:t xml:space="preserve">of change </w:t>
      </w:r>
      <w:r w:rsidR="00DD2EF4" w:rsidRPr="004B2F04">
        <w:t xml:space="preserve">will not be directly identifiable. These limitations are </w:t>
      </w:r>
      <w:r w:rsidR="007E4C19">
        <w:t xml:space="preserve">to a degree </w:t>
      </w:r>
      <w:r w:rsidR="00DD2EF4" w:rsidRPr="004B2F04">
        <w:t xml:space="preserve">mitigated by </w:t>
      </w:r>
      <w:r w:rsidR="007E4C19">
        <w:t xml:space="preserve">the </w:t>
      </w:r>
      <w:r w:rsidR="00DD2EF4" w:rsidRPr="004B2F04">
        <w:t xml:space="preserve">reporting </w:t>
      </w:r>
      <w:r w:rsidR="007E4C19">
        <w:t xml:space="preserve">of </w:t>
      </w:r>
      <w:r w:rsidR="007E4C19" w:rsidRPr="004B2F04">
        <w:t xml:space="preserve">data </w:t>
      </w:r>
      <w:r w:rsidR="007E4C19">
        <w:t xml:space="preserve">for each year in the reference period at the </w:t>
      </w:r>
      <w:r w:rsidR="00DD2EF4" w:rsidRPr="004B2F04">
        <w:t xml:space="preserve">national </w:t>
      </w:r>
      <w:r w:rsidR="007E4C19">
        <w:t>level</w:t>
      </w:r>
      <w:r w:rsidR="00DD2EF4" w:rsidRPr="004B2F04">
        <w:t xml:space="preserve">. </w:t>
      </w:r>
      <w:r w:rsidR="007E4C19">
        <w:t xml:space="preserve">This </w:t>
      </w:r>
      <w:r w:rsidR="00DD2EF4" w:rsidRPr="004B2F04">
        <w:t xml:space="preserve">will assist in interpreting whether change </w:t>
      </w:r>
      <w:r w:rsidR="007E4C19">
        <w:t xml:space="preserve">reflected </w:t>
      </w:r>
      <w:r w:rsidR="00DD2EF4" w:rsidRPr="004B2F04">
        <w:t xml:space="preserve">over rolling 5 year periods is due to substantive </w:t>
      </w:r>
      <w:r w:rsidR="007E4C19">
        <w:t>short</w:t>
      </w:r>
      <w:r w:rsidR="007E4C19">
        <w:noBreakHyphen/>
      </w:r>
      <w:r w:rsidR="00DD2EF4" w:rsidRPr="004B2F04">
        <w:t>term change or to incremental change over several years.</w:t>
      </w:r>
    </w:p>
    <w:p w:rsidR="00C849ED" w:rsidRDefault="00C849ED" w:rsidP="002C44D9">
      <w:pPr>
        <w:pStyle w:val="BodyText"/>
      </w:pPr>
      <w:r>
        <w:lastRenderedPageBreak/>
        <w:t xml:space="preserve">Nationally, for </w:t>
      </w:r>
      <w:r w:rsidRPr="004949BF">
        <w:t>the 5 years April 200</w:t>
      </w:r>
      <w:r w:rsidR="004949BF" w:rsidRPr="004949BF">
        <w:t>8</w:t>
      </w:r>
      <w:r w:rsidRPr="004949BF">
        <w:t xml:space="preserve"> to March 201</w:t>
      </w:r>
      <w:r w:rsidR="004949BF" w:rsidRPr="004949BF">
        <w:t>3</w:t>
      </w:r>
      <w:r w:rsidRPr="004949BF">
        <w:t>,</w:t>
      </w:r>
      <w:r>
        <w:t xml:space="preserve"> the proportion of people presenting to GPs for acute URTI where the GP prescribed systemic antibiotics for its treatment </w:t>
      </w:r>
      <w:r w:rsidRPr="004949BF">
        <w:t>was 32.5 per cent (figure 11.2</w:t>
      </w:r>
      <w:r w:rsidR="003A0E8A">
        <w:t>5</w:t>
      </w:r>
      <w:r w:rsidRPr="004949BF">
        <w:t>). This proportion was</w:t>
      </w:r>
      <w:r w:rsidR="004949BF" w:rsidRPr="004949BF">
        <w:t xml:space="preserve"> 29.9</w:t>
      </w:r>
      <w:r w:rsidRPr="004949BF">
        <w:t xml:space="preserve"> </w:t>
      </w:r>
      <w:r w:rsidR="004949BF" w:rsidRPr="004949BF">
        <w:t>per </w:t>
      </w:r>
      <w:r w:rsidRPr="004949BF">
        <w:t>cent for the period April 201</w:t>
      </w:r>
      <w:r w:rsidR="004949BF" w:rsidRPr="004949BF">
        <w:t>2</w:t>
      </w:r>
      <w:r w:rsidRPr="004949BF">
        <w:t xml:space="preserve"> to March 201</w:t>
      </w:r>
      <w:r w:rsidR="004949BF" w:rsidRPr="004949BF">
        <w:t>3</w:t>
      </w:r>
      <w:r>
        <w:t xml:space="preserve"> (figure 11.2</w:t>
      </w:r>
      <w:r w:rsidR="003A0E8A">
        <w:t>5</w:t>
      </w:r>
      <w:r>
        <w:t xml:space="preserve">). The higher proportion for the 5 year reference period reflects an increase in use of systemic antibiotics for treatment of acute URTI associated with the swine flu outbreak in </w:t>
      </w:r>
      <w:r w:rsidRPr="004949BF">
        <w:t>2009</w:t>
      </w:r>
      <w:r>
        <w:t xml:space="preserve"> (figure 11.2</w:t>
      </w:r>
      <w:r w:rsidR="003A0E8A">
        <w:t>6</w:t>
      </w:r>
      <w:r>
        <w:t>).</w:t>
      </w:r>
    </w:p>
    <w:p w:rsidR="00D81327" w:rsidRPr="00150753" w:rsidRDefault="00D81327" w:rsidP="00D81327">
      <w:pPr>
        <w:pStyle w:val="FigureTitle"/>
        <w:ind w:left="1560" w:hanging="1560"/>
        <w:rPr>
          <w:rStyle w:val="NoteLabel"/>
        </w:rPr>
      </w:pPr>
      <w:r>
        <w:rPr>
          <w:b w:val="0"/>
        </w:rPr>
        <w:t>Figure 11.</w:t>
      </w:r>
      <w:r w:rsidR="00C44281">
        <w:rPr>
          <w:b w:val="0"/>
          <w:noProof/>
        </w:rPr>
        <w:t>2</w:t>
      </w:r>
      <w:r w:rsidR="003A0E8A">
        <w:rPr>
          <w:b w:val="0"/>
          <w:noProof/>
        </w:rPr>
        <w:t>5</w:t>
      </w:r>
      <w:r>
        <w:tab/>
      </w:r>
      <w:r w:rsidR="00E06A72" w:rsidRPr="00E06A72">
        <w:t>Proportion of acute URTI managements where systemic antibiotics were prescribed</w:t>
      </w:r>
      <w:r w:rsidR="00444E24" w:rsidRPr="00444E24">
        <w:rPr>
          <w:rStyle w:val="NoteLabel"/>
          <w:b/>
        </w:rPr>
        <w:t>a, b</w:t>
      </w:r>
    </w:p>
    <w:tbl>
      <w:tblPr>
        <w:tblW w:w="0" w:type="auto"/>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D81327" w:rsidTr="00501592">
        <w:tc>
          <w:tcPr>
            <w:tcW w:w="8777" w:type="dxa"/>
            <w:tcBorders>
              <w:top w:val="single" w:sz="6" w:space="0" w:color="auto"/>
              <w:bottom w:val="single" w:sz="6" w:space="0" w:color="auto"/>
              <w:right w:val="nil"/>
            </w:tcBorders>
          </w:tcPr>
          <w:p w:rsidR="00D81327" w:rsidRDefault="00D4699C" w:rsidP="00A16CBB">
            <w:pPr>
              <w:pStyle w:val="Figure"/>
            </w:pPr>
            <w:r>
              <w:rPr>
                <w:noProof/>
              </w:rPr>
              <w:drawing>
                <wp:inline distT="0" distB="0" distL="0" distR="0">
                  <wp:extent cx="5389880" cy="2861310"/>
                  <wp:effectExtent l="0" t="0" r="1270" b="0"/>
                  <wp:docPr id="32" name="Picture 32" descr="Figure 11.25 Proportion of acute URTI managements where systemic antibiotics were prescrib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D81327" w:rsidRPr="00180ADE" w:rsidRDefault="00D81327" w:rsidP="00D81327">
      <w:pPr>
        <w:pStyle w:val="Note"/>
      </w:pPr>
      <w:r>
        <w:rPr>
          <w:rStyle w:val="NoteLabel"/>
        </w:rPr>
        <w:t>a</w:t>
      </w:r>
      <w:r w:rsidR="00444E24" w:rsidRPr="00444E24">
        <w:t xml:space="preserve"> </w:t>
      </w:r>
      <w:r w:rsidR="00444E24">
        <w:t xml:space="preserve">Error bars represent the 95 per cent confidence interval associated with each point estimate. </w:t>
      </w:r>
      <w:r w:rsidR="005F6739">
        <w:rPr>
          <w:rStyle w:val="NoteLabel"/>
        </w:rPr>
        <w:t>b</w:t>
      </w:r>
      <w:r w:rsidR="005F6739" w:rsidRPr="00444E24">
        <w:t xml:space="preserve"> </w:t>
      </w:r>
      <w:r w:rsidR="00444E24">
        <w:t xml:space="preserve">Participation in the survey is voluntary. Data are not necessarily representative of </w:t>
      </w:r>
      <w:r w:rsidR="00CE5E57">
        <w:t xml:space="preserve">the </w:t>
      </w:r>
      <w:r w:rsidR="00617558">
        <w:t>prescribing behaviour of non</w:t>
      </w:r>
      <w:r w:rsidR="00617558">
        <w:noBreakHyphen/>
      </w:r>
      <w:r w:rsidR="00444E24">
        <w:t>participating GPs.</w:t>
      </w:r>
    </w:p>
    <w:p w:rsidR="00EE6F7D" w:rsidRPr="00EE6F7D" w:rsidRDefault="00D81327" w:rsidP="006C0321">
      <w:pPr>
        <w:pStyle w:val="Source"/>
      </w:pPr>
      <w:r>
        <w:rPr>
          <w:i/>
        </w:rPr>
        <w:t>Source</w:t>
      </w:r>
      <w:r w:rsidR="00444E24">
        <w:t>:</w:t>
      </w:r>
      <w:r w:rsidR="00444E24" w:rsidRPr="00444E24">
        <w:t xml:space="preserve"> </w:t>
      </w:r>
      <w:r w:rsidR="00444E24">
        <w:t xml:space="preserve">Britt et al (unpublished) BEACH Statistics; table </w:t>
      </w:r>
      <w:r w:rsidR="00C86AE5">
        <w:t>11A.5</w:t>
      </w:r>
      <w:r w:rsidR="009C7361">
        <w:t>3</w:t>
      </w:r>
      <w:r w:rsidRPr="006C74C6">
        <w:t>.</w:t>
      </w:r>
    </w:p>
    <w:p w:rsidR="00463C36" w:rsidRPr="00150753" w:rsidRDefault="00463C36" w:rsidP="00463C36">
      <w:pPr>
        <w:pStyle w:val="FigureTitle"/>
        <w:ind w:left="1560" w:hanging="1560"/>
        <w:rPr>
          <w:rStyle w:val="NoteLabel"/>
        </w:rPr>
      </w:pPr>
      <w:r>
        <w:rPr>
          <w:b w:val="0"/>
        </w:rPr>
        <w:lastRenderedPageBreak/>
        <w:t>Figure 11.</w:t>
      </w:r>
      <w:r w:rsidR="00C44281">
        <w:rPr>
          <w:b w:val="0"/>
          <w:noProof/>
        </w:rPr>
        <w:t>2</w:t>
      </w:r>
      <w:r w:rsidR="003A0E8A">
        <w:rPr>
          <w:b w:val="0"/>
          <w:noProof/>
        </w:rPr>
        <w:t>6</w:t>
      </w:r>
      <w:r>
        <w:tab/>
      </w:r>
      <w:r w:rsidR="004B181C" w:rsidRPr="004B181C">
        <w:t>Proportion of acute URTI managements where systemic antibiotics were prescribed</w:t>
      </w:r>
      <w:r w:rsidR="004B181C">
        <w:t>, Australia</w:t>
      </w:r>
      <w:r w:rsidRPr="00444E24">
        <w:rPr>
          <w:rStyle w:val="NoteLabel"/>
          <w:b/>
        </w:rPr>
        <w:t>a, b</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463C36" w:rsidTr="00463C36">
        <w:tc>
          <w:tcPr>
            <w:tcW w:w="8777" w:type="dxa"/>
            <w:tcBorders>
              <w:top w:val="single" w:sz="6" w:space="0" w:color="auto"/>
              <w:bottom w:val="single" w:sz="6" w:space="0" w:color="auto"/>
              <w:right w:val="nil"/>
            </w:tcBorders>
          </w:tcPr>
          <w:p w:rsidR="00463C36" w:rsidRDefault="00D4699C" w:rsidP="00463C36">
            <w:pPr>
              <w:pStyle w:val="Figure"/>
            </w:pPr>
            <w:r>
              <w:rPr>
                <w:noProof/>
              </w:rPr>
              <w:drawing>
                <wp:inline distT="0" distB="0" distL="0" distR="0">
                  <wp:extent cx="5389880" cy="2861310"/>
                  <wp:effectExtent l="0" t="0" r="1270" b="0"/>
                  <wp:docPr id="33" name="Picture 33" descr="Figure 11.26 Proportion of acute URTI managements where systemic antibiotics were prescribed, Australi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463C36" w:rsidRPr="00180ADE" w:rsidRDefault="00463C36" w:rsidP="00463C36">
      <w:pPr>
        <w:pStyle w:val="Note"/>
      </w:pPr>
      <w:r>
        <w:rPr>
          <w:rStyle w:val="NoteLabel"/>
        </w:rPr>
        <w:t>a</w:t>
      </w:r>
      <w:r w:rsidRPr="00444E24">
        <w:t xml:space="preserve"> </w:t>
      </w:r>
      <w:r>
        <w:t xml:space="preserve">Error bars represent the 95 per cent confidence interval associated with each point estimate. </w:t>
      </w:r>
      <w:r>
        <w:rPr>
          <w:rStyle w:val="NoteLabel"/>
        </w:rPr>
        <w:t>b</w:t>
      </w:r>
      <w:r>
        <w:t xml:space="preserve"> Participation in the survey is voluntary. </w:t>
      </w:r>
      <w:r w:rsidR="00CE5E57">
        <w:t>Data are not necessarily representative of the prescribing behaviour of non</w:t>
      </w:r>
      <w:r w:rsidR="00CE5E57">
        <w:noBreakHyphen/>
        <w:t>participating GPs.</w:t>
      </w:r>
    </w:p>
    <w:p w:rsidR="00463C36" w:rsidRPr="00944E91" w:rsidRDefault="00463C36" w:rsidP="00944E91">
      <w:pPr>
        <w:pStyle w:val="Source"/>
      </w:pPr>
      <w:r>
        <w:rPr>
          <w:i/>
        </w:rPr>
        <w:t>Source</w:t>
      </w:r>
      <w:r>
        <w:t>:</w:t>
      </w:r>
      <w:r w:rsidRPr="00444E24">
        <w:t xml:space="preserve"> </w:t>
      </w:r>
      <w:r>
        <w:t xml:space="preserve">Britt et al (unpublished) BEACH Statistics; table </w:t>
      </w:r>
      <w:r w:rsidR="00C86AE5">
        <w:t>11A.5</w:t>
      </w:r>
      <w:r w:rsidR="009C7361">
        <w:t>4</w:t>
      </w:r>
      <w:r w:rsidRPr="006C74C6">
        <w:t>.</w:t>
      </w:r>
    </w:p>
    <w:p w:rsidR="00F34472" w:rsidRDefault="004815B8" w:rsidP="00F34472">
      <w:pPr>
        <w:pStyle w:val="Heading5"/>
      </w:pPr>
      <w:r>
        <w:t>Chronic disease management</w:t>
      </w:r>
    </w:p>
    <w:p w:rsidR="00F34472" w:rsidRDefault="00F34472" w:rsidP="00F34472">
      <w:pPr>
        <w:pStyle w:val="BodyText"/>
      </w:pPr>
      <w:r>
        <w:t>‘</w:t>
      </w:r>
      <w:r w:rsidR="004815B8" w:rsidRPr="004815B8">
        <w:t>Chronic disease management</w:t>
      </w:r>
      <w:r>
        <w:t>’</w:t>
      </w:r>
      <w:r w:rsidRPr="00D00A5A">
        <w:t xml:space="preserve"> </w:t>
      </w:r>
      <w:r>
        <w:t>is an indicator of governments’ objective to ensure appropriate and effective management of chronic disease in the primary and community health sector</w:t>
      </w:r>
      <w:r w:rsidR="0090275F">
        <w:t xml:space="preserve"> </w:t>
      </w:r>
      <w:r w:rsidR="000A06C3">
        <w:t>(</w:t>
      </w:r>
      <w:smartTag w:uri="urn:schemas-microsoft-com:office:smarttags" w:element="address">
        <w:smartTag w:uri="urn:schemas-microsoft-com:office:smarttags" w:element="Street">
          <w:r>
            <w:t>box</w:t>
          </w:r>
        </w:smartTag>
        <w:r>
          <w:t> </w:t>
        </w:r>
        <w:r w:rsidRPr="005105E8">
          <w:t>11.1</w:t>
        </w:r>
        <w:r w:rsidR="005105E8" w:rsidRPr="005105E8">
          <w:t>3</w:t>
        </w:r>
      </w:smartTag>
      <w:r>
        <w:t>).</w:t>
      </w:r>
    </w:p>
    <w:p w:rsidR="00C90EA0" w:rsidRDefault="00C90EA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0EA0">
        <w:tc>
          <w:tcPr>
            <w:tcW w:w="8771" w:type="dxa"/>
            <w:tcBorders>
              <w:top w:val="single" w:sz="6" w:space="0" w:color="auto"/>
              <w:bottom w:val="nil"/>
            </w:tcBorders>
          </w:tcPr>
          <w:p w:rsidR="00C90EA0" w:rsidRDefault="00C90EA0">
            <w:pPr>
              <w:pStyle w:val="BoxTitle"/>
            </w:pPr>
            <w:r>
              <w:rPr>
                <w:b w:val="0"/>
              </w:rPr>
              <w:t xml:space="preserve">Box </w:t>
            </w:r>
            <w:r w:rsidR="00B3317A" w:rsidRPr="00B3317A">
              <w:rPr>
                <w:b w:val="0"/>
              </w:rPr>
              <w:t>11.13</w:t>
            </w:r>
            <w:r>
              <w:tab/>
            </w:r>
            <w:r w:rsidR="00D272CD" w:rsidRPr="004815B8">
              <w:t>Chronic disease management</w:t>
            </w:r>
          </w:p>
        </w:tc>
      </w:tr>
      <w:tr w:rsidR="00C90EA0">
        <w:trPr>
          <w:cantSplit/>
        </w:trPr>
        <w:tc>
          <w:tcPr>
            <w:tcW w:w="8771" w:type="dxa"/>
            <w:tcBorders>
              <w:top w:val="nil"/>
              <w:left w:val="single" w:sz="6" w:space="0" w:color="auto"/>
              <w:bottom w:val="nil"/>
              <w:right w:val="single" w:sz="6" w:space="0" w:color="auto"/>
            </w:tcBorders>
          </w:tcPr>
          <w:p w:rsidR="00D272CD" w:rsidRDefault="00D272CD" w:rsidP="00D272CD">
            <w:pPr>
              <w:pStyle w:val="Box"/>
            </w:pPr>
            <w:r>
              <w:t>‘</w:t>
            </w:r>
            <w:r w:rsidRPr="004815B8">
              <w:t>Chronic disease management</w:t>
            </w:r>
            <w:r>
              <w:t>’</w:t>
            </w:r>
            <w:r w:rsidRPr="00F34472">
              <w:t xml:space="preserve"> </w:t>
            </w:r>
            <w:r>
              <w:t xml:space="preserve">is defined by </w:t>
            </w:r>
            <w:r w:rsidR="0048049E">
              <w:t>four</w:t>
            </w:r>
            <w:r>
              <w:t xml:space="preserve"> measures:</w:t>
            </w:r>
          </w:p>
          <w:p w:rsidR="00D272CD" w:rsidRDefault="001E1532" w:rsidP="00D272CD">
            <w:pPr>
              <w:pStyle w:val="BoxListBullet"/>
            </w:pPr>
            <w:r>
              <w:t>m</w:t>
            </w:r>
            <w:r w:rsidR="00D272CD">
              <w:t>anagement of diabetes</w:t>
            </w:r>
            <w:r w:rsidR="0048049E">
              <w:t xml:space="preserve"> — </w:t>
            </w:r>
            <w:r w:rsidR="0048049E" w:rsidRPr="00A13C31">
              <w:t>annual cycle of care</w:t>
            </w:r>
            <w:r w:rsidR="0048049E">
              <w:t xml:space="preserve">, defined as </w:t>
            </w:r>
            <w:r w:rsidR="00D272CD">
              <w:t xml:space="preserve">the </w:t>
            </w:r>
            <w:r w:rsidR="00D272CD" w:rsidRPr="00A13C31">
              <w:t>proportion of people with diabetes who received an annual cycle of care within general practice</w:t>
            </w:r>
            <w:r w:rsidR="00D272CD">
              <w:t xml:space="preserve"> (the number of MBS items claimed for c</w:t>
            </w:r>
            <w:r w:rsidR="00D272CD" w:rsidRPr="00187CE3">
              <w:t>ompletion of a cycle of care for patients with established diabetes</w:t>
            </w:r>
            <w:r w:rsidR="00D272CD">
              <w:t>, divided by the estimated number of people with diabetes)</w:t>
            </w:r>
          </w:p>
          <w:p w:rsidR="00617D21" w:rsidRDefault="001E1532" w:rsidP="00D272CD">
            <w:pPr>
              <w:pStyle w:val="BoxListBullet"/>
            </w:pPr>
            <w:r>
              <w:t>m</w:t>
            </w:r>
            <w:r w:rsidR="00617D21">
              <w:t xml:space="preserve">anagement of diabetes — </w:t>
            </w:r>
            <w:r w:rsidR="00617D21" w:rsidRPr="004C6697">
              <w:t>HbA1c</w:t>
            </w:r>
            <w:r w:rsidR="00617D21">
              <w:t>, defined as t</w:t>
            </w:r>
            <w:r w:rsidR="00617D21" w:rsidRPr="004C6697">
              <w:t>he proportion of people with diabetes with HbA1c (glycosolate</w:t>
            </w:r>
            <w:r w:rsidR="00617D21">
              <w:t>d haemoglobin) below 7 per cent (</w:t>
            </w:r>
            <w:r w:rsidR="00617D21" w:rsidRPr="004C6697">
              <w:t>the number of people with diabetes with HbA1c below 7 per cent, divided by the estimated number of people with diabetes</w:t>
            </w:r>
            <w:r w:rsidR="00617D21">
              <w:t>)</w:t>
            </w:r>
          </w:p>
          <w:p w:rsidR="00617D21" w:rsidRDefault="001E1532" w:rsidP="00D272CD">
            <w:pPr>
              <w:pStyle w:val="BoxListBullet"/>
            </w:pPr>
            <w:r>
              <w:t>m</w:t>
            </w:r>
            <w:r w:rsidR="00617D21">
              <w:t>anagement of asthma, defined as the proportion of people with asthma who have a written asthma action plan</w:t>
            </w:r>
          </w:p>
          <w:p w:rsidR="00617D21" w:rsidRDefault="001E1532" w:rsidP="00D272CD">
            <w:pPr>
              <w:pStyle w:val="BoxListBullet"/>
            </w:pPr>
            <w:r>
              <w:t>c</w:t>
            </w:r>
            <w:r w:rsidR="00617D21">
              <w:t>are planning/case conferencing, defined as the proportion of GPs who used the MBS chronic disease management items for care planning or case conferencing at least once during a 12 month period.</w:t>
            </w:r>
          </w:p>
          <w:p w:rsidR="004E7BE9" w:rsidRPr="008C5C2B" w:rsidRDefault="00617D21" w:rsidP="00617D21">
            <w:pPr>
              <w:pStyle w:val="Box"/>
            </w:pPr>
            <w:r w:rsidRPr="00617D21">
              <w:t>A high</w:t>
            </w:r>
            <w:r w:rsidRPr="008C5C2B">
              <w:t xml:space="preserve"> or increasing proportion of</w:t>
            </w:r>
            <w:r w:rsidR="008C5C2B" w:rsidRPr="008C5C2B">
              <w:t xml:space="preserve"> </w:t>
            </w:r>
            <w:r w:rsidR="004E7BE9" w:rsidRPr="008C5C2B">
              <w:t>people with diabetes who received an annual cycle of care within general practice, people w</w:t>
            </w:r>
            <w:r w:rsidR="008C5C2B" w:rsidRPr="008C5C2B">
              <w:t>ith diabetes with HbA1c below 7 </w:t>
            </w:r>
            <w:r w:rsidR="004E7BE9" w:rsidRPr="008C5C2B">
              <w:t>per cent, people with asthma who have a written asthma action plan</w:t>
            </w:r>
            <w:r w:rsidR="008C5C2B" w:rsidRPr="008C5C2B">
              <w:t>,</w:t>
            </w:r>
            <w:r w:rsidR="004E7BE9" w:rsidRPr="008C5C2B">
              <w:t xml:space="preserve"> and </w:t>
            </w:r>
            <w:r w:rsidR="008C5C2B" w:rsidRPr="008C5C2B">
              <w:t>GPs who use chronic disease management items</w:t>
            </w:r>
            <w:r w:rsidR="008C5C2B">
              <w:t>,</w:t>
            </w:r>
            <w:r w:rsidR="004E7BE9" w:rsidRPr="008C5C2B">
              <w:t xml:space="preserve"> is desirable.</w:t>
            </w:r>
          </w:p>
          <w:p w:rsidR="00617D21" w:rsidRDefault="00617D21" w:rsidP="00617D21">
            <w:pPr>
              <w:pStyle w:val="Box"/>
            </w:pPr>
            <w:r w:rsidRPr="00617D21">
              <w:t xml:space="preserve">The MBS annual cycle of care for patients with diabetes is generally based on RACGP clinical guidelines for the appropriate management of Type 2 diabetes in general practice. Appropriate management of diabetes in the primary and community health sector can prevent or minimise the severity of complications (AIHW 2008c). Patient compliance with management measures is also a critical determinant of the occurrence and severity of complications. Data should be considered as minimum estimates as appropriate management of diabetes mellitus by </w:t>
            </w:r>
            <w:r w:rsidR="00B6739D">
              <w:t>GPs who do not claim the rebate</w:t>
            </w:r>
            <w:r w:rsidRPr="00617D21">
              <w:t xml:space="preserve"> is not captured. </w:t>
            </w:r>
          </w:p>
          <w:p w:rsidR="006F6549" w:rsidRDefault="006F6549" w:rsidP="00617D21">
            <w:pPr>
              <w:pStyle w:val="Box"/>
            </w:pPr>
            <w:r w:rsidRPr="00617D21">
              <w:t xml:space="preserve">HbA1c measures the level of glucose in the blood averaged </w:t>
            </w:r>
            <w:r>
              <w:t xml:space="preserve">over the preceding three months. </w:t>
            </w:r>
            <w:r w:rsidRPr="00A73D31">
              <w:t xml:space="preserve">HbA1c levels below 7 per cent </w:t>
            </w:r>
            <w:r w:rsidR="00E24680" w:rsidRPr="00A73D31">
              <w:t>are</w:t>
            </w:r>
            <w:r w:rsidRPr="00A73D31">
              <w:t xml:space="preserve"> indicative of </w:t>
            </w:r>
            <w:r w:rsidR="00A46901" w:rsidRPr="00A73D31">
              <w:t>appropriate</w:t>
            </w:r>
            <w:r w:rsidRPr="00A73D31">
              <w:t xml:space="preserve"> management </w:t>
            </w:r>
            <w:r w:rsidR="00B6739D" w:rsidRPr="00A73D31">
              <w:t xml:space="preserve">of </w:t>
            </w:r>
            <w:r w:rsidR="005B48AF" w:rsidRPr="00A73D31">
              <w:t>diabetes</w:t>
            </w:r>
            <w:r w:rsidR="00B6739D" w:rsidRPr="00A73D31">
              <w:t xml:space="preserve"> </w:t>
            </w:r>
            <w:r w:rsidR="00A46901" w:rsidRPr="00A73D31">
              <w:t>in</w:t>
            </w:r>
            <w:r w:rsidR="00B6739D" w:rsidRPr="00A73D31">
              <w:t xml:space="preserve"> that period.</w:t>
            </w:r>
          </w:p>
          <w:p w:rsidR="00617D21" w:rsidRDefault="00617D21" w:rsidP="00617D21">
            <w:pPr>
              <w:pStyle w:val="Box"/>
            </w:pPr>
            <w:r w:rsidRPr="00617D21">
              <w:t>Written asthma action plans have been included in clinical guidelines for asthma management for nearly 20 years. They enable people with asthma to recognise and respond quickly and appropriately to deteriorating asthma symptoms, and thereby preventing or reducing the severity of acute asthma episodes (ACAM 2008)</w:t>
            </w:r>
            <w:r>
              <w:t xml:space="preserve">. </w:t>
            </w:r>
          </w:p>
          <w:p w:rsidR="00D272CD" w:rsidRDefault="00837A2B" w:rsidP="00D74744">
            <w:pPr>
              <w:pStyle w:val="Continued"/>
            </w:pPr>
            <w:r w:rsidRPr="00D272CD">
              <w:t xml:space="preserve"> </w:t>
            </w:r>
            <w:r w:rsidR="00D272CD" w:rsidRPr="00D272CD">
              <w:t>(Continued next page)</w:t>
            </w:r>
          </w:p>
        </w:tc>
      </w:tr>
      <w:tr w:rsidR="00C90EA0">
        <w:trPr>
          <w:cantSplit/>
        </w:trPr>
        <w:tc>
          <w:tcPr>
            <w:tcW w:w="8771" w:type="dxa"/>
            <w:tcBorders>
              <w:top w:val="nil"/>
              <w:left w:val="single" w:sz="6" w:space="0" w:color="auto"/>
              <w:bottom w:val="single" w:sz="6" w:space="0" w:color="auto"/>
              <w:right w:val="single" w:sz="6" w:space="0" w:color="auto"/>
            </w:tcBorders>
          </w:tcPr>
          <w:p w:rsidR="00C90EA0" w:rsidRDefault="00C90EA0">
            <w:pPr>
              <w:pStyle w:val="Box"/>
              <w:spacing w:before="0" w:line="120" w:lineRule="exact"/>
            </w:pPr>
          </w:p>
        </w:tc>
      </w:tr>
      <w:tr w:rsidR="00C90EA0">
        <w:tc>
          <w:tcPr>
            <w:tcW w:w="8771" w:type="dxa"/>
            <w:tcBorders>
              <w:top w:val="nil"/>
              <w:left w:val="nil"/>
              <w:bottom w:val="nil"/>
              <w:right w:val="nil"/>
            </w:tcBorders>
          </w:tcPr>
          <w:p w:rsidR="00C90EA0" w:rsidRDefault="00C90EA0">
            <w:pPr>
              <w:pStyle w:val="Box"/>
              <w:keepNext w:val="0"/>
              <w:spacing w:before="60" w:after="60" w:line="80" w:lineRule="exact"/>
              <w:rPr>
                <w:b/>
                <w:color w:val="FF00FF"/>
                <w:sz w:val="14"/>
              </w:rPr>
            </w:pPr>
          </w:p>
        </w:tc>
      </w:tr>
    </w:tbl>
    <w:p w:rsidR="00837A2B" w:rsidRDefault="00837A2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37A2B" w:rsidTr="001075C8">
        <w:tc>
          <w:tcPr>
            <w:tcW w:w="8771" w:type="dxa"/>
            <w:tcBorders>
              <w:top w:val="single" w:sz="6" w:space="0" w:color="auto"/>
              <w:bottom w:val="nil"/>
            </w:tcBorders>
          </w:tcPr>
          <w:p w:rsidR="00837A2B" w:rsidRDefault="00837A2B" w:rsidP="00837A2B">
            <w:pPr>
              <w:pStyle w:val="BoxTitle"/>
            </w:pPr>
            <w:smartTag w:uri="urn:schemas-microsoft-com:office:smarttags" w:element="Street">
              <w:r>
                <w:rPr>
                  <w:b w:val="0"/>
                </w:rPr>
                <w:t>Box</w:t>
              </w:r>
            </w:smartTag>
            <w:r>
              <w:rPr>
                <w:b w:val="0"/>
              </w:rPr>
              <w:t xml:space="preserve"> </w:t>
            </w:r>
            <w:r w:rsidRPr="00B3317A">
              <w:rPr>
                <w:b w:val="0"/>
              </w:rPr>
              <w:t>11.13</w:t>
            </w:r>
            <w:r>
              <w:tab/>
            </w:r>
            <w:r w:rsidRPr="002006A3">
              <w:rPr>
                <w:sz w:val="18"/>
                <w:szCs w:val="18"/>
              </w:rPr>
              <w:t>(Continued)</w:t>
            </w:r>
          </w:p>
        </w:tc>
      </w:tr>
      <w:tr w:rsidR="00837A2B" w:rsidTr="001075C8">
        <w:trPr>
          <w:cantSplit/>
        </w:trPr>
        <w:tc>
          <w:tcPr>
            <w:tcW w:w="8771" w:type="dxa"/>
            <w:tcBorders>
              <w:top w:val="nil"/>
              <w:left w:val="single" w:sz="6" w:space="0" w:color="auto"/>
              <w:bottom w:val="nil"/>
              <w:right w:val="single" w:sz="6" w:space="0" w:color="auto"/>
            </w:tcBorders>
          </w:tcPr>
          <w:p w:rsidR="001E1532" w:rsidRDefault="00837A2B" w:rsidP="00837A2B">
            <w:pPr>
              <w:pStyle w:val="Box"/>
            </w:pPr>
            <w:r w:rsidRPr="00617D21">
              <w:t xml:space="preserve">A high or increasing proportion of GPs who use chronic disease management items can indicate an improvement in the continuity of care provided to people with complex, multidisciplinary care needs. Chronic disease management items in the MBS allow for the preparation and regular review of care plans for individuals with complex, multidisciplinary care needs due to chronic or terminal medical conditions, through GP managed or multidisciplinary team based care. Individual compliance with management measures is also a critical determinant of the occurrence and severity of complications for patients with chronic disease. </w:t>
            </w:r>
          </w:p>
          <w:p w:rsidR="00837A2B" w:rsidRDefault="00837A2B" w:rsidP="00837A2B">
            <w:pPr>
              <w:pStyle w:val="Box"/>
            </w:pPr>
            <w:r>
              <w:t>Data reported against this indicator are:</w:t>
            </w:r>
          </w:p>
          <w:p w:rsidR="00837A2B" w:rsidRDefault="00837A2B" w:rsidP="00837A2B">
            <w:pPr>
              <w:pStyle w:val="BoxListBullet"/>
            </w:pPr>
            <w:r>
              <w:t>comparable (subject to caveats) across jurisdictions and over time</w:t>
            </w:r>
          </w:p>
          <w:p w:rsidR="00837A2B" w:rsidRDefault="00837A2B" w:rsidP="00837A2B">
            <w:pPr>
              <w:pStyle w:val="BoxListBullet"/>
            </w:pPr>
            <w:r>
              <w:t xml:space="preserve">complete (subject to caveats) for the current reporting period. All required </w:t>
            </w:r>
            <w:r>
              <w:tab/>
              <w:t>2012</w:t>
            </w:r>
            <w:r>
              <w:noBreakHyphen/>
              <w:t>13 data are available for all jurisdictions for m</w:t>
            </w:r>
            <w:r w:rsidRPr="00837A2B">
              <w:t>anagement of diabetes — annual cycle of care</w:t>
            </w:r>
            <w:r w:rsidR="001E1532">
              <w:t xml:space="preserve"> </w:t>
            </w:r>
            <w:r>
              <w:t>and c</w:t>
            </w:r>
            <w:r w:rsidRPr="00837A2B">
              <w:t>are planning/case conferencing</w:t>
            </w:r>
            <w:r>
              <w:t>. All required 2011-12 data are available for all jurisdictions for m</w:t>
            </w:r>
            <w:r w:rsidRPr="00837A2B">
              <w:t>anagement of diabetes —</w:t>
            </w:r>
            <w:r>
              <w:t xml:space="preserve"> HbA1c and m</w:t>
            </w:r>
            <w:r w:rsidRPr="00837A2B">
              <w:t>anagement of asthma</w:t>
            </w:r>
            <w:r>
              <w:t>.</w:t>
            </w:r>
          </w:p>
          <w:p w:rsidR="001E1532" w:rsidRDefault="00355023" w:rsidP="001E1532">
            <w:pPr>
              <w:pStyle w:val="Box"/>
            </w:pPr>
            <w:r w:rsidRPr="0027351B">
              <w:t xml:space="preserve">Data quality information </w:t>
            </w:r>
            <w:r w:rsidR="001E1532" w:rsidRPr="00617D21">
              <w:t xml:space="preserve">for this </w:t>
            </w:r>
            <w:r w:rsidR="001E1532">
              <w:t>indicator</w:t>
            </w:r>
            <w:r w:rsidR="001E1532" w:rsidRPr="00617D21">
              <w:t xml:space="preserve"> is at </w:t>
            </w:r>
            <w:r w:rsidR="001E1532" w:rsidRPr="0039550A">
              <w:t>www.pc.gov.au/gsp/reports/rogs/2014</w:t>
            </w:r>
            <w:r w:rsidR="001E1532">
              <w:t xml:space="preserve">, except for the measure </w:t>
            </w:r>
            <w:r w:rsidR="001E1532" w:rsidRPr="00617D21">
              <w:t>proportion of GPs who use chronic disease management items</w:t>
            </w:r>
            <w:r w:rsidR="001E1532">
              <w:t>, which is under development</w:t>
            </w:r>
            <w:r w:rsidR="001E1532" w:rsidRPr="00617D21">
              <w:t>.</w:t>
            </w:r>
          </w:p>
        </w:tc>
      </w:tr>
      <w:tr w:rsidR="00837A2B" w:rsidTr="001075C8">
        <w:trPr>
          <w:cantSplit/>
        </w:trPr>
        <w:tc>
          <w:tcPr>
            <w:tcW w:w="8771" w:type="dxa"/>
            <w:tcBorders>
              <w:top w:val="nil"/>
              <w:left w:val="single" w:sz="6" w:space="0" w:color="auto"/>
              <w:bottom w:val="single" w:sz="6" w:space="0" w:color="auto"/>
              <w:right w:val="single" w:sz="6" w:space="0" w:color="auto"/>
            </w:tcBorders>
          </w:tcPr>
          <w:p w:rsidR="00837A2B" w:rsidRDefault="00837A2B" w:rsidP="001075C8">
            <w:pPr>
              <w:pStyle w:val="Box"/>
              <w:spacing w:before="0" w:line="120" w:lineRule="exact"/>
            </w:pPr>
          </w:p>
        </w:tc>
      </w:tr>
      <w:tr w:rsidR="00837A2B" w:rsidTr="001075C8">
        <w:tc>
          <w:tcPr>
            <w:tcW w:w="8771" w:type="dxa"/>
            <w:tcBorders>
              <w:top w:val="nil"/>
              <w:left w:val="nil"/>
              <w:bottom w:val="nil"/>
              <w:right w:val="nil"/>
            </w:tcBorders>
          </w:tcPr>
          <w:p w:rsidR="00837A2B" w:rsidRDefault="00837A2B" w:rsidP="001075C8">
            <w:pPr>
              <w:pStyle w:val="Box"/>
              <w:keepNext w:val="0"/>
              <w:spacing w:before="60" w:after="60" w:line="80" w:lineRule="exact"/>
              <w:rPr>
                <w:b/>
                <w:color w:val="FF00FF"/>
                <w:sz w:val="14"/>
              </w:rPr>
            </w:pPr>
          </w:p>
        </w:tc>
      </w:tr>
    </w:tbl>
    <w:p w:rsidR="00077B7C" w:rsidRPr="004E7BE9" w:rsidRDefault="00077B7C" w:rsidP="005F5036">
      <w:pPr>
        <w:pStyle w:val="BodyText"/>
      </w:pPr>
      <w:r>
        <w:t>Reporting against this indicator has improved as data are for the first time available for reporting against t</w:t>
      </w:r>
      <w:r w:rsidRPr="004C6697">
        <w:t xml:space="preserve">he </w:t>
      </w:r>
      <w:r>
        <w:t xml:space="preserve">measure </w:t>
      </w:r>
      <w:r w:rsidRPr="004C6697">
        <w:t>proportion of people with diabetes with HbA1c (glycosolate</w:t>
      </w:r>
      <w:r>
        <w:t>d</w:t>
      </w:r>
      <w:r w:rsidR="00895509">
        <w:t xml:space="preserve"> haemoglobin) below 7 per cent.</w:t>
      </w:r>
    </w:p>
    <w:p w:rsidR="003473F0" w:rsidRDefault="00554192" w:rsidP="005F5036">
      <w:pPr>
        <w:pStyle w:val="BodyText"/>
      </w:pPr>
      <w:r>
        <w:t xml:space="preserve">Chronic diseases are generally long term and often progressive conditions, </w:t>
      </w:r>
      <w:r w:rsidR="00160899">
        <w:t>for example,</w:t>
      </w:r>
      <w:r>
        <w:t xml:space="preserve"> diabetes and asthma. </w:t>
      </w:r>
      <w:r w:rsidR="00FC0F00">
        <w:t>Chronic disease</w:t>
      </w:r>
      <w:r w:rsidR="005813C7">
        <w:t xml:space="preserve"> </w:t>
      </w:r>
      <w:r w:rsidR="005813C7" w:rsidRPr="005813C7">
        <w:t>is estimated to be responsible for more than 80 per cent of the burden of disease and injury suffered by Australians</w:t>
      </w:r>
      <w:r>
        <w:t xml:space="preserve"> </w:t>
      </w:r>
      <w:r w:rsidR="005F5036">
        <w:t>(Australian Government 2010)</w:t>
      </w:r>
      <w:r w:rsidR="003473F0">
        <w:t>.</w:t>
      </w:r>
    </w:p>
    <w:p w:rsidR="00554192" w:rsidRDefault="000F039A" w:rsidP="005F5036">
      <w:pPr>
        <w:pStyle w:val="BodyText"/>
      </w:pPr>
      <w:r>
        <w:t>A</w:t>
      </w:r>
      <w:r w:rsidR="005813C7">
        <w:t xml:space="preserve">ppropriate and effective management in the primary and community health sector can delay </w:t>
      </w:r>
      <w:r>
        <w:t xml:space="preserve">the </w:t>
      </w:r>
      <w:r w:rsidR="005813C7">
        <w:t xml:space="preserve">progression </w:t>
      </w:r>
      <w:r>
        <w:t>of many chronic diseases as well as</w:t>
      </w:r>
      <w:r w:rsidR="005813C7">
        <w:t xml:space="preserve"> prevent or </w:t>
      </w:r>
      <w:r w:rsidR="00F5502A">
        <w:br/>
      </w:r>
      <w:r w:rsidR="00554192" w:rsidRPr="00EE62D0">
        <w:t xml:space="preserve">minimise </w:t>
      </w:r>
      <w:r w:rsidR="005813C7">
        <w:t xml:space="preserve">the severity of </w:t>
      </w:r>
      <w:r w:rsidR="005813C7" w:rsidRPr="00284091">
        <w:t>complications</w:t>
      </w:r>
      <w:r w:rsidR="0088243E">
        <w:t xml:space="preserve"> (AIHW 2008c</w:t>
      </w:r>
      <w:r w:rsidR="00F5502A" w:rsidRPr="00284091">
        <w:t>, NHPAC 2006</w:t>
      </w:r>
      <w:r w:rsidR="00554192" w:rsidRPr="00284091">
        <w:t>).</w:t>
      </w:r>
      <w:r w:rsidR="000A06C3">
        <w:t xml:space="preserve"> </w:t>
      </w:r>
      <w:r w:rsidR="00257AF5">
        <w:t xml:space="preserve">Effective management requires the provision of timely, high quality healthcare to meet individual needs and provide continuity of care (Australian Government 2010). Effective management </w:t>
      </w:r>
      <w:r w:rsidR="000A06C3">
        <w:t xml:space="preserve">can have profound effects on individuals and on the broader health system. Individuals benefit from improved health and wellbeing, and the capacity for greater economic and social participation. </w:t>
      </w:r>
      <w:r w:rsidR="00B670B6">
        <w:t>R</w:t>
      </w:r>
      <w:r w:rsidR="003473F0">
        <w:t>educ</w:t>
      </w:r>
      <w:r w:rsidR="00B670B6">
        <w:t>ed</w:t>
      </w:r>
      <w:r w:rsidR="003473F0">
        <w:t xml:space="preserve"> </w:t>
      </w:r>
      <w:r w:rsidR="000A06C3">
        <w:t xml:space="preserve">demand for treatment in the acute health sector </w:t>
      </w:r>
      <w:r w:rsidR="00160899">
        <w:t>can</w:t>
      </w:r>
      <w:r w:rsidR="000A06C3">
        <w:t xml:space="preserve"> reduc</w:t>
      </w:r>
      <w:r w:rsidR="00160899">
        <w:t>e</w:t>
      </w:r>
      <w:r w:rsidR="000A06C3">
        <w:t xml:space="preserve"> the burden on the broader health system.</w:t>
      </w:r>
    </w:p>
    <w:p w:rsidR="006709FA" w:rsidRDefault="0011550A" w:rsidP="00AD79B2">
      <w:pPr>
        <w:pStyle w:val="BodyText"/>
      </w:pPr>
      <w:r w:rsidRPr="001D1C7B">
        <w:lastRenderedPageBreak/>
        <w:t>Patient compliance with management measures is also a critical determinant of the occurrenc</w:t>
      </w:r>
      <w:r>
        <w:t>e and severity of complications.</w:t>
      </w:r>
    </w:p>
    <w:p w:rsidR="0011550A" w:rsidRDefault="00F3615B" w:rsidP="0011550A">
      <w:pPr>
        <w:pStyle w:val="Heading5"/>
      </w:pPr>
      <w:r>
        <w:t>C</w:t>
      </w:r>
      <w:r w:rsidR="0011550A">
        <w:t>hronic disease</w:t>
      </w:r>
      <w:r>
        <w:t xml:space="preserve"> management </w:t>
      </w:r>
      <w:r w:rsidR="0011550A">
        <w:t>— diabetes</w:t>
      </w:r>
    </w:p>
    <w:p w:rsidR="00245064" w:rsidRPr="00944E91" w:rsidRDefault="009B3775" w:rsidP="00944E91">
      <w:pPr>
        <w:pStyle w:val="BodyText"/>
      </w:pPr>
      <w:r w:rsidRPr="00EE62D0">
        <w:t>Diabetes mellitus</w:t>
      </w:r>
      <w:r w:rsidR="008C14C7">
        <w:t xml:space="preserve">, a chronic disease of </w:t>
      </w:r>
      <w:r w:rsidR="008C14C7" w:rsidRPr="00EE62D0">
        <w:t>increasing prevalence</w:t>
      </w:r>
      <w:r w:rsidR="008C14C7">
        <w:t>,</w:t>
      </w:r>
      <w:r w:rsidRPr="00EE62D0">
        <w:t xml:space="preserve"> </w:t>
      </w:r>
      <w:r w:rsidR="008C14C7">
        <w:t xml:space="preserve">is an identified National Health Priority Area for </w:t>
      </w:r>
      <w:smartTag w:uri="urn:schemas-microsoft-com:office:smarttags" w:element="place">
        <w:smartTag w:uri="urn:schemas-microsoft-com:office:smarttags" w:element="country-region">
          <w:r w:rsidR="008C14C7">
            <w:t>Australia</w:t>
          </w:r>
        </w:smartTag>
      </w:smartTag>
      <w:r w:rsidR="008C14C7">
        <w:t xml:space="preserve">. </w:t>
      </w:r>
      <w:r w:rsidRPr="00EE62D0">
        <w:t>People with diabetes</w:t>
      </w:r>
      <w:r w:rsidR="00DD5291">
        <w:rPr>
          <w:rStyle w:val="FootnoteReference"/>
        </w:rPr>
        <w:t xml:space="preserve"> </w:t>
      </w:r>
      <w:r w:rsidR="00DD5291">
        <w:t>(‘diabetes’ ref</w:t>
      </w:r>
      <w:r w:rsidR="005A67F7">
        <w:t>ers to diabetes mellitus; this R</w:t>
      </w:r>
      <w:r w:rsidR="00DD5291">
        <w:t>eport does not consider diabetes insipidus)</w:t>
      </w:r>
      <w:r w:rsidRPr="00EE62D0">
        <w:t xml:space="preserve"> are at high risk of serious complications such as cardiovascular, eye and kidney disease. </w:t>
      </w:r>
      <w:r w:rsidR="007E6111">
        <w:br/>
      </w:r>
      <w:r w:rsidR="001D1C7B">
        <w:t>Type 2 diabetes is the most common form of diabetes and is largely preventable.</w:t>
      </w:r>
    </w:p>
    <w:p w:rsidR="00D84F00" w:rsidRPr="00944E91" w:rsidRDefault="009B3775" w:rsidP="00944E91">
      <w:pPr>
        <w:pStyle w:val="BodyText"/>
      </w:pPr>
      <w:r w:rsidRPr="00EE62D0">
        <w:t xml:space="preserve">Appropriate management in the primary and community health sector can prevent </w:t>
      </w:r>
      <w:r w:rsidRPr="00284091">
        <w:t xml:space="preserve">or minimise the severity of </w:t>
      </w:r>
      <w:r w:rsidR="001D1C7B" w:rsidRPr="00284091">
        <w:t xml:space="preserve">diabetes </w:t>
      </w:r>
      <w:r w:rsidRPr="00284091">
        <w:t>complications</w:t>
      </w:r>
      <w:r w:rsidR="00EA4368" w:rsidRPr="00284091">
        <w:t xml:space="preserve"> (AIHW </w:t>
      </w:r>
      <w:r w:rsidR="0088243E">
        <w:t>2008c</w:t>
      </w:r>
      <w:r w:rsidRPr="00284091">
        <w:t>).</w:t>
      </w:r>
      <w:r w:rsidR="008C14C7" w:rsidRPr="00284091">
        <w:t xml:space="preserve"> </w:t>
      </w:r>
      <w:r w:rsidR="00D84F00" w:rsidRPr="00284091">
        <w:t>Patient compliance with management measures is also a critical determinant of the occurrenc</w:t>
      </w:r>
      <w:r w:rsidR="00D44A1C" w:rsidRPr="00284091">
        <w:t>e and severity of complications.</w:t>
      </w:r>
    </w:p>
    <w:p w:rsidR="00D41395" w:rsidRPr="00E31EAF" w:rsidRDefault="00D41395" w:rsidP="00E31EAF">
      <w:pPr>
        <w:pStyle w:val="BodyText"/>
        <w:rPr>
          <w:rStyle w:val="DraftingNote"/>
          <w:b w:val="0"/>
          <w:color w:val="auto"/>
          <w:sz w:val="26"/>
          <w:u w:val="none"/>
        </w:rPr>
      </w:pPr>
      <w:r w:rsidRPr="00284091">
        <w:t>Since 2001, rebates have been available to GPs under the MBS on completion of a</w:t>
      </w:r>
      <w:r w:rsidR="00F65C9C" w:rsidRPr="00284091">
        <w:t>n</w:t>
      </w:r>
      <w:r w:rsidRPr="00284091">
        <w:t xml:space="preserve"> annual cycle of care for diabetes. The ‘required annual cycle of care’ is </w:t>
      </w:r>
      <w:r w:rsidR="00852258" w:rsidRPr="00284091">
        <w:t>generally</w:t>
      </w:r>
      <w:r w:rsidRPr="00284091">
        <w:t xml:space="preserve"> based on the RACGP’s clinical guidelines for the management of Type 2 diabetes in general </w:t>
      </w:r>
      <w:r w:rsidR="00F12B19" w:rsidRPr="00284091">
        <w:t xml:space="preserve">practice (but requires less frequent testing of glycosolated haemoglobin). </w:t>
      </w:r>
      <w:r w:rsidR="00661BD1" w:rsidRPr="00284091">
        <w:t xml:space="preserve">Clinical guidelines represent the minimum required level of care. </w:t>
      </w:r>
      <w:r w:rsidR="004C067C" w:rsidRPr="00284091">
        <w:t xml:space="preserve">The need for a standard definition of ‘annual cycle of </w:t>
      </w:r>
      <w:r w:rsidR="00863CF0" w:rsidRPr="00284091">
        <w:t>care’ has been identified (AIHW </w:t>
      </w:r>
      <w:r w:rsidR="004C067C" w:rsidRPr="00284091">
        <w:t>2007).</w:t>
      </w:r>
    </w:p>
    <w:p w:rsidR="00E32188" w:rsidRPr="00E31EAF" w:rsidRDefault="0046677D" w:rsidP="00E31EAF">
      <w:pPr>
        <w:pStyle w:val="BodyText"/>
        <w:rPr>
          <w:rStyle w:val="DraftingNote"/>
          <w:b w:val="0"/>
          <w:color w:val="auto"/>
          <w:sz w:val="26"/>
          <w:u w:val="none"/>
        </w:rPr>
      </w:pPr>
      <w:r w:rsidRPr="009C1700">
        <w:t>Nation</w:t>
      </w:r>
      <w:r w:rsidR="00941DCE" w:rsidRPr="009C1700">
        <w:t>ally</w:t>
      </w:r>
      <w:r w:rsidRPr="009C1700">
        <w:t xml:space="preserve">, </w:t>
      </w:r>
      <w:r w:rsidR="009C1700" w:rsidRPr="00331E76">
        <w:t>25.0</w:t>
      </w:r>
      <w:r w:rsidR="00EA4368" w:rsidRPr="00331E76">
        <w:t> </w:t>
      </w:r>
      <w:r w:rsidR="00EB4E57" w:rsidRPr="00331E76">
        <w:t>per</w:t>
      </w:r>
      <w:r w:rsidR="00EA4368" w:rsidRPr="00331E76">
        <w:t> </w:t>
      </w:r>
      <w:r w:rsidR="00EB4E57" w:rsidRPr="00331E76">
        <w:t>cent o</w:t>
      </w:r>
      <w:r w:rsidR="00EB4E57" w:rsidRPr="008E5591">
        <w:t xml:space="preserve">f people with diabetes received the annual cycle of care </w:t>
      </w:r>
      <w:r w:rsidR="00EB4E57" w:rsidRPr="00331E76">
        <w:t>in</w:t>
      </w:r>
      <w:r w:rsidR="009C1700" w:rsidRPr="00331E76">
        <w:t xml:space="preserve"> 2012-13</w:t>
      </w:r>
      <w:r w:rsidR="00E9162E" w:rsidRPr="00331E76">
        <w:t xml:space="preserve"> </w:t>
      </w:r>
      <w:r w:rsidR="001404B7" w:rsidRPr="00331E76">
        <w:t>(figure</w:t>
      </w:r>
      <w:r w:rsidR="001404B7" w:rsidRPr="00284091">
        <w:t> 11.</w:t>
      </w:r>
      <w:r w:rsidR="009A1232" w:rsidRPr="00284091">
        <w:t>2</w:t>
      </w:r>
      <w:r w:rsidR="003A0E8A">
        <w:t>7</w:t>
      </w:r>
      <w:r w:rsidR="001404B7" w:rsidRPr="00284091">
        <w:t>).</w:t>
      </w:r>
      <w:r w:rsidR="00AE37F9" w:rsidRPr="00284091">
        <w:t xml:space="preserve"> Data </w:t>
      </w:r>
      <w:r w:rsidR="00A010E0">
        <w:t xml:space="preserve">for historical years </w:t>
      </w:r>
      <w:r w:rsidR="00AE37F9" w:rsidRPr="00284091">
        <w:t>are reported by geographic</w:t>
      </w:r>
      <w:r w:rsidR="00670F03" w:rsidRPr="00284091">
        <w:t>al</w:t>
      </w:r>
      <w:r w:rsidR="00AE37F9" w:rsidRPr="00284091">
        <w:t xml:space="preserve"> </w:t>
      </w:r>
      <w:r w:rsidR="00670F03" w:rsidRPr="00284091">
        <w:t>region</w:t>
      </w:r>
      <w:r w:rsidR="00AE37F9" w:rsidRPr="00284091">
        <w:t xml:space="preserve"> in table</w:t>
      </w:r>
      <w:r w:rsidR="00682AA0" w:rsidRPr="00284091">
        <w:t> </w:t>
      </w:r>
      <w:r w:rsidR="00C86AE5">
        <w:t>11A.5</w:t>
      </w:r>
      <w:r w:rsidR="009C7361">
        <w:t>6</w:t>
      </w:r>
      <w:r w:rsidR="009C1700">
        <w:t>.</w:t>
      </w:r>
    </w:p>
    <w:p w:rsidR="00ED6CF2" w:rsidRPr="00CE78E6" w:rsidRDefault="00ED6CF2" w:rsidP="00A73D31">
      <w:pPr>
        <w:pStyle w:val="FigureTitle"/>
        <w:ind w:left="1560" w:hanging="1560"/>
        <w:rPr>
          <w:rStyle w:val="NoteLabel"/>
        </w:rPr>
      </w:pPr>
      <w:r>
        <w:rPr>
          <w:b w:val="0"/>
        </w:rPr>
        <w:lastRenderedPageBreak/>
        <w:t xml:space="preserve">Figure </w:t>
      </w:r>
      <w:bookmarkStart w:id="40" w:name="OLE_LINK40"/>
      <w:r w:rsidR="00EC42DB">
        <w:rPr>
          <w:b w:val="0"/>
        </w:rPr>
        <w:t>11.</w:t>
      </w:r>
      <w:r w:rsidR="00C44281">
        <w:rPr>
          <w:b w:val="0"/>
          <w:noProof/>
        </w:rPr>
        <w:t>2</w:t>
      </w:r>
      <w:bookmarkEnd w:id="40"/>
      <w:r w:rsidR="003A0E8A">
        <w:rPr>
          <w:b w:val="0"/>
          <w:noProof/>
        </w:rPr>
        <w:t>7</w:t>
      </w:r>
      <w:r>
        <w:tab/>
        <w:t>P</w:t>
      </w:r>
      <w:r w:rsidRPr="00ED6CF2">
        <w:t>eople with diabetes mellitus who have received an annual cycle of care within general practic</w:t>
      </w:r>
      <w:r w:rsidRPr="00D66B6A">
        <w:t>e</w:t>
      </w:r>
      <w:r w:rsidR="003C274E">
        <w:t xml:space="preserve">, </w:t>
      </w:r>
      <w:r w:rsidR="003C274E" w:rsidRPr="00A73D31">
        <w:t>201</w:t>
      </w:r>
      <w:r w:rsidR="00C3727D">
        <w:t>2</w:t>
      </w:r>
      <w:r w:rsidR="003C274E" w:rsidRPr="00A73D31">
        <w:t>-1</w:t>
      </w:r>
      <w:r w:rsidR="00C3727D">
        <w:t>3</w:t>
      </w:r>
      <w:r w:rsidR="00CE78E6" w:rsidRPr="00A73D31">
        <w:rPr>
          <w:rStyle w:val="NoteLabel"/>
          <w:b/>
        </w:rPr>
        <w:t>a</w:t>
      </w:r>
      <w:r w:rsidR="00780B78">
        <w:rPr>
          <w:rStyle w:val="NoteLabel"/>
          <w:b/>
        </w:rPr>
        <w:t>, b</w:t>
      </w:r>
    </w:p>
    <w:tbl>
      <w:tblPr>
        <w:tblW w:w="8777" w:type="dxa"/>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ED6CF2" w:rsidTr="0069409C">
        <w:tc>
          <w:tcPr>
            <w:tcW w:w="8777" w:type="dxa"/>
            <w:tcBorders>
              <w:top w:val="single" w:sz="4" w:space="0" w:color="auto"/>
              <w:left w:val="nil"/>
              <w:bottom w:val="single" w:sz="4" w:space="0" w:color="auto"/>
              <w:right w:val="nil"/>
            </w:tcBorders>
          </w:tcPr>
          <w:p w:rsidR="00ED6CF2" w:rsidRPr="00A02654" w:rsidRDefault="00FF6757" w:rsidP="00AD79B2">
            <w:pPr>
              <w:pStyle w:val="Figure"/>
            </w:pPr>
            <w:r>
              <w:rPr>
                <w:noProof/>
              </w:rPr>
              <w:drawing>
                <wp:inline distT="0" distB="0" distL="0" distR="0">
                  <wp:extent cx="5389880" cy="2700020"/>
                  <wp:effectExtent l="0" t="0" r="1270" b="5080"/>
                  <wp:docPr id="35" name="Picture 35" descr="Figure 11.27 People with diabetes mellitus who have received an annual cycle of care within general practic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89880" cy="2700020"/>
                          </a:xfrm>
                          <a:prstGeom prst="rect">
                            <a:avLst/>
                          </a:prstGeom>
                          <a:noFill/>
                          <a:ln>
                            <a:noFill/>
                          </a:ln>
                        </pic:spPr>
                      </pic:pic>
                    </a:graphicData>
                  </a:graphic>
                </wp:inline>
              </w:drawing>
            </w:r>
          </w:p>
        </w:tc>
      </w:tr>
    </w:tbl>
    <w:p w:rsidR="007C0F58" w:rsidRPr="00944E91" w:rsidRDefault="00ED6CF2" w:rsidP="00331E76">
      <w:pPr>
        <w:pStyle w:val="Note"/>
        <w:keepNext/>
      </w:pPr>
      <w:r w:rsidRPr="00986F3E">
        <w:rPr>
          <w:rStyle w:val="NoteLabel"/>
        </w:rPr>
        <w:t>a</w:t>
      </w:r>
      <w:r w:rsidRPr="00986F3E">
        <w:sym w:font="Symbol" w:char="F020"/>
      </w:r>
      <w:r w:rsidR="000B7A8F" w:rsidRPr="00A73D31">
        <w:t xml:space="preserve">Excludes annual cycles of care provided by </w:t>
      </w:r>
      <w:r w:rsidR="00CE78E6" w:rsidRPr="00A73D31">
        <w:t xml:space="preserve">GPs </w:t>
      </w:r>
      <w:r w:rsidR="000B7A8F" w:rsidRPr="00A73D31">
        <w:t xml:space="preserve">where a standard </w:t>
      </w:r>
      <w:r w:rsidR="00E73099" w:rsidRPr="00A73D31">
        <w:t xml:space="preserve">MBS </w:t>
      </w:r>
      <w:r w:rsidR="00FA0C68" w:rsidRPr="00A73D31">
        <w:t>rebate</w:t>
      </w:r>
      <w:r w:rsidR="000B7A8F" w:rsidRPr="00A73D31">
        <w:t xml:space="preserve"> is claimed. GPs who are not registered for the PIP diabetes incentive are unlikely to claim against the annual cycle of care MBS item.</w:t>
      </w:r>
      <w:r w:rsidR="000A3014" w:rsidRPr="000A3014">
        <w:t xml:space="preserve"> </w:t>
      </w:r>
      <w:r w:rsidR="000A3014" w:rsidRPr="00331E76">
        <w:rPr>
          <w:rStyle w:val="NoteLabel"/>
        </w:rPr>
        <w:t>b</w:t>
      </w:r>
      <w:r w:rsidR="000A3014" w:rsidRPr="00331E76">
        <w:sym w:font="Symbol" w:char="F020"/>
      </w:r>
      <w:r w:rsidR="00C3727D" w:rsidRPr="00331E76">
        <w:t>Denominator data are derived from self-reported estimates of diabetes prevalence.</w:t>
      </w:r>
      <w:r w:rsidR="00C3727D">
        <w:t xml:space="preserve"> </w:t>
      </w:r>
      <w:r w:rsidR="00C3727D">
        <w:rPr>
          <w:rStyle w:val="NoteLabel"/>
        </w:rPr>
        <w:t>c</w:t>
      </w:r>
      <w:r w:rsidR="00C3727D" w:rsidRPr="00986F3E">
        <w:sym w:font="Symbol" w:char="F020"/>
      </w:r>
      <w:r w:rsidR="000A3014" w:rsidRPr="006C74C6">
        <w:t>Error bars represent the 95 per cent confidence interval associated with each point estimate.</w:t>
      </w:r>
    </w:p>
    <w:p w:rsidR="00751289" w:rsidRPr="006C74C6" w:rsidRDefault="00CE78E6" w:rsidP="00331E76">
      <w:pPr>
        <w:pStyle w:val="Source"/>
        <w:rPr>
          <w:shd w:val="clear" w:color="auto" w:fill="00FFFF"/>
        </w:rPr>
      </w:pPr>
      <w:r>
        <w:rPr>
          <w:i/>
        </w:rPr>
        <w:t>S</w:t>
      </w:r>
      <w:r w:rsidR="00ED6CF2">
        <w:rPr>
          <w:i/>
        </w:rPr>
        <w:t>ource</w:t>
      </w:r>
      <w:r w:rsidR="00ED6CF2" w:rsidRPr="00CE78E6">
        <w:t>:</w:t>
      </w:r>
      <w:r>
        <w:t xml:space="preserve"> </w:t>
      </w:r>
      <w:r w:rsidR="00B513D7">
        <w:t>Department of Health</w:t>
      </w:r>
      <w:r w:rsidR="00D205A3" w:rsidRPr="00D205A3">
        <w:t xml:space="preserve"> (</w:t>
      </w:r>
      <w:r w:rsidR="008D7850">
        <w:t>unpublished</w:t>
      </w:r>
      <w:r w:rsidR="00D205A3" w:rsidRPr="00D205A3">
        <w:t>)</w:t>
      </w:r>
      <w:r w:rsidR="008D7850">
        <w:t xml:space="preserve"> MBS </w:t>
      </w:r>
      <w:r w:rsidR="00524F26">
        <w:t>Statistics</w:t>
      </w:r>
      <w:r w:rsidR="00C3727D" w:rsidRPr="00C3727D">
        <w:t xml:space="preserve"> </w:t>
      </w:r>
      <w:r w:rsidR="00C3727D" w:rsidRPr="00331E76">
        <w:t>and DVA data collections</w:t>
      </w:r>
      <w:r w:rsidR="008D7850" w:rsidRPr="00331E76">
        <w:t>;</w:t>
      </w:r>
      <w:r w:rsidR="00A010E0" w:rsidRPr="00A010E0">
        <w:t xml:space="preserve"> </w:t>
      </w:r>
      <w:r w:rsidR="00A010E0" w:rsidRPr="00F344BE">
        <w:t xml:space="preserve">ABS </w:t>
      </w:r>
      <w:r w:rsidR="00F344BE" w:rsidRPr="00F344BE">
        <w:t>(</w:t>
      </w:r>
      <w:r w:rsidR="003C274E">
        <w:t>unpublished</w:t>
      </w:r>
      <w:r w:rsidR="00F344BE" w:rsidRPr="00F344BE">
        <w:t>)</w:t>
      </w:r>
      <w:r w:rsidR="00F344BE">
        <w:rPr>
          <w:i/>
        </w:rPr>
        <w:t xml:space="preserve"> </w:t>
      </w:r>
      <w:r w:rsidR="00A010E0" w:rsidRPr="00A010E0">
        <w:rPr>
          <w:i/>
        </w:rPr>
        <w:t>Australian Health Survey</w:t>
      </w:r>
      <w:r w:rsidR="00796046">
        <w:rPr>
          <w:i/>
        </w:rPr>
        <w:t xml:space="preserve"> </w:t>
      </w:r>
      <w:r w:rsidR="003C274E">
        <w:rPr>
          <w:i/>
        </w:rPr>
        <w:t>2011</w:t>
      </w:r>
      <w:r w:rsidR="003C274E">
        <w:rPr>
          <w:rFonts w:cs="Arial"/>
          <w:i/>
        </w:rPr>
        <w:t>–</w:t>
      </w:r>
      <w:r w:rsidR="003C274E">
        <w:rPr>
          <w:i/>
        </w:rPr>
        <w:t>13</w:t>
      </w:r>
      <w:r w:rsidR="00634429">
        <w:t xml:space="preserve"> </w:t>
      </w:r>
      <w:r w:rsidR="00634429" w:rsidRPr="00634429">
        <w:t xml:space="preserve">(National Health Survey (NHS) </w:t>
      </w:r>
      <w:r w:rsidR="003C274E">
        <w:t>component 2011-12)</w:t>
      </w:r>
      <w:r w:rsidR="00F344BE">
        <w:t xml:space="preserve">, Cat. no. </w:t>
      </w:r>
      <w:r w:rsidR="003C274E">
        <w:t>4364.0</w:t>
      </w:r>
      <w:r w:rsidR="00634429">
        <w:t>; table </w:t>
      </w:r>
      <w:r w:rsidR="00C86AE5">
        <w:t>11A.5</w:t>
      </w:r>
      <w:r w:rsidR="009C7361">
        <w:t>5</w:t>
      </w:r>
      <w:r w:rsidR="008D7850" w:rsidRPr="006C74C6">
        <w:t>.</w:t>
      </w:r>
    </w:p>
    <w:p w:rsidR="00F27349" w:rsidRDefault="00077B7C" w:rsidP="00A73D31">
      <w:pPr>
        <w:pStyle w:val="BodyText"/>
        <w:rPr>
          <w:shd w:val="clear" w:color="auto" w:fill="CCC0D9" w:themeFill="accent4" w:themeFillTint="66"/>
        </w:rPr>
      </w:pPr>
      <w:r>
        <w:t xml:space="preserve">HbA1c </w:t>
      </w:r>
      <w:r w:rsidR="00240F14" w:rsidRPr="004C6697">
        <w:t>(glycosolate</w:t>
      </w:r>
      <w:r w:rsidR="00240F14">
        <w:t xml:space="preserve">d haemoglobin) </w:t>
      </w:r>
      <w:r>
        <w:t xml:space="preserve">provides a measure </w:t>
      </w:r>
      <w:r w:rsidR="00240F14">
        <w:t xml:space="preserve">of </w:t>
      </w:r>
      <w:r>
        <w:t xml:space="preserve">the average </w:t>
      </w:r>
      <w:r w:rsidR="00240F14">
        <w:t xml:space="preserve">blood glucose </w:t>
      </w:r>
      <w:r>
        <w:t xml:space="preserve">level </w:t>
      </w:r>
      <w:r w:rsidR="00240F14">
        <w:t>for the</w:t>
      </w:r>
      <w:r>
        <w:t xml:space="preserve"> preceding three months. </w:t>
      </w:r>
      <w:r w:rsidR="00A2332B" w:rsidRPr="00A73D31">
        <w:t>RACGP  guidelines for management of diabetes indicate that HbA1c levels should be tested at least every 6 months. Nationally, 77.5 per cent of people with known diabetes had a HbA1c test in the previous 12 months (table 11A.5</w:t>
      </w:r>
      <w:r w:rsidR="009C7361">
        <w:t>7</w:t>
      </w:r>
      <w:r w:rsidR="00A2332B" w:rsidRPr="00A73D31">
        <w:t>).</w:t>
      </w:r>
      <w:r w:rsidR="00A2332B">
        <w:rPr>
          <w:shd w:val="clear" w:color="auto" w:fill="CCC0D9" w:themeFill="accent4" w:themeFillTint="66"/>
        </w:rPr>
        <w:t xml:space="preserve"> </w:t>
      </w:r>
    </w:p>
    <w:p w:rsidR="00077B7C" w:rsidRDefault="00240F14" w:rsidP="00A73D31">
      <w:pPr>
        <w:pStyle w:val="BodyText"/>
        <w:rPr>
          <w:shd w:val="clear" w:color="auto" w:fill="CCC0D9" w:themeFill="accent4" w:themeFillTint="66"/>
        </w:rPr>
      </w:pPr>
      <w:r>
        <w:t>An outcome of appropriate management of</w:t>
      </w:r>
      <w:r w:rsidR="00077B7C">
        <w:t xml:space="preserve"> diabetes</w:t>
      </w:r>
      <w:r>
        <w:t xml:space="preserve">, by the </w:t>
      </w:r>
      <w:r w:rsidRPr="00EE62D0">
        <w:t xml:space="preserve">primary and community health </w:t>
      </w:r>
      <w:r>
        <w:t>care</w:t>
      </w:r>
      <w:r w:rsidRPr="00240F14">
        <w:t xml:space="preserve"> </w:t>
      </w:r>
      <w:r>
        <w:t xml:space="preserve">sector in conjunction with the patient, is </w:t>
      </w:r>
      <w:r w:rsidR="00A2332B">
        <w:t xml:space="preserve">a </w:t>
      </w:r>
      <w:r w:rsidRPr="00240F14">
        <w:t xml:space="preserve">HbA1c </w:t>
      </w:r>
      <w:r w:rsidR="00A2332B">
        <w:t xml:space="preserve">level at or </w:t>
      </w:r>
      <w:r w:rsidRPr="00240F14">
        <w:t>below 7 per cent</w:t>
      </w:r>
      <w:r w:rsidR="00045E61">
        <w:t>.</w:t>
      </w:r>
      <w:r w:rsidR="00FF2328">
        <w:t xml:space="preserve"> Nati</w:t>
      </w:r>
      <w:r w:rsidR="00DD0695">
        <w:t>o</w:t>
      </w:r>
      <w:r w:rsidR="00FF2328">
        <w:t xml:space="preserve">nally, </w:t>
      </w:r>
      <w:r w:rsidR="00DD0695">
        <w:t xml:space="preserve">50.5 per cent of people with known diabetes had a </w:t>
      </w:r>
      <w:r w:rsidR="00DD0695" w:rsidRPr="00240F14">
        <w:t xml:space="preserve">HbA1c </w:t>
      </w:r>
      <w:r w:rsidR="00DD0695">
        <w:t xml:space="preserve">level at or </w:t>
      </w:r>
      <w:r w:rsidR="00DD0695" w:rsidRPr="00240F14">
        <w:t>below 7 per cent</w:t>
      </w:r>
      <w:r w:rsidR="003A0E8A">
        <w:t xml:space="preserve"> (figure 11.28)</w:t>
      </w:r>
      <w:r w:rsidR="00DD0695">
        <w:t>.</w:t>
      </w:r>
    </w:p>
    <w:p w:rsidR="000530B3" w:rsidRDefault="000530B3" w:rsidP="00A73D31">
      <w:pPr>
        <w:pStyle w:val="FigureTitle"/>
      </w:pPr>
      <w:r>
        <w:rPr>
          <w:b w:val="0"/>
        </w:rPr>
        <w:lastRenderedPageBreak/>
        <w:t>Figure 11.</w:t>
      </w:r>
      <w:r w:rsidR="003A0E8A">
        <w:rPr>
          <w:b w:val="0"/>
        </w:rPr>
        <w:t>28</w:t>
      </w:r>
      <w:r>
        <w:tab/>
      </w:r>
      <w:r w:rsidR="00200A43">
        <w:t>P</w:t>
      </w:r>
      <w:r w:rsidR="00200A43" w:rsidRPr="00200A43">
        <w:t xml:space="preserve">eople with known diabetes </w:t>
      </w:r>
      <w:r w:rsidR="00200A43">
        <w:t>with</w:t>
      </w:r>
      <w:r w:rsidR="00200A43" w:rsidRPr="00200A43">
        <w:t xml:space="preserve"> HbA1c level 7.0 per cent </w:t>
      </w:r>
      <w:r w:rsidR="00200A43">
        <w:t>or less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30B3">
        <w:tc>
          <w:tcPr>
            <w:tcW w:w="8777" w:type="dxa"/>
          </w:tcPr>
          <w:p w:rsidR="000530B3" w:rsidRDefault="00FF6757">
            <w:pPr>
              <w:pStyle w:val="Figure"/>
            </w:pPr>
            <w:r>
              <w:rPr>
                <w:noProof/>
              </w:rPr>
              <w:drawing>
                <wp:inline distT="0" distB="0" distL="0" distR="0">
                  <wp:extent cx="5389880" cy="2861310"/>
                  <wp:effectExtent l="0" t="0" r="1270" b="0"/>
                  <wp:docPr id="36" name="Picture 36" descr="Figure 11.28 People with known diabetes with HbA1c level 7.0 per cent or l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0530B3" w:rsidRDefault="000530B3" w:rsidP="00A73D31">
      <w:pPr>
        <w:pStyle w:val="Note"/>
      </w:pPr>
      <w:r>
        <w:rPr>
          <w:rStyle w:val="NoteLabel"/>
        </w:rPr>
        <w:t>a</w:t>
      </w:r>
      <w:r>
        <w:t xml:space="preserve"> </w:t>
      </w:r>
      <w:r w:rsidR="00FB74B5" w:rsidRPr="00FB74B5">
        <w:t>People aged 18 years to 69 years</w:t>
      </w:r>
      <w:r w:rsidR="00FB74B5">
        <w:t xml:space="preserve"> with known diabetes</w:t>
      </w:r>
      <w:r w:rsidR="00FB74B5" w:rsidRPr="00FB74B5">
        <w:t>. Includes pregnant women.</w:t>
      </w:r>
      <w:r w:rsidR="00FB74B5">
        <w:t xml:space="preserve"> </w:t>
      </w:r>
      <w:r w:rsidR="00FB74B5">
        <w:rPr>
          <w:rStyle w:val="NoteLabel"/>
        </w:rPr>
        <w:t>b</w:t>
      </w:r>
      <w:r w:rsidR="00FB74B5" w:rsidRPr="00FB74B5">
        <w:t xml:space="preserve"> </w:t>
      </w:r>
      <w:r w:rsidR="00FB74B5">
        <w:t>Known diabetes based on fasting plasma glucose test results and self-reported information on diagnosis/medication use.</w:t>
      </w:r>
      <w:r w:rsidR="00FB74B5" w:rsidRPr="00FB74B5">
        <w:rPr>
          <w:rStyle w:val="NoteLabel"/>
        </w:rPr>
        <w:t xml:space="preserve"> </w:t>
      </w:r>
      <w:r w:rsidR="00FB74B5">
        <w:rPr>
          <w:rStyle w:val="NoteLabel"/>
        </w:rPr>
        <w:t>c</w:t>
      </w:r>
      <w:r w:rsidR="00FB74B5" w:rsidRPr="00FB74B5">
        <w:t xml:space="preserve"> </w:t>
      </w:r>
      <w:r w:rsidR="00FB74B5">
        <w:t xml:space="preserve">Rates are not age-standardised. </w:t>
      </w:r>
      <w:r w:rsidR="00FB74B5" w:rsidRPr="00A73D31">
        <w:rPr>
          <w:rStyle w:val="NoteLabel"/>
        </w:rPr>
        <w:t>d</w:t>
      </w:r>
      <w:r w:rsidR="00FB74B5" w:rsidRPr="00A73D31">
        <w:t xml:space="preserve"> Data for the NT should be used with care as exclusion of very remote areas from the Australian Health Survey translates to the exclusion of around 23 per cent of the NT population.</w:t>
      </w:r>
    </w:p>
    <w:p w:rsidR="00F64294" w:rsidRDefault="00200A43" w:rsidP="00A73D31">
      <w:pPr>
        <w:pStyle w:val="Source"/>
        <w:spacing w:before="60" w:after="0"/>
      </w:pPr>
      <w:r>
        <w:rPr>
          <w:i/>
        </w:rPr>
        <w:t>S</w:t>
      </w:r>
      <w:r w:rsidR="000530B3">
        <w:rPr>
          <w:i/>
        </w:rPr>
        <w:t>ource</w:t>
      </w:r>
      <w:r w:rsidR="000530B3" w:rsidRPr="00167F06">
        <w:t>:</w:t>
      </w:r>
      <w:r w:rsidR="00F64294" w:rsidRPr="006C74C6">
        <w:t xml:space="preserve"> ABS (unpublished</w:t>
      </w:r>
      <w:r w:rsidR="00F64294" w:rsidRPr="00A73D31">
        <w:t xml:space="preserve">) </w:t>
      </w:r>
      <w:r w:rsidR="00F64294" w:rsidRPr="00A73D31">
        <w:rPr>
          <w:i/>
        </w:rPr>
        <w:t>Australian Health Survey, 2011-13</w:t>
      </w:r>
      <w:r w:rsidR="00F64294" w:rsidRPr="00A73D31">
        <w:t>, (National Health Measures 2011</w:t>
      </w:r>
      <w:r w:rsidR="00F64294" w:rsidRPr="00A73D31">
        <w:noBreakHyphen/>
        <w:t>12 component) Cat. No. 4364.0;</w:t>
      </w:r>
      <w:r w:rsidR="00F64294" w:rsidRPr="006C74C6">
        <w:t xml:space="preserve"> table </w:t>
      </w:r>
      <w:r w:rsidR="00AF5AC8">
        <w:t>11A.5</w:t>
      </w:r>
      <w:r w:rsidR="009C7361">
        <w:t>8</w:t>
      </w:r>
      <w:r w:rsidR="00F64294" w:rsidRPr="006C74C6">
        <w:t>.</w:t>
      </w:r>
    </w:p>
    <w:p w:rsidR="0011550A" w:rsidRDefault="00F3615B" w:rsidP="0011550A">
      <w:pPr>
        <w:pStyle w:val="Heading5"/>
      </w:pPr>
      <w:r>
        <w:t xml:space="preserve">Chronic disease management — </w:t>
      </w:r>
      <w:r w:rsidR="0011550A">
        <w:t>asthma</w:t>
      </w:r>
    </w:p>
    <w:p w:rsidR="002A4BFF" w:rsidRDefault="003F2838" w:rsidP="00AD79B2">
      <w:pPr>
        <w:pStyle w:val="BodyText"/>
      </w:pPr>
      <w:r w:rsidRPr="003F2838">
        <w:t xml:space="preserve">Asthma, an identified National Health Priority Area for </w:t>
      </w:r>
      <w:smartTag w:uri="urn:schemas-microsoft-com:office:smarttags" w:element="place">
        <w:smartTag w:uri="urn:schemas-microsoft-com:office:smarttags" w:element="country-region">
          <w:r w:rsidRPr="003F2838">
            <w:t>Australia</w:t>
          </w:r>
        </w:smartTag>
      </w:smartTag>
      <w:r w:rsidRPr="003F2838">
        <w:t>, is a common chronic disease among Australians — particularly children — and is associated with wheezing and shortness of breath. Asthma can be intermittent or persistent, and varies in severity.</w:t>
      </w:r>
    </w:p>
    <w:p w:rsidR="00F0394E" w:rsidRPr="00200C93" w:rsidRDefault="00AD79B2" w:rsidP="00A73D31">
      <w:pPr>
        <w:pStyle w:val="BodyText"/>
      </w:pPr>
      <w:r>
        <w:t>Nationally</w:t>
      </w:r>
      <w:r w:rsidRPr="002E3788">
        <w:t xml:space="preserve">, </w:t>
      </w:r>
      <w:r w:rsidR="00570214">
        <w:t>the proportion of people</w:t>
      </w:r>
      <w:r w:rsidR="00570214" w:rsidRPr="002E3788">
        <w:t xml:space="preserve"> with current asthma </w:t>
      </w:r>
      <w:r w:rsidR="00570214">
        <w:t>reporting that they</w:t>
      </w:r>
      <w:r w:rsidR="00570214" w:rsidRPr="002E3788">
        <w:t xml:space="preserve"> hav</w:t>
      </w:r>
      <w:r w:rsidR="00570214">
        <w:t>e</w:t>
      </w:r>
      <w:r w:rsidR="00570214" w:rsidRPr="002E3788">
        <w:t xml:space="preserve"> a written asthma action plan </w:t>
      </w:r>
      <w:r w:rsidRPr="00A73D31">
        <w:t>was 2</w:t>
      </w:r>
      <w:r w:rsidR="00570214" w:rsidRPr="00A73D31">
        <w:t>4.6</w:t>
      </w:r>
      <w:r w:rsidRPr="00A73D31">
        <w:t xml:space="preserve"> per cent for all ages and </w:t>
      </w:r>
      <w:r w:rsidR="00570214" w:rsidRPr="00A73D31">
        <w:t>40.9</w:t>
      </w:r>
      <w:r w:rsidRPr="00A73D31">
        <w:t xml:space="preserve"> per cent for children aged 0–14 years </w:t>
      </w:r>
      <w:r w:rsidR="005E0C63" w:rsidRPr="00A73D31">
        <w:t xml:space="preserve">in </w:t>
      </w:r>
      <w:r w:rsidR="00570214" w:rsidRPr="00A73D31">
        <w:t>2011-12</w:t>
      </w:r>
      <w:r w:rsidR="005E0C63" w:rsidRPr="00A73D31">
        <w:t xml:space="preserve"> </w:t>
      </w:r>
      <w:r w:rsidRPr="00A73D31">
        <w:t>(figure</w:t>
      </w:r>
      <w:r w:rsidRPr="006C74C6">
        <w:t> 11.2</w:t>
      </w:r>
      <w:r w:rsidR="00CA25A8">
        <w:t>9</w:t>
      </w:r>
      <w:r w:rsidRPr="006C74C6">
        <w:t xml:space="preserve">). Data </w:t>
      </w:r>
      <w:r w:rsidR="00B5272A">
        <w:t xml:space="preserve">for 2007-08 </w:t>
      </w:r>
      <w:r w:rsidRPr="006C74C6">
        <w:t xml:space="preserve">are reported by geographical region in table </w:t>
      </w:r>
      <w:r w:rsidR="00A32074">
        <w:t>11A.</w:t>
      </w:r>
      <w:r w:rsidR="009C7361">
        <w:t>60</w:t>
      </w:r>
      <w:r w:rsidRPr="006C74C6">
        <w:t>. Data for 2004</w:t>
      </w:r>
      <w:r w:rsidRPr="006C74C6">
        <w:noBreakHyphen/>
        <w:t xml:space="preserve">05 are reported by Indigenous status in table </w:t>
      </w:r>
      <w:r w:rsidR="009C7361">
        <w:t>11A.61</w:t>
      </w:r>
      <w:r w:rsidR="00A4457C">
        <w:t>.</w:t>
      </w:r>
    </w:p>
    <w:p w:rsidR="00AD79B2" w:rsidRPr="006C74C6" w:rsidRDefault="00AD79B2" w:rsidP="00A73D31">
      <w:pPr>
        <w:pStyle w:val="FigureTitle"/>
        <w:ind w:left="1560" w:hanging="1560"/>
        <w:rPr>
          <w:rStyle w:val="NoteLabel"/>
        </w:rPr>
      </w:pPr>
      <w:r w:rsidRPr="006C74C6">
        <w:rPr>
          <w:b w:val="0"/>
        </w:rPr>
        <w:lastRenderedPageBreak/>
        <w:t xml:space="preserve">Figure </w:t>
      </w:r>
      <w:bookmarkStart w:id="41" w:name="OLE_LINK64"/>
      <w:r w:rsidRPr="006C74C6">
        <w:rPr>
          <w:b w:val="0"/>
        </w:rPr>
        <w:t>11.</w:t>
      </w:r>
      <w:r w:rsidR="00C44281">
        <w:rPr>
          <w:b w:val="0"/>
          <w:noProof/>
        </w:rPr>
        <w:t>2</w:t>
      </w:r>
      <w:bookmarkEnd w:id="41"/>
      <w:r w:rsidR="00CA25A8">
        <w:rPr>
          <w:b w:val="0"/>
          <w:noProof/>
        </w:rPr>
        <w:t>9</w:t>
      </w:r>
      <w:r w:rsidRPr="006C74C6">
        <w:tab/>
        <w:t xml:space="preserve">Proportion of people with asthma who have a written asthma action plan, </w:t>
      </w:r>
      <w:r w:rsidRPr="00A73D31">
        <w:t>20</w:t>
      </w:r>
      <w:r w:rsidR="00570214" w:rsidRPr="00A73D31">
        <w:t>11</w:t>
      </w:r>
      <w:r w:rsidRPr="00A73D31">
        <w:t>-</w:t>
      </w:r>
      <w:r w:rsidR="00570214" w:rsidRPr="00A73D31">
        <w:t>12</w:t>
      </w:r>
      <w:r w:rsidRPr="00A73D31">
        <w:rPr>
          <w:rStyle w:val="NoteLabel"/>
          <w:b/>
        </w:rPr>
        <w:t>a,</w:t>
      </w:r>
      <w:r w:rsidRPr="006C74C6">
        <w:rPr>
          <w:rStyle w:val="NoteLabel"/>
          <w:b/>
        </w:rPr>
        <w:t xml:space="preserve"> b, c</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D79B2" w:rsidRPr="006C74C6" w:rsidTr="005C0A1E">
        <w:trPr>
          <w:trHeight w:val="562"/>
        </w:trPr>
        <w:tc>
          <w:tcPr>
            <w:tcW w:w="8777" w:type="dxa"/>
          </w:tcPr>
          <w:p w:rsidR="00AD79B2" w:rsidRPr="006C74C6" w:rsidRDefault="00FF6757" w:rsidP="00AD79B2">
            <w:pPr>
              <w:pStyle w:val="Figure"/>
            </w:pPr>
            <w:r>
              <w:rPr>
                <w:noProof/>
              </w:rPr>
              <w:drawing>
                <wp:inline distT="0" distB="0" distL="0" distR="0">
                  <wp:extent cx="5389880" cy="2710815"/>
                  <wp:effectExtent l="0" t="0" r="1270" b="0"/>
                  <wp:docPr id="37" name="Picture 37" descr="Figure 11.29 Proportion of people with asthma who have a written asthma action plan,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AD79B2" w:rsidRPr="00944E91" w:rsidRDefault="00AD79B2" w:rsidP="00AD79B2">
      <w:pPr>
        <w:pStyle w:val="Note"/>
        <w:keepNext/>
      </w:pPr>
      <w:r w:rsidRPr="006C74C6">
        <w:rPr>
          <w:rStyle w:val="NoteLabel"/>
        </w:rPr>
        <w:t xml:space="preserve">a </w:t>
      </w:r>
      <w:r w:rsidRPr="006C74C6">
        <w:t xml:space="preserve">Rates for ‘all ages’ are age standardised to the Australian population at 30 June 2001. </w:t>
      </w:r>
      <w:r w:rsidRPr="006C74C6">
        <w:rPr>
          <w:rStyle w:val="NoteLabel"/>
        </w:rPr>
        <w:t>b</w:t>
      </w:r>
      <w:r w:rsidRPr="006C74C6">
        <w:t xml:space="preserve"> Error bars represent the 95 per cent confidence interval associated with each point estimate.</w:t>
      </w:r>
      <w:r w:rsidR="00FB74B5">
        <w:t xml:space="preserve"> </w:t>
      </w:r>
      <w:r w:rsidR="00FB74B5">
        <w:rPr>
          <w:rStyle w:val="NoteLabel"/>
        </w:rPr>
        <w:t>c</w:t>
      </w:r>
      <w:r w:rsidR="00FB74B5" w:rsidRPr="006C74C6">
        <w:t xml:space="preserve"> </w:t>
      </w:r>
      <w:r w:rsidR="00FB74B5" w:rsidRPr="00A73D31">
        <w:t>Data for the NT should be used with care as exclusion of very remote areas from the Australian Health Survey translates to the exclusion of around 23 per cent of the NT population.</w:t>
      </w:r>
    </w:p>
    <w:p w:rsidR="00AD79B2" w:rsidRDefault="00AD79B2" w:rsidP="00A73D31">
      <w:pPr>
        <w:pStyle w:val="Source"/>
        <w:spacing w:before="60" w:after="0"/>
      </w:pPr>
      <w:r w:rsidRPr="006C74C6">
        <w:rPr>
          <w:i/>
        </w:rPr>
        <w:t>Source</w:t>
      </w:r>
      <w:r w:rsidRPr="006C74C6">
        <w:t>: ABS (</w:t>
      </w:r>
      <w:r w:rsidR="00A1292F" w:rsidRPr="006C74C6">
        <w:t>unpublished</w:t>
      </w:r>
      <w:r w:rsidRPr="006C74C6">
        <w:t xml:space="preserve">) </w:t>
      </w:r>
      <w:r w:rsidR="00693077" w:rsidRPr="00A73D31">
        <w:rPr>
          <w:i/>
        </w:rPr>
        <w:t>Australian</w:t>
      </w:r>
      <w:r w:rsidRPr="00A73D31">
        <w:rPr>
          <w:i/>
        </w:rPr>
        <w:t xml:space="preserve"> Health Survey, 20</w:t>
      </w:r>
      <w:r w:rsidR="00693077" w:rsidRPr="00A73D31">
        <w:rPr>
          <w:i/>
        </w:rPr>
        <w:t>11-13</w:t>
      </w:r>
      <w:r w:rsidRPr="00A73D31">
        <w:t xml:space="preserve">, </w:t>
      </w:r>
      <w:r w:rsidR="00693077" w:rsidRPr="00A73D31">
        <w:t xml:space="preserve">(NHS component) </w:t>
      </w:r>
      <w:r w:rsidRPr="00A73D31">
        <w:t>Cat. No. 4364.0;</w:t>
      </w:r>
      <w:r w:rsidRPr="006C74C6">
        <w:t xml:space="preserve"> table </w:t>
      </w:r>
      <w:r w:rsidR="00C86AE5">
        <w:t>11A.5</w:t>
      </w:r>
      <w:r w:rsidR="009C7361">
        <w:t>9</w:t>
      </w:r>
      <w:r w:rsidRPr="006C74C6">
        <w:t>.</w:t>
      </w:r>
    </w:p>
    <w:p w:rsidR="0011550A" w:rsidRPr="0011550A" w:rsidRDefault="00155441" w:rsidP="0011550A">
      <w:pPr>
        <w:pStyle w:val="Heading5"/>
      </w:pPr>
      <w:r>
        <w:t>Chronic disease management</w:t>
      </w:r>
      <w:r w:rsidR="00F3615B">
        <w:t xml:space="preserve"> — </w:t>
      </w:r>
      <w:r w:rsidR="0011550A">
        <w:t>ca</w:t>
      </w:r>
      <w:r w:rsidR="0011550A" w:rsidRPr="0011550A">
        <w:t>re planning and case conferencing</w:t>
      </w:r>
    </w:p>
    <w:p w:rsidR="002A4BFF" w:rsidRDefault="004771F7" w:rsidP="0011550A">
      <w:pPr>
        <w:pStyle w:val="BodyText"/>
      </w:pPr>
      <w:r>
        <w:t>I</w:t>
      </w:r>
      <w:r w:rsidR="00160899" w:rsidRPr="00160899">
        <w:t xml:space="preserve">ndividuals with chronic or terminal medical conditions </w:t>
      </w:r>
      <w:r w:rsidR="00160899">
        <w:t xml:space="preserve">commonly </w:t>
      </w:r>
      <w:r>
        <w:t xml:space="preserve">have </w:t>
      </w:r>
      <w:r w:rsidRPr="00160899">
        <w:t>complex, multidisciplinary care needs</w:t>
      </w:r>
      <w:r>
        <w:t xml:space="preserve">. Coordination of service provision to </w:t>
      </w:r>
      <w:r w:rsidRPr="00160899">
        <w:t xml:space="preserve">provide continuity of care </w:t>
      </w:r>
      <w:r>
        <w:t>and meet the changing needs of individuals over time is important in the effective</w:t>
      </w:r>
      <w:r w:rsidR="00160899" w:rsidRPr="00160899">
        <w:t xml:space="preserve"> management</w:t>
      </w:r>
      <w:r>
        <w:t xml:space="preserve"> of such conditions. </w:t>
      </w:r>
      <w:r w:rsidR="00160899" w:rsidRPr="00160899">
        <w:t>Chronic disease management items in the MBS allow for the preparation and regular review of care plans for individuals with complex, multidisciplinary care needs due to chronic or terminal medical conditions, through GP managed or multidisciplinary team based care</w:t>
      </w:r>
      <w:r w:rsidR="006E3497">
        <w:t xml:space="preserve"> planning and case conferencing</w:t>
      </w:r>
      <w:r w:rsidR="00160899" w:rsidRPr="00160899">
        <w:t>.</w:t>
      </w:r>
    </w:p>
    <w:p w:rsidR="00160899" w:rsidRDefault="00160899" w:rsidP="0011550A">
      <w:pPr>
        <w:pStyle w:val="BodyText"/>
      </w:pPr>
      <w:r w:rsidRPr="00160899">
        <w:t>Individual compliance with management measures is also a critical determinant of the occurrence and severity of complications for patients with chronic disease.</w:t>
      </w:r>
    </w:p>
    <w:p w:rsidR="00AD79B2" w:rsidRPr="00200C93" w:rsidRDefault="00AD79B2" w:rsidP="00944E91">
      <w:pPr>
        <w:pStyle w:val="BodyText"/>
      </w:pPr>
      <w:r w:rsidRPr="00AD2BF6">
        <w:t xml:space="preserve">Nationally, the proportion of GPs </w:t>
      </w:r>
      <w:r w:rsidR="007D6286" w:rsidRPr="00AD2BF6">
        <w:t>who used</w:t>
      </w:r>
      <w:r w:rsidRPr="00AD2BF6">
        <w:t xml:space="preserve"> chronic disease management MBS items for care planning or case conferencing increased from</w:t>
      </w:r>
      <w:r w:rsidR="00C010E6">
        <w:t xml:space="preserve"> 95.3 in 2008-09 to</w:t>
      </w:r>
      <w:r w:rsidR="00BF36F4" w:rsidRPr="00AD2BF6">
        <w:br/>
      </w:r>
      <w:r w:rsidRPr="00C010E6">
        <w:t>97</w:t>
      </w:r>
      <w:r w:rsidR="007D6286" w:rsidRPr="00C010E6">
        <w:t xml:space="preserve">.0 per cent in </w:t>
      </w:r>
      <w:r w:rsidR="00C010E6">
        <w:t xml:space="preserve">2011-12 and </w:t>
      </w:r>
      <w:r w:rsidR="007D6286" w:rsidRPr="00C010E6">
        <w:t>201</w:t>
      </w:r>
      <w:r w:rsidR="00C010E6" w:rsidRPr="00C010E6">
        <w:t>2</w:t>
      </w:r>
      <w:r w:rsidRPr="00C010E6">
        <w:t>-1</w:t>
      </w:r>
      <w:r w:rsidR="00C010E6" w:rsidRPr="00C010E6">
        <w:t>3</w:t>
      </w:r>
      <w:r w:rsidR="00BF36F4" w:rsidRPr="00AD2BF6">
        <w:t xml:space="preserve"> </w:t>
      </w:r>
      <w:r w:rsidRPr="00AD2BF6">
        <w:t>(</w:t>
      </w:r>
      <w:r w:rsidR="004D4FAF" w:rsidRPr="00AD2BF6">
        <w:t>figure 11.</w:t>
      </w:r>
      <w:r w:rsidR="00CA25A8">
        <w:t>30</w:t>
      </w:r>
      <w:r w:rsidR="00C010E6">
        <w:t>).</w:t>
      </w:r>
    </w:p>
    <w:p w:rsidR="00AD79B2" w:rsidRPr="00233631" w:rsidRDefault="00AD79B2" w:rsidP="00AD79B2">
      <w:pPr>
        <w:pStyle w:val="FigureTitle"/>
        <w:ind w:left="1559" w:hanging="1559"/>
      </w:pPr>
      <w:r>
        <w:rPr>
          <w:b w:val="0"/>
        </w:rPr>
        <w:lastRenderedPageBreak/>
        <w:t xml:space="preserve">Figure </w:t>
      </w:r>
      <w:bookmarkStart w:id="42" w:name="OLE_LINK39"/>
      <w:r>
        <w:rPr>
          <w:b w:val="0"/>
        </w:rPr>
        <w:t>11.</w:t>
      </w:r>
      <w:bookmarkEnd w:id="42"/>
      <w:r w:rsidR="00CA25A8">
        <w:rPr>
          <w:b w:val="0"/>
        </w:rPr>
        <w:t>30</w:t>
      </w:r>
      <w:r>
        <w:tab/>
      </w:r>
      <w:r w:rsidRPr="00233631">
        <w:t xml:space="preserve">GP use of chronic disease management </w:t>
      </w:r>
      <w:r w:rsidR="0053390E">
        <w:t>MBS</w:t>
      </w:r>
      <w:r w:rsidRPr="00233631">
        <w:t xml:space="preserve"> items for care planning and case conferencing</w:t>
      </w:r>
      <w:r w:rsidRPr="0023363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D79B2" w:rsidTr="005C0A1E">
        <w:tc>
          <w:tcPr>
            <w:tcW w:w="8777" w:type="dxa"/>
          </w:tcPr>
          <w:p w:rsidR="00AD79B2" w:rsidRDefault="00FF6757" w:rsidP="00AD79B2">
            <w:pPr>
              <w:pStyle w:val="Figure"/>
            </w:pPr>
            <w:r>
              <w:rPr>
                <w:noProof/>
              </w:rPr>
              <w:drawing>
                <wp:inline distT="0" distB="0" distL="0" distR="0">
                  <wp:extent cx="5368290" cy="2710815"/>
                  <wp:effectExtent l="0" t="0" r="3810" b="0"/>
                  <wp:docPr id="38" name="Picture 38" descr="Figure 11.30 GP use of chronic disease management MBS items for care planning and case conferenc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AD79B2" w:rsidRPr="006E3497" w:rsidRDefault="00AD79B2" w:rsidP="00AD79B2">
      <w:pPr>
        <w:pStyle w:val="Note"/>
        <w:keepNext/>
      </w:pPr>
      <w:r>
        <w:rPr>
          <w:rStyle w:val="NoteLabel"/>
        </w:rPr>
        <w:t>a</w:t>
      </w:r>
      <w:r>
        <w:sym w:font="Symbol" w:char="F020"/>
      </w:r>
      <w:r>
        <w:t xml:space="preserve">The </w:t>
      </w:r>
      <w:r w:rsidRPr="00FC0595">
        <w:t>Strengthening Medicare</w:t>
      </w:r>
      <w:r>
        <w:t xml:space="preserve"> initiative </w:t>
      </w:r>
      <w:r w:rsidRPr="00E1125C">
        <w:t>provide</w:t>
      </w:r>
      <w:r>
        <w:t>s</w:t>
      </w:r>
      <w:r w:rsidRPr="00E1125C">
        <w:t xml:space="preserve"> access to a range of allied health and dental care treatments for patients with chronic conditions and complex needs, on referral from a G</w:t>
      </w:r>
      <w:r>
        <w:t>P</w:t>
      </w:r>
      <w:r w:rsidRPr="00D33CA6">
        <w:t>.</w:t>
      </w:r>
      <w:r w:rsidR="006E3497" w:rsidRPr="00D33CA6">
        <w:t xml:space="preserve"> Additional chronic disease management MBS items have be</w:t>
      </w:r>
      <w:r w:rsidR="00EE0E8C">
        <w:t>come available</w:t>
      </w:r>
      <w:r w:rsidR="006E3497" w:rsidRPr="00D33CA6">
        <w:t xml:space="preserve"> on several occasions since introduction of the Strengthening Medicare initiative in 2004.</w:t>
      </w:r>
    </w:p>
    <w:p w:rsidR="00AD79B2" w:rsidRPr="00AD79B2" w:rsidRDefault="00AD79B2" w:rsidP="00ED64B0">
      <w:pPr>
        <w:pStyle w:val="Source"/>
        <w:spacing w:after="0"/>
      </w:pPr>
      <w:r w:rsidRPr="006C74C6">
        <w:rPr>
          <w:i/>
        </w:rPr>
        <w:t>Source</w:t>
      </w:r>
      <w:r w:rsidRPr="006C74C6">
        <w:t xml:space="preserve">: </w:t>
      </w:r>
      <w:r w:rsidR="00B513D7">
        <w:t>Department of Health</w:t>
      </w:r>
      <w:r w:rsidRPr="006C74C6">
        <w:t xml:space="preserve"> (unpublished) MBS </w:t>
      </w:r>
      <w:r w:rsidR="00524F26" w:rsidRPr="006C74C6">
        <w:t>Statistics</w:t>
      </w:r>
      <w:r w:rsidRPr="006C74C6">
        <w:t>; table </w:t>
      </w:r>
      <w:r w:rsidR="00AF5AC8">
        <w:t>11A.6</w:t>
      </w:r>
      <w:r w:rsidR="009C7361">
        <w:t>2</w:t>
      </w:r>
      <w:r w:rsidRPr="006C74C6">
        <w:t>.</w:t>
      </w:r>
    </w:p>
    <w:p w:rsidR="00753514" w:rsidRDefault="002F6012" w:rsidP="00753514">
      <w:pPr>
        <w:pStyle w:val="Heading5"/>
      </w:pPr>
      <w:r>
        <w:t>Use of p</w:t>
      </w:r>
      <w:r w:rsidR="00753514" w:rsidRPr="00753514">
        <w:t>athology tests and di</w:t>
      </w:r>
      <w:r w:rsidR="00962C64">
        <w:t>agnostic imaging</w:t>
      </w:r>
    </w:p>
    <w:p w:rsidR="00E6435D" w:rsidRDefault="00E6435D" w:rsidP="007644A0">
      <w:pPr>
        <w:pStyle w:val="BodyText"/>
      </w:pPr>
      <w:r>
        <w:t>‘</w:t>
      </w:r>
      <w:r w:rsidR="002F6012">
        <w:t>Use of p</w:t>
      </w:r>
      <w:r w:rsidRPr="00D1658D">
        <w:t>athology tests and diagnostic imaging</w:t>
      </w:r>
      <w:r>
        <w:t>’ is an indicator of governments’ objective to</w:t>
      </w:r>
      <w:r w:rsidRPr="00E6435D">
        <w:t xml:space="preserve"> </w:t>
      </w:r>
      <w:r>
        <w:t>ensure that primary healthcare services are appropriate</w:t>
      </w:r>
      <w:r w:rsidR="0066577F">
        <w:t xml:space="preserve"> (</w:t>
      </w:r>
      <w:smartTag w:uri="urn:schemas-microsoft-com:office:smarttags" w:element="address">
        <w:smartTag w:uri="urn:schemas-microsoft-com:office:smarttags" w:element="Street">
          <w:r w:rsidR="0066577F">
            <w:t>box</w:t>
          </w:r>
        </w:smartTag>
        <w:r w:rsidR="00EA4368">
          <w:t> </w:t>
        </w:r>
        <w:r w:rsidR="00445562">
          <w:t>11.1</w:t>
        </w:r>
        <w:r w:rsidR="004F66F0">
          <w:t>4</w:t>
        </w:r>
      </w:smartTag>
      <w:r w:rsidR="0066577F">
        <w:t>)</w:t>
      </w:r>
      <w:r>
        <w:t>.</w:t>
      </w:r>
    </w:p>
    <w:p w:rsidR="00C35BF3" w:rsidRDefault="00C35BF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5BF3">
        <w:tc>
          <w:tcPr>
            <w:tcW w:w="8771" w:type="dxa"/>
            <w:tcBorders>
              <w:top w:val="single" w:sz="6" w:space="0" w:color="auto"/>
              <w:bottom w:val="nil"/>
            </w:tcBorders>
          </w:tcPr>
          <w:p w:rsidR="00C35BF3" w:rsidRDefault="00C35BF3">
            <w:pPr>
              <w:pStyle w:val="BoxTitle"/>
            </w:pPr>
            <w:smartTag w:uri="urn:schemas-microsoft-com:office:smarttags" w:element="address">
              <w:smartTag w:uri="urn:schemas-microsoft-com:office:smarttags" w:element="Street">
                <w:r>
                  <w:rPr>
                    <w:b w:val="0"/>
                  </w:rPr>
                  <w:t>Box</w:t>
                </w:r>
              </w:smartTag>
              <w:r>
                <w:rPr>
                  <w:b w:val="0"/>
                </w:rPr>
                <w:t xml:space="preserve"> </w:t>
              </w:r>
              <w:r w:rsidRPr="00C35BF3">
                <w:rPr>
                  <w:b w:val="0"/>
                </w:rPr>
                <w:t>11.14</w:t>
              </w:r>
            </w:smartTag>
            <w:r>
              <w:tab/>
            </w:r>
            <w:r w:rsidR="00AE474E">
              <w:t>Use of p</w:t>
            </w:r>
            <w:r w:rsidR="00AE474E" w:rsidRPr="00753514">
              <w:t xml:space="preserve">athology tests </w:t>
            </w:r>
            <w:r w:rsidR="00AE474E">
              <w:t>and diagnostic imaging</w:t>
            </w:r>
          </w:p>
        </w:tc>
      </w:tr>
      <w:tr w:rsidR="00C35BF3" w:rsidTr="007F3E43">
        <w:trPr>
          <w:cantSplit/>
        </w:trPr>
        <w:tc>
          <w:tcPr>
            <w:tcW w:w="8771" w:type="dxa"/>
            <w:tcBorders>
              <w:top w:val="nil"/>
              <w:left w:val="single" w:sz="6" w:space="0" w:color="auto"/>
              <w:bottom w:val="nil"/>
              <w:right w:val="single" w:sz="6" w:space="0" w:color="auto"/>
            </w:tcBorders>
          </w:tcPr>
          <w:p w:rsidR="00AE474E" w:rsidRDefault="00AE474E" w:rsidP="00AE474E">
            <w:pPr>
              <w:pStyle w:val="Box"/>
            </w:pPr>
            <w:r>
              <w:t>‘Use of p</w:t>
            </w:r>
            <w:r w:rsidRPr="007B4157">
              <w:t>athology tests and diagnostic imaging</w:t>
            </w:r>
            <w:r>
              <w:t>’ is defined by four measures:</w:t>
            </w:r>
          </w:p>
          <w:p w:rsidR="00AE474E" w:rsidRDefault="00AE474E" w:rsidP="00AE474E">
            <w:pPr>
              <w:pStyle w:val="BoxListBullet"/>
            </w:pPr>
            <w:r>
              <w:t xml:space="preserve">MBS items rebated through </w:t>
            </w:r>
            <w:r w:rsidRPr="002D7882">
              <w:t xml:space="preserve">DHS Medicare </w:t>
            </w:r>
            <w:r>
              <w:t xml:space="preserve">for pathology tests requested by vocationally </w:t>
            </w:r>
            <w:r w:rsidRPr="000B2487">
              <w:t>registered</w:t>
            </w:r>
            <w:r>
              <w:t xml:space="preserve"> GPs and OMPs, per person</w:t>
            </w:r>
          </w:p>
          <w:p w:rsidR="00AE474E" w:rsidRDefault="00AE474E" w:rsidP="00AE474E">
            <w:pPr>
              <w:pStyle w:val="BoxListBullet"/>
            </w:pPr>
            <w:r>
              <w:t xml:space="preserve">diagnostic imaging services provided on referral from vocationally </w:t>
            </w:r>
            <w:r w:rsidRPr="000B2487">
              <w:t xml:space="preserve">registered </w:t>
            </w:r>
            <w:r>
              <w:t xml:space="preserve">GPs and OMPs and rebated through </w:t>
            </w:r>
            <w:r w:rsidRPr="002D7882">
              <w:t>DHS Medicare</w:t>
            </w:r>
            <w:r>
              <w:t>, per person</w:t>
            </w:r>
          </w:p>
          <w:p w:rsidR="00AE474E" w:rsidRDefault="00AE474E" w:rsidP="00AE474E">
            <w:pPr>
              <w:pStyle w:val="BoxListBullet"/>
            </w:pPr>
            <w:r>
              <w:t>DHS Medicare benefits paid per person for pathology tests</w:t>
            </w:r>
          </w:p>
          <w:p w:rsidR="00AE474E" w:rsidRDefault="00AE474E" w:rsidP="00AE474E">
            <w:pPr>
              <w:pStyle w:val="BoxListBullet"/>
            </w:pPr>
            <w:r>
              <w:t>DHS Medicare benefits paid per person for diagnostic imaging.</w:t>
            </w:r>
          </w:p>
          <w:p w:rsidR="00C35BF3" w:rsidRDefault="00C35BF3" w:rsidP="00C35BF3">
            <w:pPr>
              <w:pStyle w:val="Box"/>
            </w:pPr>
            <w:r>
              <w:t xml:space="preserve">This indicator </w:t>
            </w:r>
            <w:r w:rsidR="00503FCC">
              <w:t>needs to be</w:t>
            </w:r>
            <w:r>
              <w:t xml:space="preserve"> interpreted </w:t>
            </w:r>
            <w:r w:rsidR="00503FCC">
              <w:t xml:space="preserve">with care </w:t>
            </w:r>
            <w:r>
              <w:t xml:space="preserve">as </w:t>
            </w:r>
            <w:r w:rsidRPr="0075197A">
              <w:t>appropriate levels of use</w:t>
            </w:r>
            <w:r>
              <w:t xml:space="preserve"> of pathology tests and diagnostic imaging</w:t>
            </w:r>
            <w:r w:rsidRPr="0075197A">
              <w:t xml:space="preserve"> cannot be determined</w:t>
            </w:r>
            <w:r>
              <w:t xml:space="preserve">. A high or increasing level of use can </w:t>
            </w:r>
            <w:r w:rsidRPr="0075197A">
              <w:t xml:space="preserve">reflect overreliance on tools to support the diagnostic process. </w:t>
            </w:r>
            <w:r>
              <w:t xml:space="preserve">A low or decreasing level of </w:t>
            </w:r>
            <w:r w:rsidRPr="0075197A">
              <w:t>use can contribute to misdiagnosis of disease and to relatively poor treatment decisions.</w:t>
            </w:r>
            <w:r>
              <w:t xml:space="preserve"> R</w:t>
            </w:r>
            <w:r w:rsidRPr="0075197A">
              <w:t xml:space="preserve">eporting differences across jurisdictions and over time contributes to </w:t>
            </w:r>
            <w:r>
              <w:t xml:space="preserve">consideration </w:t>
            </w:r>
            <w:r w:rsidRPr="0075197A">
              <w:t>of these issues. Pathology tests and diagnostic imaging are important tools used by GPs in the diagnosis of many diseases, and in monitoring response to treatment.</w:t>
            </w:r>
            <w:r w:rsidR="005A6B0C">
              <w:t xml:space="preserve"> P</w:t>
            </w:r>
            <w:r w:rsidR="005A6B0C" w:rsidRPr="00BA1E15">
              <w:t xml:space="preserve">athology and diagnostic imaging </w:t>
            </w:r>
            <w:r w:rsidR="005A6B0C">
              <w:t>services performed at the request</w:t>
            </w:r>
            <w:r w:rsidR="005A6B0C" w:rsidRPr="00BA1E15">
              <w:t xml:space="preserve"> </w:t>
            </w:r>
            <w:r w:rsidR="005A6B0C">
              <w:t>of</w:t>
            </w:r>
            <w:r w:rsidR="005A6B0C" w:rsidRPr="00BA1E15">
              <w:t xml:space="preserve"> vocationally </w:t>
            </w:r>
            <w:r w:rsidR="005A6B0C" w:rsidRPr="000B2487">
              <w:t xml:space="preserve">registered </w:t>
            </w:r>
            <w:r w:rsidR="005A6B0C" w:rsidRPr="00BA1E15">
              <w:t>GPs and OMPs</w:t>
            </w:r>
            <w:r w:rsidR="005A6B0C">
              <w:t xml:space="preserve"> and </w:t>
            </w:r>
            <w:r w:rsidR="005A6B0C" w:rsidRPr="00BA1E15">
              <w:t xml:space="preserve">rebated through </w:t>
            </w:r>
            <w:r w:rsidR="005A6B0C" w:rsidRPr="002D7882">
              <w:t xml:space="preserve">DHS Medicare </w:t>
            </w:r>
            <w:r w:rsidR="005A6B0C">
              <w:t>is used as a proxy in reporting against this indicator.</w:t>
            </w:r>
          </w:p>
          <w:p w:rsidR="00C35BF3" w:rsidRDefault="00C35BF3" w:rsidP="00C35BF3">
            <w:pPr>
              <w:pStyle w:val="Box"/>
            </w:pPr>
            <w:r>
              <w:t>Data</w:t>
            </w:r>
            <w:r w:rsidR="00E365D7">
              <w:t xml:space="preserve"> reported </w:t>
            </w:r>
            <w:r>
              <w:t>for this indicator are</w:t>
            </w:r>
            <w:r w:rsidR="00E365D7">
              <w:t>:</w:t>
            </w:r>
          </w:p>
          <w:p w:rsidR="00E365D7" w:rsidRDefault="00E365D7" w:rsidP="00E365D7">
            <w:pPr>
              <w:pStyle w:val="BoxListBullet"/>
            </w:pPr>
            <w:r>
              <w:t xml:space="preserve">comparable (subject to caveats) across jurisdictions for 2012-13 but not comparable to </w:t>
            </w:r>
            <w:r w:rsidR="00C07C3C">
              <w:t>data for previous years</w:t>
            </w:r>
          </w:p>
          <w:p w:rsidR="00E365D7" w:rsidRDefault="00E365D7" w:rsidP="00E365D7">
            <w:pPr>
              <w:pStyle w:val="BoxListBullet"/>
            </w:pPr>
            <w:r>
              <w:t>complete (subject to caveats) for the current reporting period. All required 2012-13 data are available for all jurisdictions.</w:t>
            </w:r>
          </w:p>
          <w:p w:rsidR="00C35BF3" w:rsidRDefault="00355023" w:rsidP="00355023">
            <w:pPr>
              <w:pStyle w:val="Box"/>
            </w:pPr>
            <w:r w:rsidRPr="0027351B">
              <w:t xml:space="preserve">Data quality information </w:t>
            </w:r>
            <w:r w:rsidR="00B010F5" w:rsidRPr="00B010F5">
              <w:t>f</w:t>
            </w:r>
            <w:r w:rsidR="00B010F5">
              <w:t xml:space="preserve">or this indicator is at  </w:t>
            </w:r>
            <w:r w:rsidR="00B010F5" w:rsidRPr="00B010F5">
              <w:t>www.pc.gov.au/gsp/reports/</w:t>
            </w:r>
            <w:r w:rsidR="009E5543">
              <w:t>rogs/2014</w:t>
            </w:r>
            <w:r w:rsidR="00B010F5" w:rsidRPr="00B010F5">
              <w:t>.</w:t>
            </w:r>
          </w:p>
        </w:tc>
      </w:tr>
      <w:tr w:rsidR="00C35BF3" w:rsidTr="007F3E43">
        <w:trPr>
          <w:cantSplit/>
        </w:trPr>
        <w:tc>
          <w:tcPr>
            <w:tcW w:w="8771" w:type="dxa"/>
            <w:tcBorders>
              <w:top w:val="nil"/>
              <w:left w:val="single" w:sz="6" w:space="0" w:color="auto"/>
              <w:bottom w:val="single" w:sz="4" w:space="0" w:color="auto"/>
              <w:right w:val="single" w:sz="6" w:space="0" w:color="auto"/>
            </w:tcBorders>
          </w:tcPr>
          <w:p w:rsidR="00C35BF3" w:rsidRDefault="00C35BF3">
            <w:pPr>
              <w:pStyle w:val="Box"/>
              <w:spacing w:before="0" w:line="120" w:lineRule="exact"/>
            </w:pPr>
          </w:p>
        </w:tc>
      </w:tr>
      <w:tr w:rsidR="007F3E43" w:rsidTr="007F3E43">
        <w:trPr>
          <w:cantSplit/>
        </w:trPr>
        <w:tc>
          <w:tcPr>
            <w:tcW w:w="8771" w:type="dxa"/>
            <w:tcBorders>
              <w:top w:val="single" w:sz="4" w:space="0" w:color="auto"/>
              <w:left w:val="nil"/>
              <w:bottom w:val="nil"/>
              <w:right w:val="nil"/>
            </w:tcBorders>
          </w:tcPr>
          <w:p w:rsidR="007F3E43" w:rsidRDefault="007F3E43" w:rsidP="007F3E43">
            <w:pPr>
              <w:pStyle w:val="Box"/>
              <w:spacing w:before="0" w:line="120" w:lineRule="exact"/>
            </w:pPr>
          </w:p>
        </w:tc>
      </w:tr>
    </w:tbl>
    <w:p w:rsidR="00602FD0" w:rsidRDefault="00503FCC" w:rsidP="00944E91">
      <w:pPr>
        <w:pStyle w:val="BodyText"/>
      </w:pPr>
      <w:r>
        <w:t>A</w:t>
      </w:r>
      <w:r w:rsidR="008B30F5">
        <w:t xml:space="preserve">vailable </w:t>
      </w:r>
      <w:r w:rsidR="007C55EC">
        <w:t xml:space="preserve">data do not </w:t>
      </w:r>
      <w:r w:rsidR="00B85C6A">
        <w:t xml:space="preserve">exactly </w:t>
      </w:r>
      <w:r w:rsidR="007C55EC">
        <w:t xml:space="preserve">reflect the services </w:t>
      </w:r>
      <w:r w:rsidR="00F95A29">
        <w:t xml:space="preserve">requested and </w:t>
      </w:r>
      <w:r w:rsidR="007C55EC">
        <w:t xml:space="preserve">performed. </w:t>
      </w:r>
      <w:r w:rsidR="003D329E">
        <w:t xml:space="preserve">For example, </w:t>
      </w:r>
      <w:r w:rsidR="00161A48" w:rsidRPr="00051912">
        <w:t xml:space="preserve">rebates are </w:t>
      </w:r>
      <w:r w:rsidR="00161A48">
        <w:t xml:space="preserve">provided for a maximum of three MBS </w:t>
      </w:r>
      <w:r w:rsidR="003D329E">
        <w:t xml:space="preserve">pathology </w:t>
      </w:r>
      <w:r w:rsidR="00161A48">
        <w:t xml:space="preserve">items </w:t>
      </w:r>
      <w:r w:rsidR="003D329E">
        <w:t>—</w:t>
      </w:r>
      <w:r w:rsidR="003254D6">
        <w:t xml:space="preserve"> </w:t>
      </w:r>
      <w:r w:rsidR="00A24473">
        <w:t>additional pathology tests can be requested and performed, but are excluded from the data</w:t>
      </w:r>
      <w:r w:rsidR="003D329E">
        <w:t xml:space="preserve"> </w:t>
      </w:r>
      <w:r w:rsidR="00A24473">
        <w:t>because rebates are not provided</w:t>
      </w:r>
      <w:r w:rsidR="003D329E">
        <w:t>.</w:t>
      </w:r>
      <w:r w:rsidR="0090670D">
        <w:t xml:space="preserve"> </w:t>
      </w:r>
      <w:r w:rsidR="00602FD0">
        <w:t xml:space="preserve">A radiologist </w:t>
      </w:r>
      <w:r w:rsidR="00EA2EE4">
        <w:t>can</w:t>
      </w:r>
      <w:r w:rsidR="00602FD0">
        <w:t xml:space="preserve"> identify the need for and perform more or different diagnostic imaging services than requested</w:t>
      </w:r>
      <w:r w:rsidR="005A67F7">
        <w:t>.</w:t>
      </w:r>
      <w:r w:rsidR="00EA2EE4">
        <w:t xml:space="preserve"> </w:t>
      </w:r>
      <w:r w:rsidR="002D7882" w:rsidRPr="002D7882">
        <w:t xml:space="preserve">DHS Medicare </w:t>
      </w:r>
      <w:r w:rsidR="0090670D">
        <w:t>data</w:t>
      </w:r>
      <w:r w:rsidR="00602FD0">
        <w:t xml:space="preserve"> </w:t>
      </w:r>
      <w:r w:rsidR="0090670D">
        <w:t xml:space="preserve">reflect </w:t>
      </w:r>
      <w:r w:rsidR="005A67F7">
        <w:t xml:space="preserve">only those </w:t>
      </w:r>
      <w:r w:rsidR="00602FD0">
        <w:t xml:space="preserve">services provided </w:t>
      </w:r>
      <w:r w:rsidR="0035180D">
        <w:t>and rebated</w:t>
      </w:r>
      <w:r w:rsidR="00602FD0">
        <w:t>.</w:t>
      </w:r>
    </w:p>
    <w:p w:rsidR="00AB133C" w:rsidRPr="00200C93" w:rsidRDefault="00131F67" w:rsidP="00944E91">
      <w:pPr>
        <w:pStyle w:val="BodyText"/>
      </w:pPr>
      <w:r>
        <w:t>D</w:t>
      </w:r>
      <w:r w:rsidR="00AB133C">
        <w:t xml:space="preserve">ata </w:t>
      </w:r>
      <w:r>
        <w:t xml:space="preserve">for this indicator are improved with the introduction of age-standardisation </w:t>
      </w:r>
      <w:r w:rsidR="00BA0F30">
        <w:t>of</w:t>
      </w:r>
      <w:r>
        <w:t xml:space="preserve"> rates for 2012</w:t>
      </w:r>
      <w:r>
        <w:noBreakHyphen/>
        <w:t xml:space="preserve">13. </w:t>
      </w:r>
      <w:r w:rsidR="00AB133C">
        <w:t xml:space="preserve">Historical data are provided in </w:t>
      </w:r>
      <w:r w:rsidR="009A06CD">
        <w:t>tables 11A.6</w:t>
      </w:r>
      <w:r w:rsidR="009C7361">
        <w:t>4</w:t>
      </w:r>
      <w:r w:rsidR="009A06CD">
        <w:t xml:space="preserve"> </w:t>
      </w:r>
      <w:r w:rsidR="005A0AC1">
        <w:t xml:space="preserve">for pathology tests </w:t>
      </w:r>
      <w:r w:rsidR="009A06CD">
        <w:t>and 11A.6</w:t>
      </w:r>
      <w:r w:rsidR="009C7361">
        <w:t>6</w:t>
      </w:r>
      <w:r w:rsidR="005A0AC1">
        <w:t xml:space="preserve"> for </w:t>
      </w:r>
      <w:r w:rsidR="005A0AC1" w:rsidRPr="00BA1E15">
        <w:t>diagnostic imaging</w:t>
      </w:r>
      <w:r w:rsidR="00AB133C">
        <w:t>.</w:t>
      </w:r>
    </w:p>
    <w:p w:rsidR="00753514" w:rsidRPr="00200C93" w:rsidRDefault="00D1658D" w:rsidP="00944E91">
      <w:pPr>
        <w:pStyle w:val="BodyText"/>
      </w:pPr>
      <w:r>
        <w:t xml:space="preserve">Nationally, the number of </w:t>
      </w:r>
      <w:r w:rsidR="00907986">
        <w:t>rebated MBS items for pathology</w:t>
      </w:r>
      <w:r>
        <w:t xml:space="preserve"> tests </w:t>
      </w:r>
      <w:r w:rsidR="004F6142">
        <w:t>requested</w:t>
      </w:r>
      <w:r>
        <w:t xml:space="preserve"> </w:t>
      </w:r>
      <w:r w:rsidR="004F6142">
        <w:t xml:space="preserve">by GPs </w:t>
      </w:r>
      <w:r w:rsidR="00AB133C">
        <w:t xml:space="preserve">was 3.4 </w:t>
      </w:r>
      <w:r w:rsidR="00131F67">
        <w:t xml:space="preserve">per person </w:t>
      </w:r>
      <w:r w:rsidR="00AB133C">
        <w:t xml:space="preserve">in 2012-13 </w:t>
      </w:r>
      <w:r w:rsidRPr="007D4BA0">
        <w:t>(figure </w:t>
      </w:r>
      <w:r w:rsidR="00CA25A8">
        <w:t>11.31</w:t>
      </w:r>
      <w:r w:rsidR="00C751B0">
        <w:t>).</w:t>
      </w:r>
    </w:p>
    <w:p w:rsidR="000B2A40" w:rsidRPr="000B2A40" w:rsidRDefault="000F27CC" w:rsidP="00566A91">
      <w:pPr>
        <w:pStyle w:val="FigureTitle"/>
        <w:ind w:left="1560" w:hanging="1560"/>
      </w:pPr>
      <w:r>
        <w:rPr>
          <w:b w:val="0"/>
        </w:rPr>
        <w:lastRenderedPageBreak/>
        <w:t>Fig</w:t>
      </w:r>
      <w:r w:rsidR="000B2A40">
        <w:rPr>
          <w:b w:val="0"/>
        </w:rPr>
        <w:t xml:space="preserve">ure </w:t>
      </w:r>
      <w:bookmarkStart w:id="43" w:name="OLE_LINK26"/>
      <w:r w:rsidR="00EC42DB">
        <w:rPr>
          <w:b w:val="0"/>
        </w:rPr>
        <w:t>11.</w:t>
      </w:r>
      <w:bookmarkEnd w:id="43"/>
      <w:r w:rsidR="00CA25A8">
        <w:rPr>
          <w:b w:val="0"/>
          <w:noProof/>
        </w:rPr>
        <w:t>31</w:t>
      </w:r>
      <w:r w:rsidR="000B2A40">
        <w:tab/>
      </w:r>
      <w:r w:rsidR="00907986">
        <w:t xml:space="preserve">MBS items </w:t>
      </w:r>
      <w:r w:rsidR="00907986" w:rsidRPr="000B2A40">
        <w:t xml:space="preserve">rebated through </w:t>
      </w:r>
      <w:r w:rsidR="002D7882" w:rsidRPr="002D7882">
        <w:t>DHS Medicare</w:t>
      </w:r>
      <w:r w:rsidR="00907986">
        <w:t xml:space="preserve"> for p</w:t>
      </w:r>
      <w:r w:rsidR="000B2A40" w:rsidRPr="000B2A40">
        <w:t xml:space="preserve">athology </w:t>
      </w:r>
      <w:r w:rsidR="00907986">
        <w:t xml:space="preserve">tests </w:t>
      </w:r>
      <w:r w:rsidR="00B1759D">
        <w:t>requested</w:t>
      </w:r>
      <w:r w:rsidR="00907986">
        <w:t xml:space="preserve"> by GPs</w:t>
      </w:r>
      <w:r w:rsidR="00B562B1">
        <w:t>, 2012-13</w:t>
      </w:r>
      <w:r w:rsidR="000B2A40" w:rsidRPr="000B2A40">
        <w:rPr>
          <w:rStyle w:val="NoteLabel"/>
          <w:b/>
        </w:rPr>
        <w:t>a</w:t>
      </w:r>
      <w:r w:rsidR="00045E61">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B2A40" w:rsidTr="00AF04AB">
        <w:trPr>
          <w:trHeight w:val="4362"/>
        </w:trPr>
        <w:tc>
          <w:tcPr>
            <w:tcW w:w="8777" w:type="dxa"/>
            <w:tcBorders>
              <w:top w:val="single" w:sz="6" w:space="0" w:color="auto"/>
              <w:left w:val="nil"/>
              <w:bottom w:val="single" w:sz="6" w:space="0" w:color="auto"/>
              <w:right w:val="nil"/>
            </w:tcBorders>
          </w:tcPr>
          <w:p w:rsidR="000B2A40" w:rsidRDefault="00FF6757">
            <w:pPr>
              <w:pStyle w:val="Figure"/>
            </w:pPr>
            <w:r>
              <w:rPr>
                <w:noProof/>
              </w:rPr>
              <w:drawing>
                <wp:inline distT="0" distB="0" distL="0" distR="0">
                  <wp:extent cx="5389880" cy="2700020"/>
                  <wp:effectExtent l="0" t="0" r="1270" b="5080"/>
                  <wp:docPr id="39" name="Picture 39" descr="Figure 11.31 MBS items rebated through DHS Medicare for pathology tests requested by GP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89880" cy="2700020"/>
                          </a:xfrm>
                          <a:prstGeom prst="rect">
                            <a:avLst/>
                          </a:prstGeom>
                          <a:noFill/>
                          <a:ln>
                            <a:noFill/>
                          </a:ln>
                        </pic:spPr>
                      </pic:pic>
                    </a:graphicData>
                  </a:graphic>
                </wp:inline>
              </w:drawing>
            </w:r>
          </w:p>
        </w:tc>
      </w:tr>
    </w:tbl>
    <w:p w:rsidR="000B2A40" w:rsidRPr="00944E91" w:rsidRDefault="000B2A40" w:rsidP="007644A0">
      <w:pPr>
        <w:pStyle w:val="Note"/>
      </w:pPr>
      <w:r>
        <w:rPr>
          <w:rStyle w:val="NoteLabel"/>
        </w:rPr>
        <w:t>a</w:t>
      </w:r>
      <w:r>
        <w:sym w:font="Symbol" w:char="F020"/>
      </w:r>
      <w:r w:rsidR="00D671F7">
        <w:t xml:space="preserve">Data are age standardised to the 2001 Australian standard population. </w:t>
      </w:r>
      <w:r w:rsidR="00D671F7">
        <w:rPr>
          <w:rStyle w:val="NoteLabel"/>
        </w:rPr>
        <w:t>b</w:t>
      </w:r>
      <w:r w:rsidR="00D671F7">
        <w:sym w:font="Symbol" w:char="F020"/>
      </w:r>
      <w:r w:rsidRPr="000B2A40">
        <w:t xml:space="preserve">Data include tests </w:t>
      </w:r>
      <w:r w:rsidR="00B1759D">
        <w:t>requested</w:t>
      </w:r>
      <w:r w:rsidRPr="000B2A40">
        <w:t xml:space="preserve"> by vocationally </w:t>
      </w:r>
      <w:r w:rsidR="000B2487" w:rsidRPr="000B2487">
        <w:t>registered</w:t>
      </w:r>
      <w:r w:rsidRPr="000B2A40">
        <w:t xml:space="preserve"> GPs and OMPs. Data include patient episode initiated items.</w:t>
      </w:r>
    </w:p>
    <w:p w:rsidR="000B2A40" w:rsidRPr="00944E91" w:rsidRDefault="000B2A40" w:rsidP="007644A0">
      <w:pPr>
        <w:pStyle w:val="Source"/>
      </w:pPr>
      <w:r>
        <w:rPr>
          <w:i/>
        </w:rPr>
        <w:t>Source</w:t>
      </w:r>
      <w:r w:rsidRPr="000B2A40">
        <w:t>:</w:t>
      </w:r>
      <w:r>
        <w:t xml:space="preserve"> </w:t>
      </w:r>
      <w:r w:rsidR="00B513D7">
        <w:t>Department of Health</w:t>
      </w:r>
      <w:r w:rsidRPr="000B2A40">
        <w:t xml:space="preserve"> (unpublished)</w:t>
      </w:r>
      <w:r w:rsidR="00B156DD">
        <w:t xml:space="preserve"> </w:t>
      </w:r>
      <w:r w:rsidR="00B156DD" w:rsidRPr="00B156DD">
        <w:t>MBS</w:t>
      </w:r>
      <w:r w:rsidR="007E4E44">
        <w:t xml:space="preserve"> and DVA</w:t>
      </w:r>
      <w:r w:rsidR="00B156DD" w:rsidRPr="00B156DD">
        <w:t xml:space="preserve"> data </w:t>
      </w:r>
      <w:r w:rsidR="00097F59">
        <w:t>collections</w:t>
      </w:r>
      <w:r w:rsidRPr="006C74C6">
        <w:t>; table</w:t>
      </w:r>
      <w:r w:rsidR="00EA4368" w:rsidRPr="006C74C6">
        <w:t> </w:t>
      </w:r>
      <w:r w:rsidR="009A06CD">
        <w:t>11A.6</w:t>
      </w:r>
      <w:r w:rsidR="009C7361">
        <w:t>3</w:t>
      </w:r>
      <w:r w:rsidRPr="006C74C6">
        <w:t>.</w:t>
      </w:r>
    </w:p>
    <w:p w:rsidR="000B2A40" w:rsidRPr="00200C93" w:rsidRDefault="000B2A40" w:rsidP="009F667C">
      <w:pPr>
        <w:pStyle w:val="BodyText"/>
      </w:pPr>
      <w:r w:rsidRPr="000B2A40">
        <w:t>Australian Government ex</w:t>
      </w:r>
      <w:r w:rsidR="00730A7D">
        <w:t xml:space="preserve">penditure </w:t>
      </w:r>
      <w:r w:rsidRPr="000B2A40">
        <w:t xml:space="preserve">under </w:t>
      </w:r>
      <w:r w:rsidR="002D7882" w:rsidRPr="002D7882">
        <w:t>DHS Medicare</w:t>
      </w:r>
      <w:r w:rsidRPr="000B2A40">
        <w:t xml:space="preserve"> </w:t>
      </w:r>
      <w:r w:rsidR="00C549A3">
        <w:t>for</w:t>
      </w:r>
      <w:r w:rsidRPr="000B2A40">
        <w:t xml:space="preserve"> p</w:t>
      </w:r>
      <w:r>
        <w:t xml:space="preserve">athology tests </w:t>
      </w:r>
      <w:r w:rsidR="00B1759D" w:rsidRPr="00A0640A">
        <w:t xml:space="preserve">requested </w:t>
      </w:r>
      <w:r w:rsidR="00B1759D" w:rsidRPr="00477390">
        <w:t xml:space="preserve">by vocationally </w:t>
      </w:r>
      <w:r w:rsidR="000B2487" w:rsidRPr="000B2487">
        <w:t xml:space="preserve">registered </w:t>
      </w:r>
      <w:r w:rsidR="00B1759D" w:rsidRPr="00477390">
        <w:t xml:space="preserve">GPs and OMPs </w:t>
      </w:r>
      <w:r w:rsidRPr="00477390">
        <w:t xml:space="preserve">amounted to </w:t>
      </w:r>
      <w:r w:rsidR="00A46843" w:rsidRPr="00477390">
        <w:t>$</w:t>
      </w:r>
      <w:r w:rsidR="00580384" w:rsidRPr="00477390">
        <w:t>1.</w:t>
      </w:r>
      <w:r w:rsidR="00BA0F30">
        <w:t>5</w:t>
      </w:r>
      <w:r w:rsidRPr="00477390">
        <w:t xml:space="preserve"> billion, </w:t>
      </w:r>
      <w:r w:rsidR="0041696D" w:rsidRPr="00477390">
        <w:t xml:space="preserve">or </w:t>
      </w:r>
      <w:r w:rsidR="00C549A3" w:rsidRPr="00477390">
        <w:t>around</w:t>
      </w:r>
      <w:r w:rsidR="00470689" w:rsidRPr="00477390">
        <w:t xml:space="preserve"> </w:t>
      </w:r>
      <w:r w:rsidRPr="00477390">
        <w:t>$</w:t>
      </w:r>
      <w:r w:rsidR="00470689" w:rsidRPr="00477390">
        <w:t>6</w:t>
      </w:r>
      <w:r w:rsidR="00BA0F30">
        <w:t>2</w:t>
      </w:r>
      <w:r w:rsidRPr="00477390">
        <w:t> per person</w:t>
      </w:r>
      <w:r w:rsidR="008A4BF5" w:rsidRPr="00477390">
        <w:t>, in</w:t>
      </w:r>
      <w:r w:rsidR="00BA0F30">
        <w:t xml:space="preserve"> 2012-13</w:t>
      </w:r>
      <w:r w:rsidRPr="00477390">
        <w:t xml:space="preserve">. Nationally, Medicare </w:t>
      </w:r>
      <w:r w:rsidRPr="00BA0F30">
        <w:t>benefits worth $1.</w:t>
      </w:r>
      <w:r w:rsidR="00BA0F30" w:rsidRPr="00BA0F30">
        <w:t>4</w:t>
      </w:r>
      <w:r w:rsidRPr="00BA0F30">
        <w:t xml:space="preserve"> billion </w:t>
      </w:r>
      <w:r w:rsidR="00C549A3" w:rsidRPr="00BA0F30">
        <w:t xml:space="preserve">— </w:t>
      </w:r>
      <w:r w:rsidR="00C549A3" w:rsidRPr="009F667C">
        <w:t>around $5</w:t>
      </w:r>
      <w:r w:rsidR="00B5450D" w:rsidRPr="009F667C">
        <w:t>9</w:t>
      </w:r>
      <w:r w:rsidR="00C549A3" w:rsidRPr="009F667C">
        <w:t> per person</w:t>
      </w:r>
      <w:r w:rsidR="00C549A3" w:rsidRPr="00477390">
        <w:t xml:space="preserve"> — </w:t>
      </w:r>
      <w:r w:rsidRPr="00477390">
        <w:t>were paid for diagnostic imaging</w:t>
      </w:r>
      <w:r w:rsidR="00B1759D" w:rsidRPr="00477390">
        <w:t xml:space="preserve"> </w:t>
      </w:r>
      <w:r w:rsidR="00C549A3" w:rsidRPr="00477390">
        <w:t>services provided on referral from</w:t>
      </w:r>
      <w:r w:rsidR="00B1759D" w:rsidRPr="00477390">
        <w:t xml:space="preserve"> </w:t>
      </w:r>
      <w:r w:rsidR="00057B88" w:rsidRPr="00477390">
        <w:t xml:space="preserve">vocationally </w:t>
      </w:r>
      <w:r w:rsidR="000B2487" w:rsidRPr="000B2487">
        <w:t xml:space="preserve">registered </w:t>
      </w:r>
      <w:r w:rsidR="00B1759D" w:rsidRPr="00477390">
        <w:t>GPs and OMPs</w:t>
      </w:r>
      <w:r w:rsidRPr="00477390">
        <w:t xml:space="preserve">, </w:t>
      </w:r>
      <w:r w:rsidR="0043386F" w:rsidRPr="00477390">
        <w:t xml:space="preserve">in </w:t>
      </w:r>
      <w:r w:rsidR="00BA0F30">
        <w:t>2012-13</w:t>
      </w:r>
      <w:r w:rsidR="00BA0F30" w:rsidRPr="00477390">
        <w:t xml:space="preserve"> </w:t>
      </w:r>
      <w:r w:rsidRPr="00477390">
        <w:t>(figure </w:t>
      </w:r>
      <w:r w:rsidR="005524EB" w:rsidRPr="00477390">
        <w:t>11.</w:t>
      </w:r>
      <w:r w:rsidR="00CA25A8">
        <w:t>32</w:t>
      </w:r>
      <w:r w:rsidR="00C3690E">
        <w:t>)</w:t>
      </w:r>
      <w:r w:rsidR="008F6ECE" w:rsidRPr="00477390">
        <w:t>.</w:t>
      </w:r>
    </w:p>
    <w:p w:rsidR="000B2A40" w:rsidRPr="00A808D8" w:rsidRDefault="000B2A40" w:rsidP="00AD73BD">
      <w:pPr>
        <w:pStyle w:val="FigureTitle"/>
        <w:ind w:left="1560" w:hanging="1560"/>
      </w:pPr>
      <w:r>
        <w:rPr>
          <w:b w:val="0"/>
        </w:rPr>
        <w:lastRenderedPageBreak/>
        <w:t xml:space="preserve">Figure </w:t>
      </w:r>
      <w:bookmarkStart w:id="44" w:name="OLE_LINK27"/>
      <w:r w:rsidR="00EC42DB">
        <w:rPr>
          <w:b w:val="0"/>
        </w:rPr>
        <w:t>11.</w:t>
      </w:r>
      <w:bookmarkEnd w:id="44"/>
      <w:r w:rsidR="00CA25A8">
        <w:rPr>
          <w:b w:val="0"/>
        </w:rPr>
        <w:t>32</w:t>
      </w:r>
      <w:r>
        <w:tab/>
      </w:r>
      <w:r w:rsidRPr="000B2A40">
        <w:t>Benefits paid for pathology tes</w:t>
      </w:r>
      <w:r>
        <w:t xml:space="preserve">ts and diagnostic imaging, </w:t>
      </w:r>
      <w:r w:rsidR="00AD73BD">
        <w:t>2012</w:t>
      </w:r>
      <w:r w:rsidR="00AD73BD">
        <w:noBreakHyphen/>
        <w:t>13</w:t>
      </w:r>
      <w:r w:rsidRPr="00AD73BD">
        <w:rPr>
          <w:rStyle w:val="NoteLabel"/>
          <w:b/>
        </w:rPr>
        <w:t>a</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0B2A40" w:rsidTr="00941DCE">
        <w:tc>
          <w:tcPr>
            <w:tcW w:w="8777" w:type="dxa"/>
            <w:tcBorders>
              <w:top w:val="single" w:sz="6" w:space="0" w:color="auto"/>
              <w:bottom w:val="single" w:sz="6" w:space="0" w:color="auto"/>
              <w:right w:val="nil"/>
            </w:tcBorders>
          </w:tcPr>
          <w:p w:rsidR="000B2A40" w:rsidRPr="00351BFA" w:rsidRDefault="00FF6757" w:rsidP="00AD73BD">
            <w:pPr>
              <w:pStyle w:val="Figure"/>
            </w:pPr>
            <w:r>
              <w:rPr>
                <w:noProof/>
              </w:rPr>
              <w:drawing>
                <wp:inline distT="0" distB="0" distL="0" distR="0">
                  <wp:extent cx="5389880" cy="2861310"/>
                  <wp:effectExtent l="0" t="0" r="1270" b="0"/>
                  <wp:docPr id="40" name="Picture 40" descr="Figure 11.32 Benefits paid for pathology tests and diagnostic imaging,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0B2A40" w:rsidRPr="000B2A40" w:rsidRDefault="000B2A40" w:rsidP="00AD73BD">
      <w:pPr>
        <w:pStyle w:val="Note"/>
        <w:keepNext/>
      </w:pPr>
      <w:r>
        <w:rPr>
          <w:rStyle w:val="NoteLabel"/>
        </w:rPr>
        <w:t>a</w:t>
      </w:r>
      <w:r>
        <w:sym w:font="Symbol" w:char="F020"/>
      </w:r>
      <w:r w:rsidRPr="000B2A40">
        <w:t xml:space="preserve"> Includes benefits paid through </w:t>
      </w:r>
      <w:r w:rsidR="002D7882" w:rsidRPr="002D7882">
        <w:t xml:space="preserve">DHS Medicare </w:t>
      </w:r>
      <w:r w:rsidRPr="000B2A40">
        <w:t xml:space="preserve">(including DVA data) for </w:t>
      </w:r>
      <w:r w:rsidR="001B2BDC">
        <w:t>MBS</w:t>
      </w:r>
      <w:r w:rsidR="001B2BDC" w:rsidRPr="001B2BDC">
        <w:t xml:space="preserve"> </w:t>
      </w:r>
      <w:r w:rsidR="001B2BDC">
        <w:t xml:space="preserve">pathology and diagnostic imaging items, for services provided on referral from </w:t>
      </w:r>
      <w:r w:rsidRPr="000B2A40">
        <w:t xml:space="preserve">vocationally </w:t>
      </w:r>
      <w:r w:rsidR="000B2487" w:rsidRPr="000B2487">
        <w:t>registered</w:t>
      </w:r>
      <w:r w:rsidRPr="000B2A40">
        <w:t xml:space="preserve"> GPs and OMPs.</w:t>
      </w:r>
    </w:p>
    <w:p w:rsidR="000B2A40" w:rsidRPr="000B2A40" w:rsidRDefault="000B2A40" w:rsidP="00AD73BD">
      <w:pPr>
        <w:pStyle w:val="Source"/>
      </w:pPr>
      <w:r>
        <w:rPr>
          <w:i/>
        </w:rPr>
        <w:t>Source</w:t>
      </w:r>
      <w:r w:rsidRPr="000B2A40">
        <w:t>:</w:t>
      </w:r>
      <w:r>
        <w:t xml:space="preserve"> </w:t>
      </w:r>
      <w:r w:rsidR="00B513D7">
        <w:t>Department of Health</w:t>
      </w:r>
      <w:r w:rsidRPr="000B2A40">
        <w:t xml:space="preserve"> (unpublished)</w:t>
      </w:r>
      <w:r w:rsidR="00B156DD">
        <w:t xml:space="preserve"> </w:t>
      </w:r>
      <w:r w:rsidR="00EC60F4" w:rsidRPr="00B156DD">
        <w:t>MBS</w:t>
      </w:r>
      <w:r w:rsidR="00EC60F4">
        <w:t xml:space="preserve"> and DVA</w:t>
      </w:r>
      <w:r w:rsidR="00EC60F4" w:rsidRPr="00B156DD">
        <w:t xml:space="preserve"> data </w:t>
      </w:r>
      <w:r w:rsidR="00097F59">
        <w:t>collections</w:t>
      </w:r>
      <w:r w:rsidRPr="006C74C6">
        <w:t>; tables</w:t>
      </w:r>
      <w:r w:rsidR="00EA4368" w:rsidRPr="006C74C6">
        <w:t> </w:t>
      </w:r>
      <w:r w:rsidR="009A06CD">
        <w:t>11A.6</w:t>
      </w:r>
      <w:r w:rsidR="009C7361">
        <w:t>3</w:t>
      </w:r>
      <w:r w:rsidR="00DB415A" w:rsidRPr="006C74C6">
        <w:t xml:space="preserve"> and </w:t>
      </w:r>
      <w:r w:rsidR="009A06CD">
        <w:t>11A.6</w:t>
      </w:r>
      <w:r w:rsidR="009C7361">
        <w:t>5</w:t>
      </w:r>
      <w:r w:rsidRPr="006C74C6">
        <w:t>.</w:t>
      </w:r>
    </w:p>
    <w:p w:rsidR="000B2A40" w:rsidRPr="00200C93" w:rsidRDefault="00AD73BD" w:rsidP="009F667C">
      <w:pPr>
        <w:pStyle w:val="BodyText"/>
      </w:pPr>
      <w:r w:rsidRPr="00AD73BD">
        <w:t xml:space="preserve">Nationally, the number of rebated MBS items for </w:t>
      </w:r>
      <w:r w:rsidRPr="000B2A40">
        <w:t xml:space="preserve">diagnostic imaging </w:t>
      </w:r>
      <w:r>
        <w:t xml:space="preserve">performed on </w:t>
      </w:r>
      <w:r w:rsidRPr="000B2A40">
        <w:t>referral</w:t>
      </w:r>
      <w:r>
        <w:t xml:space="preserve"> from </w:t>
      </w:r>
      <w:r w:rsidRPr="00AD73BD">
        <w:t xml:space="preserve">GPs was </w:t>
      </w:r>
      <w:r w:rsidRPr="009F667C">
        <w:t>0.5</w:t>
      </w:r>
      <w:r w:rsidR="00C85710" w:rsidRPr="009F667C">
        <w:t>4</w:t>
      </w:r>
      <w:r w:rsidRPr="00AD73BD">
        <w:t xml:space="preserve"> per person in 2012-13 </w:t>
      </w:r>
      <w:r w:rsidR="000B2A40" w:rsidRPr="00FB7966">
        <w:t>(figure </w:t>
      </w:r>
      <w:r w:rsidR="001D217A" w:rsidRPr="00FB7966">
        <w:t>11.</w:t>
      </w:r>
      <w:r w:rsidR="009E2824" w:rsidRPr="00FB7966">
        <w:t>3</w:t>
      </w:r>
      <w:r w:rsidR="00CA25A8">
        <w:t>3</w:t>
      </w:r>
      <w:r w:rsidR="00190D16">
        <w:t>).</w:t>
      </w:r>
    </w:p>
    <w:p w:rsidR="006B7534" w:rsidRPr="006B7534" w:rsidRDefault="006B7534" w:rsidP="00AD73BD">
      <w:pPr>
        <w:pStyle w:val="FigureTitle"/>
        <w:ind w:left="1560" w:hanging="1560"/>
      </w:pPr>
      <w:r>
        <w:rPr>
          <w:b w:val="0"/>
        </w:rPr>
        <w:t xml:space="preserve">Figure </w:t>
      </w:r>
      <w:bookmarkStart w:id="45" w:name="OLE_LINK28"/>
      <w:r w:rsidR="00EC42DB">
        <w:rPr>
          <w:b w:val="0"/>
        </w:rPr>
        <w:t>11.</w:t>
      </w:r>
      <w:r w:rsidR="00C44281">
        <w:rPr>
          <w:b w:val="0"/>
          <w:noProof/>
        </w:rPr>
        <w:t>3</w:t>
      </w:r>
      <w:bookmarkEnd w:id="45"/>
      <w:r w:rsidR="00CA25A8">
        <w:rPr>
          <w:b w:val="0"/>
          <w:noProof/>
        </w:rPr>
        <w:t>3</w:t>
      </w:r>
      <w:r>
        <w:tab/>
      </w:r>
      <w:r w:rsidRPr="006B7534">
        <w:t xml:space="preserve">Diagnostic imaging </w:t>
      </w:r>
      <w:r w:rsidR="0041696D">
        <w:t>services referred</w:t>
      </w:r>
      <w:r w:rsidR="00F96FCF" w:rsidRPr="000B2A40">
        <w:t xml:space="preserve"> by GPs and rebated through </w:t>
      </w:r>
      <w:r w:rsidR="002D7882" w:rsidRPr="002D7882">
        <w:t>DHS Medicare</w:t>
      </w:r>
      <w:r w:rsidR="00B562B1">
        <w:t>, 2012-13</w:t>
      </w:r>
      <w:r w:rsidR="00F96FCF" w:rsidRPr="000B2A40">
        <w:rPr>
          <w:rStyle w:val="NoteLabel"/>
          <w:b/>
        </w:rPr>
        <w:t>a</w:t>
      </w:r>
    </w:p>
    <w:tbl>
      <w:tblPr>
        <w:tblW w:w="0" w:type="auto"/>
        <w:tblInd w:w="11" w:type="dxa"/>
        <w:tblBorders>
          <w:top w:val="single" w:sz="6" w:space="0" w:color="auto"/>
          <w:left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B7534" w:rsidTr="00941DCE">
        <w:tc>
          <w:tcPr>
            <w:tcW w:w="8777" w:type="dxa"/>
            <w:tcBorders>
              <w:top w:val="single" w:sz="6" w:space="0" w:color="auto"/>
              <w:left w:val="nil"/>
              <w:bottom w:val="single" w:sz="6" w:space="0" w:color="auto"/>
            </w:tcBorders>
          </w:tcPr>
          <w:p w:rsidR="006B7534" w:rsidRDefault="00FF6757" w:rsidP="00AD73BD">
            <w:pPr>
              <w:pStyle w:val="Figure"/>
            </w:pPr>
            <w:r>
              <w:rPr>
                <w:noProof/>
              </w:rPr>
              <w:drawing>
                <wp:inline distT="0" distB="0" distL="0" distR="0">
                  <wp:extent cx="5389880" cy="2710815"/>
                  <wp:effectExtent l="0" t="0" r="1270" b="0"/>
                  <wp:docPr id="41" name="Picture 41" descr="Figure 11.33 Diagnostic imaging services referred by GPs and rebated through DHS Medicar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6B7534" w:rsidRPr="006B7534" w:rsidRDefault="006B7534" w:rsidP="00AD73BD">
      <w:pPr>
        <w:pStyle w:val="Note"/>
        <w:keepNext/>
      </w:pPr>
      <w:r>
        <w:rPr>
          <w:rStyle w:val="NoteLabel"/>
        </w:rPr>
        <w:t>a</w:t>
      </w:r>
      <w:r>
        <w:sym w:font="Symbol" w:char="F020"/>
      </w:r>
      <w:r w:rsidRPr="006B7534">
        <w:t xml:space="preserve"> </w:t>
      </w:r>
      <w:r w:rsidR="00474E49">
        <w:t>GPs include</w:t>
      </w:r>
      <w:r w:rsidRPr="006B7534">
        <w:t xml:space="preserve"> vocationally </w:t>
      </w:r>
      <w:r w:rsidR="000B2487" w:rsidRPr="000B2487">
        <w:t xml:space="preserve">registered </w:t>
      </w:r>
      <w:r w:rsidRPr="006B7534">
        <w:t>GPs and OMPs.</w:t>
      </w:r>
    </w:p>
    <w:p w:rsidR="00BD2E1A" w:rsidRDefault="006B7534" w:rsidP="00AD73BD">
      <w:pPr>
        <w:pStyle w:val="Source"/>
      </w:pPr>
      <w:r w:rsidRPr="0070304B">
        <w:rPr>
          <w:i/>
        </w:rPr>
        <w:t>Source</w:t>
      </w:r>
      <w:r w:rsidRPr="0070304B">
        <w:t xml:space="preserve">: </w:t>
      </w:r>
      <w:r w:rsidR="00B513D7">
        <w:t>Department of Health</w:t>
      </w:r>
      <w:r w:rsidRPr="0070304B">
        <w:t xml:space="preserve"> (unpublished)</w:t>
      </w:r>
      <w:r w:rsidR="00B156DD" w:rsidRPr="0070304B">
        <w:t xml:space="preserve"> </w:t>
      </w:r>
      <w:r w:rsidR="00EC60F4" w:rsidRPr="00B156DD">
        <w:t>MBS</w:t>
      </w:r>
      <w:r w:rsidR="00EC60F4">
        <w:t xml:space="preserve"> and DVA</w:t>
      </w:r>
      <w:r w:rsidR="00EC60F4" w:rsidRPr="00B156DD">
        <w:t xml:space="preserve"> data </w:t>
      </w:r>
      <w:r w:rsidR="00097F59" w:rsidRPr="006C74C6">
        <w:t>collections</w:t>
      </w:r>
      <w:r w:rsidRPr="006C74C6">
        <w:t>; table</w:t>
      </w:r>
      <w:r w:rsidR="00EA4368" w:rsidRPr="006C74C6">
        <w:t> </w:t>
      </w:r>
      <w:r w:rsidR="009A06CD">
        <w:t>11A.6</w:t>
      </w:r>
      <w:r w:rsidR="009C7361">
        <w:t>5</w:t>
      </w:r>
      <w:r w:rsidRPr="006C74C6">
        <w:t>.</w:t>
      </w:r>
    </w:p>
    <w:p w:rsidR="006B7534" w:rsidRDefault="006B7534" w:rsidP="006B7534">
      <w:pPr>
        <w:pStyle w:val="Heading4"/>
      </w:pPr>
      <w:r>
        <w:lastRenderedPageBreak/>
        <w:t>Quality — safety</w:t>
      </w:r>
    </w:p>
    <w:p w:rsidR="006B7534" w:rsidRPr="00EE7B5B" w:rsidRDefault="0043386F" w:rsidP="006B7534">
      <w:pPr>
        <w:pStyle w:val="Heading5"/>
      </w:pPr>
      <w:bookmarkStart w:id="46" w:name="OLE_LINK12"/>
      <w:r>
        <w:t>E</w:t>
      </w:r>
      <w:r w:rsidR="00EE7B5B" w:rsidRPr="00EE7B5B">
        <w:t xml:space="preserve">lectronic health </w:t>
      </w:r>
      <w:r w:rsidR="00255CC0">
        <w:t xml:space="preserve">information </w:t>
      </w:r>
      <w:r w:rsidR="00EE7B5B" w:rsidRPr="00EE7B5B">
        <w:t>systems</w:t>
      </w:r>
      <w:bookmarkEnd w:id="46"/>
    </w:p>
    <w:p w:rsidR="006E3F26" w:rsidRPr="00200C93" w:rsidRDefault="00B679EB" w:rsidP="00944E91">
      <w:pPr>
        <w:pStyle w:val="BodyText"/>
      </w:pPr>
      <w:r>
        <w:t>‘</w:t>
      </w:r>
      <w:r w:rsidR="0043386F">
        <w:t>E</w:t>
      </w:r>
      <w:r w:rsidR="00EE7B5B" w:rsidRPr="00EE7B5B">
        <w:t xml:space="preserve">lectronic health </w:t>
      </w:r>
      <w:r w:rsidR="00255CC0" w:rsidRPr="00255CC0">
        <w:t xml:space="preserve">information </w:t>
      </w:r>
      <w:r w:rsidR="00EE7B5B" w:rsidRPr="00EE7B5B">
        <w:t>systems</w:t>
      </w:r>
      <w:r>
        <w:t>’</w:t>
      </w:r>
      <w:r w:rsidRPr="00B679EB">
        <w:t xml:space="preserve"> is an indicator of </w:t>
      </w:r>
      <w:r>
        <w:t xml:space="preserve">governments’ objective to improve patient safety through </w:t>
      </w:r>
      <w:r w:rsidR="00C5227E" w:rsidRPr="00C5227E">
        <w:t>enhanced access to patient health information at the point of care and the more efficient coordination of care across m</w:t>
      </w:r>
      <w:r w:rsidR="00C5227E">
        <w:t>ultiple providers and services (box 11.</w:t>
      </w:r>
      <w:r w:rsidR="004F66F0">
        <w:t>15</w:t>
      </w:r>
      <w:r w:rsidR="006E3F26" w:rsidRPr="004F66F0">
        <w:t>)</w:t>
      </w:r>
      <w:r w:rsidR="00C5227E">
        <w:t>.</w:t>
      </w:r>
    </w:p>
    <w:p w:rsidR="006B7534" w:rsidRDefault="006B753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7534">
        <w:tc>
          <w:tcPr>
            <w:tcW w:w="8771" w:type="dxa"/>
            <w:tcBorders>
              <w:top w:val="single" w:sz="6" w:space="0" w:color="auto"/>
              <w:bottom w:val="nil"/>
            </w:tcBorders>
          </w:tcPr>
          <w:p w:rsidR="006B7534" w:rsidRPr="00EE7B5B" w:rsidRDefault="006B7534" w:rsidP="004F66F0">
            <w:pPr>
              <w:pStyle w:val="BoxTitle"/>
              <w:tabs>
                <w:tab w:val="left" w:pos="5790"/>
              </w:tabs>
            </w:pPr>
            <w:smartTag w:uri="urn:schemas-microsoft-com:office:smarttags" w:element="Street">
              <w:r>
                <w:rPr>
                  <w:b w:val="0"/>
                </w:rPr>
                <w:t>Box</w:t>
              </w:r>
            </w:smartTag>
            <w:r>
              <w:rPr>
                <w:b w:val="0"/>
              </w:rPr>
              <w:t xml:space="preserve"> </w:t>
            </w:r>
            <w:bookmarkStart w:id="47" w:name="OLE_LINK29"/>
            <w:r w:rsidR="00EC42DB">
              <w:rPr>
                <w:b w:val="0"/>
              </w:rPr>
              <w:t>11.</w:t>
            </w:r>
            <w:r w:rsidR="00C44281">
              <w:rPr>
                <w:b w:val="0"/>
                <w:noProof/>
              </w:rPr>
              <w:t>15</w:t>
            </w:r>
            <w:bookmarkEnd w:id="47"/>
            <w:r>
              <w:tab/>
            </w:r>
            <w:r w:rsidR="0043386F">
              <w:t>E</w:t>
            </w:r>
            <w:r w:rsidR="00EE7B5B" w:rsidRPr="00EE7B5B">
              <w:t xml:space="preserve">lectronic health </w:t>
            </w:r>
            <w:r w:rsidR="0043386F">
              <w:t xml:space="preserve">information </w:t>
            </w:r>
            <w:r w:rsidR="00EE7B5B" w:rsidRPr="00EE7B5B">
              <w:t>systems</w:t>
            </w:r>
          </w:p>
        </w:tc>
      </w:tr>
      <w:tr w:rsidR="006B7534">
        <w:trPr>
          <w:cantSplit/>
        </w:trPr>
        <w:tc>
          <w:tcPr>
            <w:tcW w:w="8771" w:type="dxa"/>
            <w:tcBorders>
              <w:top w:val="nil"/>
              <w:left w:val="single" w:sz="6" w:space="0" w:color="auto"/>
              <w:bottom w:val="nil"/>
              <w:right w:val="single" w:sz="6" w:space="0" w:color="auto"/>
            </w:tcBorders>
          </w:tcPr>
          <w:p w:rsidR="006B7534" w:rsidRPr="0070304B" w:rsidRDefault="00D265D2" w:rsidP="00B27FCD">
            <w:pPr>
              <w:pStyle w:val="Box"/>
            </w:pPr>
            <w:r w:rsidRPr="0070304B">
              <w:t>‘</w:t>
            </w:r>
            <w:r w:rsidR="0043386F">
              <w:t>E</w:t>
            </w:r>
            <w:r w:rsidR="00EE7B5B" w:rsidRPr="00EE7B5B">
              <w:t xml:space="preserve">lectronic health </w:t>
            </w:r>
            <w:r w:rsidR="00255CC0" w:rsidRPr="00255CC0">
              <w:t xml:space="preserve">information </w:t>
            </w:r>
            <w:r w:rsidR="00EE7B5B" w:rsidRPr="00EE7B5B">
              <w:t>systems</w:t>
            </w:r>
            <w:r w:rsidRPr="0070304B">
              <w:t xml:space="preserve">’ </w:t>
            </w:r>
            <w:r w:rsidR="0042741F">
              <w:t xml:space="preserve">is defined </w:t>
            </w:r>
            <w:r w:rsidR="00B27FCD">
              <w:t xml:space="preserve">as the </w:t>
            </w:r>
            <w:r w:rsidR="006B7534" w:rsidRPr="0070304B">
              <w:t xml:space="preserve">proportion of </w:t>
            </w:r>
            <w:r w:rsidR="0043386F">
              <w:t xml:space="preserve">general </w:t>
            </w:r>
            <w:r w:rsidR="003350FA" w:rsidRPr="0070304B">
              <w:t xml:space="preserve">practices enrolled in the Practice Incentives Program (PIP) </w:t>
            </w:r>
            <w:r w:rsidR="006B7534" w:rsidRPr="0070304B">
              <w:t xml:space="preserve">that </w:t>
            </w:r>
            <w:r w:rsidR="00B27FCD">
              <w:t xml:space="preserve">are </w:t>
            </w:r>
            <w:r w:rsidR="00B27FCD" w:rsidRPr="00B27FCD">
              <w:t>registered for the PIP eHealth incentive</w:t>
            </w:r>
            <w:r w:rsidR="00B27FCD">
              <w:t>.</w:t>
            </w:r>
          </w:p>
          <w:p w:rsidR="006B7534" w:rsidRPr="0070304B" w:rsidRDefault="006B7534" w:rsidP="00CA3C2D">
            <w:pPr>
              <w:pStyle w:val="Box"/>
            </w:pPr>
            <w:r w:rsidRPr="0070304B">
              <w:t>A</w:t>
            </w:r>
            <w:r w:rsidR="00835561">
              <w:t xml:space="preserve"> high or</w:t>
            </w:r>
            <w:r w:rsidRPr="0070304B">
              <w:t xml:space="preserve"> increas</w:t>
            </w:r>
            <w:r w:rsidR="00835561">
              <w:t>ing</w:t>
            </w:r>
            <w:r w:rsidRPr="0070304B">
              <w:t xml:space="preserve"> proportion </w:t>
            </w:r>
            <w:r w:rsidR="0042741F">
              <w:t>can</w:t>
            </w:r>
            <w:r w:rsidRPr="0070304B">
              <w:t xml:space="preserve"> indicate </w:t>
            </w:r>
            <w:r w:rsidR="003350FA" w:rsidRPr="00A642DE">
              <w:t xml:space="preserve">that </w:t>
            </w:r>
            <w:r w:rsidR="006E3F26" w:rsidRPr="00A642DE">
              <w:t xml:space="preserve">patient health information at the point of care and coordination of care across multiple providers and services </w:t>
            </w:r>
            <w:r w:rsidR="0029722B">
              <w:t>are</w:t>
            </w:r>
            <w:r w:rsidR="00835561">
              <w:t xml:space="preserve"> desirable or </w:t>
            </w:r>
            <w:r w:rsidR="006E3F26" w:rsidRPr="00A642DE">
              <w:t xml:space="preserve">are improved, minimising </w:t>
            </w:r>
            <w:r w:rsidR="003350FA" w:rsidRPr="00A642DE">
              <w:t>the</w:t>
            </w:r>
            <w:r w:rsidR="003350FA" w:rsidRPr="0070304B">
              <w:t xml:space="preserve"> likelihood of patient harm due</w:t>
            </w:r>
            <w:r w:rsidR="006E3F26">
              <w:t xml:space="preserve"> </w:t>
            </w:r>
            <w:r w:rsidR="006E3F26" w:rsidRPr="00A642DE">
              <w:t>to</w:t>
            </w:r>
            <w:r w:rsidR="003350FA" w:rsidRPr="00A642DE">
              <w:t xml:space="preserve"> </w:t>
            </w:r>
            <w:r w:rsidR="006E3F26" w:rsidRPr="00A642DE">
              <w:t>information gaps</w:t>
            </w:r>
            <w:r w:rsidR="0088537D" w:rsidRPr="00A642DE">
              <w:t>.</w:t>
            </w:r>
          </w:p>
          <w:p w:rsidR="006B7534" w:rsidRPr="0070304B" w:rsidRDefault="006B7534" w:rsidP="00CA3C2D">
            <w:pPr>
              <w:pStyle w:val="Box"/>
            </w:pPr>
            <w:r w:rsidRPr="0070304B">
              <w:t xml:space="preserve">The PIP does not include all practices in </w:t>
            </w:r>
            <w:smartTag w:uri="urn:schemas-microsoft-com:office:smarttags" w:element="place">
              <w:smartTag w:uri="urn:schemas-microsoft-com:office:smarttags" w:element="country-region">
                <w:r w:rsidRPr="0070304B">
                  <w:t>Australia</w:t>
                </w:r>
              </w:smartTag>
            </w:smartTag>
            <w:r w:rsidRPr="0070304B">
              <w:t xml:space="preserve">. PIP practices </w:t>
            </w:r>
            <w:r w:rsidR="00E04293" w:rsidRPr="00E04293">
              <w:t xml:space="preserve">provided around </w:t>
            </w:r>
            <w:r w:rsidR="0087694D" w:rsidRPr="0087694D">
              <w:t>83.0</w:t>
            </w:r>
            <w:r w:rsidR="00E04293" w:rsidRPr="0087694D">
              <w:t xml:space="preserve"> per cent of general practice patient care in </w:t>
            </w:r>
            <w:smartTag w:uri="urn:schemas-microsoft-com:office:smarttags" w:element="country-region">
              <w:r w:rsidR="00E04293" w:rsidRPr="0087694D">
                <w:t>Australia</w:t>
              </w:r>
            </w:smartTag>
            <w:r w:rsidRPr="0087694D">
              <w:t xml:space="preserve"> (measured as standardised whole patient equivalents) in</w:t>
            </w:r>
            <w:r w:rsidR="00A950FA" w:rsidRPr="0087694D">
              <w:t xml:space="preserve"> 20</w:t>
            </w:r>
            <w:r w:rsidR="004A50DB" w:rsidRPr="0087694D">
              <w:t>1</w:t>
            </w:r>
            <w:r w:rsidR="0087694D" w:rsidRPr="0087694D">
              <w:t>0</w:t>
            </w:r>
            <w:r w:rsidR="004A50DB" w:rsidRPr="0087694D">
              <w:t>-1</w:t>
            </w:r>
            <w:r w:rsidR="0087694D" w:rsidRPr="0087694D">
              <w:t>1</w:t>
            </w:r>
            <w:r w:rsidRPr="0087694D">
              <w:t xml:space="preserve"> </w:t>
            </w:r>
            <w:r w:rsidRPr="0070304B">
              <w:t>(</w:t>
            </w:r>
            <w:r w:rsidR="00B513D7">
              <w:t>Department of Health</w:t>
            </w:r>
            <w:r w:rsidRPr="0070304B">
              <w:t xml:space="preserve"> unpublished</w:t>
            </w:r>
            <w:r w:rsidRPr="006C74C6">
              <w:t>; table </w:t>
            </w:r>
            <w:r w:rsidR="009C7361">
              <w:t>11A.51</w:t>
            </w:r>
            <w:r w:rsidRPr="006C74C6">
              <w:t>).</w:t>
            </w:r>
          </w:p>
          <w:p w:rsidR="00633C68" w:rsidRDefault="00633C68" w:rsidP="00633C68">
            <w:pPr>
              <w:pStyle w:val="Box"/>
            </w:pPr>
            <w:r>
              <w:t>Data reported against this indicator are:</w:t>
            </w:r>
          </w:p>
          <w:p w:rsidR="00633C68" w:rsidRDefault="00633C68" w:rsidP="00633C68">
            <w:pPr>
              <w:pStyle w:val="BoxListBullet"/>
            </w:pPr>
            <w:r>
              <w:t>comparable (subject to caveats) across jurisdictions and over time</w:t>
            </w:r>
          </w:p>
          <w:p w:rsidR="00FA172F" w:rsidRDefault="00633C68" w:rsidP="00633C68">
            <w:pPr>
              <w:pStyle w:val="BoxListBullet"/>
            </w:pPr>
            <w:r>
              <w:t>complete (subject to caveats) for the current reporting period. All required 2012</w:t>
            </w:r>
            <w:r>
              <w:noBreakHyphen/>
              <w:t>13 data are available for all jurisdictions.</w:t>
            </w:r>
          </w:p>
          <w:p w:rsidR="0027351B" w:rsidRPr="0070304B" w:rsidRDefault="0027351B" w:rsidP="006B7534">
            <w:pPr>
              <w:pStyle w:val="Box"/>
            </w:pPr>
            <w:r w:rsidRPr="0027351B">
              <w:t>Data quality information for this indicator is under deve</w:t>
            </w:r>
            <w:r>
              <w:t>lopment.</w:t>
            </w:r>
          </w:p>
        </w:tc>
      </w:tr>
      <w:tr w:rsidR="006B7534">
        <w:trPr>
          <w:cantSplit/>
        </w:trPr>
        <w:tc>
          <w:tcPr>
            <w:tcW w:w="8771" w:type="dxa"/>
            <w:tcBorders>
              <w:top w:val="nil"/>
              <w:left w:val="single" w:sz="6" w:space="0" w:color="auto"/>
              <w:bottom w:val="single" w:sz="6" w:space="0" w:color="auto"/>
              <w:right w:val="single" w:sz="6" w:space="0" w:color="auto"/>
            </w:tcBorders>
          </w:tcPr>
          <w:p w:rsidR="006B7534" w:rsidRDefault="006B7534">
            <w:pPr>
              <w:pStyle w:val="Box"/>
              <w:spacing w:before="0" w:line="120" w:lineRule="exact"/>
            </w:pPr>
          </w:p>
        </w:tc>
      </w:tr>
      <w:tr w:rsidR="006B7534">
        <w:tc>
          <w:tcPr>
            <w:tcW w:w="8771" w:type="dxa"/>
            <w:tcBorders>
              <w:top w:val="nil"/>
              <w:left w:val="nil"/>
              <w:bottom w:val="nil"/>
              <w:right w:val="nil"/>
            </w:tcBorders>
          </w:tcPr>
          <w:p w:rsidR="006B7534" w:rsidRDefault="006B7534">
            <w:pPr>
              <w:pStyle w:val="Box"/>
              <w:keepNext w:val="0"/>
              <w:spacing w:before="60" w:after="60" w:line="80" w:lineRule="exact"/>
              <w:rPr>
                <w:b/>
                <w:color w:val="FF00FF"/>
                <w:sz w:val="14"/>
              </w:rPr>
            </w:pPr>
          </w:p>
        </w:tc>
      </w:tr>
    </w:tbl>
    <w:p w:rsidR="006E3F26" w:rsidRPr="00200C93" w:rsidRDefault="006E3F26" w:rsidP="00944E91">
      <w:pPr>
        <w:pStyle w:val="BodyText"/>
      </w:pPr>
      <w:r>
        <w:t xml:space="preserve">The use of electronic health information systems can, for example, </w:t>
      </w:r>
      <w:r w:rsidRPr="00B679EB">
        <w:t xml:space="preserve">facilitate best practice chronic disease management </w:t>
      </w:r>
      <w:r w:rsidR="00E04313">
        <w:t>as well as</w:t>
      </w:r>
      <w:r w:rsidRPr="00B679EB">
        <w:t xml:space="preserve"> </w:t>
      </w:r>
      <w:r>
        <w:t xml:space="preserve">minimise </w:t>
      </w:r>
      <w:r w:rsidRPr="00B679EB">
        <w:t xml:space="preserve">errors </w:t>
      </w:r>
      <w:r>
        <w:t xml:space="preserve">of </w:t>
      </w:r>
      <w:r w:rsidRPr="00B679EB">
        <w:t>prescribing and dispensing</w:t>
      </w:r>
      <w:r>
        <w:t xml:space="preserve"> that can cause adverse drug reactions</w:t>
      </w:r>
      <w:r w:rsidR="00576D3A">
        <w:t xml:space="preserve"> (</w:t>
      </w:r>
      <w:r w:rsidR="00576D3A" w:rsidRPr="00576D3A">
        <w:t>Hofmarch</w:t>
      </w:r>
      <w:r w:rsidR="00576D3A">
        <w:t>er, Oxley</w:t>
      </w:r>
      <w:r w:rsidR="005D33F3">
        <w:t xml:space="preserve"> and</w:t>
      </w:r>
      <w:r w:rsidR="00576D3A" w:rsidRPr="00576D3A">
        <w:t xml:space="preserve"> Rusticelli</w:t>
      </w:r>
      <w:r w:rsidR="00576D3A">
        <w:t> </w:t>
      </w:r>
      <w:r w:rsidR="00576D3A" w:rsidRPr="004F66F0">
        <w:t>2007</w:t>
      </w:r>
      <w:r w:rsidR="00576D3A">
        <w:t>)</w:t>
      </w:r>
      <w:r>
        <w:t>.</w:t>
      </w:r>
    </w:p>
    <w:p w:rsidR="0070605D" w:rsidRPr="00200C93" w:rsidRDefault="00D265D2" w:rsidP="00944E91">
      <w:pPr>
        <w:pStyle w:val="BodyText"/>
      </w:pPr>
      <w:r w:rsidRPr="00580E36">
        <w:t xml:space="preserve">The PIP provides </w:t>
      </w:r>
      <w:r w:rsidR="00580E36">
        <w:t xml:space="preserve">financial </w:t>
      </w:r>
      <w:r w:rsidR="0070605D" w:rsidRPr="00580E36">
        <w:t xml:space="preserve">incentives </w:t>
      </w:r>
      <w:r w:rsidRPr="00580E36">
        <w:t xml:space="preserve">to general practices </w:t>
      </w:r>
      <w:r w:rsidR="00580E36" w:rsidRPr="00580E36">
        <w:t xml:space="preserve">to support quality care, and improve access and health outcomes. </w:t>
      </w:r>
      <w:r w:rsidR="0070605D" w:rsidRPr="00580E36">
        <w:t>The PIP</w:t>
      </w:r>
      <w:r w:rsidRPr="00580E36">
        <w:t xml:space="preserve"> promot</w:t>
      </w:r>
      <w:r w:rsidR="00F377C3">
        <w:t>es activities such as:</w:t>
      </w:r>
    </w:p>
    <w:p w:rsidR="0070605D" w:rsidRDefault="00D265D2" w:rsidP="0070605D">
      <w:pPr>
        <w:pStyle w:val="ListBullet"/>
      </w:pPr>
      <w:r>
        <w:t xml:space="preserve">use of electronic </w:t>
      </w:r>
      <w:r w:rsidR="00C0184F">
        <w:t xml:space="preserve">health </w:t>
      </w:r>
      <w:r w:rsidR="0070605D">
        <w:t>information systems</w:t>
      </w:r>
    </w:p>
    <w:p w:rsidR="0070605D" w:rsidRDefault="00D265D2" w:rsidP="0070605D">
      <w:pPr>
        <w:pStyle w:val="ListBullet"/>
      </w:pPr>
      <w:r>
        <w:t>teaching medical students</w:t>
      </w:r>
    </w:p>
    <w:p w:rsidR="00D265D2" w:rsidRDefault="00D265D2" w:rsidP="009821EC">
      <w:pPr>
        <w:pStyle w:val="ListBullet"/>
      </w:pPr>
      <w:r>
        <w:t>improv</w:t>
      </w:r>
      <w:r w:rsidR="0070605D">
        <w:t xml:space="preserve">ing management </w:t>
      </w:r>
      <w:r w:rsidR="007449AC">
        <w:t>for patients with</w:t>
      </w:r>
      <w:r w:rsidR="0070605D">
        <w:t xml:space="preserve"> </w:t>
      </w:r>
      <w:r w:rsidR="001B458F">
        <w:t>diabetes and/or asthma</w:t>
      </w:r>
      <w:r w:rsidR="0070605D">
        <w:t>.</w:t>
      </w:r>
    </w:p>
    <w:p w:rsidR="00657414" w:rsidRDefault="00EE7B5B" w:rsidP="00A73D31">
      <w:pPr>
        <w:pStyle w:val="BodyText"/>
      </w:pPr>
      <w:r>
        <w:lastRenderedPageBreak/>
        <w:t xml:space="preserve">The PIP eHealth Incentive aims to </w:t>
      </w:r>
      <w:r w:rsidRPr="00EE7B5B">
        <w:t>encourage general practices to keep up</w:t>
      </w:r>
      <w:r>
        <w:t xml:space="preserve"> </w:t>
      </w:r>
      <w:r w:rsidRPr="00EE7B5B">
        <w:t>to</w:t>
      </w:r>
      <w:r>
        <w:t xml:space="preserve"> </w:t>
      </w:r>
      <w:r w:rsidRPr="00EE7B5B">
        <w:t xml:space="preserve">date with the latest developments in </w:t>
      </w:r>
      <w:r w:rsidR="00ED1A4B">
        <w:t>electronic health information systems</w:t>
      </w:r>
      <w:r>
        <w:t xml:space="preserve">. </w:t>
      </w:r>
      <w:bookmarkStart w:id="48" w:name="OLE_LINK49"/>
      <w:r w:rsidR="009A52B9">
        <w:t>Accordingly, n</w:t>
      </w:r>
      <w:r w:rsidR="00657414">
        <w:t xml:space="preserve">ew eligibility requirements </w:t>
      </w:r>
      <w:r w:rsidR="00314EB0">
        <w:t>were introduced from 1 </w:t>
      </w:r>
      <w:r w:rsidR="00657414">
        <w:t>February 2013, requiring practices to:</w:t>
      </w:r>
    </w:p>
    <w:p w:rsidR="00657414" w:rsidRDefault="00657414" w:rsidP="00A73D31">
      <w:pPr>
        <w:pStyle w:val="ListBullet"/>
      </w:pPr>
      <w:r>
        <w:t>integrate healthcare identifiers in</w:t>
      </w:r>
      <w:r w:rsidR="00314EB0">
        <w:t>to electronic practice records</w:t>
      </w:r>
    </w:p>
    <w:p w:rsidR="00657414" w:rsidRDefault="00657414" w:rsidP="00A73D31">
      <w:pPr>
        <w:pStyle w:val="ListBullet"/>
      </w:pPr>
      <w:r>
        <w:t>have</w:t>
      </w:r>
      <w:r w:rsidR="00314EB0">
        <w:t xml:space="preserve"> a secure messaging capability</w:t>
      </w:r>
    </w:p>
    <w:p w:rsidR="00657414" w:rsidRDefault="00657414" w:rsidP="00A73D31">
      <w:pPr>
        <w:pStyle w:val="ListBullet"/>
      </w:pPr>
      <w:r>
        <w:t>use data records a</w:t>
      </w:r>
      <w:r w:rsidR="00314EB0">
        <w:t>nd clinical coding of diagnose</w:t>
      </w:r>
      <w:r w:rsidR="000847B9">
        <w:t>s</w:t>
      </w:r>
    </w:p>
    <w:p w:rsidR="00657414" w:rsidRDefault="00657414" w:rsidP="00A73D31">
      <w:pPr>
        <w:pStyle w:val="ListBullet"/>
      </w:pPr>
      <w:r>
        <w:t>send prescriptions electronically to a pr</w:t>
      </w:r>
      <w:r w:rsidR="00314EB0">
        <w:t>escription exchange service</w:t>
      </w:r>
    </w:p>
    <w:p w:rsidR="00657414" w:rsidRDefault="00657414" w:rsidP="00A73D31">
      <w:pPr>
        <w:pStyle w:val="ListBullet"/>
      </w:pPr>
      <w:r w:rsidRPr="00657414">
        <w:t>participate in the eHealth record system and be capable of creating and uploading Shared Health Summaries and Event Summaries using compliant software</w:t>
      </w:r>
      <w:r>
        <w:t>.</w:t>
      </w:r>
    </w:p>
    <w:bookmarkEnd w:id="48"/>
    <w:p w:rsidR="00EE2FC8" w:rsidRPr="00200C93" w:rsidRDefault="0042741F" w:rsidP="00A73D31">
      <w:pPr>
        <w:pStyle w:val="BodyText"/>
      </w:pPr>
      <w:r w:rsidRPr="00A73D31">
        <w:t>Nationally</w:t>
      </w:r>
      <w:r w:rsidR="006B7534" w:rsidRPr="00A73D31">
        <w:t>,</w:t>
      </w:r>
      <w:r w:rsidR="00DC4597" w:rsidRPr="00A73D31">
        <w:t xml:space="preserve"> the </w:t>
      </w:r>
      <w:r w:rsidR="000B1E43" w:rsidRPr="00A73D31">
        <w:t xml:space="preserve">increase in the </w:t>
      </w:r>
      <w:r w:rsidR="00DC4597" w:rsidRPr="00A73D31">
        <w:t xml:space="preserve">proportion of </w:t>
      </w:r>
      <w:r w:rsidR="004C11B7" w:rsidRPr="00A73D31">
        <w:t xml:space="preserve">PIP practices </w:t>
      </w:r>
      <w:r w:rsidR="006D30A0" w:rsidRPr="00A73D31">
        <w:t>us</w:t>
      </w:r>
      <w:r w:rsidR="00F938B4" w:rsidRPr="00A73D31">
        <w:t>ing</w:t>
      </w:r>
      <w:r w:rsidR="006D30A0" w:rsidRPr="00A73D31">
        <w:t xml:space="preserve"> electronic health systems</w:t>
      </w:r>
      <w:r w:rsidR="004C11B7" w:rsidRPr="00A73D31">
        <w:t xml:space="preserve"> </w:t>
      </w:r>
      <w:r w:rsidR="00F938B4" w:rsidRPr="00A73D31">
        <w:t xml:space="preserve">from </w:t>
      </w:r>
      <w:r w:rsidR="003F218E" w:rsidRPr="00A73D31">
        <w:t>78.5 per cent in 201</w:t>
      </w:r>
      <w:r w:rsidR="00413DA2" w:rsidRPr="00A73D31">
        <w:t>0</w:t>
      </w:r>
      <w:r w:rsidR="003F218E" w:rsidRPr="00A73D31">
        <w:t xml:space="preserve"> </w:t>
      </w:r>
      <w:r w:rsidR="00F938B4" w:rsidRPr="00A73D31">
        <w:t>to 88.3 per cent in 2012</w:t>
      </w:r>
      <w:r w:rsidR="000B1E43" w:rsidRPr="00A73D31">
        <w:t xml:space="preserve"> was followed by a </w:t>
      </w:r>
      <w:r w:rsidR="00E24680" w:rsidRPr="00A73D31">
        <w:t>decrease</w:t>
      </w:r>
      <w:r w:rsidR="009A52B9" w:rsidRPr="00A73D31">
        <w:t xml:space="preserve"> to </w:t>
      </w:r>
      <w:r w:rsidR="00DC4597" w:rsidRPr="00A73D31">
        <w:t>72.2 per cent in 2013</w:t>
      </w:r>
      <w:r w:rsidR="000B1E43" w:rsidRPr="00A73D31">
        <w:t>,</w:t>
      </w:r>
      <w:r w:rsidR="009A52B9" w:rsidRPr="00A73D31">
        <w:t xml:space="preserve"> as </w:t>
      </w:r>
      <w:r w:rsidR="000B1E43" w:rsidRPr="00A73D31">
        <w:t xml:space="preserve">implementation of the new requirements was not yet completed in </w:t>
      </w:r>
      <w:r w:rsidR="001758F2" w:rsidRPr="00A73D31">
        <w:t xml:space="preserve">a number of practices </w:t>
      </w:r>
      <w:r w:rsidR="006B7534" w:rsidRPr="00A73D31">
        <w:t>(</w:t>
      </w:r>
      <w:r w:rsidR="006B7534" w:rsidRPr="00413DA2">
        <w:t>figure </w:t>
      </w:r>
      <w:r w:rsidR="003F48C1" w:rsidRPr="00413DA2">
        <w:t>11.</w:t>
      </w:r>
      <w:r w:rsidR="00E572C7" w:rsidRPr="00413DA2">
        <w:t>3</w:t>
      </w:r>
      <w:r w:rsidR="00CA25A8">
        <w:t>4</w:t>
      </w:r>
      <w:r w:rsidR="00D74137">
        <w:t>).</w:t>
      </w:r>
    </w:p>
    <w:p w:rsidR="00437A62" w:rsidRPr="00437A62" w:rsidRDefault="00437A62" w:rsidP="00566A91">
      <w:pPr>
        <w:pStyle w:val="FigureTitle"/>
        <w:ind w:left="1560" w:hanging="1560"/>
      </w:pPr>
      <w:r>
        <w:rPr>
          <w:b w:val="0"/>
        </w:rPr>
        <w:t xml:space="preserve">Figure </w:t>
      </w:r>
      <w:bookmarkStart w:id="49" w:name="OLE_LINK30"/>
      <w:r w:rsidR="00EC42DB">
        <w:rPr>
          <w:b w:val="0"/>
        </w:rPr>
        <w:t>11.</w:t>
      </w:r>
      <w:r w:rsidR="00C44281">
        <w:rPr>
          <w:b w:val="0"/>
          <w:noProof/>
        </w:rPr>
        <w:t>3</w:t>
      </w:r>
      <w:bookmarkEnd w:id="49"/>
      <w:r w:rsidR="00CA25A8">
        <w:rPr>
          <w:b w:val="0"/>
          <w:noProof/>
        </w:rPr>
        <w:t>4</w:t>
      </w:r>
      <w:r>
        <w:tab/>
      </w:r>
      <w:r w:rsidRPr="00437A62">
        <w:t xml:space="preserve">PIP practices </w:t>
      </w:r>
      <w:r w:rsidR="00A34EF7">
        <w:t>using electronic health systems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A62">
        <w:tc>
          <w:tcPr>
            <w:tcW w:w="8777" w:type="dxa"/>
          </w:tcPr>
          <w:p w:rsidR="00437A62" w:rsidRDefault="00FF6757">
            <w:pPr>
              <w:pStyle w:val="Figure"/>
            </w:pPr>
            <w:r>
              <w:rPr>
                <w:noProof/>
              </w:rPr>
              <w:drawing>
                <wp:inline distT="0" distB="0" distL="0" distR="0">
                  <wp:extent cx="5400040" cy="2872105"/>
                  <wp:effectExtent l="0" t="0" r="0" b="4445"/>
                  <wp:docPr id="42" name="Picture 42" descr="Figure 11.34 PIP practices using electronic health system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0040" cy="2872105"/>
                          </a:xfrm>
                          <a:prstGeom prst="rect">
                            <a:avLst/>
                          </a:prstGeom>
                          <a:noFill/>
                          <a:ln>
                            <a:noFill/>
                          </a:ln>
                        </pic:spPr>
                      </pic:pic>
                    </a:graphicData>
                  </a:graphic>
                </wp:inline>
              </w:drawing>
            </w:r>
          </w:p>
        </w:tc>
      </w:tr>
    </w:tbl>
    <w:p w:rsidR="00437A62" w:rsidRPr="00E24680" w:rsidRDefault="00437A62" w:rsidP="003E1ADB">
      <w:pPr>
        <w:pStyle w:val="Source"/>
        <w:rPr>
          <w:rStyle w:val="NoteChar"/>
        </w:rPr>
      </w:pPr>
      <w:r>
        <w:rPr>
          <w:i/>
        </w:rPr>
        <w:t>Source</w:t>
      </w:r>
      <w:r w:rsidRPr="00437A62">
        <w:t>:</w:t>
      </w:r>
      <w:r>
        <w:t xml:space="preserve"> </w:t>
      </w:r>
      <w:r w:rsidR="00B513D7">
        <w:t>Department of Health</w:t>
      </w:r>
      <w:r w:rsidRPr="00437A62">
        <w:t xml:space="preserve"> (unpublished)</w:t>
      </w:r>
      <w:r w:rsidR="00B156DD">
        <w:t xml:space="preserve"> </w:t>
      </w:r>
      <w:r w:rsidR="00B156DD" w:rsidRPr="00B156DD">
        <w:t xml:space="preserve">MBS and PIP data </w:t>
      </w:r>
      <w:r w:rsidR="00097F59" w:rsidRPr="006C74C6">
        <w:t>collections</w:t>
      </w:r>
      <w:r w:rsidRPr="006C74C6">
        <w:t>; table</w:t>
      </w:r>
      <w:r w:rsidR="00EA4368" w:rsidRPr="006C74C6">
        <w:t xml:space="preserve"> </w:t>
      </w:r>
      <w:r w:rsidR="009A06CD">
        <w:t>11A.6</w:t>
      </w:r>
      <w:r w:rsidR="009C7361">
        <w:t>7</w:t>
      </w:r>
      <w:r w:rsidR="00E24680">
        <w:t>.</w:t>
      </w:r>
    </w:p>
    <w:p w:rsidR="003D5DB9" w:rsidRPr="00A416FF" w:rsidRDefault="00C15E96" w:rsidP="00944E91">
      <w:pPr>
        <w:pStyle w:val="BodyText"/>
      </w:pPr>
      <w:r w:rsidRPr="00200C93">
        <w:t>The</w:t>
      </w:r>
      <w:r w:rsidR="006D30A0" w:rsidRPr="00200C93">
        <w:t xml:space="preserve"> </w:t>
      </w:r>
      <w:r w:rsidR="001C4B48" w:rsidRPr="00200C93">
        <w:t xml:space="preserve">proportion of PIP practices </w:t>
      </w:r>
      <w:r w:rsidR="006D30A0" w:rsidRPr="00200C93">
        <w:t>us</w:t>
      </w:r>
      <w:r w:rsidRPr="00200C93">
        <w:t>ing</w:t>
      </w:r>
      <w:r w:rsidR="006D30A0" w:rsidRPr="00200C93">
        <w:t xml:space="preserve"> electronic health systems</w:t>
      </w:r>
      <w:r w:rsidR="004E47CE" w:rsidRPr="00200C93">
        <w:t xml:space="preserve"> </w:t>
      </w:r>
      <w:r w:rsidR="002B55DA" w:rsidRPr="00200C93">
        <w:t xml:space="preserve">in </w:t>
      </w:r>
      <w:r w:rsidR="006D30A0" w:rsidRPr="00200C93">
        <w:t>remote</w:t>
      </w:r>
      <w:r w:rsidR="00AF530E" w:rsidRPr="00200C93">
        <w:t xml:space="preserve"> </w:t>
      </w:r>
      <w:r w:rsidR="005058D2">
        <w:t xml:space="preserve">and very remote </w:t>
      </w:r>
      <w:r w:rsidR="002B55DA" w:rsidRPr="00200C93">
        <w:t xml:space="preserve">areas </w:t>
      </w:r>
      <w:r w:rsidRPr="00200C93">
        <w:t xml:space="preserve">was </w:t>
      </w:r>
      <w:r w:rsidRPr="005058D2">
        <w:t>lower</w:t>
      </w:r>
      <w:r w:rsidRPr="005129B2">
        <w:t xml:space="preserve"> than in </w:t>
      </w:r>
      <w:r w:rsidR="005058D2">
        <w:t xml:space="preserve">major cities and regional areas </w:t>
      </w:r>
      <w:r w:rsidRPr="005129B2">
        <w:t>in</w:t>
      </w:r>
      <w:r w:rsidR="006D30A0" w:rsidRPr="005129B2">
        <w:t xml:space="preserve"> May 201</w:t>
      </w:r>
      <w:r w:rsidR="005058D2">
        <w:t>3</w:t>
      </w:r>
      <w:r w:rsidR="001C4B48" w:rsidRPr="005129B2">
        <w:t xml:space="preserve"> (figure </w:t>
      </w:r>
      <w:r w:rsidR="005129B2">
        <w:t>11.3</w:t>
      </w:r>
      <w:r w:rsidR="00CA25A8">
        <w:t>5</w:t>
      </w:r>
      <w:r w:rsidR="004D0C48" w:rsidRPr="005129B2">
        <w:t>)</w:t>
      </w:r>
      <w:r w:rsidR="00FC52FD" w:rsidRPr="005129B2">
        <w:t>.</w:t>
      </w:r>
    </w:p>
    <w:p w:rsidR="00437A62" w:rsidRPr="00437A62" w:rsidRDefault="00437A62" w:rsidP="00CA3C2D">
      <w:pPr>
        <w:pStyle w:val="FigureTitle"/>
        <w:ind w:left="1560" w:hanging="1560"/>
      </w:pPr>
      <w:r>
        <w:rPr>
          <w:b w:val="0"/>
        </w:rPr>
        <w:lastRenderedPageBreak/>
        <w:t xml:space="preserve">Figure </w:t>
      </w:r>
      <w:bookmarkStart w:id="50" w:name="OLE_LINK31"/>
      <w:r w:rsidR="00EC42DB">
        <w:rPr>
          <w:b w:val="0"/>
        </w:rPr>
        <w:t>11.</w:t>
      </w:r>
      <w:r w:rsidR="00C44281">
        <w:rPr>
          <w:b w:val="0"/>
          <w:noProof/>
        </w:rPr>
        <w:t>3</w:t>
      </w:r>
      <w:bookmarkEnd w:id="50"/>
      <w:r w:rsidR="00CA25A8">
        <w:rPr>
          <w:b w:val="0"/>
          <w:noProof/>
        </w:rPr>
        <w:t>5</w:t>
      </w:r>
      <w:r>
        <w:tab/>
      </w:r>
      <w:r w:rsidRPr="00437A62">
        <w:t xml:space="preserve">PIP practices using </w:t>
      </w:r>
      <w:r w:rsidR="00142B23">
        <w:t>electronic health systems</w:t>
      </w:r>
      <w:r w:rsidR="00142B23" w:rsidRPr="00437A62">
        <w:t xml:space="preserve"> </w:t>
      </w:r>
      <w:r w:rsidRPr="00437A62">
        <w:t>by area</w:t>
      </w:r>
      <w:r w:rsidR="000F0E9A">
        <w:t>, 2013</w:t>
      </w:r>
      <w:r w:rsidRPr="0084393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63E3D" w:rsidTr="009B4B85">
        <w:tc>
          <w:tcPr>
            <w:tcW w:w="8777" w:type="dxa"/>
            <w:tcBorders>
              <w:top w:val="single" w:sz="6" w:space="0" w:color="auto"/>
              <w:bottom w:val="single" w:sz="6" w:space="0" w:color="auto"/>
              <w:right w:val="nil"/>
            </w:tcBorders>
          </w:tcPr>
          <w:p w:rsidR="00263E3D" w:rsidRDefault="00FF6757">
            <w:pPr>
              <w:pStyle w:val="Figure"/>
            </w:pPr>
            <w:r>
              <w:rPr>
                <w:noProof/>
              </w:rPr>
              <w:drawing>
                <wp:inline distT="0" distB="0" distL="0" distR="0">
                  <wp:extent cx="5389880" cy="2861310"/>
                  <wp:effectExtent l="0" t="0" r="1270" b="0"/>
                  <wp:docPr id="43" name="Picture 43" descr="Figure 11.35 PIP practices using electronic health systems by area,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DE3D36" w:rsidRPr="006C74C6" w:rsidRDefault="00437A62" w:rsidP="00DE3D36">
      <w:pPr>
        <w:pStyle w:val="Note"/>
      </w:pPr>
      <w:r>
        <w:rPr>
          <w:rStyle w:val="NoteLabel"/>
        </w:rPr>
        <w:t>a</w:t>
      </w:r>
      <w:r>
        <w:sym w:font="Symbol" w:char="F020"/>
      </w:r>
      <w:r w:rsidR="00126FA6" w:rsidRPr="00126FA6">
        <w:t xml:space="preserve"> Geographical locations are based on the Australian Statistical Geography Standard 2011 (ASGS) classification and are not comparable with data for previous years which were based</w:t>
      </w:r>
      <w:r w:rsidR="00126FA6">
        <w:t xml:space="preserve"> on a different classification.</w:t>
      </w:r>
    </w:p>
    <w:p w:rsidR="00437A62" w:rsidRDefault="00B934AF" w:rsidP="00BA2E9C">
      <w:pPr>
        <w:pStyle w:val="Source"/>
      </w:pPr>
      <w:r w:rsidRPr="006C74C6">
        <w:rPr>
          <w:i/>
        </w:rPr>
        <w:t>Source</w:t>
      </w:r>
      <w:r w:rsidRPr="006C74C6">
        <w:t xml:space="preserve">: </w:t>
      </w:r>
      <w:r w:rsidR="00B513D7">
        <w:t>Department of Health</w:t>
      </w:r>
      <w:r w:rsidR="00B156DD" w:rsidRPr="006C74C6">
        <w:t xml:space="preserve"> (unpublished) MBS and PIP data </w:t>
      </w:r>
      <w:r w:rsidR="00097F59" w:rsidRPr="006C74C6">
        <w:t>collections</w:t>
      </w:r>
      <w:r w:rsidR="00B156DD" w:rsidRPr="006C74C6">
        <w:t xml:space="preserve">; </w:t>
      </w:r>
      <w:r w:rsidRPr="006C74C6">
        <w:t>table</w:t>
      </w:r>
      <w:r w:rsidR="00EA4368" w:rsidRPr="006C74C6">
        <w:t> </w:t>
      </w:r>
      <w:r w:rsidR="00FE10BB">
        <w:t>11A.6</w:t>
      </w:r>
      <w:r w:rsidR="009C7361">
        <w:t>8</w:t>
      </w:r>
      <w:r w:rsidRPr="006C74C6">
        <w:t>.</w:t>
      </w:r>
    </w:p>
    <w:p w:rsidR="00B934AF" w:rsidRDefault="00B934AF" w:rsidP="00B934AF">
      <w:pPr>
        <w:pStyle w:val="Heading4"/>
      </w:pPr>
      <w:r>
        <w:t>Quality — responsiveness</w:t>
      </w:r>
    </w:p>
    <w:p w:rsidR="004E2756" w:rsidRDefault="004E2756" w:rsidP="004E2756">
      <w:pPr>
        <w:pStyle w:val="Heading5"/>
      </w:pPr>
      <w:r>
        <w:t>Patient satisfaction</w:t>
      </w:r>
    </w:p>
    <w:p w:rsidR="005801A1" w:rsidRDefault="004E2756" w:rsidP="00944E91">
      <w:pPr>
        <w:pStyle w:val="BodyText"/>
      </w:pPr>
      <w:r>
        <w:t xml:space="preserve">‘Patient satisfaction’ </w:t>
      </w:r>
      <w:r w:rsidR="00676048">
        <w:t xml:space="preserve">is </w:t>
      </w:r>
      <w:r>
        <w:t xml:space="preserve">an indicator of governments’ objective to ensure </w:t>
      </w:r>
      <w:r w:rsidR="00AE5D3F">
        <w:t>primary and community health</w:t>
      </w:r>
      <w:r>
        <w:t xml:space="preserve"> services </w:t>
      </w:r>
      <w:r w:rsidRPr="00AE5D3F">
        <w:t xml:space="preserve">are </w:t>
      </w:r>
      <w:r w:rsidR="00F11DA5" w:rsidRPr="00AE5D3F">
        <w:t>high quality and</w:t>
      </w:r>
      <w:r w:rsidR="00F11DA5">
        <w:t xml:space="preserve"> </w:t>
      </w:r>
      <w:r w:rsidR="00AE5D3F">
        <w:t>account for</w:t>
      </w:r>
      <w:r>
        <w:t xml:space="preserve"> </w:t>
      </w:r>
      <w:r w:rsidR="00360A0B" w:rsidRPr="00676048">
        <w:t>individual patient needs</w:t>
      </w:r>
      <w:r w:rsidR="00360A0B">
        <w:t xml:space="preserve"> </w:t>
      </w:r>
      <w:r>
        <w:t>(</w:t>
      </w:r>
      <w:smartTag w:uri="urn:schemas-microsoft-com:office:smarttags" w:element="address">
        <w:smartTag w:uri="urn:schemas-microsoft-com:office:smarttags" w:element="Street">
          <w:r>
            <w:t>box</w:t>
          </w:r>
        </w:smartTag>
        <w:r>
          <w:t> </w:t>
        </w:r>
        <w:r w:rsidR="00F701C7" w:rsidRPr="0049553B">
          <w:t>11.</w:t>
        </w:r>
        <w:r w:rsidR="0049553B" w:rsidRPr="0049553B">
          <w:t>16</w:t>
        </w:r>
      </w:smartTag>
      <w:r w:rsidR="0078165A">
        <w:t>).</w:t>
      </w:r>
    </w:p>
    <w:p w:rsidR="00B934AF" w:rsidRPr="00F972C0" w:rsidRDefault="00B934AF" w:rsidP="00F972C0">
      <w:pPr>
        <w:pStyle w:val="BoxSpace"/>
        <w:rPr>
          <w:b/>
          <w:vanish/>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934AF" w:rsidTr="00302E8E">
        <w:tc>
          <w:tcPr>
            <w:tcW w:w="8771" w:type="dxa"/>
            <w:tcBorders>
              <w:top w:val="single" w:sz="6" w:space="0" w:color="auto"/>
              <w:bottom w:val="nil"/>
            </w:tcBorders>
          </w:tcPr>
          <w:p w:rsidR="00B934AF" w:rsidRPr="00B934AF" w:rsidRDefault="00B934AF">
            <w:pPr>
              <w:pStyle w:val="BoxTitle"/>
            </w:pPr>
            <w:smartTag w:uri="urn:schemas-microsoft-com:office:smarttags" w:element="Street">
              <w:r>
                <w:rPr>
                  <w:b w:val="0"/>
                </w:rPr>
                <w:t>Box</w:t>
              </w:r>
            </w:smartTag>
            <w:r>
              <w:rPr>
                <w:b w:val="0"/>
              </w:rPr>
              <w:t xml:space="preserve"> </w:t>
            </w:r>
            <w:bookmarkStart w:id="51" w:name="OLE_LINK32"/>
            <w:r w:rsidR="00EC42DB">
              <w:rPr>
                <w:b w:val="0"/>
              </w:rPr>
              <w:t>11.</w:t>
            </w:r>
            <w:r w:rsidR="00C44281">
              <w:rPr>
                <w:b w:val="0"/>
                <w:noProof/>
              </w:rPr>
              <w:t>16</w:t>
            </w:r>
            <w:bookmarkEnd w:id="51"/>
            <w:r>
              <w:tab/>
            </w:r>
            <w:r w:rsidRPr="00B934AF">
              <w:t>Patient satisfaction</w:t>
            </w:r>
          </w:p>
        </w:tc>
      </w:tr>
      <w:tr w:rsidR="00B934AF" w:rsidTr="00302E8E">
        <w:trPr>
          <w:cantSplit/>
        </w:trPr>
        <w:tc>
          <w:tcPr>
            <w:tcW w:w="8771" w:type="dxa"/>
            <w:tcBorders>
              <w:top w:val="nil"/>
              <w:left w:val="single" w:sz="6" w:space="0" w:color="auto"/>
              <w:bottom w:val="nil"/>
              <w:right w:val="single" w:sz="4" w:space="0" w:color="auto"/>
            </w:tcBorders>
          </w:tcPr>
          <w:p w:rsidR="002F2D3F" w:rsidRPr="00DD2794" w:rsidRDefault="00B934AF" w:rsidP="00BD6B44">
            <w:pPr>
              <w:pStyle w:val="Box"/>
            </w:pPr>
            <w:r w:rsidRPr="00DD2794">
              <w:t xml:space="preserve">‘Patient satisfaction’ </w:t>
            </w:r>
            <w:r w:rsidR="00344FD3" w:rsidRPr="00DD2794">
              <w:t>is defined</w:t>
            </w:r>
            <w:r w:rsidR="00774BCD" w:rsidRPr="00DD2794">
              <w:t xml:space="preserve"> as</w:t>
            </w:r>
            <w:r w:rsidR="00676048" w:rsidRPr="00DD2794">
              <w:t xml:space="preserve"> the </w:t>
            </w:r>
            <w:r w:rsidR="002F2D3F" w:rsidRPr="00DD2794">
              <w:t xml:space="preserve">quality of care as perceived by the patient. It is measured as patient experience of and/or satisfaction around </w:t>
            </w:r>
            <w:r w:rsidR="006B0221" w:rsidRPr="00DD2794">
              <w:t>‘</w:t>
            </w:r>
            <w:r w:rsidR="002F2D3F" w:rsidRPr="00DD2794">
              <w:t>key aspects of care</w:t>
            </w:r>
            <w:r w:rsidR="006B0221" w:rsidRPr="00DD2794">
              <w:t>’</w:t>
            </w:r>
            <w:r w:rsidR="002F2D3F" w:rsidRPr="00DD2794">
              <w:t xml:space="preserve"> </w:t>
            </w:r>
            <w:r w:rsidR="006B0221" w:rsidRPr="00DD2794">
              <w:t>—</w:t>
            </w:r>
            <w:r w:rsidR="002F2D3F" w:rsidRPr="00DD2794">
              <w:t xml:space="preserve">that </w:t>
            </w:r>
            <w:r w:rsidR="006B0221" w:rsidRPr="00DD2794">
              <w:t xml:space="preserve">is, aspects of care that </w:t>
            </w:r>
            <w:r w:rsidR="002F2D3F" w:rsidRPr="00DD2794">
              <w:t xml:space="preserve">are key factors in patient outcomes and </w:t>
            </w:r>
            <w:r w:rsidR="006B0221" w:rsidRPr="00DD2794">
              <w:t>can be</w:t>
            </w:r>
            <w:r w:rsidR="002F2D3F" w:rsidRPr="00DD2794">
              <w:t xml:space="preserve"> readily modified.</w:t>
            </w:r>
            <w:r w:rsidR="006B0221" w:rsidRPr="00DD2794">
              <w:t xml:space="preserve"> Two measures</w:t>
            </w:r>
            <w:r w:rsidR="009C26E4" w:rsidRPr="00DD2794">
              <w:t xml:space="preserve"> of</w:t>
            </w:r>
            <w:r w:rsidR="006B0221" w:rsidRPr="00DD2794">
              <w:t xml:space="preserve"> </w:t>
            </w:r>
            <w:r w:rsidR="009C26E4" w:rsidRPr="00DD2794">
              <w:t xml:space="preserve">patient experience of communication with health professionals — a key aspect of care — </w:t>
            </w:r>
            <w:r w:rsidR="006B0221" w:rsidRPr="00DD2794">
              <w:t>are reported:</w:t>
            </w:r>
          </w:p>
          <w:p w:rsidR="002461E4" w:rsidRPr="00DD2794" w:rsidRDefault="0001182F" w:rsidP="00A42754">
            <w:pPr>
              <w:pStyle w:val="BoxListBullet"/>
            </w:pPr>
            <w:r w:rsidRPr="00DD2794">
              <w:t>experience with selected key aspects of GP care</w:t>
            </w:r>
            <w:r w:rsidR="00B25F39" w:rsidRPr="00DD2794">
              <w:t xml:space="preserve">, defined as the </w:t>
            </w:r>
            <w:r w:rsidR="002461E4" w:rsidRPr="00DD2794">
              <w:t xml:space="preserve">number of people who </w:t>
            </w:r>
            <w:r w:rsidR="004F0481" w:rsidRPr="00DD2794">
              <w:t xml:space="preserve">saw a </w:t>
            </w:r>
            <w:r w:rsidR="002461E4" w:rsidRPr="00DD2794">
              <w:t xml:space="preserve">GP in the </w:t>
            </w:r>
            <w:r w:rsidR="0029722B" w:rsidRPr="00DD2794">
              <w:t>previous 12</w:t>
            </w:r>
            <w:r w:rsidR="004F0481" w:rsidRPr="00DD2794">
              <w:t> </w:t>
            </w:r>
            <w:r w:rsidR="0029722B" w:rsidRPr="00DD2794">
              <w:t>months</w:t>
            </w:r>
            <w:r w:rsidR="002461E4" w:rsidRPr="00DD2794">
              <w:t xml:space="preserve"> where the GP </w:t>
            </w:r>
            <w:r w:rsidR="004F0481" w:rsidRPr="00DD2794">
              <w:t>always or often: listened carefully to them; showed respect; and spent enough time with them</w:t>
            </w:r>
            <w:r w:rsidR="002461E4" w:rsidRPr="00DD2794">
              <w:t xml:space="preserve">, divided by the number of </w:t>
            </w:r>
            <w:r w:rsidR="00134BC1" w:rsidRPr="00DD2794">
              <w:t>people</w:t>
            </w:r>
            <w:r w:rsidR="002461E4" w:rsidRPr="00DD2794">
              <w:t xml:space="preserve"> </w:t>
            </w:r>
            <w:r w:rsidR="004F0481" w:rsidRPr="00DD2794">
              <w:t xml:space="preserve">who saw </w:t>
            </w:r>
            <w:r w:rsidR="002461E4" w:rsidRPr="00DD2794">
              <w:t xml:space="preserve">a GP in the </w:t>
            </w:r>
            <w:r w:rsidR="0029722B" w:rsidRPr="00DD2794">
              <w:t>previous 12</w:t>
            </w:r>
            <w:r w:rsidR="004F0481" w:rsidRPr="00DD2794">
              <w:t> </w:t>
            </w:r>
            <w:r w:rsidR="0029722B" w:rsidRPr="00DD2794">
              <w:t>months</w:t>
            </w:r>
          </w:p>
          <w:p w:rsidR="002461E4" w:rsidRPr="00DD2794" w:rsidRDefault="0001182F" w:rsidP="00A42754">
            <w:pPr>
              <w:pStyle w:val="BoxListBullet"/>
            </w:pPr>
            <w:r w:rsidRPr="00DD2794">
              <w:t xml:space="preserve">experience with selected key aspects of dental </w:t>
            </w:r>
            <w:r w:rsidR="00272230" w:rsidRPr="00DD2794">
              <w:t>professional</w:t>
            </w:r>
            <w:r w:rsidRPr="00DD2794">
              <w:t xml:space="preserve"> care</w:t>
            </w:r>
            <w:r w:rsidR="00B25F39" w:rsidRPr="00DD2794">
              <w:t>,</w:t>
            </w:r>
            <w:r w:rsidR="004F0481" w:rsidRPr="00DD2794">
              <w:t xml:space="preserve"> </w:t>
            </w:r>
            <w:r w:rsidR="00B25F39" w:rsidRPr="00DD2794">
              <w:t xml:space="preserve">defined as the number of people who </w:t>
            </w:r>
            <w:r w:rsidR="004F0481" w:rsidRPr="00DD2794">
              <w:t xml:space="preserve">saw a dental </w:t>
            </w:r>
            <w:r w:rsidR="00272230" w:rsidRPr="00DD2794">
              <w:t xml:space="preserve">professional </w:t>
            </w:r>
            <w:r w:rsidR="004F0481" w:rsidRPr="00DD2794">
              <w:t xml:space="preserve">in the previous 12 months where the </w:t>
            </w:r>
            <w:r w:rsidR="00B25F39" w:rsidRPr="00DD2794">
              <w:t xml:space="preserve">dental practitioner </w:t>
            </w:r>
            <w:r w:rsidR="004F0481" w:rsidRPr="00DD2794">
              <w:t>always or often: listened carefully to them; showed respect; and spent enough time with them, divided by the number of people who saw a dental practitioner in the previous 12 months</w:t>
            </w:r>
            <w:r w:rsidR="002461E4" w:rsidRPr="00DD2794">
              <w:t>.</w:t>
            </w:r>
          </w:p>
          <w:p w:rsidR="00344FD3" w:rsidRPr="00DD2794" w:rsidRDefault="002461E4" w:rsidP="00BD6B44">
            <w:pPr>
              <w:pStyle w:val="Box"/>
            </w:pPr>
            <w:r w:rsidRPr="00DD2794">
              <w:t xml:space="preserve">High </w:t>
            </w:r>
            <w:r w:rsidR="00B25F39" w:rsidRPr="00DD2794">
              <w:t xml:space="preserve">or increasing </w:t>
            </w:r>
            <w:r w:rsidRPr="00DD2794">
              <w:t xml:space="preserve">proportions </w:t>
            </w:r>
            <w:r w:rsidR="00B25F39" w:rsidRPr="00DD2794">
              <w:t>can indicate</w:t>
            </w:r>
            <w:r w:rsidRPr="00DD2794">
              <w:t xml:space="preserve"> that</w:t>
            </w:r>
            <w:r w:rsidR="007221EF" w:rsidRPr="00DD2794">
              <w:t xml:space="preserve"> </w:t>
            </w:r>
            <w:r w:rsidR="00B25F39" w:rsidRPr="00DD2794">
              <w:t xml:space="preserve">more </w:t>
            </w:r>
            <w:r w:rsidR="007221EF" w:rsidRPr="00DD2794">
              <w:t xml:space="preserve">patients </w:t>
            </w:r>
            <w:r w:rsidR="00B25F39" w:rsidRPr="00DD2794">
              <w:t>experienced communication with</w:t>
            </w:r>
            <w:r w:rsidR="007221EF" w:rsidRPr="00DD2794">
              <w:t xml:space="preserve"> health professionals </w:t>
            </w:r>
            <w:r w:rsidR="00FD5D51" w:rsidRPr="00DD2794">
              <w:t>as satisfactory.</w:t>
            </w:r>
          </w:p>
          <w:p w:rsidR="00633C68" w:rsidRDefault="00633C68" w:rsidP="00633C68">
            <w:pPr>
              <w:pStyle w:val="Box"/>
            </w:pPr>
            <w:r>
              <w:t>Data reported against this indicator are:</w:t>
            </w:r>
          </w:p>
          <w:p w:rsidR="00633C68" w:rsidRDefault="00633C68" w:rsidP="00633C68">
            <w:pPr>
              <w:pStyle w:val="BoxListBullet"/>
            </w:pPr>
            <w:r>
              <w:t>comparable (subject to caveats) across jurisdictions and over time</w:t>
            </w:r>
          </w:p>
          <w:p w:rsidR="00633C68" w:rsidRDefault="00633C68" w:rsidP="00633C68">
            <w:pPr>
              <w:pStyle w:val="BoxListBullet"/>
            </w:pPr>
            <w:r>
              <w:t xml:space="preserve">complete (subject to caveats) for the current reporting period. All required </w:t>
            </w:r>
            <w:r w:rsidR="00B00D6B" w:rsidRPr="00A73D31">
              <w:t>2012-13</w:t>
            </w:r>
            <w:r>
              <w:t xml:space="preserve"> data are available for all jurisdictions.</w:t>
            </w:r>
          </w:p>
          <w:p w:rsidR="00FD5D51" w:rsidRPr="00944E91" w:rsidRDefault="00355023" w:rsidP="00355023">
            <w:pPr>
              <w:pStyle w:val="Box"/>
            </w:pPr>
            <w:r w:rsidRPr="0027351B">
              <w:t xml:space="preserve">Data quality information </w:t>
            </w:r>
            <w:r w:rsidR="00743531" w:rsidRPr="00944E91">
              <w:t>for this indicator is at www.pc.gov.au/gsp/reports/</w:t>
            </w:r>
            <w:r w:rsidR="009E5543">
              <w:t>rogs/2014</w:t>
            </w:r>
            <w:r w:rsidR="00743531" w:rsidRPr="00944E91">
              <w:t>.</w:t>
            </w:r>
          </w:p>
        </w:tc>
      </w:tr>
      <w:tr w:rsidR="00B934AF">
        <w:trPr>
          <w:cantSplit/>
        </w:trPr>
        <w:tc>
          <w:tcPr>
            <w:tcW w:w="8771" w:type="dxa"/>
            <w:tcBorders>
              <w:top w:val="nil"/>
              <w:left w:val="single" w:sz="6" w:space="0" w:color="auto"/>
              <w:bottom w:val="single" w:sz="6" w:space="0" w:color="auto"/>
              <w:right w:val="single" w:sz="6" w:space="0" w:color="auto"/>
            </w:tcBorders>
          </w:tcPr>
          <w:p w:rsidR="00B934AF" w:rsidRDefault="00B934AF">
            <w:pPr>
              <w:pStyle w:val="Box"/>
              <w:spacing w:before="0" w:line="120" w:lineRule="exact"/>
            </w:pPr>
          </w:p>
        </w:tc>
      </w:tr>
      <w:tr w:rsidR="00B934AF">
        <w:tc>
          <w:tcPr>
            <w:tcW w:w="8771" w:type="dxa"/>
            <w:tcBorders>
              <w:top w:val="nil"/>
              <w:left w:val="nil"/>
              <w:bottom w:val="nil"/>
              <w:right w:val="nil"/>
            </w:tcBorders>
          </w:tcPr>
          <w:p w:rsidR="00B934AF" w:rsidRDefault="00B934AF">
            <w:pPr>
              <w:pStyle w:val="Box"/>
              <w:keepNext w:val="0"/>
              <w:spacing w:before="60" w:after="60" w:line="80" w:lineRule="exact"/>
              <w:rPr>
                <w:b/>
                <w:color w:val="FF00FF"/>
                <w:sz w:val="14"/>
              </w:rPr>
            </w:pPr>
          </w:p>
        </w:tc>
      </w:tr>
    </w:tbl>
    <w:p w:rsidR="00B25F39" w:rsidRPr="00D06E08" w:rsidRDefault="00B25F39" w:rsidP="00B25F39">
      <w:pPr>
        <w:pStyle w:val="Heading5"/>
      </w:pPr>
      <w:r>
        <w:t xml:space="preserve">Patient </w:t>
      </w:r>
      <w:r w:rsidRPr="00B25F39">
        <w:t xml:space="preserve">satisfaction </w:t>
      </w:r>
      <w:r>
        <w:t xml:space="preserve">— </w:t>
      </w:r>
      <w:r w:rsidR="00D06E08" w:rsidRPr="00D06E08">
        <w:t xml:space="preserve">experience with selected key aspects of </w:t>
      </w:r>
      <w:r w:rsidR="0001182F">
        <w:t xml:space="preserve">GP </w:t>
      </w:r>
      <w:r w:rsidR="00D06E08" w:rsidRPr="00D06E08">
        <w:t>care</w:t>
      </w:r>
    </w:p>
    <w:p w:rsidR="0016425B" w:rsidRPr="00264569" w:rsidRDefault="00A17AC6" w:rsidP="00A73D31">
      <w:pPr>
        <w:pStyle w:val="BodyText"/>
        <w:rPr>
          <w:rStyle w:val="DraftingNote"/>
          <w:b w:val="0"/>
          <w:color w:val="auto"/>
          <w:sz w:val="26"/>
          <w:u w:val="none"/>
        </w:rPr>
      </w:pPr>
      <w:r w:rsidRPr="00DD2794">
        <w:t>Nationally,</w:t>
      </w:r>
      <w:r w:rsidR="00A05A03" w:rsidRPr="00DD2794">
        <w:t xml:space="preserve"> </w:t>
      </w:r>
      <w:r w:rsidR="0016425B" w:rsidRPr="00DD2794">
        <w:t>the majority of respondents reported that</w:t>
      </w:r>
      <w:r w:rsidR="00B00D6B" w:rsidRPr="00A73D31">
        <w:t>, in 2012-13</w:t>
      </w:r>
      <w:r w:rsidR="00B00D6B">
        <w:t>,</w:t>
      </w:r>
      <w:r w:rsidR="0016425B" w:rsidRPr="00DD2794">
        <w:t xml:space="preserve"> the </w:t>
      </w:r>
      <w:r w:rsidR="00C3690E">
        <w:t>GP always or often (figure 11.3</w:t>
      </w:r>
      <w:r w:rsidR="00CA25A8">
        <w:t>6</w:t>
      </w:r>
      <w:r w:rsidR="00446FA7">
        <w:t>):</w:t>
      </w:r>
    </w:p>
    <w:p w:rsidR="0016425B" w:rsidRPr="00DD2794" w:rsidRDefault="0016425B" w:rsidP="00A73D31">
      <w:pPr>
        <w:pStyle w:val="ListBullet"/>
      </w:pPr>
      <w:r w:rsidRPr="00DD2794">
        <w:t xml:space="preserve">listened carefully to </w:t>
      </w:r>
      <w:r w:rsidRPr="006E5535">
        <w:t>them (</w:t>
      </w:r>
      <w:r w:rsidR="005E16AC" w:rsidRPr="00A73D31">
        <w:t>89.3</w:t>
      </w:r>
      <w:r w:rsidRPr="008A2A65">
        <w:t xml:space="preserve"> </w:t>
      </w:r>
      <w:r w:rsidRPr="006E5535">
        <w:t>per cent)</w:t>
      </w:r>
    </w:p>
    <w:p w:rsidR="0016425B" w:rsidRPr="00DD2794" w:rsidRDefault="0016425B" w:rsidP="00A73D31">
      <w:pPr>
        <w:pStyle w:val="ListBullet"/>
      </w:pPr>
      <w:r w:rsidRPr="00DD2794">
        <w:t xml:space="preserve">showed </w:t>
      </w:r>
      <w:r w:rsidRPr="006E5535">
        <w:t xml:space="preserve">respect </w:t>
      </w:r>
      <w:r w:rsidRPr="00A73D31">
        <w:t>(</w:t>
      </w:r>
      <w:r w:rsidR="005E16AC" w:rsidRPr="00A73D31">
        <w:t>92.5</w:t>
      </w:r>
      <w:r w:rsidR="00CE5028" w:rsidRPr="00A73D31">
        <w:t xml:space="preserve"> </w:t>
      </w:r>
      <w:r w:rsidRPr="00A73D31">
        <w:t>per</w:t>
      </w:r>
      <w:r w:rsidRPr="006E5535">
        <w:t xml:space="preserve"> cent)</w:t>
      </w:r>
    </w:p>
    <w:p w:rsidR="0016425B" w:rsidRPr="00DD2794" w:rsidRDefault="0016425B" w:rsidP="00A73D31">
      <w:pPr>
        <w:pStyle w:val="ListBullet"/>
      </w:pPr>
      <w:r w:rsidRPr="00DD2794">
        <w:t xml:space="preserve">spent enough time with </w:t>
      </w:r>
      <w:r w:rsidRPr="006E5535">
        <w:t>them (</w:t>
      </w:r>
      <w:r w:rsidR="005E16AC" w:rsidRPr="00A73D31">
        <w:t>88.0</w:t>
      </w:r>
      <w:r w:rsidR="005E16AC" w:rsidRPr="008A2A65">
        <w:t> </w:t>
      </w:r>
      <w:r w:rsidRPr="006E5535">
        <w:t>per cent)</w:t>
      </w:r>
      <w:r w:rsidR="0001182F" w:rsidRPr="006E5535">
        <w:t>.</w:t>
      </w:r>
    </w:p>
    <w:p w:rsidR="0001182F" w:rsidRDefault="00125F2C" w:rsidP="00636133">
      <w:pPr>
        <w:pStyle w:val="BodyText"/>
      </w:pPr>
      <w:r>
        <w:t xml:space="preserve">Data are presented by remoteness area in </w:t>
      </w:r>
      <w:r w:rsidRPr="006C74C6">
        <w:t>table</w:t>
      </w:r>
      <w:r w:rsidR="00D24817" w:rsidRPr="006C74C6">
        <w:t>s</w:t>
      </w:r>
      <w:r w:rsidR="00B42303" w:rsidRPr="006C74C6">
        <w:t xml:space="preserve"> </w:t>
      </w:r>
      <w:r w:rsidR="00657AE7">
        <w:t>11A.70</w:t>
      </w:r>
      <w:r w:rsidR="00B42303" w:rsidRPr="006C74C6">
        <w:t xml:space="preserve"> and </w:t>
      </w:r>
      <w:r w:rsidR="00657AE7">
        <w:t>11A.71</w:t>
      </w:r>
      <w:r w:rsidR="00693701">
        <w:t xml:space="preserve">. </w:t>
      </w:r>
      <w:r w:rsidR="00693701" w:rsidRPr="00636133">
        <w:t>Data for Indigenous Australians that are reported in table 11A.</w:t>
      </w:r>
      <w:r w:rsidR="00657AE7">
        <w:t>72</w:t>
      </w:r>
      <w:r w:rsidR="00693701" w:rsidRPr="00636133">
        <w:t xml:space="preserve"> are not comparable to the data presented here</w:t>
      </w:r>
      <w:r w:rsidR="000B2796">
        <w:t xml:space="preserve"> (see DQI for details)</w:t>
      </w:r>
      <w:r w:rsidR="00693701" w:rsidRPr="00636133">
        <w:t>.</w:t>
      </w:r>
    </w:p>
    <w:p w:rsidR="00C479C1" w:rsidRPr="006079C2" w:rsidRDefault="00C479C1" w:rsidP="00A73D31">
      <w:pPr>
        <w:pStyle w:val="FigureTitle"/>
        <w:rPr>
          <w:rStyle w:val="NoteLabel"/>
        </w:rPr>
      </w:pPr>
      <w:r>
        <w:rPr>
          <w:b w:val="0"/>
        </w:rPr>
        <w:lastRenderedPageBreak/>
        <w:t xml:space="preserve">Figure </w:t>
      </w:r>
      <w:r w:rsidR="00EC42DB">
        <w:rPr>
          <w:b w:val="0"/>
        </w:rPr>
        <w:t>11.</w:t>
      </w:r>
      <w:r w:rsidR="00C44281">
        <w:rPr>
          <w:b w:val="0"/>
          <w:noProof/>
        </w:rPr>
        <w:t>3</w:t>
      </w:r>
      <w:r w:rsidR="00CA25A8">
        <w:rPr>
          <w:b w:val="0"/>
          <w:noProof/>
        </w:rPr>
        <w:t>6</w:t>
      </w:r>
      <w:r>
        <w:rPr>
          <w:b w:val="0"/>
        </w:rPr>
        <w:t xml:space="preserve"> </w:t>
      </w:r>
      <w:r w:rsidR="00D06E08">
        <w:t xml:space="preserve">Proportion of people whose GP always or often </w:t>
      </w:r>
      <w:r w:rsidR="006A4FF7">
        <w:t>listened carefully, showed respect</w:t>
      </w:r>
      <w:r w:rsidR="005A7B48">
        <w:t>,</w:t>
      </w:r>
      <w:r w:rsidR="006A4FF7">
        <w:t xml:space="preserve"> spent enough time</w:t>
      </w:r>
      <w:r w:rsidR="00756CEC" w:rsidRPr="00DD2794">
        <w:t xml:space="preserve">, </w:t>
      </w:r>
      <w:r w:rsidR="00756CEC" w:rsidRPr="00A73D31">
        <w:t>20</w:t>
      </w:r>
      <w:r w:rsidR="00B4156A" w:rsidRPr="00A73D31">
        <w:t>1</w:t>
      </w:r>
      <w:r w:rsidR="002158C5" w:rsidRPr="00A73D31">
        <w:t>2</w:t>
      </w:r>
      <w:r w:rsidR="00CE5028" w:rsidRPr="00A73D31">
        <w:t>-1</w:t>
      </w:r>
      <w:r w:rsidR="002158C5" w:rsidRPr="00A73D31">
        <w:t>3</w:t>
      </w:r>
      <w:r w:rsidR="006079C2" w:rsidRPr="00A73D31">
        <w:rPr>
          <w:rStyle w:val="NoteLabel"/>
          <w:b/>
        </w:rPr>
        <w:t>a</w:t>
      </w:r>
      <w:r w:rsidR="00C54E42">
        <w:rPr>
          <w:rStyle w:val="NoteLabel"/>
          <w:b/>
        </w:rPr>
        <w:t>, b</w:t>
      </w:r>
      <w:r w:rsidR="001B597F">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79C1" w:rsidTr="006B0221">
        <w:tc>
          <w:tcPr>
            <w:tcW w:w="8777" w:type="dxa"/>
          </w:tcPr>
          <w:p w:rsidR="00C479C1" w:rsidRDefault="00FF6757" w:rsidP="002064D9">
            <w:pPr>
              <w:pStyle w:val="Figure"/>
              <w:pBdr>
                <w:right w:val="single" w:sz="6" w:space="1" w:color="auto"/>
              </w:pBdr>
            </w:pPr>
            <w:r>
              <w:rPr>
                <w:noProof/>
              </w:rPr>
              <w:drawing>
                <wp:inline distT="0" distB="0" distL="0" distR="0">
                  <wp:extent cx="5389880" cy="2710815"/>
                  <wp:effectExtent l="0" t="0" r="1270" b="0"/>
                  <wp:docPr id="44" name="Picture 44" descr="Figure 11.36 Proportion of people whose GP always or often listened carefully, showed respect, spent enough tim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C479C1" w:rsidRPr="00A35646" w:rsidRDefault="00C479C1" w:rsidP="00636133">
      <w:pPr>
        <w:pStyle w:val="Note"/>
        <w:keepNext/>
      </w:pPr>
      <w:r>
        <w:rPr>
          <w:rStyle w:val="NoteLabel"/>
        </w:rPr>
        <w:t>a</w:t>
      </w:r>
      <w:r w:rsidR="00C54E42" w:rsidRPr="00C54E42">
        <w:t xml:space="preserve"> </w:t>
      </w:r>
      <w:r w:rsidR="00134BC1">
        <w:t>People</w:t>
      </w:r>
      <w:r w:rsidR="00C54E42" w:rsidRPr="00C54E42">
        <w:t xml:space="preserve"> aged 15 years </w:t>
      </w:r>
      <w:r w:rsidR="00673BBB">
        <w:t>or</w:t>
      </w:r>
      <w:r w:rsidR="00C54E42" w:rsidRPr="00C54E42">
        <w:t xml:space="preserve"> over who</w:t>
      </w:r>
      <w:r w:rsidR="006A4FF7">
        <w:t xml:space="preserve"> </w:t>
      </w:r>
      <w:r w:rsidR="006A4FF7" w:rsidRPr="006A4FF7">
        <w:t>saw a GP in the last 12 months</w:t>
      </w:r>
      <w:r>
        <w:t>.</w:t>
      </w:r>
      <w:r w:rsidR="00C54E42">
        <w:t xml:space="preserve"> </w:t>
      </w:r>
      <w:r w:rsidR="00C54E42">
        <w:rPr>
          <w:rStyle w:val="NoteLabel"/>
        </w:rPr>
        <w:t>b</w:t>
      </w:r>
      <w:r w:rsidR="00C54E42" w:rsidRPr="00C54E42">
        <w:t xml:space="preserve"> </w:t>
      </w:r>
      <w:r w:rsidR="00A35646" w:rsidRPr="00A35646">
        <w:t>Rates are age</w:t>
      </w:r>
      <w:r w:rsidR="00A52C04">
        <w:noBreakHyphen/>
      </w:r>
      <w:r w:rsidR="00A35646" w:rsidRPr="00A35646">
        <w:t>standardised to the Australian population at 30 June 2001</w:t>
      </w:r>
      <w:r w:rsidR="00C72B52">
        <w:t>.</w:t>
      </w:r>
      <w:r w:rsidR="00E737F1" w:rsidRPr="00E737F1">
        <w:rPr>
          <w:rStyle w:val="NoteLabel"/>
          <w:shd w:val="clear" w:color="auto" w:fill="FFFFFF" w:themeFill="background1"/>
        </w:rPr>
        <w:t xml:space="preserve"> </w:t>
      </w:r>
      <w:r w:rsidR="00E737F1" w:rsidRPr="00636133">
        <w:rPr>
          <w:rStyle w:val="NoteLabel"/>
        </w:rPr>
        <w:t>c</w:t>
      </w:r>
      <w:r w:rsidR="00E737F1" w:rsidRPr="00636133">
        <w:t>  Data exclude discrete Indigenous communities, which will affect the NT more than other jurisdictions.</w:t>
      </w:r>
    </w:p>
    <w:p w:rsidR="00C479C1" w:rsidRDefault="00C479C1" w:rsidP="006E5535">
      <w:pPr>
        <w:pStyle w:val="Source"/>
      </w:pPr>
      <w:r>
        <w:rPr>
          <w:i/>
        </w:rPr>
        <w:t>Source</w:t>
      </w:r>
      <w:r w:rsidRPr="00167F06">
        <w:t xml:space="preserve">: </w:t>
      </w:r>
      <w:r>
        <w:t xml:space="preserve">ABS </w:t>
      </w:r>
      <w:r w:rsidR="00446FA7">
        <w:t>(unpublished)</w:t>
      </w:r>
      <w:r w:rsidR="00701472">
        <w:t xml:space="preserve"> </w:t>
      </w:r>
      <w:r w:rsidRPr="007164F7">
        <w:rPr>
          <w:i/>
        </w:rPr>
        <w:t>Patient</w:t>
      </w:r>
      <w:r w:rsidR="00756CEC" w:rsidRPr="007164F7">
        <w:rPr>
          <w:i/>
        </w:rPr>
        <w:t xml:space="preserve"> Experience Survey</w:t>
      </w:r>
      <w:r w:rsidR="00446FA7" w:rsidRPr="007164F7">
        <w:rPr>
          <w:i/>
        </w:rPr>
        <w:t xml:space="preserve"> </w:t>
      </w:r>
      <w:r w:rsidR="00446FA7" w:rsidRPr="00E31EAF">
        <w:rPr>
          <w:i/>
        </w:rPr>
        <w:t>201</w:t>
      </w:r>
      <w:r w:rsidR="0057426C" w:rsidRPr="00E31EAF">
        <w:rPr>
          <w:i/>
        </w:rPr>
        <w:t>2</w:t>
      </w:r>
      <w:r w:rsidR="00446FA7" w:rsidRPr="00E31EAF">
        <w:rPr>
          <w:i/>
        </w:rPr>
        <w:t>-1</w:t>
      </w:r>
      <w:r w:rsidR="0057426C" w:rsidRPr="00E31EAF">
        <w:rPr>
          <w:i/>
        </w:rPr>
        <w:t>3</w:t>
      </w:r>
      <w:r w:rsidR="00446FA7" w:rsidRPr="00E31EAF">
        <w:t>,</w:t>
      </w:r>
      <w:r w:rsidR="00446FA7">
        <w:t xml:space="preserve"> Cat. no. 4839.0</w:t>
      </w:r>
      <w:r w:rsidR="00756CEC">
        <w:t>; table</w:t>
      </w:r>
      <w:r w:rsidR="00D24817">
        <w:t>s</w:t>
      </w:r>
      <w:r w:rsidR="00756CEC">
        <w:t xml:space="preserve"> </w:t>
      </w:r>
      <w:r w:rsidR="00657AE7">
        <w:t>11A.70</w:t>
      </w:r>
      <w:r w:rsidR="00B42303" w:rsidRPr="006C74C6">
        <w:t xml:space="preserve">, </w:t>
      </w:r>
      <w:r w:rsidR="00657AE7">
        <w:t>11A.71</w:t>
      </w:r>
      <w:r w:rsidR="00756CEC" w:rsidRPr="006C74C6">
        <w:t>.</w:t>
      </w:r>
    </w:p>
    <w:p w:rsidR="00B25F39" w:rsidRDefault="00B25F39" w:rsidP="00B25F39">
      <w:pPr>
        <w:pStyle w:val="Heading5"/>
      </w:pPr>
      <w:r>
        <w:t xml:space="preserve">Patient </w:t>
      </w:r>
      <w:r w:rsidRPr="00B25F39">
        <w:t xml:space="preserve">satisfaction </w:t>
      </w:r>
      <w:r>
        <w:t xml:space="preserve">— </w:t>
      </w:r>
      <w:r w:rsidR="00AB7704" w:rsidRPr="00AB7704">
        <w:t>experience with selected key aspec</w:t>
      </w:r>
      <w:r w:rsidR="00AB7704">
        <w:t xml:space="preserve">ts of dental </w:t>
      </w:r>
      <w:r w:rsidR="00272230">
        <w:t>professional</w:t>
      </w:r>
      <w:r w:rsidR="00272230" w:rsidRPr="0001182F">
        <w:t xml:space="preserve"> </w:t>
      </w:r>
      <w:r w:rsidR="00AB7704">
        <w:t>care</w:t>
      </w:r>
    </w:p>
    <w:p w:rsidR="005C06A3" w:rsidRDefault="005C06A3" w:rsidP="00A73D31">
      <w:pPr>
        <w:pStyle w:val="BodyText"/>
      </w:pPr>
      <w:r>
        <w:t xml:space="preserve">Nationally, the majority of respondents reported </w:t>
      </w:r>
      <w:r w:rsidRPr="00A73D31">
        <w:t>that</w:t>
      </w:r>
      <w:r w:rsidR="002158C5" w:rsidRPr="00A73D31">
        <w:t>, in 2012-13,</w:t>
      </w:r>
      <w:r>
        <w:t xml:space="preserve"> the dental </w:t>
      </w:r>
      <w:r w:rsidR="00272230">
        <w:t>professional</w:t>
      </w:r>
      <w:r w:rsidR="00272230" w:rsidRPr="0001182F">
        <w:t xml:space="preserve"> </w:t>
      </w:r>
      <w:r w:rsidRPr="001404DB">
        <w:t>always or often</w:t>
      </w:r>
      <w:r>
        <w:t xml:space="preserve"> (figure 11.3</w:t>
      </w:r>
      <w:r w:rsidR="00CA25A8">
        <w:t>7</w:t>
      </w:r>
      <w:r w:rsidR="007164F7">
        <w:t>):</w:t>
      </w:r>
    </w:p>
    <w:p w:rsidR="005C06A3" w:rsidRPr="00DD2794" w:rsidRDefault="005C06A3" w:rsidP="00A73D31">
      <w:pPr>
        <w:pStyle w:val="ListBullet"/>
      </w:pPr>
      <w:r w:rsidRPr="00DD2794">
        <w:t xml:space="preserve">listened carefully to them </w:t>
      </w:r>
      <w:r w:rsidRPr="00A73D31">
        <w:t>(</w:t>
      </w:r>
      <w:r w:rsidR="007F77A2" w:rsidRPr="00A73D31">
        <w:t>94.8</w:t>
      </w:r>
      <w:r w:rsidR="00CE5028" w:rsidRPr="007F77A2">
        <w:t xml:space="preserve"> </w:t>
      </w:r>
      <w:r w:rsidRPr="006E5535">
        <w:t>per cent</w:t>
      </w:r>
      <w:r w:rsidRPr="00DD2794">
        <w:t>)</w:t>
      </w:r>
    </w:p>
    <w:p w:rsidR="005C06A3" w:rsidRPr="006E5535" w:rsidRDefault="005C06A3" w:rsidP="00A73D31">
      <w:pPr>
        <w:pStyle w:val="ListBullet"/>
      </w:pPr>
      <w:r w:rsidRPr="00DD2794">
        <w:t xml:space="preserve">showed </w:t>
      </w:r>
      <w:r w:rsidRPr="00A73D31">
        <w:t>respect (</w:t>
      </w:r>
      <w:r w:rsidR="007F77A2" w:rsidRPr="00A73D31">
        <w:t>96.1</w:t>
      </w:r>
      <w:r w:rsidR="00CE5028" w:rsidRPr="00A73D31">
        <w:t xml:space="preserve"> </w:t>
      </w:r>
      <w:r w:rsidRPr="00A73D31">
        <w:t>per</w:t>
      </w:r>
      <w:r w:rsidRPr="006E5535">
        <w:t xml:space="preserve"> cent)</w:t>
      </w:r>
    </w:p>
    <w:p w:rsidR="005C06A3" w:rsidRPr="00DD2794" w:rsidRDefault="005C06A3" w:rsidP="00A73D31">
      <w:pPr>
        <w:pStyle w:val="ListBullet"/>
      </w:pPr>
      <w:r w:rsidRPr="00DD2794">
        <w:t xml:space="preserve">spent enough time with </w:t>
      </w:r>
      <w:r w:rsidRPr="00A73D31">
        <w:t>them (</w:t>
      </w:r>
      <w:r w:rsidR="008F1B78" w:rsidRPr="00A73D31">
        <w:t>95.</w:t>
      </w:r>
      <w:r w:rsidR="007F77A2" w:rsidRPr="00A73D31">
        <w:t>6</w:t>
      </w:r>
      <w:r w:rsidR="00CE5028" w:rsidRPr="00A73D31">
        <w:t xml:space="preserve"> </w:t>
      </w:r>
      <w:r w:rsidRPr="00A73D31">
        <w:t>per</w:t>
      </w:r>
      <w:r w:rsidRPr="006E5535">
        <w:t xml:space="preserve"> cent).</w:t>
      </w:r>
    </w:p>
    <w:p w:rsidR="005C06A3" w:rsidRDefault="005C06A3" w:rsidP="00944E91">
      <w:pPr>
        <w:pStyle w:val="BodyText"/>
      </w:pPr>
      <w:r>
        <w:t>Data are presented by</w:t>
      </w:r>
      <w:r w:rsidR="00B66544">
        <w:t xml:space="preserve"> remoteness area in table</w:t>
      </w:r>
      <w:r w:rsidR="00D24817">
        <w:t>s</w:t>
      </w:r>
      <w:r w:rsidR="00B66544">
        <w:t xml:space="preserve"> </w:t>
      </w:r>
      <w:r w:rsidR="00EC4BB2">
        <w:t>11A.7</w:t>
      </w:r>
      <w:r w:rsidR="000A2E3B">
        <w:t>3</w:t>
      </w:r>
      <w:r w:rsidR="00D24817" w:rsidRPr="006C74C6">
        <w:t xml:space="preserve"> and </w:t>
      </w:r>
      <w:r w:rsidR="00226EA4">
        <w:t>11A.7</w:t>
      </w:r>
      <w:r w:rsidR="000A2E3B">
        <w:t>4</w:t>
      </w:r>
      <w:r w:rsidRPr="006C74C6">
        <w:t>.</w:t>
      </w:r>
      <w:r w:rsidR="005801A1" w:rsidRPr="00200C93">
        <w:rPr>
          <w:b/>
        </w:rPr>
        <w:t xml:space="preserve"> </w:t>
      </w:r>
    </w:p>
    <w:p w:rsidR="000B0BDE" w:rsidRDefault="000B0BDE" w:rsidP="00A73D31">
      <w:pPr>
        <w:pStyle w:val="FigureTitle"/>
      </w:pPr>
      <w:r>
        <w:rPr>
          <w:b w:val="0"/>
        </w:rPr>
        <w:lastRenderedPageBreak/>
        <w:t xml:space="preserve">Figure </w:t>
      </w:r>
      <w:r w:rsidR="00EC42DB">
        <w:rPr>
          <w:b w:val="0"/>
        </w:rPr>
        <w:t>11.</w:t>
      </w:r>
      <w:r w:rsidR="00C44281">
        <w:rPr>
          <w:b w:val="0"/>
          <w:noProof/>
        </w:rPr>
        <w:t>3</w:t>
      </w:r>
      <w:r w:rsidR="00CA25A8">
        <w:rPr>
          <w:b w:val="0"/>
          <w:noProof/>
        </w:rPr>
        <w:t>7</w:t>
      </w:r>
      <w:r>
        <w:tab/>
      </w:r>
      <w:r w:rsidR="006575B2">
        <w:t xml:space="preserve">Proportion of people whose dental </w:t>
      </w:r>
      <w:r w:rsidR="00272230">
        <w:t>professional</w:t>
      </w:r>
      <w:r w:rsidR="00272230" w:rsidRPr="0001182F">
        <w:t xml:space="preserve"> </w:t>
      </w:r>
      <w:r w:rsidR="00CE5028">
        <w:br/>
      </w:r>
      <w:r w:rsidR="006575B2">
        <w:t xml:space="preserve">always or often listened carefully, showed respect, </w:t>
      </w:r>
      <w:r w:rsidR="00CE5028">
        <w:br/>
      </w:r>
      <w:r w:rsidR="006575B2">
        <w:t>spent enough time</w:t>
      </w:r>
      <w:r w:rsidR="00756CEC">
        <w:t xml:space="preserve">, </w:t>
      </w:r>
      <w:r w:rsidR="00756CEC" w:rsidRPr="00A73D31">
        <w:t>20</w:t>
      </w:r>
      <w:r w:rsidR="003D1531" w:rsidRPr="00A73D31">
        <w:t>1</w:t>
      </w:r>
      <w:r w:rsidR="002158C5" w:rsidRPr="00A73D31">
        <w:t>2</w:t>
      </w:r>
      <w:r w:rsidR="00CE5028" w:rsidRPr="00A73D31">
        <w:t>-1</w:t>
      </w:r>
      <w:r w:rsidR="002158C5" w:rsidRPr="00A73D31">
        <w:t>3</w:t>
      </w:r>
      <w:r w:rsidR="00756CEC" w:rsidRPr="00A73D31">
        <w:rPr>
          <w:rStyle w:val="NoteLabel"/>
          <w:b/>
        </w:rPr>
        <w:t xml:space="preserve"> a</w:t>
      </w:r>
      <w:r w:rsidR="00045CF4" w:rsidRPr="00A73D31">
        <w:rPr>
          <w:rStyle w:val="NoteLabel"/>
          <w:b/>
        </w:rPr>
        <w:t>,</w:t>
      </w:r>
      <w:r w:rsidR="00045CF4">
        <w:rPr>
          <w:rStyle w:val="NoteLabel"/>
          <w:b/>
        </w:rPr>
        <w:t xml:space="preserve">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B0BDE" w:rsidTr="006B0221">
        <w:tc>
          <w:tcPr>
            <w:tcW w:w="8777" w:type="dxa"/>
          </w:tcPr>
          <w:p w:rsidR="000B0BDE" w:rsidRDefault="00FF6757" w:rsidP="002064D9">
            <w:pPr>
              <w:pStyle w:val="Figure"/>
              <w:pBdr>
                <w:right w:val="single" w:sz="6" w:space="1" w:color="auto"/>
              </w:pBdr>
            </w:pPr>
            <w:r>
              <w:rPr>
                <w:noProof/>
              </w:rPr>
              <w:drawing>
                <wp:inline distT="0" distB="0" distL="0" distR="0">
                  <wp:extent cx="5389880" cy="2710815"/>
                  <wp:effectExtent l="0" t="0" r="1270" b="0"/>
                  <wp:docPr id="45" name="Picture 45" descr="Figure 11.37 Proportion of people whose dental professional &#10;always or often listened carefully, showed respect, &#10;spent enough tim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064D9" w:rsidRDefault="002064D9" w:rsidP="00636133">
      <w:pPr>
        <w:pStyle w:val="Note"/>
      </w:pPr>
      <w:r>
        <w:rPr>
          <w:rStyle w:val="NoteLabel"/>
        </w:rPr>
        <w:t>a</w:t>
      </w:r>
      <w:r>
        <w:sym w:font="Symbol" w:char="F020"/>
      </w:r>
      <w:r w:rsidR="00134BC1">
        <w:t>People</w:t>
      </w:r>
      <w:r w:rsidR="00045CF4" w:rsidRPr="00045CF4">
        <w:t xml:space="preserve"> aged 15 years </w:t>
      </w:r>
      <w:r w:rsidR="0086263D">
        <w:t>or</w:t>
      </w:r>
      <w:r w:rsidR="00045CF4" w:rsidRPr="00045CF4">
        <w:t xml:space="preserve"> over who</w:t>
      </w:r>
      <w:r w:rsidR="00A83F30" w:rsidRPr="00A83F30">
        <w:t xml:space="preserve"> </w:t>
      </w:r>
      <w:r w:rsidR="00A83F30">
        <w:t xml:space="preserve">saw a dental </w:t>
      </w:r>
      <w:r w:rsidR="00272230">
        <w:t>professional</w:t>
      </w:r>
      <w:r w:rsidR="00272230" w:rsidRPr="0001182F">
        <w:t xml:space="preserve"> </w:t>
      </w:r>
      <w:r w:rsidR="00A83F30" w:rsidRPr="006A4FF7">
        <w:t>in the last 12 months</w:t>
      </w:r>
      <w:r w:rsidR="00045CF4" w:rsidRPr="00045CF4">
        <w:t>.</w:t>
      </w:r>
      <w:r w:rsidR="00045CF4" w:rsidRPr="00045CF4">
        <w:rPr>
          <w:rStyle w:val="NoteLabel"/>
        </w:rPr>
        <w:t xml:space="preserve"> </w:t>
      </w:r>
      <w:r w:rsidR="00045CF4">
        <w:rPr>
          <w:rStyle w:val="NoteLabel"/>
        </w:rPr>
        <w:t>b</w:t>
      </w:r>
      <w:r w:rsidR="00045CF4">
        <w:sym w:font="Symbol" w:char="F020"/>
      </w:r>
      <w:r w:rsidR="00A52C04">
        <w:t>Rates are age</w:t>
      </w:r>
      <w:r w:rsidR="00A52C04">
        <w:noBreakHyphen/>
      </w:r>
      <w:r w:rsidR="00F66086">
        <w:t>standardised to the Australian population at 30 June 2001</w:t>
      </w:r>
      <w:r w:rsidR="00C72B52">
        <w:t>.</w:t>
      </w:r>
      <w:r w:rsidR="00AD7DDC" w:rsidRPr="00AD7DDC">
        <w:rPr>
          <w:rStyle w:val="NoteLabel"/>
          <w:shd w:val="clear" w:color="auto" w:fill="FFFFFF" w:themeFill="background1"/>
        </w:rPr>
        <w:t xml:space="preserve"> </w:t>
      </w:r>
      <w:r w:rsidR="00AD7DDC" w:rsidRPr="00636133">
        <w:rPr>
          <w:rStyle w:val="NoteLabel"/>
        </w:rPr>
        <w:t>c</w:t>
      </w:r>
      <w:r w:rsidR="00AD7DDC" w:rsidRPr="00636133">
        <w:t xml:space="preserve"> Data exclude discrete Indigenous communities, which will affect the NT more than other jurisdictions.</w:t>
      </w:r>
    </w:p>
    <w:p w:rsidR="002064D9" w:rsidRPr="00944E91" w:rsidRDefault="002064D9" w:rsidP="006E5535">
      <w:pPr>
        <w:pStyle w:val="Source"/>
      </w:pPr>
      <w:r w:rsidRPr="00425E96">
        <w:rPr>
          <w:i/>
        </w:rPr>
        <w:t>Source</w:t>
      </w:r>
      <w:r w:rsidRPr="00167F06">
        <w:t xml:space="preserve">: </w:t>
      </w:r>
      <w:r w:rsidR="007164F7" w:rsidRPr="00A97F84">
        <w:t xml:space="preserve">ABS (unpublished) </w:t>
      </w:r>
      <w:r w:rsidR="007164F7" w:rsidRPr="00A97F84">
        <w:rPr>
          <w:i/>
        </w:rPr>
        <w:t xml:space="preserve">Patient Experience </w:t>
      </w:r>
      <w:r w:rsidR="007164F7" w:rsidRPr="000A2E3B">
        <w:rPr>
          <w:i/>
        </w:rPr>
        <w:t>Survey</w:t>
      </w:r>
      <w:r w:rsidR="007164F7" w:rsidRPr="000A2E3B">
        <w:t xml:space="preserve"> </w:t>
      </w:r>
      <w:r w:rsidR="007164F7" w:rsidRPr="000A2E3B">
        <w:rPr>
          <w:i/>
        </w:rPr>
        <w:t>201</w:t>
      </w:r>
      <w:r w:rsidR="0057426C" w:rsidRPr="000A2E3B">
        <w:rPr>
          <w:i/>
        </w:rPr>
        <w:t>2</w:t>
      </w:r>
      <w:r w:rsidR="007164F7" w:rsidRPr="000A2E3B">
        <w:rPr>
          <w:i/>
        </w:rPr>
        <w:t>-1</w:t>
      </w:r>
      <w:r w:rsidR="0057426C" w:rsidRPr="000A2E3B">
        <w:rPr>
          <w:i/>
        </w:rPr>
        <w:t>3</w:t>
      </w:r>
      <w:r w:rsidR="007164F7" w:rsidRPr="000A2E3B">
        <w:t>, Cat. no. 4839</w:t>
      </w:r>
      <w:r w:rsidR="007164F7">
        <w:t>.0</w:t>
      </w:r>
      <w:r w:rsidR="00A063C0">
        <w:t xml:space="preserve">; </w:t>
      </w:r>
      <w:r w:rsidR="00A063C0" w:rsidRPr="006C74C6">
        <w:t>table</w:t>
      </w:r>
      <w:r w:rsidR="00D24817" w:rsidRPr="006C74C6">
        <w:t>s</w:t>
      </w:r>
      <w:r w:rsidR="00A063C0" w:rsidRPr="006C74C6">
        <w:t xml:space="preserve"> </w:t>
      </w:r>
      <w:r w:rsidR="000A2E3B">
        <w:t>11A.73</w:t>
      </w:r>
      <w:r w:rsidR="00B42303" w:rsidRPr="006C74C6">
        <w:t xml:space="preserve">, </w:t>
      </w:r>
      <w:r w:rsidR="003F3FB0">
        <w:t>11A.7</w:t>
      </w:r>
      <w:r w:rsidR="000A2E3B">
        <w:t>4</w:t>
      </w:r>
      <w:r w:rsidRPr="006C74C6">
        <w:t>.</w:t>
      </w:r>
    </w:p>
    <w:p w:rsidR="00085B88" w:rsidRDefault="00085B88" w:rsidP="00085B88">
      <w:pPr>
        <w:pStyle w:val="Heading4"/>
      </w:pPr>
      <w:r>
        <w:t>Quality — continuity</w:t>
      </w:r>
    </w:p>
    <w:p w:rsidR="0001197C" w:rsidRDefault="0001197C" w:rsidP="0001197C">
      <w:pPr>
        <w:pStyle w:val="Heading5"/>
      </w:pPr>
      <w:r w:rsidRPr="0001197C">
        <w:t>Health assessments for older people</w:t>
      </w:r>
    </w:p>
    <w:p w:rsidR="00D370B6" w:rsidRDefault="00D370B6" w:rsidP="00D370B6">
      <w:pPr>
        <w:pStyle w:val="BodyText"/>
      </w:pPr>
      <w:r>
        <w:t>‘</w:t>
      </w:r>
      <w:r w:rsidRPr="00D370B6">
        <w:t>Health assessments for older people</w:t>
      </w:r>
      <w:r>
        <w:t>’ is an indicator of governme</w:t>
      </w:r>
      <w:r w:rsidR="00895D03">
        <w:t>n</w:t>
      </w:r>
      <w:r>
        <w:t>ts’ objective to improve population health outcomes throu</w:t>
      </w:r>
      <w:r w:rsidR="00391F18">
        <w:t xml:space="preserve">gh the provision of prevention as well as </w:t>
      </w:r>
      <w:r>
        <w:t>early detection and treatment services</w:t>
      </w:r>
      <w:r w:rsidR="00391F18">
        <w:t xml:space="preserve"> </w:t>
      </w:r>
      <w:r w:rsidR="0042025F">
        <w:t>(</w:t>
      </w:r>
      <w:smartTag w:uri="urn:schemas-microsoft-com:office:smarttags" w:element="address">
        <w:smartTag w:uri="urn:schemas-microsoft-com:office:smarttags" w:element="Street">
          <w:r w:rsidR="00391F18" w:rsidRPr="00D370B6">
            <w:t>box</w:t>
          </w:r>
        </w:smartTag>
        <w:r w:rsidR="00EA4368">
          <w:t> </w:t>
        </w:r>
        <w:r w:rsidR="00445562" w:rsidRPr="00C93335">
          <w:t>11.</w:t>
        </w:r>
        <w:r w:rsidR="00C93335" w:rsidRPr="00C93335">
          <w:t>17</w:t>
        </w:r>
      </w:smartTag>
      <w:r w:rsidR="00391F18">
        <w:t>)</w:t>
      </w:r>
      <w:r>
        <w:t>.</w:t>
      </w:r>
    </w:p>
    <w:p w:rsidR="001A1B20" w:rsidRDefault="001A1B2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1B20">
        <w:tc>
          <w:tcPr>
            <w:tcW w:w="8771" w:type="dxa"/>
            <w:tcBorders>
              <w:top w:val="single" w:sz="6" w:space="0" w:color="auto"/>
              <w:bottom w:val="nil"/>
            </w:tcBorders>
          </w:tcPr>
          <w:p w:rsidR="001A1B20" w:rsidRDefault="001A1B20" w:rsidP="001A1B20">
            <w:pPr>
              <w:pStyle w:val="BoxTitle"/>
            </w:pPr>
            <w:r>
              <w:rPr>
                <w:b w:val="0"/>
              </w:rPr>
              <w:t>Box</w:t>
            </w:r>
            <w:r w:rsidRPr="001A1B20">
              <w:rPr>
                <w:b w:val="0"/>
              </w:rPr>
              <w:t xml:space="preserve"> 11.17</w:t>
            </w:r>
            <w:r>
              <w:tab/>
            </w:r>
            <w:r w:rsidRPr="001A1B20">
              <w:t>Health assessments for older people</w:t>
            </w:r>
          </w:p>
        </w:tc>
      </w:tr>
      <w:tr w:rsidR="001A1B20">
        <w:trPr>
          <w:cantSplit/>
        </w:trPr>
        <w:tc>
          <w:tcPr>
            <w:tcW w:w="8771" w:type="dxa"/>
            <w:tcBorders>
              <w:top w:val="nil"/>
              <w:left w:val="single" w:sz="6" w:space="0" w:color="auto"/>
              <w:bottom w:val="nil"/>
              <w:right w:val="single" w:sz="6" w:space="0" w:color="auto"/>
            </w:tcBorders>
          </w:tcPr>
          <w:p w:rsidR="001A1B20" w:rsidRDefault="001A1B20" w:rsidP="001A1B20">
            <w:pPr>
              <w:pStyle w:val="Box"/>
            </w:pPr>
            <w:r>
              <w:t>‘</w:t>
            </w:r>
            <w:r w:rsidRPr="00D370B6">
              <w:t>Health assessments for older people</w:t>
            </w:r>
            <w:r>
              <w:t>’</w:t>
            </w:r>
            <w:r w:rsidRPr="0001197C">
              <w:t xml:space="preserve"> is defined as the proportion of older people who received a health assessment. Older people are defined as non-</w:t>
            </w:r>
            <w:r>
              <w:t>Indigenous Australians</w:t>
            </w:r>
            <w:r w:rsidRPr="0001197C">
              <w:t xml:space="preserve"> aged 75 years or over and </w:t>
            </w:r>
            <w:r>
              <w:t>Indigenous Australians</w:t>
            </w:r>
            <w:r w:rsidRPr="0001197C">
              <w:t xml:space="preserve"> aged 55 years or over, excluding hospital inpatients and people living in aged care facilitie</w:t>
            </w:r>
            <w:r>
              <w:t xml:space="preserve">s. </w:t>
            </w:r>
            <w:r w:rsidRPr="00F84B38">
              <w:t xml:space="preserve">Annual health assessments for older people are MBS items that allow a GP to undertake an in-depth assessment of a patient’s health. Health assessments cover the patient’s health and physical, psychological and social functioning, and aim to facilitate more timely preventive actions or treatments to enhance the health of the patient (see also </w:t>
            </w:r>
            <w:smartTag w:uri="urn:schemas-microsoft-com:office:smarttags" w:element="address">
              <w:smartTag w:uri="urn:schemas-microsoft-com:office:smarttags" w:element="Street">
                <w:r w:rsidRPr="00F84B38">
                  <w:t>box</w:t>
                </w:r>
              </w:smartTag>
              <w:r w:rsidRPr="00F84B38">
                <w:t xml:space="preserve"> </w:t>
              </w:r>
              <w:r w:rsidRPr="00646F6C">
                <w:t>11.</w:t>
              </w:r>
              <w:r>
                <w:t>5</w:t>
              </w:r>
            </w:smartTag>
            <w:r w:rsidRPr="00F84B38">
              <w:t>).</w:t>
            </w:r>
          </w:p>
          <w:p w:rsidR="00B40F1A" w:rsidRDefault="00B40F1A" w:rsidP="00B40F1A">
            <w:pPr>
              <w:pStyle w:val="Box"/>
            </w:pPr>
            <w:r w:rsidRPr="0001197C">
              <w:t>A</w:t>
            </w:r>
            <w:r>
              <w:t xml:space="preserve"> high or</w:t>
            </w:r>
            <w:r w:rsidRPr="0001197C">
              <w:t xml:space="preserve"> increasin</w:t>
            </w:r>
            <w:r>
              <w:t>g</w:t>
            </w:r>
            <w:r w:rsidRPr="0001197C">
              <w:t xml:space="preserve"> proportion of eligible older people who received a health assessment </w:t>
            </w:r>
            <w:r>
              <w:t xml:space="preserve">can </w:t>
            </w:r>
            <w:r w:rsidRPr="0001197C">
              <w:t>indicate a reduction in health risks for older people, through early and timely prevention and intervention measures to improve and maintain health.</w:t>
            </w:r>
          </w:p>
          <w:p w:rsidR="00B40F1A" w:rsidRDefault="00B40F1A" w:rsidP="00B40F1A">
            <w:pPr>
              <w:pStyle w:val="Box"/>
            </w:pPr>
            <w:r>
              <w:t>Data reported against this indicator are:</w:t>
            </w:r>
          </w:p>
          <w:p w:rsidR="00B40F1A" w:rsidRDefault="00B40F1A" w:rsidP="00B40F1A">
            <w:pPr>
              <w:pStyle w:val="BoxListBullet"/>
            </w:pPr>
            <w:r>
              <w:t>comparable (subject to caveats) across jurisdictions and over time</w:t>
            </w:r>
          </w:p>
          <w:p w:rsidR="00B40F1A" w:rsidRDefault="00B40F1A" w:rsidP="00B40F1A">
            <w:pPr>
              <w:pStyle w:val="BoxListBullet"/>
            </w:pPr>
            <w:r>
              <w:t>complete (subject to caveats) for the current reporting period. All required 2012</w:t>
            </w:r>
            <w:r>
              <w:noBreakHyphen/>
              <w:t>13 data are available for all jurisdictions.</w:t>
            </w:r>
          </w:p>
          <w:p w:rsidR="001A1B20" w:rsidRDefault="00B40F1A" w:rsidP="00B40F1A">
            <w:pPr>
              <w:pStyle w:val="Box"/>
            </w:pPr>
            <w:r w:rsidRPr="0027351B">
              <w:t>Data quality information for this indicator is under deve</w:t>
            </w:r>
            <w:r>
              <w:t>lopment.</w:t>
            </w:r>
          </w:p>
        </w:tc>
      </w:tr>
      <w:tr w:rsidR="001A1B20">
        <w:trPr>
          <w:cantSplit/>
        </w:trPr>
        <w:tc>
          <w:tcPr>
            <w:tcW w:w="8771" w:type="dxa"/>
            <w:tcBorders>
              <w:top w:val="nil"/>
              <w:left w:val="single" w:sz="6" w:space="0" w:color="auto"/>
              <w:bottom w:val="single" w:sz="6" w:space="0" w:color="auto"/>
              <w:right w:val="single" w:sz="6" w:space="0" w:color="auto"/>
            </w:tcBorders>
          </w:tcPr>
          <w:p w:rsidR="001A1B20" w:rsidRDefault="001A1B20">
            <w:pPr>
              <w:pStyle w:val="Box"/>
              <w:spacing w:before="0" w:line="120" w:lineRule="exact"/>
            </w:pPr>
          </w:p>
        </w:tc>
      </w:tr>
      <w:tr w:rsidR="001A1B20" w:rsidRPr="000863A5">
        <w:tc>
          <w:tcPr>
            <w:tcW w:w="8771" w:type="dxa"/>
            <w:tcBorders>
              <w:top w:val="nil"/>
              <w:left w:val="nil"/>
              <w:bottom w:val="nil"/>
              <w:right w:val="nil"/>
            </w:tcBorders>
          </w:tcPr>
          <w:p w:rsidR="001A1B20" w:rsidRPr="000863A5" w:rsidRDefault="001A1B20" w:rsidP="001A1B20">
            <w:pPr>
              <w:pStyle w:val="Box"/>
              <w:keepNext w:val="0"/>
              <w:spacing w:before="60" w:after="60" w:line="80" w:lineRule="exact"/>
              <w:rPr>
                <w:b/>
                <w:sz w:val="14"/>
              </w:rPr>
            </w:pPr>
          </w:p>
        </w:tc>
      </w:tr>
    </w:tbl>
    <w:p w:rsidR="00D370B6" w:rsidRDefault="00D370B6" w:rsidP="009821EC">
      <w:pPr>
        <w:pStyle w:val="BodyText"/>
      </w:pPr>
      <w:r w:rsidRPr="00D370B6">
        <w:t xml:space="preserve">The </w:t>
      </w:r>
      <w:r w:rsidR="00830C77">
        <w:t xml:space="preserve">targeted </w:t>
      </w:r>
      <w:r w:rsidRPr="00D370B6">
        <w:t xml:space="preserve">age range for </w:t>
      </w:r>
      <w:r w:rsidR="006E4E2B">
        <w:t>Indigenous Australians</w:t>
      </w:r>
      <w:r w:rsidRPr="00D370B6">
        <w:t xml:space="preserve"> </w:t>
      </w:r>
      <w:r w:rsidR="00830C77">
        <w:t xml:space="preserve">of 55 years or over </w:t>
      </w:r>
      <w:r w:rsidRPr="00D370B6">
        <w:t>recognises that they typically face increased health risks at younger ages than most other groups in the population. It also broadly reflects the difference in average life expectancy between the Indigenous and non-I</w:t>
      </w:r>
      <w:r w:rsidR="005C42E8">
        <w:t xml:space="preserve">ndigenous populations (see the </w:t>
      </w:r>
      <w:r w:rsidRPr="00D370B6">
        <w:t xml:space="preserve">Health </w:t>
      </w:r>
      <w:r w:rsidR="009B644B">
        <w:t xml:space="preserve">sector </w:t>
      </w:r>
      <w:r w:rsidR="004878A5">
        <w:t>overview</w:t>
      </w:r>
      <w:r w:rsidRPr="00D370B6">
        <w:t xml:space="preserve">). Results for </w:t>
      </w:r>
      <w:r w:rsidR="006E4E2B">
        <w:t>Indigenous Australians</w:t>
      </w:r>
      <w:r w:rsidRPr="00D370B6">
        <w:t xml:space="preserve"> are reported under equity indicators (</w:t>
      </w:r>
      <w:smartTag w:uri="urn:schemas-microsoft-com:office:smarttags" w:element="address">
        <w:smartTag w:uri="urn:schemas-microsoft-com:office:smarttags" w:element="Street">
          <w:r w:rsidRPr="00D370B6">
            <w:t>box</w:t>
          </w:r>
        </w:smartTag>
        <w:r w:rsidR="004D6520">
          <w:t> </w:t>
        </w:r>
        <w:r w:rsidRPr="00646F6C">
          <w:t>11.</w:t>
        </w:r>
        <w:r w:rsidR="00C93335">
          <w:t>5</w:t>
        </w:r>
      </w:smartTag>
      <w:r w:rsidRPr="00646F6C">
        <w:t>).</w:t>
      </w:r>
    </w:p>
    <w:p w:rsidR="0001197C" w:rsidRPr="00121643" w:rsidRDefault="00121643" w:rsidP="00584945">
      <w:pPr>
        <w:pStyle w:val="BodyText"/>
      </w:pPr>
      <w:r>
        <w:t>T</w:t>
      </w:r>
      <w:r w:rsidR="0001197C" w:rsidRPr="0001197C">
        <w:t>he</w:t>
      </w:r>
      <w:r>
        <w:t xml:space="preserve">re has </w:t>
      </w:r>
      <w:r w:rsidRPr="00D44B6A">
        <w:t>been a</w:t>
      </w:r>
      <w:r w:rsidR="000E51BE" w:rsidRPr="00D44B6A">
        <w:t>n</w:t>
      </w:r>
      <w:r w:rsidRPr="00D44B6A">
        <w:t xml:space="preserve"> </w:t>
      </w:r>
      <w:r w:rsidRPr="005A5416">
        <w:t>increase</w:t>
      </w:r>
      <w:r w:rsidRPr="00D44B6A">
        <w:t xml:space="preserve"> in</w:t>
      </w:r>
      <w:r>
        <w:t xml:space="preserve"> the</w:t>
      </w:r>
      <w:r w:rsidR="0001197C" w:rsidRPr="0001197C">
        <w:t xml:space="preserve"> proportion of older people </w:t>
      </w:r>
      <w:r>
        <w:t>receiving</w:t>
      </w:r>
      <w:r w:rsidR="0001197C" w:rsidRPr="0001197C">
        <w:t xml:space="preserve"> a </w:t>
      </w:r>
      <w:r w:rsidR="0001197C" w:rsidRPr="00C816D9">
        <w:t xml:space="preserve">health </w:t>
      </w:r>
      <w:r w:rsidR="0001197C" w:rsidRPr="00D44B6A">
        <w:t xml:space="preserve">assessment </w:t>
      </w:r>
      <w:r w:rsidRPr="00D44B6A">
        <w:t xml:space="preserve">in </w:t>
      </w:r>
      <w:r w:rsidR="000E51BE" w:rsidRPr="00D44B6A">
        <w:t>all</w:t>
      </w:r>
      <w:r w:rsidRPr="00D44B6A">
        <w:t xml:space="preserve"> jurisdictions in the </w:t>
      </w:r>
      <w:r w:rsidRPr="005A5416">
        <w:t xml:space="preserve">period </w:t>
      </w:r>
      <w:r w:rsidR="00C816D9" w:rsidRPr="005A5416">
        <w:t>200</w:t>
      </w:r>
      <w:r w:rsidR="005A5416" w:rsidRPr="005A5416">
        <w:t>8</w:t>
      </w:r>
      <w:r w:rsidR="00C816D9" w:rsidRPr="005A5416">
        <w:t>-</w:t>
      </w:r>
      <w:r w:rsidR="002D2514" w:rsidRPr="005A5416">
        <w:t>0</w:t>
      </w:r>
      <w:r w:rsidR="005A5416" w:rsidRPr="005A5416">
        <w:t>9</w:t>
      </w:r>
      <w:r w:rsidR="00C816D9" w:rsidRPr="005A5416">
        <w:t xml:space="preserve"> </w:t>
      </w:r>
      <w:r w:rsidRPr="005A5416">
        <w:t>to 20</w:t>
      </w:r>
      <w:r w:rsidR="00646F6C" w:rsidRPr="005A5416">
        <w:t>1</w:t>
      </w:r>
      <w:r w:rsidR="005A5416" w:rsidRPr="005A5416">
        <w:t>2</w:t>
      </w:r>
      <w:r w:rsidRPr="005A5416">
        <w:t>-</w:t>
      </w:r>
      <w:r w:rsidR="002D2514" w:rsidRPr="005A5416">
        <w:t>1</w:t>
      </w:r>
      <w:r w:rsidR="005A5416" w:rsidRPr="005A5416">
        <w:t>3</w:t>
      </w:r>
      <w:r w:rsidRPr="005A5416">
        <w:t>. Nation</w:t>
      </w:r>
      <w:r w:rsidR="00835561" w:rsidRPr="005A5416">
        <w:t>ally</w:t>
      </w:r>
      <w:r w:rsidRPr="005A5416">
        <w:t>, this</w:t>
      </w:r>
      <w:r w:rsidRPr="00D44B6A">
        <w:t xml:space="preserve"> proportion </w:t>
      </w:r>
      <w:r w:rsidR="0001197C" w:rsidRPr="00D44B6A">
        <w:t>increased from</w:t>
      </w:r>
      <w:r w:rsidR="005A5416">
        <w:t xml:space="preserve"> 22.8</w:t>
      </w:r>
      <w:r w:rsidR="0001197C" w:rsidRPr="00D44B6A">
        <w:t xml:space="preserve"> </w:t>
      </w:r>
      <w:r w:rsidRPr="005A5416">
        <w:t>per</w:t>
      </w:r>
      <w:r w:rsidR="002F43AC" w:rsidRPr="005A5416">
        <w:t> </w:t>
      </w:r>
      <w:r w:rsidRPr="005A5416">
        <w:t>cent</w:t>
      </w:r>
      <w:r w:rsidR="000C6E81" w:rsidRPr="005A5416">
        <w:t xml:space="preserve"> </w:t>
      </w:r>
      <w:r w:rsidRPr="005A5416">
        <w:t xml:space="preserve">in </w:t>
      </w:r>
      <w:r w:rsidR="005A5416" w:rsidRPr="005A5416">
        <w:t xml:space="preserve">2008-09 </w:t>
      </w:r>
      <w:r w:rsidR="00646F6C" w:rsidRPr="005A5416">
        <w:t xml:space="preserve">to </w:t>
      </w:r>
      <w:r w:rsidR="00174D43" w:rsidRPr="005A5416">
        <w:t>2</w:t>
      </w:r>
      <w:r w:rsidR="005A5416" w:rsidRPr="005A5416">
        <w:t>9.2</w:t>
      </w:r>
      <w:r w:rsidR="00174D43" w:rsidRPr="005A5416">
        <w:t> </w:t>
      </w:r>
      <w:r w:rsidR="000A258A" w:rsidRPr="005A5416">
        <w:t>per </w:t>
      </w:r>
      <w:r w:rsidR="0001197C" w:rsidRPr="005A5416">
        <w:t xml:space="preserve">cent in </w:t>
      </w:r>
      <w:r w:rsidR="005A5416" w:rsidRPr="005A5416">
        <w:t>2012-13</w:t>
      </w:r>
      <w:r w:rsidR="005A5416" w:rsidRPr="00D44B6A">
        <w:t xml:space="preserve"> </w:t>
      </w:r>
      <w:r w:rsidR="0001197C" w:rsidRPr="00D44B6A">
        <w:t>(figure</w:t>
      </w:r>
      <w:r w:rsidR="00EA4368" w:rsidRPr="00D44B6A">
        <w:t> </w:t>
      </w:r>
      <w:r w:rsidR="00515C23" w:rsidRPr="00D44B6A">
        <w:t>11.3</w:t>
      </w:r>
      <w:r w:rsidR="00CA25A8">
        <w:t>8</w:t>
      </w:r>
      <w:r w:rsidR="0001197C" w:rsidRPr="00D44B6A">
        <w:t>).</w:t>
      </w:r>
    </w:p>
    <w:p w:rsidR="0001197C" w:rsidRPr="009055D1" w:rsidRDefault="0001197C" w:rsidP="009055D1">
      <w:pPr>
        <w:pStyle w:val="FigureTitle"/>
      </w:pPr>
      <w:r w:rsidRPr="009055D1">
        <w:rPr>
          <w:b w:val="0"/>
        </w:rPr>
        <w:lastRenderedPageBreak/>
        <w:t xml:space="preserve">Figure </w:t>
      </w:r>
      <w:bookmarkStart w:id="52" w:name="OLE_LINK42"/>
      <w:r w:rsidR="00EC42DB" w:rsidRPr="009055D1">
        <w:rPr>
          <w:b w:val="0"/>
        </w:rPr>
        <w:t>11.</w:t>
      </w:r>
      <w:r w:rsidR="00C44281">
        <w:rPr>
          <w:b w:val="0"/>
          <w:noProof/>
        </w:rPr>
        <w:t>3</w:t>
      </w:r>
      <w:bookmarkEnd w:id="52"/>
      <w:r w:rsidR="00CA25A8">
        <w:rPr>
          <w:b w:val="0"/>
          <w:noProof/>
        </w:rPr>
        <w:t>8</w:t>
      </w:r>
      <w:r w:rsidR="00566A91" w:rsidRPr="009055D1">
        <w:t xml:space="preserve"> </w:t>
      </w:r>
      <w:r w:rsidRPr="009055D1">
        <w:t>Older people who received a health assessment</w:t>
      </w:r>
      <w:r w:rsidRPr="009055D1">
        <w:rPr>
          <w:rStyle w:val="NoteLabel"/>
          <w:b/>
        </w:rPr>
        <w:t>a</w:t>
      </w:r>
      <w:r w:rsidR="00DF7700">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1197C">
        <w:tc>
          <w:tcPr>
            <w:tcW w:w="8777" w:type="dxa"/>
          </w:tcPr>
          <w:p w:rsidR="0001197C" w:rsidRDefault="00FF6757">
            <w:pPr>
              <w:pStyle w:val="Figure"/>
            </w:pPr>
            <w:r>
              <w:rPr>
                <w:noProof/>
              </w:rPr>
              <w:drawing>
                <wp:inline distT="0" distB="0" distL="0" distR="0">
                  <wp:extent cx="5368290" cy="2710815"/>
                  <wp:effectExtent l="0" t="0" r="3810" b="0"/>
                  <wp:docPr id="46" name="Picture 46" descr="Figure 11.38 Older people who received a health assess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01197C" w:rsidRPr="00944E91" w:rsidRDefault="0001197C" w:rsidP="007D6C23">
      <w:pPr>
        <w:pStyle w:val="Note"/>
      </w:pPr>
      <w:r>
        <w:rPr>
          <w:rStyle w:val="NoteLabel"/>
        </w:rPr>
        <w:t>a</w:t>
      </w:r>
      <w:r>
        <w:sym w:font="Symbol" w:char="F020"/>
      </w:r>
      <w:r w:rsidRPr="0001197C">
        <w:t xml:space="preserve"> </w:t>
      </w:r>
      <w:r>
        <w:t>Older people are defined as non-</w:t>
      </w:r>
      <w:r w:rsidR="006E4E2B">
        <w:t>Indigenous Australians</w:t>
      </w:r>
      <w:r>
        <w:t xml:space="preserve"> aged 75 years or ove</w:t>
      </w:r>
      <w:r w:rsidR="006E1046">
        <w:t xml:space="preserve">r and </w:t>
      </w:r>
      <w:r w:rsidR="006E4E2B">
        <w:t xml:space="preserve">Indigenous </w:t>
      </w:r>
      <w:r w:rsidR="00C61057">
        <w:br/>
      </w:r>
      <w:r w:rsidR="006E4E2B">
        <w:t>Australians</w:t>
      </w:r>
      <w:r w:rsidR="006E1046">
        <w:t xml:space="preserve"> aged 55 y</w:t>
      </w:r>
      <w:r>
        <w:t xml:space="preserve">ears or over, excluding hospital inpatients and people </w:t>
      </w:r>
      <w:r w:rsidR="00C461EB">
        <w:t>living in aged care facilities</w:t>
      </w:r>
      <w:r w:rsidR="00424A4E">
        <w:t xml:space="preserve">. </w:t>
      </w:r>
      <w:r w:rsidR="00C61057">
        <w:br/>
      </w:r>
      <w:r w:rsidR="00DF7700">
        <w:rPr>
          <w:rStyle w:val="NoteLabel"/>
        </w:rPr>
        <w:t>b</w:t>
      </w:r>
      <w:r w:rsidR="00DF7700">
        <w:sym w:font="Symbol" w:char="F020"/>
      </w:r>
      <w:r w:rsidR="000D459C">
        <w:t>P</w:t>
      </w:r>
      <w:r w:rsidR="00DF7700">
        <w:t>opulations used to derive the</w:t>
      </w:r>
      <w:r w:rsidR="00C61057">
        <w:t xml:space="preserve"> rates</w:t>
      </w:r>
      <w:r w:rsidR="00DF7700">
        <w:t xml:space="preserve"> </w:t>
      </w:r>
      <w:r w:rsidR="00C61057">
        <w:t>are based on the 2006 Census.</w:t>
      </w:r>
    </w:p>
    <w:p w:rsidR="0001197C" w:rsidRPr="00264569" w:rsidRDefault="0001197C">
      <w:pPr>
        <w:pStyle w:val="Source"/>
        <w:rPr>
          <w:rStyle w:val="NoteChar"/>
        </w:rPr>
      </w:pPr>
      <w:r>
        <w:rPr>
          <w:i/>
        </w:rPr>
        <w:t>Source</w:t>
      </w:r>
      <w:r>
        <w:t xml:space="preserve">: </w:t>
      </w:r>
      <w:r w:rsidR="00B513D7">
        <w:t>Department of Health</w:t>
      </w:r>
      <w:r w:rsidRPr="0001197C">
        <w:t xml:space="preserve"> (unpublished)</w:t>
      </w:r>
      <w:r w:rsidR="0004129E">
        <w:t xml:space="preserve"> </w:t>
      </w:r>
      <w:r w:rsidR="0004129E" w:rsidRPr="0004129E">
        <w:t xml:space="preserve">MBS </w:t>
      </w:r>
      <w:r w:rsidR="00524F26">
        <w:t>Statistics</w:t>
      </w:r>
      <w:r w:rsidRPr="0001197C">
        <w:t xml:space="preserve">; </w:t>
      </w:r>
      <w:r w:rsidR="00424A4E">
        <w:t xml:space="preserve">ABS </w:t>
      </w:r>
      <w:r w:rsidR="00424A4E" w:rsidRPr="00424A4E">
        <w:t xml:space="preserve">2009, </w:t>
      </w:r>
      <w:r w:rsidR="00424A4E" w:rsidRPr="00424A4E">
        <w:rPr>
          <w:i/>
        </w:rPr>
        <w:t xml:space="preserve">Experimental estimates and projections, Aboriginal and </w:t>
      </w:r>
      <w:smartTag w:uri="urn:schemas-microsoft-com:office:smarttags" w:element="place">
        <w:r w:rsidR="00424A4E" w:rsidRPr="00424A4E">
          <w:rPr>
            <w:i/>
          </w:rPr>
          <w:t>Torres Strait</w:t>
        </w:r>
      </w:smartTag>
      <w:r w:rsidR="00424A4E" w:rsidRPr="00424A4E">
        <w:rPr>
          <w:i/>
        </w:rPr>
        <w:t xml:space="preserve"> Islander Australians 1991 to 2021</w:t>
      </w:r>
      <w:r w:rsidR="00424A4E" w:rsidRPr="00424A4E">
        <w:t>, Cat. no. 3238.0</w:t>
      </w:r>
      <w:r w:rsidR="00424A4E">
        <w:t xml:space="preserve">; ABS </w:t>
      </w:r>
      <w:r w:rsidR="00B11940">
        <w:t>various years,</w:t>
      </w:r>
      <w:r w:rsidR="00424A4E">
        <w:t xml:space="preserve"> </w:t>
      </w:r>
      <w:r w:rsidR="00424A4E" w:rsidRPr="00424A4E">
        <w:rPr>
          <w:i/>
        </w:rPr>
        <w:t>Australian Demographic Statistics</w:t>
      </w:r>
      <w:r w:rsidR="00424A4E" w:rsidRPr="00424A4E">
        <w:t xml:space="preserve">, </w:t>
      </w:r>
      <w:r w:rsidR="001D65C2" w:rsidRPr="00424A4E">
        <w:t>Cat. no. 3</w:t>
      </w:r>
      <w:r w:rsidR="001D65C2">
        <w:t>101</w:t>
      </w:r>
      <w:r w:rsidR="001D65C2" w:rsidRPr="00424A4E">
        <w:t>.</w:t>
      </w:r>
      <w:r w:rsidR="001D65C2" w:rsidRPr="006C74C6">
        <w:t xml:space="preserve">0; </w:t>
      </w:r>
      <w:r w:rsidRPr="006C74C6">
        <w:t>table</w:t>
      </w:r>
      <w:r w:rsidR="00EA4368" w:rsidRPr="006C74C6">
        <w:t> </w:t>
      </w:r>
      <w:r w:rsidR="00226EA4">
        <w:t>11A.7</w:t>
      </w:r>
      <w:r w:rsidR="000A2E3B">
        <w:t>5</w:t>
      </w:r>
      <w:r w:rsidRPr="006C74C6">
        <w:t>.</w:t>
      </w:r>
    </w:p>
    <w:p w:rsidR="0001197C" w:rsidRDefault="0001197C" w:rsidP="0001197C">
      <w:pPr>
        <w:pStyle w:val="Heading4"/>
      </w:pPr>
      <w:r w:rsidRPr="0001197C">
        <w:t>Sustainability</w:t>
      </w:r>
    </w:p>
    <w:p w:rsidR="009967B8" w:rsidRPr="009967B8" w:rsidRDefault="0001197C" w:rsidP="009967B8">
      <w:pPr>
        <w:pStyle w:val="BodyText"/>
      </w:pPr>
      <w:r w:rsidRPr="0001197C">
        <w:t>The Steering Committee has identified the sustainability of primary and community health as a key area for development in future reports.</w:t>
      </w:r>
    </w:p>
    <w:p w:rsidR="0001197C" w:rsidRDefault="0001197C" w:rsidP="0001197C">
      <w:pPr>
        <w:pStyle w:val="Heading3"/>
      </w:pPr>
      <w:r w:rsidRPr="0001197C">
        <w:t>Efficiency</w:t>
      </w:r>
    </w:p>
    <w:p w:rsidR="0001197C" w:rsidRDefault="0001197C" w:rsidP="0001197C">
      <w:pPr>
        <w:pStyle w:val="Heading4"/>
      </w:pPr>
      <w:r w:rsidRPr="0001197C">
        <w:t>Cost to government of general practice per person</w:t>
      </w:r>
    </w:p>
    <w:p w:rsidR="0001197C" w:rsidRDefault="005C42E8" w:rsidP="0001197C">
      <w:pPr>
        <w:pStyle w:val="BodyText"/>
      </w:pPr>
      <w:r>
        <w:t>‘C</w:t>
      </w:r>
      <w:r w:rsidR="0001197C" w:rsidRPr="0001197C">
        <w:t xml:space="preserve">ost to government of general practice per person’ is </w:t>
      </w:r>
      <w:r w:rsidR="004D6520">
        <w:t>an</w:t>
      </w:r>
      <w:r w:rsidR="0001197C" w:rsidRPr="0001197C">
        <w:t xml:space="preserve"> indicator of </w:t>
      </w:r>
      <w:r w:rsidR="004D6520">
        <w:t>governments’ objective to provide primary healthcare services in an</w:t>
      </w:r>
      <w:r w:rsidR="0001197C" w:rsidRPr="0001197C">
        <w:t xml:space="preserve"> efficien</w:t>
      </w:r>
      <w:r w:rsidR="004D6520">
        <w:t>t manner</w:t>
      </w:r>
      <w:r w:rsidR="0001197C" w:rsidRPr="0001197C">
        <w:t xml:space="preserve"> (</w:t>
      </w:r>
      <w:smartTag w:uri="urn:schemas-microsoft-com:office:smarttags" w:element="address">
        <w:smartTag w:uri="urn:schemas-microsoft-com:office:smarttags" w:element="Street">
          <w:r w:rsidR="0001197C" w:rsidRPr="0001197C">
            <w:t>box</w:t>
          </w:r>
        </w:smartTag>
        <w:r w:rsidR="00EA4368">
          <w:t> </w:t>
        </w:r>
        <w:r w:rsidR="00445562" w:rsidRPr="000C6FFD">
          <w:t>11.</w:t>
        </w:r>
        <w:r w:rsidR="000C6FFD" w:rsidRPr="000C6FFD">
          <w:t>18</w:t>
        </w:r>
      </w:smartTag>
      <w:r w:rsidR="004D6520">
        <w:t>).</w:t>
      </w:r>
    </w:p>
    <w:p w:rsidR="0001197C" w:rsidRDefault="0001197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1197C">
        <w:tc>
          <w:tcPr>
            <w:tcW w:w="8771" w:type="dxa"/>
            <w:tcBorders>
              <w:top w:val="single" w:sz="6" w:space="0" w:color="auto"/>
              <w:bottom w:val="nil"/>
            </w:tcBorders>
          </w:tcPr>
          <w:p w:rsidR="0001197C" w:rsidRPr="0001197C" w:rsidRDefault="0001197C">
            <w:pPr>
              <w:pStyle w:val="BoxTitle"/>
            </w:pPr>
            <w:smartTag w:uri="urn:schemas-microsoft-com:office:smarttags" w:element="Street">
              <w:r>
                <w:rPr>
                  <w:b w:val="0"/>
                </w:rPr>
                <w:t>Box</w:t>
              </w:r>
            </w:smartTag>
            <w:r>
              <w:rPr>
                <w:b w:val="0"/>
              </w:rPr>
              <w:t xml:space="preserve"> </w:t>
            </w:r>
            <w:bookmarkStart w:id="53" w:name="OLE_LINK75"/>
            <w:r w:rsidR="00EC42DB">
              <w:rPr>
                <w:b w:val="0"/>
              </w:rPr>
              <w:t>11.</w:t>
            </w:r>
            <w:r w:rsidR="00C44281">
              <w:rPr>
                <w:b w:val="0"/>
                <w:noProof/>
              </w:rPr>
              <w:t>18</w:t>
            </w:r>
            <w:bookmarkEnd w:id="53"/>
            <w:r>
              <w:tab/>
            </w:r>
            <w:r w:rsidRPr="0001197C">
              <w:t>Cost to government of general practice per person</w:t>
            </w:r>
          </w:p>
        </w:tc>
      </w:tr>
      <w:tr w:rsidR="0001197C">
        <w:trPr>
          <w:cantSplit/>
        </w:trPr>
        <w:tc>
          <w:tcPr>
            <w:tcW w:w="8771" w:type="dxa"/>
            <w:tcBorders>
              <w:top w:val="nil"/>
              <w:left w:val="single" w:sz="6" w:space="0" w:color="auto"/>
              <w:bottom w:val="nil"/>
              <w:right w:val="single" w:sz="6" w:space="0" w:color="auto"/>
            </w:tcBorders>
          </w:tcPr>
          <w:p w:rsidR="0001197C" w:rsidRDefault="0001197C" w:rsidP="0001197C">
            <w:pPr>
              <w:pStyle w:val="Box"/>
            </w:pPr>
            <w:r>
              <w:t>‘Cost to government of general practice per person’ is defined as the cost to government of general practice per person in the population.</w:t>
            </w:r>
          </w:p>
          <w:p w:rsidR="00632F06" w:rsidRDefault="00632F06" w:rsidP="0001197C">
            <w:pPr>
              <w:pStyle w:val="Box"/>
            </w:pPr>
            <w:r w:rsidRPr="00A73D31">
              <w:t xml:space="preserve">This indicator needs to be interpreted with care. </w:t>
            </w:r>
            <w:r w:rsidR="00D74137" w:rsidRPr="00A73D31">
              <w:t>A low</w:t>
            </w:r>
            <w:r w:rsidR="0001197C" w:rsidRPr="00A73D31">
              <w:t xml:space="preserve"> </w:t>
            </w:r>
            <w:r w:rsidR="005C42E8" w:rsidRPr="00A73D31">
              <w:t xml:space="preserve">or decreasing </w:t>
            </w:r>
            <w:r w:rsidR="0001197C" w:rsidRPr="00A73D31">
              <w:t xml:space="preserve">cost per person </w:t>
            </w:r>
            <w:r w:rsidR="005C42E8" w:rsidRPr="00A73D31">
              <w:t>can</w:t>
            </w:r>
            <w:r w:rsidR="0001197C" w:rsidRPr="00A73D31">
              <w:t xml:space="preserve"> indicate higher efficiency</w:t>
            </w:r>
            <w:r w:rsidR="00F2400B" w:rsidRPr="00A73D31">
              <w:t>, provided</w:t>
            </w:r>
            <w:r w:rsidRPr="00A73D31">
              <w:t xml:space="preserve"> services are equal</w:t>
            </w:r>
            <w:r w:rsidR="00072CA4" w:rsidRPr="00A73D31">
              <w:t>ly or more</w:t>
            </w:r>
            <w:r w:rsidRPr="00A73D31">
              <w:t xml:space="preserve"> effective.</w:t>
            </w:r>
            <w:r>
              <w:t xml:space="preserve"> It can also reflect service substitution between primary healthcare and hospital or specialist services — potentially at greater expense.</w:t>
            </w:r>
          </w:p>
          <w:p w:rsidR="00515C23" w:rsidRDefault="00A93A1F" w:rsidP="00A73D31">
            <w:pPr>
              <w:pStyle w:val="Box"/>
            </w:pPr>
            <w:r>
              <w:t xml:space="preserve">Cost to government of general practice </w:t>
            </w:r>
            <w:r w:rsidR="00222501" w:rsidRPr="00222501">
              <w:t xml:space="preserve">does not </w:t>
            </w:r>
            <w:r w:rsidR="00632F06">
              <w:t>capture</w:t>
            </w:r>
            <w:r w:rsidR="00222501" w:rsidRPr="00222501">
              <w:t xml:space="preserve"> costs </w:t>
            </w:r>
            <w:r w:rsidR="00F2400B">
              <w:t>of</w:t>
            </w:r>
            <w:r w:rsidR="001A553C">
              <w:t xml:space="preserve"> </w:t>
            </w:r>
            <w:r w:rsidR="00857360">
              <w:t xml:space="preserve">salaried GP service </w:t>
            </w:r>
            <w:r w:rsidR="001A553C">
              <w:t>delivery model</w:t>
            </w:r>
            <w:r w:rsidR="00F2400B">
              <w:t>s,</w:t>
            </w:r>
            <w:r w:rsidR="001A553C">
              <w:t xml:space="preserve"> used </w:t>
            </w:r>
            <w:r w:rsidR="001A553C" w:rsidRPr="00222501">
              <w:t>particularly in rural and remote areas</w:t>
            </w:r>
            <w:r w:rsidR="001A553C">
              <w:t xml:space="preserve">, where </w:t>
            </w:r>
            <w:r w:rsidR="00F2400B" w:rsidRPr="00222501">
              <w:t xml:space="preserve">primary healthcare </w:t>
            </w:r>
            <w:r w:rsidR="001A553C">
              <w:t xml:space="preserve">services are provided </w:t>
            </w:r>
            <w:r w:rsidR="00222501" w:rsidRPr="00222501">
              <w:t xml:space="preserve">by salaried GPs in community health settings, </w:t>
            </w:r>
            <w:r w:rsidR="00F2400B">
              <w:t xml:space="preserve">through </w:t>
            </w:r>
            <w:r w:rsidR="00222501" w:rsidRPr="00222501">
              <w:t>emergency d</w:t>
            </w:r>
            <w:r w:rsidR="001A553C">
              <w:t>epartments, and Indigenous</w:t>
            </w:r>
            <w:r w:rsidR="00222501" w:rsidRPr="00222501">
              <w:t xml:space="preserve"> primary healthcare services. Consequently, costs for primary care </w:t>
            </w:r>
            <w:r w:rsidR="00632F06">
              <w:t>are understated for</w:t>
            </w:r>
            <w:r w:rsidR="00222501" w:rsidRPr="00222501">
              <w:t xml:space="preserve"> jurisdictions </w:t>
            </w:r>
            <w:r w:rsidR="00F2400B">
              <w:t>where a</w:t>
            </w:r>
            <w:r w:rsidR="00222501" w:rsidRPr="00222501">
              <w:t xml:space="preserve"> large proportion of </w:t>
            </w:r>
            <w:r w:rsidR="00F2400B">
              <w:t xml:space="preserve">the </w:t>
            </w:r>
            <w:r w:rsidR="00F2400B" w:rsidRPr="00222501">
              <w:t>population</w:t>
            </w:r>
            <w:r w:rsidR="00F2400B">
              <w:t xml:space="preserve"> live in</w:t>
            </w:r>
            <w:r w:rsidR="00F2400B" w:rsidRPr="00222501">
              <w:t xml:space="preserve"> </w:t>
            </w:r>
            <w:r w:rsidR="00222501" w:rsidRPr="00222501">
              <w:t>rural and remote</w:t>
            </w:r>
            <w:r w:rsidR="00F2400B">
              <w:t xml:space="preserve"> areas</w:t>
            </w:r>
            <w:r w:rsidR="001A553C">
              <w:t>.</w:t>
            </w:r>
          </w:p>
          <w:p w:rsidR="009A2168" w:rsidRDefault="009A2168" w:rsidP="009A2168">
            <w:pPr>
              <w:pStyle w:val="Box"/>
            </w:pPr>
            <w:r>
              <w:t>Data reported for this indicator are:</w:t>
            </w:r>
          </w:p>
          <w:p w:rsidR="009A2168" w:rsidRDefault="009A2168" w:rsidP="009A2168">
            <w:pPr>
              <w:pStyle w:val="BoxListBullet"/>
            </w:pPr>
            <w:r>
              <w:t>comparable (subject to caveats) across jurisdictions for 2012-13</w:t>
            </w:r>
            <w:r w:rsidR="003F7436">
              <w:t>,</w:t>
            </w:r>
            <w:r>
              <w:t xml:space="preserve"> but not comparable to data </w:t>
            </w:r>
            <w:r w:rsidR="003F7436">
              <w:t>for previous years</w:t>
            </w:r>
          </w:p>
          <w:p w:rsidR="00FA172F" w:rsidRDefault="009A2168" w:rsidP="009A2168">
            <w:pPr>
              <w:pStyle w:val="BoxListBullet"/>
            </w:pPr>
            <w:r>
              <w:t>complete (subject to caveats) for the current reporting period. All required 2012-13 data are available for all jurisdictions.</w:t>
            </w:r>
          </w:p>
          <w:p w:rsidR="0027351B" w:rsidRDefault="00355023" w:rsidP="00355023">
            <w:pPr>
              <w:pStyle w:val="Box"/>
            </w:pPr>
            <w:r w:rsidRPr="0027351B">
              <w:t xml:space="preserve">Data quality information </w:t>
            </w:r>
            <w:r w:rsidR="00743531">
              <w:t>for this indicator is at www.pc.gov.au/gsp/reports/</w:t>
            </w:r>
            <w:r w:rsidR="009E5543">
              <w:t>rogs/2014</w:t>
            </w:r>
            <w:r w:rsidR="00743531">
              <w:t>.</w:t>
            </w:r>
          </w:p>
        </w:tc>
      </w:tr>
      <w:tr w:rsidR="0001197C">
        <w:trPr>
          <w:cantSplit/>
        </w:trPr>
        <w:tc>
          <w:tcPr>
            <w:tcW w:w="8771" w:type="dxa"/>
            <w:tcBorders>
              <w:top w:val="nil"/>
              <w:left w:val="single" w:sz="6" w:space="0" w:color="auto"/>
              <w:bottom w:val="single" w:sz="6" w:space="0" w:color="auto"/>
              <w:right w:val="single" w:sz="6" w:space="0" w:color="auto"/>
            </w:tcBorders>
          </w:tcPr>
          <w:p w:rsidR="0001197C" w:rsidRDefault="0001197C">
            <w:pPr>
              <w:pStyle w:val="Box"/>
              <w:spacing w:before="0" w:line="120" w:lineRule="exact"/>
            </w:pPr>
          </w:p>
        </w:tc>
      </w:tr>
      <w:tr w:rsidR="0001197C">
        <w:tc>
          <w:tcPr>
            <w:tcW w:w="8771" w:type="dxa"/>
            <w:tcBorders>
              <w:top w:val="nil"/>
              <w:left w:val="nil"/>
              <w:bottom w:val="nil"/>
              <w:right w:val="nil"/>
            </w:tcBorders>
          </w:tcPr>
          <w:p w:rsidR="0001197C" w:rsidRDefault="0001197C">
            <w:pPr>
              <w:pStyle w:val="Box"/>
              <w:keepNext w:val="0"/>
              <w:spacing w:before="60" w:after="60" w:line="80" w:lineRule="exact"/>
              <w:rPr>
                <w:b/>
                <w:color w:val="FF00FF"/>
                <w:sz w:val="14"/>
              </w:rPr>
            </w:pPr>
          </w:p>
        </w:tc>
      </w:tr>
    </w:tbl>
    <w:p w:rsidR="00A217B4" w:rsidRDefault="00A217B4" w:rsidP="00944E91">
      <w:pPr>
        <w:pStyle w:val="BodyText"/>
      </w:pPr>
      <w:r>
        <w:t xml:space="preserve">Data for </w:t>
      </w:r>
      <w:r w:rsidR="007A4C3D">
        <w:t xml:space="preserve">this indicator </w:t>
      </w:r>
      <w:r w:rsidR="00763B09">
        <w:t xml:space="preserve">have improved with the introduction of age-standardisation </w:t>
      </w:r>
      <w:r w:rsidR="007A4C3D">
        <w:t xml:space="preserve">for </w:t>
      </w:r>
      <w:r>
        <w:t>2012-13</w:t>
      </w:r>
      <w:r w:rsidR="00763B09">
        <w:t xml:space="preserve"> data. These data are</w:t>
      </w:r>
      <w:r>
        <w:t xml:space="preserve"> not comparable with data for previous years</w:t>
      </w:r>
      <w:r w:rsidR="007A4C3D">
        <w:t xml:space="preserve"> that </w:t>
      </w:r>
      <w:r w:rsidR="00763B09">
        <w:t>are</w:t>
      </w:r>
      <w:r>
        <w:t xml:space="preserve"> not age-standardised</w:t>
      </w:r>
      <w:r w:rsidR="007A4C3D">
        <w:t xml:space="preserve">. Historical data are provided in table </w:t>
      </w:r>
      <w:r w:rsidR="007A4C3D" w:rsidRPr="007A4C3D">
        <w:t>11A.</w:t>
      </w:r>
      <w:r w:rsidR="00514F14">
        <w:t>3</w:t>
      </w:r>
      <w:r w:rsidR="007A4C3D">
        <w:t>.</w:t>
      </w:r>
    </w:p>
    <w:p w:rsidR="00240163" w:rsidRDefault="004D6520" w:rsidP="00944E91">
      <w:pPr>
        <w:pStyle w:val="BodyText"/>
      </w:pPr>
      <w:r w:rsidRPr="004D6520">
        <w:t xml:space="preserve">Nationally, the recurrent cost to the Australian Government of general practice was </w:t>
      </w:r>
      <w:r w:rsidRPr="00A217B4">
        <w:t>$2</w:t>
      </w:r>
      <w:r w:rsidR="00A217B4" w:rsidRPr="00A217B4">
        <w:t>86</w:t>
      </w:r>
      <w:r w:rsidR="00EA4368" w:rsidRPr="00A217B4">
        <w:t> </w:t>
      </w:r>
      <w:r w:rsidRPr="00A217B4">
        <w:t>per</w:t>
      </w:r>
      <w:r w:rsidR="00EA4368" w:rsidRPr="00A217B4">
        <w:t> </w:t>
      </w:r>
      <w:r w:rsidRPr="00A217B4">
        <w:t>person in 20</w:t>
      </w:r>
      <w:r w:rsidR="000C6FFD" w:rsidRPr="00A217B4">
        <w:t>1</w:t>
      </w:r>
      <w:r w:rsidR="008E0689" w:rsidRPr="00A217B4">
        <w:t>2</w:t>
      </w:r>
      <w:r w:rsidRPr="00A217B4">
        <w:t>-</w:t>
      </w:r>
      <w:r w:rsidR="0087499A" w:rsidRPr="00A217B4">
        <w:t>1</w:t>
      </w:r>
      <w:r w:rsidR="008E0689" w:rsidRPr="00A217B4">
        <w:t>3</w:t>
      </w:r>
      <w:r w:rsidRPr="00B11940">
        <w:t xml:space="preserve"> (figure</w:t>
      </w:r>
      <w:r w:rsidR="00EA4368" w:rsidRPr="00B11940">
        <w:t> </w:t>
      </w:r>
      <w:r w:rsidR="004E1A83" w:rsidRPr="00B11940">
        <w:t>11.</w:t>
      </w:r>
      <w:r w:rsidR="00222388" w:rsidRPr="00B11940">
        <w:t>3</w:t>
      </w:r>
      <w:r w:rsidR="00CA25A8">
        <w:t>9</w:t>
      </w:r>
      <w:r w:rsidR="000C6FFD" w:rsidRPr="00B11940">
        <w:t>).</w:t>
      </w:r>
    </w:p>
    <w:p w:rsidR="0001197C" w:rsidRPr="0001197C" w:rsidRDefault="0001197C" w:rsidP="0064391C">
      <w:pPr>
        <w:pStyle w:val="FigureTitle"/>
        <w:rPr>
          <w:position w:val="6"/>
          <w:sz w:val="18"/>
        </w:rPr>
      </w:pPr>
      <w:r w:rsidRPr="0064391C">
        <w:rPr>
          <w:b w:val="0"/>
        </w:rPr>
        <w:lastRenderedPageBreak/>
        <w:t xml:space="preserve">Figure </w:t>
      </w:r>
      <w:bookmarkStart w:id="54" w:name="OLE_LINK43"/>
      <w:r w:rsidR="00EC42DB" w:rsidRPr="0064391C">
        <w:rPr>
          <w:b w:val="0"/>
        </w:rPr>
        <w:t>11.</w:t>
      </w:r>
      <w:r w:rsidR="00C44281" w:rsidRPr="0064391C">
        <w:rPr>
          <w:b w:val="0"/>
          <w:noProof/>
        </w:rPr>
        <w:t>3</w:t>
      </w:r>
      <w:bookmarkEnd w:id="54"/>
      <w:r w:rsidR="00CA25A8">
        <w:rPr>
          <w:b w:val="0"/>
          <w:noProof/>
        </w:rPr>
        <w:t>9</w:t>
      </w:r>
      <w:r>
        <w:tab/>
      </w:r>
      <w:r w:rsidRPr="0001197C">
        <w:t xml:space="preserve">Australian Government expenditure per person on </w:t>
      </w:r>
      <w:r w:rsidRPr="00D842D1">
        <w:t>GPs</w:t>
      </w:r>
      <w:r w:rsidR="00E718E6">
        <w:t>, 2012</w:t>
      </w:r>
      <w:r w:rsidR="00E718E6">
        <w:noBreakHyphen/>
        <w:t>13</w:t>
      </w:r>
      <w:r w:rsidR="009C5DB7" w:rsidRPr="00711A02">
        <w:rPr>
          <w:rStyle w:val="NoteLabel"/>
          <w:b/>
        </w:rPr>
        <w:t>a</w:t>
      </w:r>
    </w:p>
    <w:tbl>
      <w:tblPr>
        <w:tblW w:w="0" w:type="auto"/>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01197C" w:rsidTr="009B4B85">
        <w:tc>
          <w:tcPr>
            <w:tcW w:w="8777" w:type="dxa"/>
            <w:tcBorders>
              <w:top w:val="single" w:sz="6" w:space="0" w:color="auto"/>
              <w:left w:val="nil"/>
              <w:bottom w:val="single" w:sz="6" w:space="0" w:color="auto"/>
              <w:right w:val="nil"/>
            </w:tcBorders>
          </w:tcPr>
          <w:p w:rsidR="0001197C" w:rsidRDefault="00FF6757" w:rsidP="006B044C">
            <w:pPr>
              <w:pStyle w:val="Figure"/>
            </w:pPr>
            <w:r>
              <w:rPr>
                <w:noProof/>
              </w:rPr>
              <w:drawing>
                <wp:inline distT="0" distB="0" distL="0" distR="0">
                  <wp:extent cx="5389880" cy="2861310"/>
                  <wp:effectExtent l="0" t="0" r="1270" b="0"/>
                  <wp:docPr id="47" name="Picture 47" descr="Figure 11.39 Australian Government expenditure per person on GP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01197C" w:rsidRDefault="0001197C" w:rsidP="00F02E14">
      <w:pPr>
        <w:pStyle w:val="Note"/>
        <w:keepNext/>
      </w:pPr>
      <w:r>
        <w:rPr>
          <w:rStyle w:val="NoteLabel"/>
        </w:rPr>
        <w:t>a</w:t>
      </w:r>
      <w:r w:rsidRPr="0001197C">
        <w:t xml:space="preserve"> </w:t>
      </w:r>
      <w:r w:rsidR="00352597">
        <w:t xml:space="preserve">Data are directly age-standardised to the 2001 Australian standard population. </w:t>
      </w:r>
      <w:r w:rsidR="00352597">
        <w:rPr>
          <w:rStyle w:val="NoteLabel"/>
        </w:rPr>
        <w:t>b</w:t>
      </w:r>
      <w:r w:rsidR="00352597" w:rsidRPr="0001197C">
        <w:t xml:space="preserve"> </w:t>
      </w:r>
      <w:r w:rsidR="00835561">
        <w:t>D</w:t>
      </w:r>
      <w:r w:rsidRPr="0001197C">
        <w:t xml:space="preserve">ata include </w:t>
      </w:r>
      <w:r w:rsidR="002D7882">
        <w:t xml:space="preserve">DHS </w:t>
      </w:r>
      <w:r w:rsidR="006B044C">
        <w:t>M</w:t>
      </w:r>
      <w:r w:rsidRPr="0001197C">
        <w:t>edicare</w:t>
      </w:r>
      <w:r w:rsidR="00325A76">
        <w:t xml:space="preserve"> and</w:t>
      </w:r>
      <w:r w:rsidR="00B065DD" w:rsidRPr="00B065DD">
        <w:t xml:space="preserve"> DVA</w:t>
      </w:r>
      <w:r w:rsidR="00325A76">
        <w:t xml:space="preserve"> </w:t>
      </w:r>
      <w:r w:rsidR="00B065DD" w:rsidRPr="00B065DD">
        <w:t>payments</w:t>
      </w:r>
      <w:r w:rsidRPr="00325A76">
        <w:t>.</w:t>
      </w:r>
    </w:p>
    <w:p w:rsidR="00835561" w:rsidRPr="00835561" w:rsidRDefault="0001197C" w:rsidP="008D72D5">
      <w:pPr>
        <w:pStyle w:val="Source"/>
        <w:numPr>
          <w:ins w:id="55" w:author="Helen Mignot" w:date="2010-11-21T17:19:00Z"/>
        </w:numPr>
      </w:pPr>
      <w:r w:rsidRPr="00D842D1">
        <w:rPr>
          <w:i/>
        </w:rPr>
        <w:t>Source</w:t>
      </w:r>
      <w:r w:rsidRPr="00D842D1">
        <w:t xml:space="preserve">: </w:t>
      </w:r>
      <w:r w:rsidR="00B513D7">
        <w:t>Department of Health</w:t>
      </w:r>
      <w:r w:rsidR="00352597" w:rsidRPr="00352597">
        <w:t xml:space="preserve"> (unpublished) MBS Statistics</w:t>
      </w:r>
      <w:r w:rsidR="00352597">
        <w:t xml:space="preserve">; </w:t>
      </w:r>
      <w:r w:rsidR="00CD04AD" w:rsidRPr="00D842D1">
        <w:t xml:space="preserve">DVA </w:t>
      </w:r>
      <w:r w:rsidR="00352597">
        <w:t>(</w:t>
      </w:r>
      <w:r w:rsidR="00352597" w:rsidRPr="00325A76">
        <w:t>unpublished)</w:t>
      </w:r>
      <w:r w:rsidRPr="00325A76">
        <w:t>;</w:t>
      </w:r>
      <w:r w:rsidRPr="00D842D1">
        <w:t xml:space="preserve"> table</w:t>
      </w:r>
      <w:r w:rsidR="00EA4368">
        <w:t> </w:t>
      </w:r>
      <w:r w:rsidRPr="002D197F">
        <w:t>11A</w:t>
      </w:r>
      <w:r w:rsidRPr="00B065DD">
        <w:rPr>
          <w:b/>
        </w:rPr>
        <w:t>.</w:t>
      </w:r>
      <w:r w:rsidRPr="002D197F">
        <w:t>2</w:t>
      </w:r>
      <w:r w:rsidRPr="00D842D1">
        <w:t>.</w:t>
      </w:r>
    </w:p>
    <w:p w:rsidR="0001197C" w:rsidRPr="00944E91" w:rsidRDefault="00CD66BC" w:rsidP="000373F7">
      <w:pPr>
        <w:pStyle w:val="Heading3"/>
      </w:pPr>
      <w:r w:rsidRPr="00CD66BC">
        <w:t>Outcomes</w:t>
      </w:r>
    </w:p>
    <w:p w:rsidR="0053394C" w:rsidRPr="00200C93" w:rsidRDefault="00CD66BC" w:rsidP="00944E91">
      <w:pPr>
        <w:pStyle w:val="BodyText"/>
      </w:pPr>
      <w:r>
        <w:t>Outcomes are the impact of services on the status of an individual or group (while outputs are the services delivered) (see chapter 1, section 1.5).</w:t>
      </w:r>
      <w:r w:rsidR="00646516">
        <w:t xml:space="preserve"> </w:t>
      </w:r>
      <w:r w:rsidR="006A4402">
        <w:t>Intermediate outcomes (such as vaccination coverage within a target group) moderate final outcomes (such as the incidence of vaccine preventable diseases). Both i</w:t>
      </w:r>
      <w:r>
        <w:t xml:space="preserve">ntermediate and final primary and community health outcome </w:t>
      </w:r>
      <w:r w:rsidR="0028737A">
        <w:t>indicators a</w:t>
      </w:r>
      <w:r w:rsidR="006A4402">
        <w:t>re reported.</w:t>
      </w:r>
    </w:p>
    <w:p w:rsidR="00CD66BC" w:rsidRPr="00944E91" w:rsidRDefault="00CD66BC" w:rsidP="007644A0">
      <w:pPr>
        <w:pStyle w:val="Heading5"/>
      </w:pPr>
      <w:r w:rsidRPr="00CD66BC">
        <w:t>Child immunisation coverage</w:t>
      </w:r>
    </w:p>
    <w:p w:rsidR="004D6520" w:rsidRPr="00C14146" w:rsidRDefault="004D6520" w:rsidP="00C14146">
      <w:pPr>
        <w:pStyle w:val="BodyText"/>
        <w:rPr>
          <w:rStyle w:val="DraftingNote"/>
          <w:b w:val="0"/>
          <w:color w:val="auto"/>
          <w:sz w:val="26"/>
          <w:u w:val="none"/>
        </w:rPr>
      </w:pPr>
      <w:r w:rsidRPr="004D6520">
        <w:t xml:space="preserve">‘Child immunisation coverage’ is an indicator of </w:t>
      </w:r>
      <w:r>
        <w:t xml:space="preserve">governments’ objective to </w:t>
      </w:r>
      <w:r w:rsidR="00F43A55">
        <w:t xml:space="preserve">achieve high </w:t>
      </w:r>
      <w:r w:rsidR="00F43A55" w:rsidRPr="004D6520">
        <w:t>immunisati</w:t>
      </w:r>
      <w:r w:rsidR="00F43A55">
        <w:t xml:space="preserve">on coverage levels for children to prevent selected </w:t>
      </w:r>
      <w:r w:rsidR="00457F21">
        <w:t>vaccine preventable</w:t>
      </w:r>
      <w:r w:rsidR="00F43A55">
        <w:t xml:space="preserve"> diseases</w:t>
      </w:r>
      <w:r w:rsidR="00F43A55" w:rsidRPr="004D6520">
        <w:t xml:space="preserve"> </w:t>
      </w:r>
      <w:r>
        <w:t>(</w:t>
      </w:r>
      <w:smartTag w:uri="urn:schemas-microsoft-com:office:smarttags" w:element="address">
        <w:smartTag w:uri="urn:schemas-microsoft-com:office:smarttags" w:element="Street">
          <w:r>
            <w:t>box</w:t>
          </w:r>
        </w:smartTag>
        <w:r w:rsidR="00EA4368">
          <w:t> </w:t>
        </w:r>
        <w:r w:rsidR="000C6FFD" w:rsidRPr="000C6FFD">
          <w:t>11.19</w:t>
        </w:r>
      </w:smartTag>
      <w:r w:rsidR="00391C44">
        <w:t>).</w:t>
      </w:r>
    </w:p>
    <w:p w:rsidR="00CD66BC" w:rsidRDefault="00CD66B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66BC" w:rsidTr="00855C09">
        <w:tc>
          <w:tcPr>
            <w:tcW w:w="8771" w:type="dxa"/>
            <w:tcBorders>
              <w:top w:val="single" w:sz="6" w:space="0" w:color="auto"/>
              <w:bottom w:val="nil"/>
            </w:tcBorders>
          </w:tcPr>
          <w:p w:rsidR="00CD66BC" w:rsidRPr="00CD66BC" w:rsidRDefault="00CD66BC">
            <w:pPr>
              <w:pStyle w:val="BoxTitle"/>
            </w:pPr>
            <w:smartTag w:uri="urn:schemas-microsoft-com:office:smarttags" w:element="Street">
              <w:r>
                <w:rPr>
                  <w:b w:val="0"/>
                </w:rPr>
                <w:t>Box</w:t>
              </w:r>
            </w:smartTag>
            <w:r>
              <w:rPr>
                <w:b w:val="0"/>
              </w:rPr>
              <w:t xml:space="preserve"> </w:t>
            </w:r>
            <w:bookmarkStart w:id="56" w:name="OLE_LINK61"/>
            <w:r w:rsidR="00EC42DB">
              <w:rPr>
                <w:b w:val="0"/>
              </w:rPr>
              <w:t>11.</w:t>
            </w:r>
            <w:r w:rsidR="00C44281">
              <w:rPr>
                <w:b w:val="0"/>
                <w:noProof/>
              </w:rPr>
              <w:t>19</w:t>
            </w:r>
            <w:bookmarkEnd w:id="56"/>
            <w:r>
              <w:tab/>
            </w:r>
            <w:r w:rsidRPr="00CD66BC">
              <w:t>Child immunisation coverage</w:t>
            </w:r>
          </w:p>
        </w:tc>
      </w:tr>
      <w:tr w:rsidR="00CD66BC">
        <w:trPr>
          <w:cantSplit/>
        </w:trPr>
        <w:tc>
          <w:tcPr>
            <w:tcW w:w="8771" w:type="dxa"/>
            <w:tcBorders>
              <w:top w:val="nil"/>
              <w:left w:val="single" w:sz="6" w:space="0" w:color="auto"/>
              <w:bottom w:val="nil"/>
              <w:right w:val="single" w:sz="6" w:space="0" w:color="auto"/>
            </w:tcBorders>
          </w:tcPr>
          <w:p w:rsidR="00CD66BC" w:rsidRDefault="00CD66BC" w:rsidP="00177168">
            <w:pPr>
              <w:pStyle w:val="Box"/>
            </w:pPr>
            <w:r>
              <w:t xml:space="preserve">‘Child immunisation coverage’ </w:t>
            </w:r>
            <w:r w:rsidR="005B3F72">
              <w:t xml:space="preserve">is defined by </w:t>
            </w:r>
            <w:r w:rsidR="001C36F2">
              <w:t>three</w:t>
            </w:r>
            <w:r>
              <w:t xml:space="preserve"> measures:</w:t>
            </w:r>
          </w:p>
          <w:p w:rsidR="00CD66BC" w:rsidRDefault="00F43E31" w:rsidP="00370694">
            <w:pPr>
              <w:pStyle w:val="BoxListBullet"/>
            </w:pPr>
            <w:r>
              <w:t xml:space="preserve">the </w:t>
            </w:r>
            <w:r w:rsidR="00CD66BC">
              <w:t>proportion of children aged 12 months to less than 15 months who are fully immunised</w:t>
            </w:r>
            <w:r w:rsidR="003869F5">
              <w:t>, where</w:t>
            </w:r>
            <w:r w:rsidR="00AC7553">
              <w:t xml:space="preserve"> </w:t>
            </w:r>
            <w:r w:rsidR="003869F5">
              <w:t>c</w:t>
            </w:r>
            <w:r w:rsidR="00AC7553">
              <w:t xml:space="preserve">hildren assessed as fully immunised at 12 months are immunised against diphtheria, tetanus, whooping cough, polio, </w:t>
            </w:r>
            <w:r w:rsidR="00AC7553" w:rsidRPr="00B1273C">
              <w:rPr>
                <w:i/>
              </w:rPr>
              <w:t>Haemophilus influenzae</w:t>
            </w:r>
            <w:r w:rsidR="00AC7553">
              <w:t xml:space="preserve"> type b</w:t>
            </w:r>
            <w:r w:rsidR="001A3AD6">
              <w:t xml:space="preserve"> and</w:t>
            </w:r>
            <w:r w:rsidR="00AC7553">
              <w:t xml:space="preserve"> hepatitis B</w:t>
            </w:r>
          </w:p>
          <w:p w:rsidR="001C36F2" w:rsidRDefault="00CD66BC" w:rsidP="00CD66BC">
            <w:pPr>
              <w:pStyle w:val="BoxListBullet"/>
            </w:pPr>
            <w:r>
              <w:t>the proportion of children aged 24 months to less than 27 months who are fully immunised</w:t>
            </w:r>
            <w:r w:rsidR="003869F5">
              <w:t>,</w:t>
            </w:r>
            <w:r w:rsidR="00AC7553">
              <w:t xml:space="preserve"> </w:t>
            </w:r>
            <w:r w:rsidR="003869F5">
              <w:t>where c</w:t>
            </w:r>
            <w:r w:rsidR="00AC7553">
              <w:t xml:space="preserve">hildren assessed as fully immunised at 24 months are immunised against diphtheria, tetanus, whooping cough, polio, </w:t>
            </w:r>
            <w:r w:rsidR="00AC7553" w:rsidRPr="00B1273C">
              <w:rPr>
                <w:i/>
              </w:rPr>
              <w:t>Haemophilus influenzae</w:t>
            </w:r>
            <w:r w:rsidR="00AC7553">
              <w:t xml:space="preserve"> type b, hepatitis B, and measles, mumps and rubella</w:t>
            </w:r>
          </w:p>
          <w:p w:rsidR="004D6520" w:rsidRDefault="00D52968" w:rsidP="00C1777E">
            <w:pPr>
              <w:pStyle w:val="BoxListBullet"/>
            </w:pPr>
            <w:r>
              <w:t>t</w:t>
            </w:r>
            <w:r w:rsidR="001C36F2">
              <w:t xml:space="preserve">he proportion of children aged 60 months to less than 63 months who are fully immunised, where children assessed as fully immunised at </w:t>
            </w:r>
            <w:r>
              <w:t>60</w:t>
            </w:r>
            <w:r w:rsidR="001C36F2">
              <w:t xml:space="preserve"> months are immunised against diphtheria, tetanus, whooping cough, </w:t>
            </w:r>
            <w:r w:rsidR="001C36F2" w:rsidRPr="002856CE">
              <w:t>polio, and</w:t>
            </w:r>
            <w:r w:rsidR="001C36F2">
              <w:t xml:space="preserve"> measles, mumps and rubella</w:t>
            </w:r>
            <w:r w:rsidR="00743531" w:rsidRPr="00743531">
              <w:t>.</w:t>
            </w:r>
          </w:p>
          <w:p w:rsidR="00CD66BC" w:rsidRDefault="00CD66BC" w:rsidP="001A3AD6">
            <w:pPr>
              <w:pStyle w:val="Box"/>
            </w:pPr>
            <w:r w:rsidRPr="00CD66BC">
              <w:t>A</w:t>
            </w:r>
            <w:r w:rsidR="003869F5">
              <w:t xml:space="preserve"> high or</w:t>
            </w:r>
            <w:r w:rsidRPr="00CD66BC">
              <w:t xml:space="preserve"> increas</w:t>
            </w:r>
            <w:r w:rsidR="003869F5">
              <w:t>ing</w:t>
            </w:r>
            <w:r w:rsidRPr="00CD66BC">
              <w:t xml:space="preserve"> proportion of children who are fully immunised indicates a reduction in the risk of children contracting a range of </w:t>
            </w:r>
            <w:r w:rsidR="005627A5">
              <w:t xml:space="preserve">vaccine preventable </w:t>
            </w:r>
            <w:r w:rsidRPr="00CD66BC">
              <w:t xml:space="preserve">diseases, including measles, whooping cough and </w:t>
            </w:r>
            <w:r w:rsidRPr="00B1273C">
              <w:rPr>
                <w:i/>
              </w:rPr>
              <w:t>Haemophilus influenzae</w:t>
            </w:r>
            <w:r w:rsidRPr="00CD66BC">
              <w:t xml:space="preserve"> type b.</w:t>
            </w:r>
          </w:p>
          <w:p w:rsidR="000D459C" w:rsidRDefault="000D459C" w:rsidP="000D459C">
            <w:pPr>
              <w:pStyle w:val="Box"/>
            </w:pPr>
            <w:r>
              <w:t>Data reported against this indicator are:</w:t>
            </w:r>
          </w:p>
          <w:p w:rsidR="000D459C" w:rsidRDefault="000D459C" w:rsidP="000D459C">
            <w:pPr>
              <w:pStyle w:val="BoxListBullet"/>
            </w:pPr>
            <w:r>
              <w:t>comparable (subject to caveats) across jurisdictions and over time</w:t>
            </w:r>
          </w:p>
          <w:p w:rsidR="00413E88" w:rsidRDefault="000D459C" w:rsidP="00743531">
            <w:pPr>
              <w:pStyle w:val="BoxListBullet"/>
            </w:pPr>
            <w:r>
              <w:t>complete (subject to caveats) for the current reporting period. All required 2012</w:t>
            </w:r>
            <w:r>
              <w:noBreakHyphen/>
              <w:t>13 data are available for all jurisdictions.</w:t>
            </w:r>
          </w:p>
          <w:p w:rsidR="0079473B" w:rsidRPr="002706CE" w:rsidRDefault="00721B0B" w:rsidP="00721B0B">
            <w:pPr>
              <w:pStyle w:val="Box"/>
            </w:pPr>
            <w:r>
              <w:t xml:space="preserve">Data quality information </w:t>
            </w:r>
            <w:r w:rsidR="0079473B" w:rsidRPr="00617D21">
              <w:t xml:space="preserve">for </w:t>
            </w:r>
            <w:r>
              <w:t xml:space="preserve">this indicator </w:t>
            </w:r>
            <w:r w:rsidR="0079473B" w:rsidRPr="00617D21">
              <w:t xml:space="preserve">is at </w:t>
            </w:r>
            <w:r w:rsidR="0079473B" w:rsidRPr="00857360">
              <w:t>www.pc.gov.au/gsp/reports/rogs/2014</w:t>
            </w:r>
            <w:r>
              <w:t>.</w:t>
            </w:r>
          </w:p>
        </w:tc>
      </w:tr>
      <w:tr w:rsidR="00CD66BC" w:rsidTr="00177168">
        <w:trPr>
          <w:cantSplit/>
        </w:trPr>
        <w:tc>
          <w:tcPr>
            <w:tcW w:w="8771" w:type="dxa"/>
            <w:tcBorders>
              <w:top w:val="nil"/>
              <w:left w:val="single" w:sz="6" w:space="0" w:color="auto"/>
              <w:bottom w:val="single" w:sz="6" w:space="0" w:color="auto"/>
              <w:right w:val="single" w:sz="6" w:space="0" w:color="auto"/>
            </w:tcBorders>
          </w:tcPr>
          <w:p w:rsidR="00CD66BC" w:rsidRDefault="00CD66BC">
            <w:pPr>
              <w:pStyle w:val="Box"/>
              <w:spacing w:before="0" w:line="120" w:lineRule="exact"/>
            </w:pPr>
          </w:p>
        </w:tc>
      </w:tr>
      <w:tr w:rsidR="00CD66BC" w:rsidTr="00177168">
        <w:tc>
          <w:tcPr>
            <w:tcW w:w="8771" w:type="dxa"/>
            <w:tcBorders>
              <w:top w:val="single" w:sz="6" w:space="0" w:color="auto"/>
              <w:left w:val="nil"/>
              <w:bottom w:val="nil"/>
              <w:right w:val="nil"/>
            </w:tcBorders>
          </w:tcPr>
          <w:p w:rsidR="00CD66BC" w:rsidRDefault="00CD66BC">
            <w:pPr>
              <w:pStyle w:val="Box"/>
              <w:keepNext w:val="0"/>
              <w:spacing w:before="60" w:after="60" w:line="80" w:lineRule="exact"/>
              <w:rPr>
                <w:b/>
                <w:color w:val="FF00FF"/>
                <w:sz w:val="14"/>
              </w:rPr>
            </w:pPr>
          </w:p>
        </w:tc>
      </w:tr>
    </w:tbl>
    <w:p w:rsidR="004D6520" w:rsidRDefault="004D6520" w:rsidP="00A73D31">
      <w:pPr>
        <w:pStyle w:val="BodyText"/>
      </w:pPr>
      <w:r w:rsidRPr="004D6520">
        <w:t>Many providers deliver child immunisation services (</w:t>
      </w:r>
      <w:r w:rsidRPr="00EA089E">
        <w:t>table</w:t>
      </w:r>
      <w:r w:rsidR="00EA4368" w:rsidRPr="00EA089E">
        <w:t> </w:t>
      </w:r>
      <w:r w:rsidR="00EC42DB" w:rsidRPr="00EA089E">
        <w:t>11.</w:t>
      </w:r>
      <w:r w:rsidR="009821C3">
        <w:t>7</w:t>
      </w:r>
      <w:r w:rsidRPr="00EA089E">
        <w:t>).</w:t>
      </w:r>
      <w:r w:rsidRPr="004D6520">
        <w:t xml:space="preserve"> </w:t>
      </w:r>
      <w:r w:rsidR="0033308B">
        <w:t xml:space="preserve">High </w:t>
      </w:r>
      <w:r w:rsidR="0033308B" w:rsidRPr="004D6520">
        <w:t xml:space="preserve">immunisation coverage levels </w:t>
      </w:r>
      <w:r w:rsidR="0033308B">
        <w:t xml:space="preserve">have been </w:t>
      </w:r>
      <w:r w:rsidR="0033308B" w:rsidRPr="004D6520">
        <w:t xml:space="preserve">encouraged </w:t>
      </w:r>
      <w:r w:rsidRPr="004D6520">
        <w:t>under the General Practice Immunisation Incentive</w:t>
      </w:r>
      <w:r w:rsidR="00BD4D26">
        <w:t>s</w:t>
      </w:r>
      <w:r w:rsidR="002F765B">
        <w:t xml:space="preserve"> Scheme</w:t>
      </w:r>
      <w:r w:rsidRPr="004D6520">
        <w:t xml:space="preserve">, </w:t>
      </w:r>
      <w:r w:rsidR="0033308B">
        <w:t xml:space="preserve">which provided </w:t>
      </w:r>
      <w:r w:rsidR="0033308B" w:rsidRPr="004D6520">
        <w:t>incentives for the immunisation of ch</w:t>
      </w:r>
      <w:r w:rsidR="0033308B">
        <w:t>ildren under 7 years of age to 30 June 2013</w:t>
      </w:r>
      <w:r w:rsidR="008C2D9D">
        <w:t>.</w:t>
      </w:r>
    </w:p>
    <w:p w:rsidR="00834AD4" w:rsidRPr="00834AD4" w:rsidRDefault="00834AD4">
      <w:pPr>
        <w:pStyle w:val="TableTitle"/>
      </w:pPr>
      <w:r>
        <w:rPr>
          <w:b w:val="0"/>
        </w:rPr>
        <w:lastRenderedPageBreak/>
        <w:t xml:space="preserve">Table </w:t>
      </w:r>
      <w:bookmarkStart w:id="57" w:name="OLE_LINK70"/>
      <w:r w:rsidR="00490F57">
        <w:rPr>
          <w:b w:val="0"/>
        </w:rPr>
        <w:t>11.</w:t>
      </w:r>
      <w:bookmarkEnd w:id="57"/>
      <w:r w:rsidR="009821C3">
        <w:rPr>
          <w:b w:val="0"/>
        </w:rPr>
        <w:t>7</w:t>
      </w:r>
      <w:r>
        <w:tab/>
      </w:r>
      <w:r w:rsidRPr="00834AD4">
        <w:t>Valid vaccinations supplied to children under 7</w:t>
      </w:r>
      <w:r w:rsidR="00EA4368">
        <w:t> </w:t>
      </w:r>
      <w:r w:rsidRPr="00834AD4">
        <w:t xml:space="preserve">years of age, by </w:t>
      </w:r>
      <w:r w:rsidRPr="003A4357">
        <w:t>provider type</w:t>
      </w:r>
      <w:r w:rsidRPr="001A6892">
        <w:t xml:space="preserve">, </w:t>
      </w:r>
      <w:r w:rsidR="0001631C" w:rsidRPr="001A6892">
        <w:t>200</w:t>
      </w:r>
      <w:r w:rsidR="001A6892" w:rsidRPr="001A6892">
        <w:t>8</w:t>
      </w:r>
      <w:r w:rsidRPr="001A6892">
        <w:t>–20</w:t>
      </w:r>
      <w:r w:rsidR="00E6558E" w:rsidRPr="001A6892">
        <w:t>1</w:t>
      </w:r>
      <w:r w:rsidR="001A6892" w:rsidRPr="001A6892">
        <w:t>3</w:t>
      </w:r>
      <w:r w:rsidR="00EA4368" w:rsidRPr="003A4357">
        <w:t xml:space="preserve"> (per </w:t>
      </w:r>
      <w:r w:rsidRPr="003A4357">
        <w:t>cent)</w:t>
      </w:r>
      <w:r w:rsidRPr="003A4357">
        <w:rPr>
          <w:rStyle w:val="NoteLabel"/>
          <w:b/>
        </w:rPr>
        <w:t>a, b</w:t>
      </w:r>
      <w:r w:rsidR="008B6F4C" w:rsidRPr="003A4357">
        <w:rPr>
          <w:rStyle w:val="NoteLabel"/>
          <w:b/>
        </w:rPr>
        <w:t>, c</w:t>
      </w:r>
    </w:p>
    <w:tbl>
      <w:tblPr>
        <w:tblW w:w="8789" w:type="dxa"/>
        <w:tblLayout w:type="fixed"/>
        <w:tblCellMar>
          <w:left w:w="0" w:type="dxa"/>
          <w:right w:w="0" w:type="dxa"/>
        </w:tblCellMar>
        <w:tblLook w:val="01E0" w:firstRow="1" w:lastRow="1" w:firstColumn="1" w:lastColumn="1" w:noHBand="0" w:noVBand="0"/>
      </w:tblPr>
      <w:tblGrid>
        <w:gridCol w:w="2552"/>
        <w:gridCol w:w="693"/>
        <w:gridCol w:w="693"/>
        <w:gridCol w:w="693"/>
        <w:gridCol w:w="693"/>
        <w:gridCol w:w="693"/>
        <w:gridCol w:w="693"/>
        <w:gridCol w:w="693"/>
        <w:gridCol w:w="693"/>
        <w:gridCol w:w="693"/>
      </w:tblGrid>
      <w:tr w:rsidR="00834AD4" w:rsidRPr="00E51597" w:rsidTr="00E51597">
        <w:trPr>
          <w:trHeight w:val="270"/>
        </w:trPr>
        <w:tc>
          <w:tcPr>
            <w:tcW w:w="2552" w:type="dxa"/>
            <w:tcBorders>
              <w:top w:val="single" w:sz="6" w:space="0" w:color="auto"/>
              <w:left w:val="nil"/>
              <w:bottom w:val="single" w:sz="4" w:space="0" w:color="auto"/>
              <w:right w:val="nil"/>
            </w:tcBorders>
            <w:shd w:val="clear" w:color="auto" w:fill="auto"/>
          </w:tcPr>
          <w:p w:rsidR="00834AD4" w:rsidRPr="00834AD4" w:rsidRDefault="00834AD4" w:rsidP="00E51597">
            <w:pPr>
              <w:pStyle w:val="TableColumnHeading"/>
              <w:ind w:right="57"/>
              <w:jc w:val="left"/>
            </w:pPr>
            <w:r w:rsidRPr="00834AD4">
              <w:t>Provider</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NSW</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Vic</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Qld</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WA</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SA</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Tas</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ACT</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834AD4">
              <w:t>NT</w:t>
            </w:r>
          </w:p>
        </w:tc>
        <w:tc>
          <w:tcPr>
            <w:tcW w:w="693" w:type="dxa"/>
            <w:tcBorders>
              <w:top w:val="single" w:sz="6" w:space="0" w:color="auto"/>
              <w:left w:val="nil"/>
              <w:bottom w:val="single" w:sz="4" w:space="0" w:color="auto"/>
              <w:right w:val="nil"/>
            </w:tcBorders>
            <w:shd w:val="clear" w:color="auto" w:fill="auto"/>
          </w:tcPr>
          <w:p w:rsidR="00834AD4" w:rsidRPr="00834AD4" w:rsidRDefault="00834AD4" w:rsidP="002C2461">
            <w:pPr>
              <w:pStyle w:val="TableColumnHeading"/>
            </w:pPr>
            <w:r w:rsidRPr="002461CB">
              <w:t>Aust</w:t>
            </w:r>
          </w:p>
        </w:tc>
      </w:tr>
      <w:tr w:rsidR="001A6892" w:rsidRPr="003A4357" w:rsidTr="001A6892">
        <w:trPr>
          <w:trHeight w:val="255"/>
        </w:trPr>
        <w:tc>
          <w:tcPr>
            <w:tcW w:w="2552" w:type="dxa"/>
            <w:tcBorders>
              <w:top w:val="single" w:sz="4" w:space="0" w:color="auto"/>
              <w:left w:val="nil"/>
              <w:bottom w:val="nil"/>
              <w:right w:val="nil"/>
            </w:tcBorders>
            <w:shd w:val="clear" w:color="auto" w:fill="auto"/>
          </w:tcPr>
          <w:p w:rsidR="001A6892" w:rsidRPr="003A4357" w:rsidRDefault="001A6892" w:rsidP="00E51597">
            <w:pPr>
              <w:pStyle w:val="TableBodyText"/>
              <w:spacing w:before="40" w:afterLines="40" w:after="96"/>
              <w:ind w:right="57"/>
              <w:jc w:val="left"/>
            </w:pPr>
            <w:r w:rsidRPr="003A4357">
              <w:rPr>
                <w:snapToGrid w:val="0"/>
                <w:lang w:val="en-GB"/>
              </w:rPr>
              <w:t>GP</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89.1</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59.2</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86.7</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68.7</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74.2</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92.9</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58.2</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13.2</w:t>
            </w:r>
          </w:p>
        </w:tc>
        <w:tc>
          <w:tcPr>
            <w:tcW w:w="693" w:type="dxa"/>
            <w:tcBorders>
              <w:top w:val="single" w:sz="4" w:space="0" w:color="auto"/>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76.3</w:t>
            </w:r>
          </w:p>
        </w:tc>
      </w:tr>
      <w:tr w:rsidR="001A6892" w:rsidRPr="003A4357" w:rsidTr="001A6892">
        <w:trPr>
          <w:trHeight w:val="255"/>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Council</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3.5</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40.3</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6.1</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3.7</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18.5</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7.1</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14.2</w:t>
            </w:r>
          </w:p>
        </w:tc>
      </w:tr>
      <w:tr w:rsidR="001A6892" w:rsidRPr="003A4357" w:rsidTr="001A6892">
        <w:trPr>
          <w:trHeight w:val="382"/>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State or Territory health department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6.4</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1.2</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0.5</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0.8</w:t>
            </w:r>
          </w:p>
        </w:tc>
      </w:tr>
      <w:tr w:rsidR="001A6892" w:rsidRPr="003A4357" w:rsidTr="001A6892">
        <w:trPr>
          <w:trHeight w:val="77"/>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 xml:space="preserve">Public hospital </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np</w:t>
            </w:r>
          </w:p>
        </w:tc>
      </w:tr>
      <w:tr w:rsidR="001A6892" w:rsidRPr="003A4357" w:rsidTr="001A6892">
        <w:trPr>
          <w:trHeight w:val="175"/>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Private hospital</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0.8</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r>
      <w:tr w:rsidR="001A6892" w:rsidRPr="003A4357" w:rsidTr="001A6892">
        <w:trPr>
          <w:trHeight w:val="224"/>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Indigenous health service</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0.6</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0.2</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0.7</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0.4</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0.6</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21.9</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0.8</w:t>
            </w:r>
          </w:p>
        </w:tc>
      </w:tr>
      <w:tr w:rsidR="001A6892" w:rsidRPr="003A4357" w:rsidTr="001A6892">
        <w:trPr>
          <w:trHeight w:val="77"/>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pPr>
            <w:r w:rsidRPr="003A4357">
              <w:rPr>
                <w:snapToGrid w:val="0"/>
                <w:lang w:val="en-GB"/>
              </w:rPr>
              <w:t>Community health centre</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6.8</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0.3</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6.4</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20.8</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6.6</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40.6</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63.5</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7.9</w:t>
            </w:r>
          </w:p>
        </w:tc>
      </w:tr>
      <w:tr w:rsidR="001A6892" w:rsidRPr="003A4357" w:rsidTr="00A73D31">
        <w:trPr>
          <w:trHeight w:val="77"/>
        </w:trPr>
        <w:tc>
          <w:tcPr>
            <w:tcW w:w="2552" w:type="dxa"/>
            <w:tcBorders>
              <w:top w:val="nil"/>
              <w:left w:val="nil"/>
              <w:bottom w:val="nil"/>
              <w:right w:val="nil"/>
            </w:tcBorders>
            <w:shd w:val="clear" w:color="auto" w:fill="auto"/>
          </w:tcPr>
          <w:p w:rsidR="001A6892" w:rsidRPr="003A4357" w:rsidRDefault="001A6892" w:rsidP="00E51597">
            <w:pPr>
              <w:pStyle w:val="TableBodyText"/>
              <w:spacing w:afterLines="40" w:after="96"/>
              <w:ind w:right="57"/>
              <w:jc w:val="left"/>
              <w:rPr>
                <w:rStyle w:val="NoteLabel"/>
              </w:rPr>
            </w:pPr>
            <w:r w:rsidRPr="003A4357">
              <w:rPr>
                <w:snapToGrid w:val="0"/>
                <w:lang w:val="en-GB"/>
              </w:rPr>
              <w:t>Other</w:t>
            </w:r>
            <w:r w:rsidRPr="003A4357">
              <w:rPr>
                <w:rStyle w:val="NoteLabel"/>
              </w:rPr>
              <w:t>d</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0.1</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0.1</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0.1</w:t>
            </w:r>
          </w:p>
        </w:tc>
        <w:tc>
          <w:tcPr>
            <w:tcW w:w="693" w:type="dxa"/>
            <w:tcBorders>
              <w:top w:val="nil"/>
              <w:left w:val="nil"/>
              <w:bottom w:val="nil"/>
              <w:right w:val="nil"/>
            </w:tcBorders>
            <w:shd w:val="clear" w:color="auto" w:fill="auto"/>
          </w:tcPr>
          <w:p w:rsidR="001A6892" w:rsidRPr="001A6892" w:rsidRDefault="000D5654" w:rsidP="001A6892">
            <w:pPr>
              <w:spacing w:afterLines="40" w:after="96" w:line="220" w:lineRule="atLeast"/>
              <w:ind w:left="6" w:right="11"/>
              <w:jc w:val="right"/>
              <w:rPr>
                <w:rFonts w:ascii="Arial" w:hAnsi="Arial" w:cs="Arial"/>
                <w:sz w:val="20"/>
                <w:szCs w:val="20"/>
              </w:rPr>
            </w:pPr>
            <w:r>
              <w:rPr>
                <w:rFonts w:ascii="Arial" w:hAnsi="Arial" w:cs="Arial"/>
                <w:sz w:val="20"/>
                <w:szCs w:val="20"/>
              </w:rPr>
              <w:t>0.1</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w:t>
            </w:r>
          </w:p>
        </w:tc>
        <w:tc>
          <w:tcPr>
            <w:tcW w:w="693" w:type="dxa"/>
            <w:tcBorders>
              <w:top w:val="nil"/>
              <w:left w:val="nil"/>
              <w:bottom w:val="nil"/>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sz w:val="20"/>
                <w:szCs w:val="20"/>
              </w:rPr>
            </w:pPr>
            <w:r w:rsidRPr="001A6892">
              <w:rPr>
                <w:rFonts w:ascii="Arial" w:hAnsi="Arial" w:cs="Arial"/>
                <w:sz w:val="20"/>
                <w:szCs w:val="20"/>
              </w:rPr>
              <w:t xml:space="preserve">  0.1</w:t>
            </w:r>
          </w:p>
        </w:tc>
      </w:tr>
      <w:tr w:rsidR="001A6892" w:rsidRPr="00E51597" w:rsidTr="001A6892">
        <w:trPr>
          <w:trHeight w:val="270"/>
        </w:trPr>
        <w:tc>
          <w:tcPr>
            <w:tcW w:w="2552" w:type="dxa"/>
            <w:tcBorders>
              <w:top w:val="nil"/>
              <w:left w:val="nil"/>
              <w:bottom w:val="single" w:sz="6" w:space="0" w:color="auto"/>
              <w:right w:val="nil"/>
            </w:tcBorders>
            <w:shd w:val="clear" w:color="auto" w:fill="auto"/>
          </w:tcPr>
          <w:p w:rsidR="001A6892" w:rsidRPr="003A4357" w:rsidRDefault="001A6892" w:rsidP="00E51597">
            <w:pPr>
              <w:pStyle w:val="TableBodyText"/>
              <w:spacing w:afterLines="40" w:after="96"/>
              <w:ind w:right="57"/>
              <w:jc w:val="left"/>
              <w:rPr>
                <w:b/>
                <w:bCs/>
              </w:rPr>
            </w:pPr>
            <w:r w:rsidRPr="003A4357">
              <w:rPr>
                <w:b/>
                <w:bCs/>
              </w:rPr>
              <w:t>Total</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Mar>
              <w:right w:w="0" w:type="dxa"/>
            </w:tcMar>
          </w:tcPr>
          <w:p w:rsidR="001A6892" w:rsidRPr="001A6892" w:rsidRDefault="001A6892" w:rsidP="001A6892">
            <w:pPr>
              <w:spacing w:afterLines="40" w:after="96" w:line="220" w:lineRule="atLeast"/>
              <w:ind w:left="6" w:right="11"/>
              <w:jc w:val="right"/>
              <w:rPr>
                <w:rFonts w:ascii="Arial" w:hAnsi="Arial" w:cs="Arial"/>
                <w:b/>
                <w:sz w:val="20"/>
                <w:szCs w:val="20"/>
              </w:rPr>
            </w:pPr>
            <w:r w:rsidRPr="001A6892">
              <w:rPr>
                <w:rFonts w:ascii="Arial" w:hAnsi="Arial" w:cs="Arial"/>
                <w:b/>
                <w:sz w:val="20"/>
                <w:szCs w:val="20"/>
              </w:rPr>
              <w:t xml:space="preserve">  100</w:t>
            </w:r>
          </w:p>
        </w:tc>
      </w:tr>
    </w:tbl>
    <w:p w:rsidR="005E4DC7" w:rsidRPr="00F42404" w:rsidRDefault="00834AD4" w:rsidP="005E4DC7">
      <w:pPr>
        <w:pStyle w:val="Note"/>
      </w:pPr>
      <w:r w:rsidRPr="00834AD4">
        <w:rPr>
          <w:rStyle w:val="NoteLabel"/>
        </w:rPr>
        <w:t>a</w:t>
      </w:r>
      <w:r>
        <w:rPr>
          <w:rFonts w:cs="Arial"/>
        </w:rPr>
        <w:t xml:space="preserve"> </w:t>
      </w:r>
      <w:r w:rsidR="00A05F7C">
        <w:rPr>
          <w:rFonts w:cs="Arial"/>
        </w:rPr>
        <w:t xml:space="preserve">Data are for the period </w:t>
      </w:r>
      <w:r w:rsidR="00EA4368">
        <w:t>1 Ju</w:t>
      </w:r>
      <w:r w:rsidR="0001631C">
        <w:t>l</w:t>
      </w:r>
      <w:r w:rsidR="00EA4368">
        <w:t>y </w:t>
      </w:r>
      <w:r w:rsidR="0001631C">
        <w:t>200</w:t>
      </w:r>
      <w:r w:rsidR="00324E73">
        <w:t>8</w:t>
      </w:r>
      <w:r w:rsidR="00EA4368">
        <w:t xml:space="preserve"> to 30 June </w:t>
      </w:r>
      <w:r w:rsidRPr="0001631C">
        <w:t>20</w:t>
      </w:r>
      <w:r w:rsidR="00E6558E">
        <w:t>1</w:t>
      </w:r>
      <w:r w:rsidR="00324E73">
        <w:t>3</w:t>
      </w:r>
      <w:r w:rsidRPr="00F65E6E">
        <w:t xml:space="preserve">. </w:t>
      </w:r>
      <w:r w:rsidR="008B6F4C" w:rsidRPr="00834AD4">
        <w:rPr>
          <w:rStyle w:val="NoteLabel"/>
        </w:rPr>
        <w:t>b</w:t>
      </w:r>
      <w:r w:rsidR="008B6F4C">
        <w:t xml:space="preserve"> </w:t>
      </w:r>
      <w:r w:rsidRPr="00F65E6E">
        <w:t>Data</w:t>
      </w:r>
      <w:r w:rsidRPr="00834AD4">
        <w:t xml:space="preserve"> </w:t>
      </w:r>
      <w:r w:rsidR="002246C4">
        <w:t xml:space="preserve">are based on </w:t>
      </w:r>
      <w:r w:rsidR="00941DCE">
        <w:t>State/Territory</w:t>
      </w:r>
      <w:r w:rsidR="002246C4" w:rsidRPr="00816B58">
        <w:t xml:space="preserve"> </w:t>
      </w:r>
      <w:r w:rsidRPr="00834AD4">
        <w:t xml:space="preserve">in which the immunisation provider was located. </w:t>
      </w:r>
      <w:r w:rsidR="008B6F4C">
        <w:rPr>
          <w:rStyle w:val="NoteLabel"/>
        </w:rPr>
        <w:t>c</w:t>
      </w:r>
      <w:r w:rsidR="008B6F4C" w:rsidRPr="00834AD4">
        <w:t xml:space="preserve"> </w:t>
      </w:r>
      <w:r w:rsidRPr="00834AD4">
        <w:t>A valid vaccination is a National Health and Medical Research Council’s Australian Standard Vaccination Schedule vaccination administere</w:t>
      </w:r>
      <w:r w:rsidR="00EA4368">
        <w:t>d to a child under the age of 7 </w:t>
      </w:r>
      <w:r w:rsidRPr="00834AD4">
        <w:t>years.</w:t>
      </w:r>
      <w:r w:rsidR="008B6F4C">
        <w:t xml:space="preserve"> </w:t>
      </w:r>
      <w:r w:rsidR="008B6F4C">
        <w:rPr>
          <w:rStyle w:val="NoteLabel"/>
        </w:rPr>
        <w:t>d </w:t>
      </w:r>
      <w:r w:rsidR="008B6F4C" w:rsidRPr="008B6F4C">
        <w:t>Other includes Division</w:t>
      </w:r>
      <w:r w:rsidR="008B6F4C">
        <w:t>s</w:t>
      </w:r>
      <w:r w:rsidR="008B6F4C" w:rsidRPr="008B6F4C">
        <w:t xml:space="preserve"> of GP</w:t>
      </w:r>
      <w:r w:rsidR="008B6F4C">
        <w:t xml:space="preserve">, </w:t>
      </w:r>
      <w:r w:rsidR="008B6F4C" w:rsidRPr="008B6F4C">
        <w:t>Flying Doctors Service</w:t>
      </w:r>
      <w:r w:rsidR="008B6F4C">
        <w:t>s, Indigenous</w:t>
      </w:r>
      <w:r w:rsidR="008B6F4C" w:rsidRPr="008B6F4C">
        <w:t xml:space="preserve"> Health Worker</w:t>
      </w:r>
      <w:r w:rsidR="008B6F4C">
        <w:t>s</w:t>
      </w:r>
      <w:r w:rsidR="008B6F4C" w:rsidRPr="008B6F4C">
        <w:t xml:space="preserve">, Community </w:t>
      </w:r>
      <w:r w:rsidR="008B6F4C">
        <w:t>n</w:t>
      </w:r>
      <w:r w:rsidR="008B6F4C" w:rsidRPr="008B6F4C">
        <w:t>urse</w:t>
      </w:r>
      <w:r w:rsidR="008B6F4C">
        <w:t>s</w:t>
      </w:r>
      <w:r w:rsidR="008B6F4C" w:rsidRPr="008B6F4C">
        <w:t xml:space="preserve"> and unknown.</w:t>
      </w:r>
      <w:r w:rsidR="00212D61">
        <w:t xml:space="preserve"> </w:t>
      </w:r>
      <w:r w:rsidR="00615378">
        <w:t>– </w:t>
      </w:r>
      <w:r w:rsidRPr="00834AD4">
        <w:t>Nil or rounded to zero</w:t>
      </w:r>
      <w:r>
        <w:t>.</w:t>
      </w:r>
      <w:r w:rsidR="00F42404">
        <w:t xml:space="preserve"> </w:t>
      </w:r>
      <w:r w:rsidR="00F42404">
        <w:rPr>
          <w:b/>
        </w:rPr>
        <w:t>np</w:t>
      </w:r>
      <w:r w:rsidR="00F42404">
        <w:t xml:space="preserve"> Not published.</w:t>
      </w:r>
    </w:p>
    <w:p w:rsidR="00834AD4" w:rsidRDefault="00834AD4" w:rsidP="006C74C6">
      <w:pPr>
        <w:pStyle w:val="Source"/>
        <w:tabs>
          <w:tab w:val="left" w:pos="3119"/>
        </w:tabs>
        <w:spacing w:after="80"/>
      </w:pPr>
      <w:r w:rsidRPr="00834AD4">
        <w:rPr>
          <w:i/>
        </w:rPr>
        <w:t>Source</w:t>
      </w:r>
      <w:r w:rsidRPr="00834AD4">
        <w:t xml:space="preserve">: </w:t>
      </w:r>
      <w:r w:rsidR="00B513D7">
        <w:t>Department of Health</w:t>
      </w:r>
      <w:r w:rsidRPr="00834AD4">
        <w:t xml:space="preserve"> (unpublished)</w:t>
      </w:r>
      <w:r w:rsidR="00E91C91">
        <w:t xml:space="preserve"> </w:t>
      </w:r>
      <w:r w:rsidR="00E91C91" w:rsidRPr="00E91C91">
        <w:t>Australian Childhood Immunisation Register (ACIR)</w:t>
      </w:r>
      <w:r w:rsidR="00295C56">
        <w:t xml:space="preserve"> </w:t>
      </w:r>
      <w:r w:rsidR="00A55051">
        <w:t xml:space="preserve">data </w:t>
      </w:r>
      <w:r w:rsidR="00295C56">
        <w:t>collection</w:t>
      </w:r>
      <w:r w:rsidR="00E91C91">
        <w:t xml:space="preserve">; </w:t>
      </w:r>
      <w:r w:rsidR="00274CD2">
        <w:t>t</w:t>
      </w:r>
      <w:r w:rsidR="00E91C91">
        <w:t>able </w:t>
      </w:r>
      <w:r w:rsidR="003F3FB0">
        <w:t>11A.</w:t>
      </w:r>
      <w:r w:rsidR="00226EA4">
        <w:t>7</w:t>
      </w:r>
      <w:r w:rsidR="000A2E3B">
        <w:t>6</w:t>
      </w:r>
      <w:r w:rsidRPr="002D197F">
        <w:t>.</w:t>
      </w:r>
    </w:p>
    <w:p w:rsidR="003869F5" w:rsidRDefault="003221DB" w:rsidP="007644A0">
      <w:pPr>
        <w:pStyle w:val="BodyText"/>
      </w:pPr>
      <w:r>
        <w:t>Nationally,</w:t>
      </w:r>
      <w:r w:rsidR="003869F5" w:rsidRPr="000E5F9F">
        <w:t xml:space="preserve"> </w:t>
      </w:r>
      <w:r w:rsidR="00D14160" w:rsidRPr="00D14160">
        <w:t>91.3</w:t>
      </w:r>
      <w:r w:rsidR="006022D9" w:rsidRPr="00D14160">
        <w:t> </w:t>
      </w:r>
      <w:r w:rsidR="003869F5" w:rsidRPr="00D14160">
        <w:t>per</w:t>
      </w:r>
      <w:r w:rsidR="006022D9" w:rsidRPr="000E5F9F">
        <w:t> </w:t>
      </w:r>
      <w:r w:rsidR="003869F5" w:rsidRPr="000E5F9F">
        <w:t>cent</w:t>
      </w:r>
      <w:r w:rsidR="006022D9" w:rsidRPr="000E5F9F">
        <w:t xml:space="preserve"> of Australian children aged 12 </w:t>
      </w:r>
      <w:r w:rsidR="003869F5" w:rsidRPr="000E5F9F">
        <w:t>months to less than 15</w:t>
      </w:r>
      <w:r w:rsidR="006022D9" w:rsidRPr="000E5F9F">
        <w:t> </w:t>
      </w:r>
      <w:r w:rsidR="003869F5" w:rsidRPr="000E5F9F">
        <w:t xml:space="preserve">months </w:t>
      </w:r>
      <w:r w:rsidR="00A343A2">
        <w:t>were assessed as fully immunised in 2012-</w:t>
      </w:r>
      <w:r w:rsidR="00A343A2" w:rsidRPr="00B8039E">
        <w:t>1</w:t>
      </w:r>
      <w:r w:rsidR="00A343A2">
        <w:t>3</w:t>
      </w:r>
      <w:r w:rsidR="00A343A2" w:rsidRPr="000E5F9F">
        <w:t xml:space="preserve"> </w:t>
      </w:r>
      <w:r w:rsidR="003869F5" w:rsidRPr="000E5F9F">
        <w:t>(figure</w:t>
      </w:r>
      <w:r w:rsidR="006022D9" w:rsidRPr="000E5F9F">
        <w:t> </w:t>
      </w:r>
      <w:r w:rsidR="00CA25A8">
        <w:t>11.40</w:t>
      </w:r>
      <w:r w:rsidR="003869F5" w:rsidRPr="000E5F9F">
        <w:t>).</w:t>
      </w:r>
    </w:p>
    <w:p w:rsidR="00834AD4" w:rsidRPr="00834AD4" w:rsidRDefault="00834AD4" w:rsidP="0091333A">
      <w:pPr>
        <w:pStyle w:val="FigureTitle"/>
        <w:ind w:left="1560" w:hanging="1560"/>
      </w:pPr>
      <w:r>
        <w:rPr>
          <w:b w:val="0"/>
        </w:rPr>
        <w:lastRenderedPageBreak/>
        <w:t xml:space="preserve">Figure </w:t>
      </w:r>
      <w:bookmarkStart w:id="58" w:name="OLE_LINK44"/>
      <w:r w:rsidR="00EC42DB">
        <w:rPr>
          <w:b w:val="0"/>
        </w:rPr>
        <w:t>11.</w:t>
      </w:r>
      <w:bookmarkEnd w:id="58"/>
      <w:r w:rsidR="00CA25A8">
        <w:rPr>
          <w:b w:val="0"/>
        </w:rPr>
        <w:t>40</w:t>
      </w:r>
      <w:r>
        <w:tab/>
      </w:r>
      <w:r w:rsidRPr="00834AD4">
        <w:t>Children aged 12 months to less than 15 months who were fully immunised</w:t>
      </w:r>
      <w:r w:rsidRPr="00834AD4">
        <w:rPr>
          <w:rStyle w:val="NoteLabel"/>
          <w:b/>
        </w:rPr>
        <w:t>a, b, c</w:t>
      </w:r>
      <w:r w:rsidR="00CF0BD7">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34AD4">
        <w:tc>
          <w:tcPr>
            <w:tcW w:w="8777" w:type="dxa"/>
          </w:tcPr>
          <w:p w:rsidR="00834AD4" w:rsidRDefault="00FF6757">
            <w:pPr>
              <w:pStyle w:val="Figure"/>
            </w:pPr>
            <w:r>
              <w:rPr>
                <w:noProof/>
              </w:rPr>
              <w:drawing>
                <wp:inline distT="0" distB="0" distL="0" distR="0">
                  <wp:extent cx="5389880" cy="2710815"/>
                  <wp:effectExtent l="0" t="0" r="1270" b="0"/>
                  <wp:docPr id="48" name="Picture 48" descr="Figure 11.40 Children aged 12 months to less than 15 months who were fully immunis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834AD4" w:rsidRPr="0045521E" w:rsidRDefault="00834AD4" w:rsidP="00584945">
      <w:pPr>
        <w:pStyle w:val="Note"/>
        <w:keepNext/>
      </w:pPr>
      <w:r>
        <w:rPr>
          <w:rStyle w:val="NoteLabel"/>
        </w:rPr>
        <w:t>a</w:t>
      </w:r>
      <w:r>
        <w:sym w:font="Symbol" w:char="F020"/>
      </w:r>
      <w:r w:rsidR="006022D9">
        <w:t xml:space="preserve">Coverage </w:t>
      </w:r>
      <w:r w:rsidR="00066B28">
        <w:t xml:space="preserve">for years to 2012 </w:t>
      </w:r>
      <w:r w:rsidR="006022D9">
        <w:t>measured at 30 June for children turning 12 </w:t>
      </w:r>
      <w:r>
        <w:t>months of age by 31</w:t>
      </w:r>
      <w:r w:rsidR="006022D9">
        <w:t> </w:t>
      </w:r>
      <w:r w:rsidR="00066B28">
        <w:t>March</w:t>
      </w:r>
      <w:r>
        <w:t xml:space="preserve">, by State or Territory in which the child </w:t>
      </w:r>
      <w:r w:rsidR="00563886">
        <w:t>resided</w:t>
      </w:r>
      <w:r>
        <w:t xml:space="preserve">. </w:t>
      </w:r>
      <w:r w:rsidR="00066B28">
        <w:t xml:space="preserve">For 2013, data include all  children aged 12 to 15 months of age fully vaccinated in the 2012-13 financial year. </w:t>
      </w:r>
      <w:r w:rsidRPr="00834AD4">
        <w:rPr>
          <w:rStyle w:val="NoteLabel"/>
        </w:rPr>
        <w:t>b</w:t>
      </w:r>
      <w:r w:rsidRPr="00834AD4">
        <w:t xml:space="preserve"> The </w:t>
      </w:r>
      <w:r w:rsidR="00106ECB" w:rsidRPr="00106ECB">
        <w:t xml:space="preserve">Australian Childhood Immunisation Register </w:t>
      </w:r>
      <w:r w:rsidR="00106ECB">
        <w:t>(</w:t>
      </w:r>
      <w:r w:rsidRPr="00834AD4">
        <w:t>ACIR</w:t>
      </w:r>
      <w:r w:rsidR="00106ECB">
        <w:t>)</w:t>
      </w:r>
      <w:r w:rsidRPr="00834AD4">
        <w:t xml:space="preserve"> includes all children under</w:t>
      </w:r>
      <w:r w:rsidR="006022D9">
        <w:t xml:space="preserve"> 7 </w:t>
      </w:r>
      <w:r w:rsidRPr="00834AD4">
        <w:t xml:space="preserve">years of age who are registered with </w:t>
      </w:r>
      <w:r w:rsidR="002D7882" w:rsidRPr="002D7882">
        <w:t>DHS Medicare</w:t>
      </w:r>
      <w:r w:rsidRPr="00834AD4">
        <w:t>. By the age of 12 months, over 98</w:t>
      </w:r>
      <w:r w:rsidR="006022D9">
        <w:t> </w:t>
      </w:r>
      <w:r w:rsidRPr="00834AD4">
        <w:t>per</w:t>
      </w:r>
      <w:r w:rsidR="006022D9">
        <w:t> </w:t>
      </w:r>
      <w:r w:rsidRPr="00834AD4">
        <w:t xml:space="preserve">cent of Australian children have been registered with </w:t>
      </w:r>
      <w:r w:rsidR="002D7882" w:rsidRPr="002D7882">
        <w:t>DHS Medicare</w:t>
      </w:r>
      <w:r w:rsidR="006304E0">
        <w:t>.</w:t>
      </w:r>
      <w:r w:rsidRPr="00834AD4">
        <w:t xml:space="preserve"> </w:t>
      </w:r>
      <w:r w:rsidRPr="00834AD4">
        <w:rPr>
          <w:rStyle w:val="NoteLabel"/>
        </w:rPr>
        <w:t>c</w:t>
      </w:r>
      <w:r>
        <w:t xml:space="preserve"> </w:t>
      </w:r>
      <w:r w:rsidRPr="00834AD4">
        <w:t xml:space="preserve">There </w:t>
      </w:r>
      <w:r w:rsidR="003869F5">
        <w:t>can</w:t>
      </w:r>
      <w:r w:rsidRPr="00834AD4">
        <w:t xml:space="preserve"> be some under-reporting by providers, so vaccination coverage estimate</w:t>
      </w:r>
      <w:r w:rsidR="00622B0C">
        <w:t>s</w:t>
      </w:r>
      <w:r w:rsidRPr="00834AD4">
        <w:t xml:space="preserve"> </w:t>
      </w:r>
      <w:r w:rsidR="00622B0C">
        <w:t xml:space="preserve">based on </w:t>
      </w:r>
      <w:r w:rsidRPr="00834AD4">
        <w:t>ACIR data are cons</w:t>
      </w:r>
      <w:r w:rsidR="000100B7">
        <w:t>idered minimum estimates (NCIRS </w:t>
      </w:r>
      <w:r w:rsidRPr="00834AD4">
        <w:t>2000).</w:t>
      </w:r>
      <w:r w:rsidR="0045521E">
        <w:t xml:space="preserve"> </w:t>
      </w:r>
      <w:r w:rsidR="0045521E">
        <w:rPr>
          <w:rStyle w:val="NoteLabel"/>
        </w:rPr>
        <w:t>d</w:t>
      </w:r>
      <w:r w:rsidR="0045521E">
        <w:t> </w:t>
      </w:r>
      <w:r w:rsidR="0045521E" w:rsidRPr="0045521E">
        <w:t>Relatively low coverage rates for the June 2011 quarter are associated with parents not receiving immunisation reminders due to administrative error</w:t>
      </w:r>
      <w:r w:rsidR="0045521E">
        <w:t>.</w:t>
      </w:r>
    </w:p>
    <w:p w:rsidR="00834AD4" w:rsidRDefault="00834AD4" w:rsidP="00C90A9D">
      <w:pPr>
        <w:pStyle w:val="Source"/>
        <w:spacing w:after="20"/>
      </w:pPr>
      <w:r w:rsidRPr="00834AD4">
        <w:rPr>
          <w:i/>
        </w:rPr>
        <w:t>Source</w:t>
      </w:r>
      <w:r w:rsidRPr="00834AD4">
        <w:t xml:space="preserve">: </w:t>
      </w:r>
      <w:r w:rsidR="00B513D7">
        <w:t>Department of Health</w:t>
      </w:r>
      <w:r w:rsidRPr="00834AD4">
        <w:t xml:space="preserve"> (unpublished)</w:t>
      </w:r>
      <w:r w:rsidR="00E91C91">
        <w:t xml:space="preserve"> </w:t>
      </w:r>
      <w:r w:rsidR="00E91C91" w:rsidRPr="00E91C91">
        <w:t>ACIR</w:t>
      </w:r>
      <w:r w:rsidR="00295C56" w:rsidRPr="00295C56">
        <w:t xml:space="preserve"> </w:t>
      </w:r>
      <w:r w:rsidR="000E05F2">
        <w:t xml:space="preserve">data </w:t>
      </w:r>
      <w:r w:rsidR="00295C56">
        <w:t>collection</w:t>
      </w:r>
      <w:r w:rsidR="00E91C91">
        <w:t xml:space="preserve">; </w:t>
      </w:r>
      <w:r w:rsidR="00E91C91" w:rsidRPr="006C74C6">
        <w:t>table </w:t>
      </w:r>
      <w:r w:rsidR="00226EA4">
        <w:t>11A.7</w:t>
      </w:r>
      <w:r w:rsidR="000A2E3B">
        <w:t>7</w:t>
      </w:r>
      <w:r w:rsidRPr="006C74C6">
        <w:t>.</w:t>
      </w:r>
    </w:p>
    <w:p w:rsidR="002F579B" w:rsidRDefault="002F579B" w:rsidP="002F579B">
      <w:pPr>
        <w:pStyle w:val="BodyText"/>
      </w:pPr>
      <w:r w:rsidRPr="00506EA3">
        <w:t xml:space="preserve">Nationally, </w:t>
      </w:r>
      <w:r w:rsidRPr="00D14160">
        <w:t>92.</w:t>
      </w:r>
      <w:r w:rsidR="00D14160" w:rsidRPr="00D14160">
        <w:t>4</w:t>
      </w:r>
      <w:r w:rsidR="006022D9" w:rsidRPr="00D14160">
        <w:t> </w:t>
      </w:r>
      <w:r w:rsidRPr="00D14160">
        <w:t>per</w:t>
      </w:r>
      <w:r w:rsidR="006022D9" w:rsidRPr="00506EA3">
        <w:t> </w:t>
      </w:r>
      <w:r w:rsidRPr="00506EA3">
        <w:t>cent of children aged 24</w:t>
      </w:r>
      <w:r w:rsidR="006022D9" w:rsidRPr="00506EA3">
        <w:t> </w:t>
      </w:r>
      <w:r w:rsidRPr="00506EA3">
        <w:t>mont</w:t>
      </w:r>
      <w:r w:rsidR="00F43A55" w:rsidRPr="00506EA3">
        <w:t>hs to less than 27</w:t>
      </w:r>
      <w:r w:rsidR="006022D9" w:rsidRPr="00506EA3">
        <w:t> </w:t>
      </w:r>
      <w:r w:rsidR="00F43A55" w:rsidRPr="00506EA3">
        <w:t xml:space="preserve">months </w:t>
      </w:r>
      <w:r w:rsidR="00A343A2">
        <w:t>were assessed as fully immunised in 2012-</w:t>
      </w:r>
      <w:r w:rsidR="00A343A2" w:rsidRPr="00B8039E">
        <w:t>1</w:t>
      </w:r>
      <w:r w:rsidR="00A343A2">
        <w:t>3</w:t>
      </w:r>
      <w:r w:rsidRPr="00506EA3">
        <w:t xml:space="preserve"> (figure</w:t>
      </w:r>
      <w:r w:rsidR="006022D9" w:rsidRPr="00506EA3">
        <w:t> </w:t>
      </w:r>
      <w:r w:rsidR="00D24FBE" w:rsidRPr="00506EA3">
        <w:t>11.</w:t>
      </w:r>
      <w:r w:rsidR="00CA25A8">
        <w:t>41</w:t>
      </w:r>
      <w:r w:rsidRPr="00506EA3">
        <w:t>).</w:t>
      </w:r>
    </w:p>
    <w:p w:rsidR="002F579B" w:rsidRPr="002F579B" w:rsidRDefault="002F579B" w:rsidP="0091333A">
      <w:pPr>
        <w:pStyle w:val="FigureTitle"/>
        <w:ind w:left="1560" w:hanging="1560"/>
      </w:pPr>
      <w:r>
        <w:rPr>
          <w:b w:val="0"/>
        </w:rPr>
        <w:lastRenderedPageBreak/>
        <w:t xml:space="preserve">Figure </w:t>
      </w:r>
      <w:bookmarkStart w:id="59" w:name="OLE_LINK45"/>
      <w:r w:rsidR="00EC42DB">
        <w:rPr>
          <w:b w:val="0"/>
        </w:rPr>
        <w:t>11.</w:t>
      </w:r>
      <w:bookmarkEnd w:id="59"/>
      <w:r w:rsidR="00CA25A8">
        <w:rPr>
          <w:b w:val="0"/>
        </w:rPr>
        <w:t>41</w:t>
      </w:r>
      <w:r>
        <w:tab/>
      </w:r>
      <w:r w:rsidRPr="002F579B">
        <w:t>Children aged 24 months to less than 27 months who were fully immunised</w:t>
      </w:r>
      <w:r w:rsidRPr="002F579B">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F579B">
        <w:tc>
          <w:tcPr>
            <w:tcW w:w="8777" w:type="dxa"/>
          </w:tcPr>
          <w:p w:rsidR="002F579B" w:rsidRDefault="00FF6757">
            <w:pPr>
              <w:pStyle w:val="Figure"/>
            </w:pPr>
            <w:r>
              <w:rPr>
                <w:noProof/>
              </w:rPr>
              <w:drawing>
                <wp:inline distT="0" distB="0" distL="0" distR="0">
                  <wp:extent cx="5389880" cy="2710815"/>
                  <wp:effectExtent l="0" t="0" r="1270" b="0"/>
                  <wp:docPr id="49" name="Picture 49" descr="Figure 11.41 Children aged 24 months to less than 27 months who were fully immunis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2F579B" w:rsidRPr="00523930" w:rsidRDefault="002F579B" w:rsidP="00E10708">
      <w:pPr>
        <w:pStyle w:val="Note"/>
        <w:keepNext/>
      </w:pPr>
      <w:r>
        <w:rPr>
          <w:rStyle w:val="NoteLabel"/>
        </w:rPr>
        <w:t>a</w:t>
      </w:r>
      <w:r>
        <w:sym w:font="Symbol" w:char="F020"/>
      </w:r>
      <w:r w:rsidRPr="002F579B">
        <w:t xml:space="preserve"> Coverage </w:t>
      </w:r>
      <w:r w:rsidR="00066B28">
        <w:t xml:space="preserve">for years to 2012 </w:t>
      </w:r>
      <w:r w:rsidRPr="002F579B">
        <w:t>measured at 30</w:t>
      </w:r>
      <w:r w:rsidR="006022D9">
        <w:t> </w:t>
      </w:r>
      <w:r w:rsidRPr="002F579B">
        <w:t>June for children</w:t>
      </w:r>
      <w:r w:rsidR="006022D9">
        <w:t xml:space="preserve"> turning 24 months of age by 31 </w:t>
      </w:r>
      <w:r w:rsidRPr="002F579B">
        <w:t xml:space="preserve">March, by State or Territory in which the child </w:t>
      </w:r>
      <w:r w:rsidR="00563886">
        <w:t>resided</w:t>
      </w:r>
      <w:r w:rsidRPr="002F579B">
        <w:t xml:space="preserve">. </w:t>
      </w:r>
      <w:r w:rsidR="00066B28">
        <w:t xml:space="preserve">For 2013, data include all  children aged 24 to 27 months of age fully vaccinated in the 2012-13 financial year. </w:t>
      </w:r>
      <w:r w:rsidRPr="002F579B">
        <w:rPr>
          <w:rStyle w:val="NoteLabel"/>
        </w:rPr>
        <w:t>b</w:t>
      </w:r>
      <w:r>
        <w:t xml:space="preserve"> </w:t>
      </w:r>
      <w:r w:rsidRPr="002F579B">
        <w:t>The ACIR includes all children under 7</w:t>
      </w:r>
      <w:r w:rsidR="006022D9">
        <w:t> </w:t>
      </w:r>
      <w:r w:rsidRPr="002F579B">
        <w:t xml:space="preserve">years of age who are registered with </w:t>
      </w:r>
      <w:r w:rsidR="00A663F4">
        <w:t>DHS</w:t>
      </w:r>
      <w:r w:rsidR="002D7882" w:rsidRPr="002D7882">
        <w:t xml:space="preserve"> Medicare</w:t>
      </w:r>
      <w:r w:rsidR="006022D9">
        <w:t>. By the age of 12 </w:t>
      </w:r>
      <w:r w:rsidRPr="002F579B">
        <w:t xml:space="preserve">months, over </w:t>
      </w:r>
      <w:r w:rsidRPr="00DB448C">
        <w:t>98</w:t>
      </w:r>
      <w:r w:rsidR="006022D9">
        <w:t> </w:t>
      </w:r>
      <w:r w:rsidRPr="00DB448C">
        <w:t>per</w:t>
      </w:r>
      <w:r w:rsidR="006022D9">
        <w:t> </w:t>
      </w:r>
      <w:r w:rsidRPr="00DB448C">
        <w:t>cent</w:t>
      </w:r>
      <w:r w:rsidRPr="002F579B">
        <w:t xml:space="preserve"> of Australian children have been registered with </w:t>
      </w:r>
      <w:r w:rsidR="00A663F4">
        <w:t>DHS</w:t>
      </w:r>
      <w:r w:rsidR="002D7882" w:rsidRPr="002D7882">
        <w:t xml:space="preserve"> Medicare </w:t>
      </w:r>
      <w:r w:rsidRPr="002F579B">
        <w:t>(NCIRS</w:t>
      </w:r>
      <w:r w:rsidR="006022D9">
        <w:t> </w:t>
      </w:r>
      <w:r w:rsidRPr="002F579B">
        <w:t xml:space="preserve">2000). </w:t>
      </w:r>
      <w:r w:rsidRPr="002F579B">
        <w:rPr>
          <w:rStyle w:val="NoteLabel"/>
        </w:rPr>
        <w:t>c</w:t>
      </w:r>
      <w:r w:rsidRPr="002F579B">
        <w:t xml:space="preserve"> There may be some under-reporting by providers, so vaccination coverage estimates calculated using ACIR data are </w:t>
      </w:r>
      <w:r w:rsidRPr="00523930">
        <w:t>considered minimum estimates (NCIRS</w:t>
      </w:r>
      <w:r w:rsidR="006022D9">
        <w:t> </w:t>
      </w:r>
      <w:r w:rsidRPr="00523930">
        <w:t>2000).</w:t>
      </w:r>
    </w:p>
    <w:p w:rsidR="002F579B" w:rsidRPr="002F579B" w:rsidRDefault="002F579B">
      <w:pPr>
        <w:pStyle w:val="Source"/>
      </w:pPr>
      <w:r w:rsidRPr="00523930">
        <w:rPr>
          <w:i/>
        </w:rPr>
        <w:t>Source</w:t>
      </w:r>
      <w:r w:rsidRPr="00523930">
        <w:t xml:space="preserve">: </w:t>
      </w:r>
      <w:r w:rsidR="00B513D7">
        <w:t>Department of Health</w:t>
      </w:r>
      <w:r w:rsidRPr="00523930">
        <w:t xml:space="preserve"> (unpublished)</w:t>
      </w:r>
      <w:r w:rsidR="00E91C91" w:rsidRPr="00523930">
        <w:t xml:space="preserve"> ACIR</w:t>
      </w:r>
      <w:r w:rsidR="00DA083E">
        <w:t xml:space="preserve"> </w:t>
      </w:r>
      <w:r w:rsidR="000E05F2">
        <w:t xml:space="preserve">data </w:t>
      </w:r>
      <w:r w:rsidR="00DA083E" w:rsidRPr="006C74C6">
        <w:t>collection</w:t>
      </w:r>
      <w:r w:rsidR="006022D9" w:rsidRPr="006C74C6">
        <w:t>; table </w:t>
      </w:r>
      <w:r w:rsidR="00852217">
        <w:t>11A.7</w:t>
      </w:r>
      <w:r w:rsidR="000A2E3B">
        <w:t>8</w:t>
      </w:r>
      <w:r w:rsidRPr="006C74C6">
        <w:t>.</w:t>
      </w:r>
    </w:p>
    <w:p w:rsidR="00D52968" w:rsidRPr="00200C93" w:rsidRDefault="00BF5961" w:rsidP="00944E91">
      <w:pPr>
        <w:pStyle w:val="BodyText"/>
      </w:pPr>
      <w:r w:rsidRPr="00B8039E">
        <w:t>Nationally</w:t>
      </w:r>
      <w:r w:rsidRPr="001F33E7">
        <w:t xml:space="preserve">, </w:t>
      </w:r>
      <w:r w:rsidR="00A343A2" w:rsidRPr="001F33E7">
        <w:t>91.5</w:t>
      </w:r>
      <w:r w:rsidR="00A343A2" w:rsidRPr="00B8039E">
        <w:t xml:space="preserve"> per cent </w:t>
      </w:r>
      <w:r w:rsidR="00466C72">
        <w:t xml:space="preserve">of </w:t>
      </w:r>
      <w:r w:rsidR="00466C72" w:rsidRPr="00B8039E">
        <w:t xml:space="preserve">Australian </w:t>
      </w:r>
      <w:r w:rsidR="00466C72" w:rsidRPr="00466C72">
        <w:t>children</w:t>
      </w:r>
      <w:r w:rsidR="00466C72">
        <w:t xml:space="preserve"> </w:t>
      </w:r>
      <w:r w:rsidR="00A343A2">
        <w:t>aged</w:t>
      </w:r>
      <w:r w:rsidR="00466C72">
        <w:t xml:space="preserve"> 60 months to less than 63 </w:t>
      </w:r>
      <w:r w:rsidR="00466C72" w:rsidRPr="00466C72">
        <w:t>months</w:t>
      </w:r>
      <w:r w:rsidR="00466C72">
        <w:t xml:space="preserve"> </w:t>
      </w:r>
      <w:r w:rsidR="00A343A2">
        <w:t xml:space="preserve">were </w:t>
      </w:r>
      <w:r w:rsidR="00466C72">
        <w:t xml:space="preserve">assessed as fully immunised </w:t>
      </w:r>
      <w:r w:rsidR="00A343A2">
        <w:t>in 2012-</w:t>
      </w:r>
      <w:r w:rsidR="00DB4071" w:rsidRPr="00B8039E">
        <w:t>1</w:t>
      </w:r>
      <w:r w:rsidR="007D68D4">
        <w:t>3</w:t>
      </w:r>
      <w:r w:rsidR="00D52968" w:rsidRPr="00B8039E">
        <w:t xml:space="preserve"> (figure 11.</w:t>
      </w:r>
      <w:r w:rsidR="00C3690E">
        <w:t>4</w:t>
      </w:r>
      <w:r w:rsidR="00CA25A8">
        <w:t>2</w:t>
      </w:r>
      <w:r w:rsidR="00B8039E" w:rsidRPr="00B8039E">
        <w:t>).</w:t>
      </w:r>
    </w:p>
    <w:p w:rsidR="00AF5DE4" w:rsidRDefault="00AF5DE4">
      <w:pPr>
        <w:pStyle w:val="FigureTitle"/>
      </w:pPr>
      <w:r>
        <w:rPr>
          <w:b w:val="0"/>
        </w:rPr>
        <w:lastRenderedPageBreak/>
        <w:t xml:space="preserve">Figure </w:t>
      </w:r>
      <w:r w:rsidR="00EC42DB">
        <w:rPr>
          <w:b w:val="0"/>
        </w:rPr>
        <w:t>11.</w:t>
      </w:r>
      <w:r w:rsidR="00CA25A8">
        <w:rPr>
          <w:b w:val="0"/>
        </w:rPr>
        <w:t>42</w:t>
      </w:r>
      <w:r>
        <w:tab/>
      </w:r>
      <w:r w:rsidRPr="00D52968">
        <w:t xml:space="preserve">Children aged </w:t>
      </w:r>
      <w:r>
        <w:t>60</w:t>
      </w:r>
      <w:r w:rsidRPr="00D52968">
        <w:t xml:space="preserve"> months to less than </w:t>
      </w:r>
      <w:r>
        <w:t>63</w:t>
      </w:r>
      <w:r w:rsidRPr="00D52968">
        <w:t xml:space="preserve"> months who were</w:t>
      </w:r>
      <w:r w:rsidR="00D179A9">
        <w:br/>
      </w:r>
      <w:r w:rsidRPr="00D52968">
        <w:t>fully immunised</w:t>
      </w:r>
      <w:r w:rsidRPr="00D52968">
        <w:rPr>
          <w:rStyle w:val="NoteLabel"/>
          <w:b/>
        </w:rPr>
        <w:t>a</w:t>
      </w:r>
      <w:r w:rsidR="00B37CBC" w:rsidRPr="002F579B">
        <w:rPr>
          <w:rStyle w:val="NoteLabel"/>
          <w:b/>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F5DE4">
        <w:tc>
          <w:tcPr>
            <w:tcW w:w="8777" w:type="dxa"/>
          </w:tcPr>
          <w:p w:rsidR="00AF5DE4" w:rsidRDefault="00FF6757">
            <w:pPr>
              <w:pStyle w:val="Figure"/>
            </w:pPr>
            <w:r>
              <w:rPr>
                <w:noProof/>
              </w:rPr>
              <w:drawing>
                <wp:inline distT="0" distB="0" distL="0" distR="0">
                  <wp:extent cx="5389880" cy="2710815"/>
                  <wp:effectExtent l="0" t="0" r="1270" b="0"/>
                  <wp:docPr id="50" name="Picture 50" descr="Figure 11.42 Children aged 60 months to less than 63 months who were fully immunis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390DE8" w:rsidRPr="00944E91" w:rsidRDefault="00BF5961" w:rsidP="007634B9">
      <w:pPr>
        <w:pStyle w:val="Note"/>
      </w:pPr>
      <w:r>
        <w:rPr>
          <w:rStyle w:val="NoteLabel"/>
        </w:rPr>
        <w:t>a</w:t>
      </w:r>
      <w:r w:rsidRPr="002F579B">
        <w:t xml:space="preserve"> Coverage </w:t>
      </w:r>
      <w:r w:rsidR="00066B28">
        <w:t xml:space="preserve">for years to 2012 </w:t>
      </w:r>
      <w:r w:rsidRPr="002F579B">
        <w:t>measured at 30</w:t>
      </w:r>
      <w:r>
        <w:t> </w:t>
      </w:r>
      <w:r w:rsidRPr="002F579B">
        <w:t>June for children</w:t>
      </w:r>
      <w:r>
        <w:t xml:space="preserve"> turning 60 months of age by 31 </w:t>
      </w:r>
      <w:r w:rsidRPr="002F579B">
        <w:t xml:space="preserve">March, by State or Territory in which the child </w:t>
      </w:r>
      <w:r w:rsidR="00563886">
        <w:t>resided</w:t>
      </w:r>
      <w:r w:rsidRPr="002F579B">
        <w:t xml:space="preserve">. </w:t>
      </w:r>
      <w:r w:rsidR="00066B28">
        <w:t xml:space="preserve">For 2013, data include all  children aged 60 to 63 months of age fully vaccinated in the 2012-13 financial year. </w:t>
      </w:r>
      <w:r w:rsidRPr="002F579B">
        <w:rPr>
          <w:rStyle w:val="NoteLabel"/>
        </w:rPr>
        <w:t>b</w:t>
      </w:r>
      <w:r>
        <w:t xml:space="preserve"> </w:t>
      </w:r>
      <w:r w:rsidRPr="002F579B">
        <w:t>The ACIR includes all children under 7</w:t>
      </w:r>
      <w:r>
        <w:t> </w:t>
      </w:r>
      <w:r w:rsidRPr="002F579B">
        <w:t xml:space="preserve">years of age who are registered with </w:t>
      </w:r>
      <w:r w:rsidR="00A663F4">
        <w:t>DHS</w:t>
      </w:r>
      <w:r w:rsidR="002D7882" w:rsidRPr="002D7882">
        <w:t xml:space="preserve"> Medicare</w:t>
      </w:r>
      <w:r>
        <w:t>. By the age of 12 </w:t>
      </w:r>
      <w:r w:rsidRPr="002F579B">
        <w:t xml:space="preserve">months, over </w:t>
      </w:r>
      <w:r w:rsidRPr="00DB448C">
        <w:t>98</w:t>
      </w:r>
      <w:r>
        <w:t> </w:t>
      </w:r>
      <w:r w:rsidRPr="00DB448C">
        <w:t>per</w:t>
      </w:r>
      <w:r>
        <w:t> </w:t>
      </w:r>
      <w:r w:rsidRPr="00DB448C">
        <w:t>cent</w:t>
      </w:r>
      <w:r w:rsidRPr="002F579B">
        <w:t xml:space="preserve"> of Australian children have been registered with </w:t>
      </w:r>
      <w:r w:rsidR="002D7882" w:rsidRPr="002D7882">
        <w:t xml:space="preserve">DHS Medicare </w:t>
      </w:r>
      <w:r w:rsidRPr="002F579B">
        <w:t>(NCIRS</w:t>
      </w:r>
      <w:r>
        <w:t> </w:t>
      </w:r>
      <w:r w:rsidRPr="002F579B">
        <w:t xml:space="preserve">2000). </w:t>
      </w:r>
      <w:r w:rsidRPr="002F579B">
        <w:rPr>
          <w:rStyle w:val="NoteLabel"/>
        </w:rPr>
        <w:t>c</w:t>
      </w:r>
      <w:r w:rsidRPr="002F579B">
        <w:t xml:space="preserve"> There may be some under-reporting by providers, so vaccination coverage estimates calculated using ACIR data are </w:t>
      </w:r>
      <w:r w:rsidRPr="00523930">
        <w:t>considered minimum estimates (NCIRS</w:t>
      </w:r>
      <w:r>
        <w:t> </w:t>
      </w:r>
      <w:r w:rsidRPr="00177168">
        <w:t>2000).</w:t>
      </w:r>
    </w:p>
    <w:p w:rsidR="00D52968" w:rsidRPr="007644A0" w:rsidRDefault="00D52968" w:rsidP="00390DE8">
      <w:pPr>
        <w:pStyle w:val="Note"/>
        <w:keepNext/>
      </w:pPr>
      <w:r w:rsidRPr="00BF5961">
        <w:rPr>
          <w:i/>
        </w:rPr>
        <w:t>Source</w:t>
      </w:r>
      <w:r w:rsidRPr="00523930">
        <w:t xml:space="preserve">: </w:t>
      </w:r>
      <w:r w:rsidR="00B513D7">
        <w:t>Department of Health</w:t>
      </w:r>
      <w:r w:rsidRPr="00523930">
        <w:t xml:space="preserve"> (unpublished) ACIR</w:t>
      </w:r>
      <w:r w:rsidR="00A063C0">
        <w:t xml:space="preserve"> data collection; table </w:t>
      </w:r>
      <w:r w:rsidR="00BE6366">
        <w:t>11A.7</w:t>
      </w:r>
      <w:r w:rsidR="000A2E3B">
        <w:t>9</w:t>
      </w:r>
      <w:r w:rsidR="00A063C0" w:rsidRPr="006C74C6">
        <w:t>.</w:t>
      </w:r>
    </w:p>
    <w:p w:rsidR="002F579B" w:rsidRDefault="002F579B" w:rsidP="00A87DEE">
      <w:pPr>
        <w:pStyle w:val="Heading5"/>
        <w:spacing w:before="400"/>
      </w:pPr>
      <w:r w:rsidRPr="002F579B">
        <w:t>Notifications of selected childhood diseases</w:t>
      </w:r>
    </w:p>
    <w:p w:rsidR="00B161DC" w:rsidRPr="00200C93" w:rsidRDefault="00F43A55" w:rsidP="00944E91">
      <w:pPr>
        <w:pStyle w:val="BodyText"/>
      </w:pPr>
      <w:r>
        <w:t>‘</w:t>
      </w:r>
      <w:r w:rsidRPr="00F43A55">
        <w:t>Notifications of selected childhood diseases</w:t>
      </w:r>
      <w:r>
        <w:t>’ is an indicator of governments’ objective to improve population health outcomes through the prevention</w:t>
      </w:r>
      <w:r w:rsidR="007042C3">
        <w:t xml:space="preserve"> of</w:t>
      </w:r>
      <w:r>
        <w:t xml:space="preserve"> </w:t>
      </w:r>
      <w:r w:rsidR="007042C3" w:rsidRPr="007042C3">
        <w:t xml:space="preserve">selected </w:t>
      </w:r>
      <w:r w:rsidR="00222223" w:rsidRPr="007042C3">
        <w:t xml:space="preserve">vaccine preventable </w:t>
      </w:r>
      <w:r w:rsidR="007042C3" w:rsidRPr="007042C3">
        <w:t>childhood diseases</w:t>
      </w:r>
      <w:r w:rsidR="006304E0">
        <w:t xml:space="preserve"> (</w:t>
      </w:r>
      <w:smartTag w:uri="urn:schemas-microsoft-com:office:smarttags" w:element="address">
        <w:smartTag w:uri="urn:schemas-microsoft-com:office:smarttags" w:element="Street">
          <w:r w:rsidR="006304E0">
            <w:t>box</w:t>
          </w:r>
        </w:smartTag>
        <w:r w:rsidR="006022D9">
          <w:t> </w:t>
        </w:r>
        <w:r w:rsidR="00445562" w:rsidRPr="00F61EC4">
          <w:t>11.2</w:t>
        </w:r>
        <w:r w:rsidR="00F61EC4" w:rsidRPr="00F61EC4">
          <w:t>0</w:t>
        </w:r>
      </w:smartTag>
      <w:r w:rsidR="006304E0" w:rsidRPr="008E4541">
        <w:t>)</w:t>
      </w:r>
      <w:r w:rsidRPr="008E4541">
        <w:t>.</w:t>
      </w:r>
    </w:p>
    <w:p w:rsidR="002F579B" w:rsidRDefault="002F579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F579B" w:rsidTr="00E04CA6">
        <w:tc>
          <w:tcPr>
            <w:tcW w:w="8771" w:type="dxa"/>
            <w:tcBorders>
              <w:top w:val="single" w:sz="6" w:space="0" w:color="auto"/>
              <w:bottom w:val="nil"/>
            </w:tcBorders>
          </w:tcPr>
          <w:p w:rsidR="002F579B" w:rsidRPr="002F579B" w:rsidRDefault="002F579B">
            <w:pPr>
              <w:pStyle w:val="BoxTitle"/>
            </w:pPr>
            <w:smartTag w:uri="urn:schemas-microsoft-com:office:smarttags" w:element="Street">
              <w:r>
                <w:rPr>
                  <w:b w:val="0"/>
                </w:rPr>
                <w:t>Box</w:t>
              </w:r>
            </w:smartTag>
            <w:r>
              <w:rPr>
                <w:b w:val="0"/>
              </w:rPr>
              <w:t xml:space="preserve"> </w:t>
            </w:r>
            <w:bookmarkStart w:id="60" w:name="OLE_LINK63"/>
            <w:r w:rsidR="00EC42DB">
              <w:rPr>
                <w:b w:val="0"/>
              </w:rPr>
              <w:t>11.</w:t>
            </w:r>
            <w:r w:rsidR="00C44281">
              <w:rPr>
                <w:b w:val="0"/>
                <w:noProof/>
              </w:rPr>
              <w:t>20</w:t>
            </w:r>
            <w:bookmarkEnd w:id="60"/>
            <w:r>
              <w:tab/>
            </w:r>
            <w:r w:rsidRPr="002F579B">
              <w:t>Notifications of selected childhood diseases</w:t>
            </w:r>
          </w:p>
        </w:tc>
      </w:tr>
      <w:tr w:rsidR="002F579B">
        <w:trPr>
          <w:cantSplit/>
        </w:trPr>
        <w:tc>
          <w:tcPr>
            <w:tcW w:w="8771" w:type="dxa"/>
            <w:tcBorders>
              <w:top w:val="nil"/>
              <w:left w:val="single" w:sz="6" w:space="0" w:color="auto"/>
              <w:bottom w:val="nil"/>
              <w:right w:val="single" w:sz="6" w:space="0" w:color="auto"/>
            </w:tcBorders>
          </w:tcPr>
          <w:p w:rsidR="0089594F" w:rsidRDefault="00F2021D" w:rsidP="00370694">
            <w:pPr>
              <w:pStyle w:val="Box"/>
            </w:pPr>
            <w:r w:rsidRPr="00F2021D">
              <w:t xml:space="preserve">‘Notifications of selected childhood diseases’ </w:t>
            </w:r>
            <w:r w:rsidR="002F579B">
              <w:t xml:space="preserve">is defined as the number of notifications </w:t>
            </w:r>
            <w:r w:rsidR="008A1890" w:rsidRPr="008A1890">
              <w:t>of measles, pertussis and</w:t>
            </w:r>
            <w:r w:rsidR="00782CE8">
              <w:t xml:space="preserve"> </w:t>
            </w:r>
            <w:r w:rsidR="00782CE8" w:rsidRPr="006E5535">
              <w:t>invasive</w:t>
            </w:r>
            <w:r w:rsidR="008A1890" w:rsidRPr="008A1890">
              <w:t xml:space="preserve"> </w:t>
            </w:r>
            <w:r w:rsidR="008A1890" w:rsidRPr="008A1890">
              <w:rPr>
                <w:i/>
              </w:rPr>
              <w:t>Haemophilus influenzae</w:t>
            </w:r>
            <w:r w:rsidR="008A1890" w:rsidRPr="008A1890">
              <w:t xml:space="preserve"> type b reported to the National Notifiable Diseases Surveillance System </w:t>
            </w:r>
            <w:r w:rsidR="008A1890">
              <w:t xml:space="preserve">(NNDSS) </w:t>
            </w:r>
            <w:r w:rsidR="008A1890" w:rsidRPr="008A1890">
              <w:t xml:space="preserve">by </w:t>
            </w:r>
            <w:r w:rsidR="008A1890">
              <w:t>S</w:t>
            </w:r>
            <w:r w:rsidR="008A1890" w:rsidRPr="008A1890">
              <w:t xml:space="preserve">tate and </w:t>
            </w:r>
            <w:r w:rsidR="008A1890">
              <w:t>T</w:t>
            </w:r>
            <w:r w:rsidR="008A1890" w:rsidRPr="008A1890">
              <w:t>erritory health authorities</w:t>
            </w:r>
            <w:r w:rsidR="008A1890">
              <w:t xml:space="preserve"> </w:t>
            </w:r>
            <w:r w:rsidR="002F579B">
              <w:t>f</w:t>
            </w:r>
            <w:r w:rsidR="006022D9">
              <w:t>or children aged 0–14 years</w:t>
            </w:r>
            <w:r w:rsidR="008A1890">
              <w:t>,</w:t>
            </w:r>
            <w:r w:rsidR="006022D9">
              <w:t xml:space="preserve"> per </w:t>
            </w:r>
            <w:r w:rsidR="002F579B">
              <w:t>100</w:t>
            </w:r>
            <w:r w:rsidR="006022D9">
              <w:t> </w:t>
            </w:r>
            <w:r w:rsidR="0089594F">
              <w:t>000 children in that age group.</w:t>
            </w:r>
          </w:p>
          <w:p w:rsidR="0027351B" w:rsidRDefault="000E7DA7" w:rsidP="000E7DA7">
            <w:pPr>
              <w:pStyle w:val="Continued"/>
            </w:pPr>
            <w:r>
              <w:t>(Continued next page)</w:t>
            </w:r>
          </w:p>
        </w:tc>
      </w:tr>
      <w:tr w:rsidR="002F579B" w:rsidTr="00E04CA6">
        <w:trPr>
          <w:cantSplit/>
        </w:trPr>
        <w:tc>
          <w:tcPr>
            <w:tcW w:w="8771" w:type="dxa"/>
            <w:tcBorders>
              <w:top w:val="nil"/>
              <w:left w:val="single" w:sz="6" w:space="0" w:color="auto"/>
              <w:bottom w:val="single" w:sz="6" w:space="0" w:color="auto"/>
              <w:right w:val="single" w:sz="6" w:space="0" w:color="auto"/>
            </w:tcBorders>
          </w:tcPr>
          <w:p w:rsidR="002F579B" w:rsidRDefault="002F579B">
            <w:pPr>
              <w:pStyle w:val="Box"/>
              <w:spacing w:before="0" w:line="120" w:lineRule="exact"/>
            </w:pPr>
          </w:p>
        </w:tc>
      </w:tr>
      <w:tr w:rsidR="002F579B" w:rsidTr="00E04CA6">
        <w:tc>
          <w:tcPr>
            <w:tcW w:w="8771" w:type="dxa"/>
            <w:tcBorders>
              <w:top w:val="single" w:sz="6" w:space="0" w:color="auto"/>
              <w:left w:val="nil"/>
              <w:bottom w:val="nil"/>
              <w:right w:val="nil"/>
            </w:tcBorders>
          </w:tcPr>
          <w:p w:rsidR="002F579B" w:rsidRPr="00A87DEE" w:rsidRDefault="002F579B" w:rsidP="00A87DEE">
            <w:pPr>
              <w:pStyle w:val="Box"/>
              <w:keepNext w:val="0"/>
              <w:spacing w:before="0" w:line="80" w:lineRule="exact"/>
              <w:rPr>
                <w:b/>
                <w:color w:val="FF00FF"/>
                <w:sz w:val="2"/>
                <w:szCs w:val="2"/>
              </w:rPr>
            </w:pPr>
          </w:p>
        </w:tc>
      </w:tr>
    </w:tbl>
    <w:p w:rsidR="000E7DA7" w:rsidRDefault="000E7D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E7DA7">
        <w:tc>
          <w:tcPr>
            <w:tcW w:w="8771" w:type="dxa"/>
            <w:tcBorders>
              <w:top w:val="single" w:sz="6" w:space="0" w:color="auto"/>
              <w:bottom w:val="nil"/>
            </w:tcBorders>
          </w:tcPr>
          <w:p w:rsidR="000E7DA7" w:rsidRDefault="000E7DA7" w:rsidP="000E7DA7">
            <w:pPr>
              <w:pStyle w:val="BoxTitle"/>
            </w:pPr>
            <w:r>
              <w:rPr>
                <w:b w:val="0"/>
              </w:rPr>
              <w:t>Box 11.20</w:t>
            </w:r>
            <w:r>
              <w:tab/>
            </w:r>
            <w:r w:rsidRPr="002006A3">
              <w:rPr>
                <w:sz w:val="18"/>
                <w:szCs w:val="18"/>
              </w:rPr>
              <w:t>(Continued)</w:t>
            </w:r>
          </w:p>
        </w:tc>
      </w:tr>
      <w:tr w:rsidR="000E7DA7">
        <w:trPr>
          <w:cantSplit/>
        </w:trPr>
        <w:tc>
          <w:tcPr>
            <w:tcW w:w="8771" w:type="dxa"/>
            <w:tcBorders>
              <w:top w:val="nil"/>
              <w:left w:val="single" w:sz="6" w:space="0" w:color="auto"/>
              <w:bottom w:val="nil"/>
              <w:right w:val="single" w:sz="6" w:space="0" w:color="auto"/>
            </w:tcBorders>
          </w:tcPr>
          <w:p w:rsidR="000E7DA7" w:rsidRDefault="000E7DA7" w:rsidP="000E7DA7">
            <w:pPr>
              <w:pStyle w:val="Box"/>
            </w:pPr>
            <w:r>
              <w:t xml:space="preserve">A low or reducing notification rate for the selected diseases indicates that the immunisation program is more effective. </w:t>
            </w:r>
            <w:r w:rsidRPr="0089594F">
              <w:t xml:space="preserve">Measles, pertussis (whooping cough) and </w:t>
            </w:r>
            <w:r w:rsidRPr="006E5535">
              <w:t>invasive</w:t>
            </w:r>
            <w:r w:rsidRPr="008A1890">
              <w:t xml:space="preserve"> </w:t>
            </w:r>
            <w:r w:rsidRPr="0089594F">
              <w:rPr>
                <w:i/>
              </w:rPr>
              <w:t>Haemophilus influenzae</w:t>
            </w:r>
            <w:r w:rsidRPr="0089594F">
              <w:t xml:space="preserve"> type b are nationally notifiable vaccine preventable diseases</w:t>
            </w:r>
            <w:r>
              <w:t>.</w:t>
            </w:r>
            <w:r w:rsidRPr="0089594F">
              <w:t xml:space="preserve"> </w:t>
            </w:r>
            <w:r>
              <w:t>Notification of</w:t>
            </w:r>
            <w:r w:rsidRPr="0089594F">
              <w:t xml:space="preserve"> the relevant State or Territory authority </w:t>
            </w:r>
            <w:r>
              <w:t xml:space="preserve">is required when </w:t>
            </w:r>
            <w:r w:rsidRPr="0089594F">
              <w:t>a nationally notifiable disease</w:t>
            </w:r>
            <w:r>
              <w:t xml:space="preserve"> is diagnosed</w:t>
            </w:r>
            <w:r w:rsidRPr="0089594F">
              <w:t xml:space="preserve">. </w:t>
            </w:r>
            <w:r w:rsidRPr="000B3C32">
              <w:t>The debilitating effects of these diseases can be long term or even life threatening. The complications from measles, for example, can include pneum</w:t>
            </w:r>
            <w:r>
              <w:t>onia, which occurs in 1 in 25 </w:t>
            </w:r>
            <w:r w:rsidRPr="000B3C32">
              <w:t xml:space="preserve">cases. The activities of GPs and community health services can reduce the prevalence of these diseases </w:t>
            </w:r>
            <w:r w:rsidR="00C21F7B" w:rsidRPr="000B3C32">
              <w:t>(and conseq</w:t>
            </w:r>
            <w:r w:rsidR="00C21F7B">
              <w:t xml:space="preserve">uently the notification rates) </w:t>
            </w:r>
            <w:r w:rsidRPr="000B3C32">
              <w:t>through immunisation</w:t>
            </w:r>
            <w:r>
              <w:t>.</w:t>
            </w:r>
          </w:p>
          <w:p w:rsidR="006C5E9C" w:rsidRDefault="006C5E9C" w:rsidP="006C5E9C">
            <w:pPr>
              <w:pStyle w:val="Box"/>
            </w:pPr>
            <w:r>
              <w:t>Data reported against this indicator are:</w:t>
            </w:r>
          </w:p>
          <w:p w:rsidR="006C5E9C" w:rsidRDefault="006C5E9C" w:rsidP="006C5E9C">
            <w:pPr>
              <w:pStyle w:val="BoxListBullet"/>
            </w:pPr>
            <w:r>
              <w:t>comparable (subject to caveats) across jurisdictions and over time</w:t>
            </w:r>
          </w:p>
          <w:p w:rsidR="000E7DA7" w:rsidRDefault="006C5E9C" w:rsidP="006C5E9C">
            <w:pPr>
              <w:pStyle w:val="BoxListBullet"/>
            </w:pPr>
            <w:r>
              <w:t>complete (subject to caveats) for the current reporting period. All required 2012</w:t>
            </w:r>
            <w:r>
              <w:noBreakHyphen/>
              <w:t>13 data are available for all jurisdictions.</w:t>
            </w:r>
          </w:p>
          <w:p w:rsidR="000E7DA7" w:rsidRDefault="000E7DA7" w:rsidP="000E7DA7">
            <w:pPr>
              <w:pStyle w:val="Box"/>
            </w:pPr>
            <w:r w:rsidRPr="0027351B">
              <w:t>Data quality information for this indicator is under deve</w:t>
            </w:r>
            <w:r>
              <w:t>lopment.</w:t>
            </w:r>
          </w:p>
        </w:tc>
      </w:tr>
      <w:tr w:rsidR="000E7DA7">
        <w:trPr>
          <w:cantSplit/>
        </w:trPr>
        <w:tc>
          <w:tcPr>
            <w:tcW w:w="8771" w:type="dxa"/>
            <w:tcBorders>
              <w:top w:val="nil"/>
              <w:left w:val="single" w:sz="6" w:space="0" w:color="auto"/>
              <w:bottom w:val="single" w:sz="6" w:space="0" w:color="auto"/>
              <w:right w:val="single" w:sz="6" w:space="0" w:color="auto"/>
            </w:tcBorders>
          </w:tcPr>
          <w:p w:rsidR="000E7DA7" w:rsidRDefault="000E7DA7">
            <w:pPr>
              <w:pStyle w:val="Box"/>
              <w:spacing w:before="0" w:line="120" w:lineRule="exact"/>
            </w:pPr>
          </w:p>
        </w:tc>
      </w:tr>
      <w:tr w:rsidR="000E7DA7" w:rsidRPr="000863A5">
        <w:tc>
          <w:tcPr>
            <w:tcW w:w="8771" w:type="dxa"/>
            <w:tcBorders>
              <w:top w:val="nil"/>
              <w:left w:val="nil"/>
              <w:bottom w:val="nil"/>
              <w:right w:val="nil"/>
            </w:tcBorders>
          </w:tcPr>
          <w:p w:rsidR="000E7DA7" w:rsidRPr="000863A5" w:rsidRDefault="000E7DA7" w:rsidP="00530BA7">
            <w:pPr>
              <w:pStyle w:val="Box"/>
              <w:keepNext w:val="0"/>
              <w:spacing w:before="60" w:after="60" w:line="80" w:lineRule="exact"/>
              <w:rPr>
                <w:b/>
                <w:sz w:val="14"/>
              </w:rPr>
            </w:pPr>
          </w:p>
        </w:tc>
      </w:tr>
    </w:tbl>
    <w:p w:rsidR="00E323B8" w:rsidRPr="00C14146" w:rsidRDefault="00D626EA" w:rsidP="00C14146">
      <w:pPr>
        <w:pStyle w:val="BodyText"/>
        <w:rPr>
          <w:rStyle w:val="DraftingNote"/>
          <w:b w:val="0"/>
          <w:color w:val="auto"/>
          <w:sz w:val="26"/>
          <w:u w:val="none"/>
        </w:rPr>
      </w:pPr>
      <w:r w:rsidRPr="00E54676">
        <w:t xml:space="preserve">Nationally, there were 94 notifications </w:t>
      </w:r>
      <w:r w:rsidR="005C6F9D" w:rsidRPr="00E54676">
        <w:t>for measles for children aged 0–14 years in  2012-13</w:t>
      </w:r>
      <w:r w:rsidR="00E54676">
        <w:t xml:space="preserve"> </w:t>
      </w:r>
      <w:r w:rsidR="00E54676" w:rsidRPr="00E54676">
        <w:t>—</w:t>
      </w:r>
      <w:r w:rsidR="00E54676">
        <w:t xml:space="preserve"> a rate of </w:t>
      </w:r>
      <w:r w:rsidR="00E54676" w:rsidRPr="00E54676">
        <w:t>2.2 notifications per 100 000 children</w:t>
      </w:r>
      <w:r w:rsidR="00E54676">
        <w:t xml:space="preserve"> </w:t>
      </w:r>
      <w:r w:rsidR="00E54676" w:rsidRPr="00E54676">
        <w:t xml:space="preserve">aged 0–14 years </w:t>
      </w:r>
      <w:r w:rsidR="00C3690E">
        <w:t>(figure 11.4</w:t>
      </w:r>
      <w:r w:rsidR="00CA25A8">
        <w:t>3</w:t>
      </w:r>
      <w:r w:rsidR="005C6F9D" w:rsidRPr="00E54676">
        <w:t xml:space="preserve">). </w:t>
      </w:r>
      <w:r w:rsidRPr="00E54676">
        <w:t>Th</w:t>
      </w:r>
      <w:r w:rsidR="00E54676">
        <w:t>is was the higher than for any other year</w:t>
      </w:r>
      <w:r w:rsidRPr="00E54676">
        <w:t xml:space="preserve"> in the period 200</w:t>
      </w:r>
      <w:r w:rsidR="00E54676">
        <w:t>8</w:t>
      </w:r>
      <w:r w:rsidRPr="00E54676">
        <w:t>-0</w:t>
      </w:r>
      <w:r w:rsidR="00E54676">
        <w:t>9 to 2012</w:t>
      </w:r>
      <w:r w:rsidR="00E54676">
        <w:noBreakHyphen/>
        <w:t>13 (table 11A.</w:t>
      </w:r>
      <w:r w:rsidR="000A2E3B">
        <w:t>80</w:t>
      </w:r>
      <w:r w:rsidR="00E54676">
        <w:t>).</w:t>
      </w:r>
    </w:p>
    <w:p w:rsidR="002F579B" w:rsidRDefault="002F579B" w:rsidP="00DE70EA">
      <w:pPr>
        <w:pStyle w:val="FigureTitle"/>
        <w:spacing w:before="300"/>
        <w:ind w:left="1559" w:hanging="1559"/>
      </w:pPr>
      <w:r>
        <w:rPr>
          <w:b w:val="0"/>
        </w:rPr>
        <w:t xml:space="preserve">Figure </w:t>
      </w:r>
      <w:bookmarkStart w:id="61" w:name="OLE_LINK46"/>
      <w:r w:rsidR="00EC42DB">
        <w:rPr>
          <w:b w:val="0"/>
        </w:rPr>
        <w:t>11.</w:t>
      </w:r>
      <w:r w:rsidR="00C44281">
        <w:rPr>
          <w:b w:val="0"/>
          <w:noProof/>
        </w:rPr>
        <w:t>4</w:t>
      </w:r>
      <w:bookmarkEnd w:id="61"/>
      <w:r w:rsidR="00CA25A8">
        <w:rPr>
          <w:b w:val="0"/>
          <w:noProof/>
        </w:rPr>
        <w:t>3</w:t>
      </w:r>
      <w:r>
        <w:tab/>
        <w:t xml:space="preserve">Notifications of measles per 100 000 children aged </w:t>
      </w:r>
      <w:r w:rsidR="00AC6D6C">
        <w:br/>
      </w:r>
      <w:r>
        <w:t>0–14 years</w:t>
      </w:r>
      <w:r w:rsidR="008574F2">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F579B">
        <w:tc>
          <w:tcPr>
            <w:tcW w:w="8777" w:type="dxa"/>
          </w:tcPr>
          <w:p w:rsidR="002F579B" w:rsidRDefault="00FF6757">
            <w:pPr>
              <w:pStyle w:val="Figure"/>
            </w:pPr>
            <w:r>
              <w:rPr>
                <w:noProof/>
              </w:rPr>
              <w:drawing>
                <wp:inline distT="0" distB="0" distL="0" distR="0">
                  <wp:extent cx="5368290" cy="2710815"/>
                  <wp:effectExtent l="0" t="0" r="3810" b="0"/>
                  <wp:docPr id="51" name="Picture 51" descr="Figure 11.43 Notifications of measles per 100 000 children aged &#10;0–1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2F579B" w:rsidRPr="00C14146" w:rsidRDefault="002F579B" w:rsidP="006E5535">
      <w:pPr>
        <w:pStyle w:val="Note"/>
        <w:keepNext/>
      </w:pPr>
      <w:r>
        <w:rPr>
          <w:rStyle w:val="NoteLabel"/>
        </w:rPr>
        <w:t>a</w:t>
      </w:r>
      <w:r>
        <w:sym w:font="Symbol" w:char="F020"/>
      </w:r>
      <w:r w:rsidR="0047221D">
        <w:t>Data are suppressed w</w:t>
      </w:r>
      <w:r w:rsidR="008574F2" w:rsidRPr="00596D47">
        <w:t>here</w:t>
      </w:r>
      <w:r w:rsidR="0047221D">
        <w:t xml:space="preserve"> the</w:t>
      </w:r>
      <w:r w:rsidR="003221DB">
        <w:t xml:space="preserve"> number of</w:t>
      </w:r>
      <w:r w:rsidR="008574F2" w:rsidRPr="00596D47">
        <w:t xml:space="preserve"> notification</w:t>
      </w:r>
      <w:r w:rsidR="0047221D">
        <w:t>s</w:t>
      </w:r>
      <w:r w:rsidR="003221DB">
        <w:t xml:space="preserve"> reported for a jurisdiction is fewer than 5.</w:t>
      </w:r>
    </w:p>
    <w:p w:rsidR="002F579B" w:rsidRDefault="00596D47" w:rsidP="00A73D31">
      <w:pPr>
        <w:pStyle w:val="Source"/>
        <w:spacing w:before="60" w:after="0"/>
      </w:pPr>
      <w:r w:rsidRPr="00596D47">
        <w:rPr>
          <w:i/>
        </w:rPr>
        <w:t>Source</w:t>
      </w:r>
      <w:r w:rsidRPr="00596D47">
        <w:t xml:space="preserve">: </w:t>
      </w:r>
      <w:r w:rsidR="00B513D7">
        <w:t>Department of Health</w:t>
      </w:r>
      <w:r w:rsidR="00AA31A0" w:rsidRPr="00480CFE">
        <w:t xml:space="preserve"> (unpublished</w:t>
      </w:r>
      <w:r w:rsidR="00AA31A0" w:rsidRPr="00A73D31">
        <w:t>) NNDSS</w:t>
      </w:r>
      <w:r w:rsidR="00212A13" w:rsidRPr="00A73D31">
        <w:t xml:space="preserve">, </w:t>
      </w:r>
      <w:r w:rsidR="00AA31A0" w:rsidRPr="00A73D31">
        <w:t xml:space="preserve">ABS </w:t>
      </w:r>
      <w:r w:rsidR="00AA31A0" w:rsidRPr="00A73D31">
        <w:rPr>
          <w:i/>
        </w:rPr>
        <w:t xml:space="preserve">Population by Age and Sex, </w:t>
      </w:r>
      <w:smartTag w:uri="urn:schemas-microsoft-com:office:smarttags" w:element="place">
        <w:smartTag w:uri="urn:schemas-microsoft-com:office:smarttags" w:element="PlaceName">
          <w:r w:rsidR="00AA31A0" w:rsidRPr="00A73D31">
            <w:rPr>
              <w:i/>
            </w:rPr>
            <w:t>Australian</w:t>
          </w:r>
        </w:smartTag>
        <w:r w:rsidR="00AA31A0" w:rsidRPr="00A73D31">
          <w:rPr>
            <w:i/>
          </w:rPr>
          <w:t xml:space="preserve"> </w:t>
        </w:r>
        <w:smartTag w:uri="urn:schemas-microsoft-com:office:smarttags" w:element="PlaceType">
          <w:r w:rsidR="00AA31A0" w:rsidRPr="00A73D31">
            <w:rPr>
              <w:i/>
            </w:rPr>
            <w:t>States</w:t>
          </w:r>
        </w:smartTag>
      </w:smartTag>
      <w:r w:rsidR="00AA31A0" w:rsidRPr="00A73D31">
        <w:rPr>
          <w:i/>
        </w:rPr>
        <w:t xml:space="preserve"> and Territories</w:t>
      </w:r>
      <w:r w:rsidR="00AA31A0" w:rsidRPr="00A73D31">
        <w:t xml:space="preserve"> (various years), Cat. No. 3201.0; table </w:t>
      </w:r>
      <w:r w:rsidR="003F3FB0" w:rsidRPr="00A73D31">
        <w:t>11A.</w:t>
      </w:r>
      <w:r w:rsidR="000A2E3B">
        <w:t>80</w:t>
      </w:r>
      <w:r w:rsidRPr="006C74C6">
        <w:t>.</w:t>
      </w:r>
    </w:p>
    <w:p w:rsidR="008F7775" w:rsidRPr="00C14146" w:rsidRDefault="00787A85" w:rsidP="00C14146">
      <w:pPr>
        <w:pStyle w:val="BodyText"/>
        <w:rPr>
          <w:rStyle w:val="DraftingNote"/>
          <w:b w:val="0"/>
          <w:color w:val="auto"/>
          <w:sz w:val="26"/>
          <w:u w:val="none"/>
        </w:rPr>
      </w:pPr>
      <w:r w:rsidRPr="00DE5AA9">
        <w:lastRenderedPageBreak/>
        <w:t>Nationally</w:t>
      </w:r>
      <w:r w:rsidR="000E58AA" w:rsidRPr="00DE5AA9">
        <w:t xml:space="preserve">, </w:t>
      </w:r>
      <w:r w:rsidR="005A78C3">
        <w:t>there were over</w:t>
      </w:r>
      <w:r w:rsidR="005419B5">
        <w:t xml:space="preserve"> 7000</w:t>
      </w:r>
      <w:r w:rsidR="005A78C3">
        <w:t xml:space="preserve"> </w:t>
      </w:r>
      <w:r w:rsidR="005A78C3" w:rsidRPr="00DE5AA9">
        <w:t xml:space="preserve">notifications </w:t>
      </w:r>
      <w:r w:rsidR="005A78C3">
        <w:t xml:space="preserve">for </w:t>
      </w:r>
      <w:r w:rsidR="005A78C3" w:rsidRPr="00DE5AA9">
        <w:t>pertussis (whooping cough)</w:t>
      </w:r>
      <w:r w:rsidR="005A78C3">
        <w:t xml:space="preserve"> </w:t>
      </w:r>
      <w:r w:rsidR="005A78C3">
        <w:br/>
        <w:t xml:space="preserve">for children aged </w:t>
      </w:r>
      <w:r w:rsidR="005A78C3" w:rsidRPr="00DE5AA9">
        <w:t>0–14 year</w:t>
      </w:r>
      <w:r w:rsidR="005A78C3">
        <w:t xml:space="preserve">s </w:t>
      </w:r>
      <w:r w:rsidR="005A78C3" w:rsidRPr="00DE5AA9">
        <w:t>in</w:t>
      </w:r>
      <w:r w:rsidR="005419B5">
        <w:t xml:space="preserve"> 2012-13</w:t>
      </w:r>
      <w:r w:rsidR="005A78C3">
        <w:t xml:space="preserve"> — a rate of</w:t>
      </w:r>
      <w:r w:rsidR="005419B5">
        <w:t xml:space="preserve"> 163</w:t>
      </w:r>
      <w:r w:rsidR="005A78C3" w:rsidRPr="00DE5AA9">
        <w:t xml:space="preserve"> notifications </w:t>
      </w:r>
      <w:r w:rsidR="005A78C3">
        <w:br/>
      </w:r>
      <w:r w:rsidR="005A78C3" w:rsidRPr="00DE5AA9">
        <w:t xml:space="preserve">per 100 000 children </w:t>
      </w:r>
      <w:r w:rsidR="005A78C3">
        <w:t>in this age group</w:t>
      </w:r>
      <w:r w:rsidR="005A78C3" w:rsidRPr="00847F34">
        <w:t xml:space="preserve"> </w:t>
      </w:r>
      <w:r w:rsidR="00480CFE" w:rsidRPr="00DE5AA9">
        <w:t xml:space="preserve">(figure </w:t>
      </w:r>
      <w:r w:rsidR="00D24FBE" w:rsidRPr="00DE5AA9">
        <w:t>11.</w:t>
      </w:r>
      <w:r w:rsidR="00DE5AA9" w:rsidRPr="00DE5AA9">
        <w:t>4</w:t>
      </w:r>
      <w:r w:rsidR="00CA25A8">
        <w:t>4</w:t>
      </w:r>
      <w:r w:rsidR="00914C4A" w:rsidRPr="00DE5AA9">
        <w:t>).</w:t>
      </w:r>
    </w:p>
    <w:p w:rsidR="00480CFE" w:rsidRPr="0047221D" w:rsidRDefault="00480CFE" w:rsidP="0091333A">
      <w:pPr>
        <w:pStyle w:val="FigureTitle"/>
        <w:ind w:left="1560" w:hanging="1560"/>
        <w:rPr>
          <w:rStyle w:val="NoteLabel"/>
        </w:rPr>
      </w:pPr>
      <w:r>
        <w:rPr>
          <w:b w:val="0"/>
        </w:rPr>
        <w:t xml:space="preserve">Figure </w:t>
      </w:r>
      <w:bookmarkStart w:id="62" w:name="OLE_LINK47"/>
      <w:r w:rsidR="00EC42DB">
        <w:rPr>
          <w:b w:val="0"/>
        </w:rPr>
        <w:t>11.</w:t>
      </w:r>
      <w:r w:rsidR="00C44281">
        <w:rPr>
          <w:b w:val="0"/>
          <w:noProof/>
        </w:rPr>
        <w:t>4</w:t>
      </w:r>
      <w:bookmarkEnd w:id="62"/>
      <w:r w:rsidR="00CA25A8">
        <w:rPr>
          <w:b w:val="0"/>
          <w:noProof/>
        </w:rPr>
        <w:t>4</w:t>
      </w:r>
      <w:r>
        <w:tab/>
        <w:t>Notifications of pertuss</w:t>
      </w:r>
      <w:r w:rsidR="008F12B4">
        <w:t>is (whooping cough) per</w:t>
      </w:r>
      <w:r w:rsidR="006022D9">
        <w:t xml:space="preserve"> </w:t>
      </w:r>
      <w:r w:rsidR="008F12B4">
        <w:t>100</w:t>
      </w:r>
      <w:r w:rsidR="006022D9">
        <w:t xml:space="preserve"> </w:t>
      </w:r>
      <w:r w:rsidR="008F12B4">
        <w:t xml:space="preserve">000 </w:t>
      </w:r>
      <w:r>
        <w:t>children aged 0–14 years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80CFE">
        <w:tc>
          <w:tcPr>
            <w:tcW w:w="8777" w:type="dxa"/>
          </w:tcPr>
          <w:p w:rsidR="00480CFE" w:rsidRDefault="00FF6757">
            <w:pPr>
              <w:pStyle w:val="Figure"/>
            </w:pPr>
            <w:r>
              <w:rPr>
                <w:noProof/>
              </w:rPr>
              <w:drawing>
                <wp:inline distT="0" distB="0" distL="0" distR="0">
                  <wp:extent cx="5368290" cy="2710815"/>
                  <wp:effectExtent l="0" t="0" r="3810" b="0"/>
                  <wp:docPr id="52" name="Picture 52" descr="Figure 11.44 Notifications of pertussis (whooping cough) per 100 000 children aged 0–1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480CFE" w:rsidRPr="00480CFE" w:rsidRDefault="00480CFE" w:rsidP="006F085B">
      <w:pPr>
        <w:pStyle w:val="Source"/>
      </w:pPr>
      <w:r w:rsidRPr="00480CFE">
        <w:rPr>
          <w:i/>
        </w:rPr>
        <w:t>Source</w:t>
      </w:r>
      <w:r w:rsidRPr="00480CFE">
        <w:t xml:space="preserve">: </w:t>
      </w:r>
      <w:r w:rsidR="00B513D7">
        <w:t>Department of Health</w:t>
      </w:r>
      <w:r w:rsidR="00AA31A0" w:rsidRPr="00480CFE">
        <w:t xml:space="preserve"> (unpublished)</w:t>
      </w:r>
      <w:r w:rsidR="00AA31A0">
        <w:t xml:space="preserve"> </w:t>
      </w:r>
      <w:r w:rsidR="00AA31A0" w:rsidRPr="00E969C8">
        <w:t>NNDSS</w:t>
      </w:r>
      <w:r w:rsidR="00AA31A0">
        <w:t xml:space="preserve">, ABS </w:t>
      </w:r>
      <w:r w:rsidR="00AA31A0" w:rsidRPr="00463271">
        <w:rPr>
          <w:i/>
        </w:rPr>
        <w:t>Population by Age and Sex</w:t>
      </w:r>
      <w:r w:rsidR="00AA31A0" w:rsidRPr="00181BC2">
        <w:t>,</w:t>
      </w:r>
      <w:r w:rsidR="00AA31A0" w:rsidRPr="00463271">
        <w:rPr>
          <w:i/>
        </w:rPr>
        <w:t xml:space="preserve"> Australian States and Territories</w:t>
      </w:r>
      <w:r w:rsidR="00AA31A0">
        <w:t xml:space="preserve"> (various years), Cat. No. 3201.0</w:t>
      </w:r>
      <w:r w:rsidR="00AA31A0" w:rsidRPr="00480CFE">
        <w:t>;</w:t>
      </w:r>
      <w:r w:rsidR="00AA31A0">
        <w:t xml:space="preserve"> table</w:t>
      </w:r>
      <w:r w:rsidR="00AA31A0" w:rsidRPr="006C74C6">
        <w:t> </w:t>
      </w:r>
      <w:r w:rsidR="000A2E3B">
        <w:t>11A.81</w:t>
      </w:r>
      <w:r w:rsidR="00885E78" w:rsidRPr="006C74C6">
        <w:t>.</w:t>
      </w:r>
    </w:p>
    <w:p w:rsidR="00FA14B6" w:rsidRDefault="00847F34" w:rsidP="006E5535">
      <w:pPr>
        <w:pStyle w:val="BodyText"/>
      </w:pPr>
      <w:r w:rsidRPr="00E968C9">
        <w:t>In</w:t>
      </w:r>
      <w:r w:rsidR="005419B5">
        <w:t xml:space="preserve"> 2012-13, </w:t>
      </w:r>
      <w:r>
        <w:t>the national</w:t>
      </w:r>
      <w:r w:rsidRPr="00E968C9">
        <w:t xml:space="preserve"> </w:t>
      </w:r>
      <w:r>
        <w:t xml:space="preserve">notification rate for </w:t>
      </w:r>
      <w:r w:rsidR="00782CE8" w:rsidRPr="006E5535">
        <w:t>invasive</w:t>
      </w:r>
      <w:r w:rsidR="00782CE8" w:rsidRPr="008A1890">
        <w:t xml:space="preserve"> </w:t>
      </w:r>
      <w:r w:rsidRPr="00E968C9">
        <w:rPr>
          <w:i/>
        </w:rPr>
        <w:t>Haemophilus influenzae</w:t>
      </w:r>
      <w:r w:rsidR="00A76082">
        <w:t xml:space="preserve"> type </w:t>
      </w:r>
      <w:r w:rsidRPr="00E968C9">
        <w:t xml:space="preserve">b </w:t>
      </w:r>
      <w:r>
        <w:t>—</w:t>
      </w:r>
      <w:r w:rsidR="00A76082">
        <w:t xml:space="preserve"> </w:t>
      </w:r>
      <w:r w:rsidRPr="005419B5">
        <w:t>0.2</w:t>
      </w:r>
      <w:r w:rsidRPr="00E968C9">
        <w:t> per 100 000 children aged 0–14 years</w:t>
      </w:r>
      <w:r>
        <w:t xml:space="preserve"> </w:t>
      </w:r>
      <w:r w:rsidR="00453606" w:rsidRPr="005419B5">
        <w:t xml:space="preserve">— </w:t>
      </w:r>
      <w:r w:rsidR="00261524" w:rsidRPr="005419B5">
        <w:t>remained low</w:t>
      </w:r>
      <w:r w:rsidR="00453606" w:rsidRPr="005419B5">
        <w:t>, consistent</w:t>
      </w:r>
      <w:r w:rsidR="00453606">
        <w:t xml:space="preserve"> with</w:t>
      </w:r>
      <w:r>
        <w:t xml:space="preserve"> recent years</w:t>
      </w:r>
      <w:r w:rsidR="00261524" w:rsidRPr="00E968C9">
        <w:t xml:space="preserve"> (</w:t>
      </w:r>
      <w:r w:rsidR="00C3690E">
        <w:t>figure 11.4</w:t>
      </w:r>
      <w:r w:rsidR="00CA25A8">
        <w:t>5</w:t>
      </w:r>
      <w:r w:rsidR="00261524" w:rsidRPr="00E968C9">
        <w:t>).</w:t>
      </w:r>
    </w:p>
    <w:p w:rsidR="002C36C7" w:rsidRPr="003A2BE9" w:rsidRDefault="002C36C7" w:rsidP="006E5535">
      <w:pPr>
        <w:pStyle w:val="FigureTitle"/>
        <w:ind w:left="1652" w:hanging="1652"/>
        <w:rPr>
          <w:rStyle w:val="NoteLabel"/>
        </w:rPr>
      </w:pPr>
      <w:r>
        <w:rPr>
          <w:b w:val="0"/>
        </w:rPr>
        <w:lastRenderedPageBreak/>
        <w:t>Figure 11.</w:t>
      </w:r>
      <w:r w:rsidR="00C44281">
        <w:rPr>
          <w:b w:val="0"/>
          <w:noProof/>
        </w:rPr>
        <w:t>4</w:t>
      </w:r>
      <w:r w:rsidR="00CA25A8">
        <w:rPr>
          <w:b w:val="0"/>
          <w:noProof/>
        </w:rPr>
        <w:t>5</w:t>
      </w:r>
      <w:r>
        <w:tab/>
      </w:r>
      <w:r w:rsidRPr="002C36C7">
        <w:t>Notifications of</w:t>
      </w:r>
      <w:r w:rsidR="00782CE8" w:rsidRPr="006E5535">
        <w:t xml:space="preserve"> invasive</w:t>
      </w:r>
      <w:r w:rsidRPr="002C36C7">
        <w:t xml:space="preserve"> </w:t>
      </w:r>
      <w:r w:rsidRPr="00B41177">
        <w:rPr>
          <w:i/>
        </w:rPr>
        <w:t>Haemophilus influenzae</w:t>
      </w:r>
      <w:r w:rsidRPr="002C36C7">
        <w:t xml:space="preserve"> type b </w:t>
      </w:r>
      <w:r w:rsidR="00B41177">
        <w:br/>
      </w:r>
      <w:r w:rsidRPr="002C36C7">
        <w:t>per 100 000 children aged 0–14 years</w:t>
      </w:r>
      <w:r w:rsidR="00863BB8">
        <w:t>, Australia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C36C7" w:rsidTr="0069409C">
        <w:tc>
          <w:tcPr>
            <w:tcW w:w="8777" w:type="dxa"/>
            <w:tcBorders>
              <w:top w:val="single" w:sz="6" w:space="0" w:color="auto"/>
              <w:bottom w:val="single" w:sz="6" w:space="0" w:color="auto"/>
              <w:right w:val="nil"/>
            </w:tcBorders>
          </w:tcPr>
          <w:p w:rsidR="002C36C7" w:rsidRDefault="00FF6757">
            <w:pPr>
              <w:pStyle w:val="Figure"/>
            </w:pPr>
            <w:r>
              <w:rPr>
                <w:noProof/>
              </w:rPr>
              <w:drawing>
                <wp:inline distT="0" distB="0" distL="0" distR="0">
                  <wp:extent cx="5389880" cy="2861310"/>
                  <wp:effectExtent l="0" t="0" r="1270" b="0"/>
                  <wp:docPr id="53" name="Picture 53" descr="Figure 11.45 Notifications of invasive Haemophilus influenzae type b per 100 000 children aged 0–14 years, Australia&#10;&#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480CFE" w:rsidRPr="00E23041" w:rsidRDefault="00480CFE" w:rsidP="001B0A69">
      <w:pPr>
        <w:pStyle w:val="Source"/>
        <w:spacing w:before="60" w:after="0"/>
      </w:pPr>
      <w:r w:rsidRPr="00787A85">
        <w:rPr>
          <w:i/>
        </w:rPr>
        <w:t>Source</w:t>
      </w:r>
      <w:r w:rsidRPr="00825C6D">
        <w:t xml:space="preserve">: </w:t>
      </w:r>
      <w:r w:rsidR="00B513D7">
        <w:t>Department of Health</w:t>
      </w:r>
      <w:r w:rsidRPr="00825C6D">
        <w:t xml:space="preserve"> (unpublished)</w:t>
      </w:r>
      <w:r w:rsidR="00E969C8" w:rsidRPr="00825C6D">
        <w:t xml:space="preserve"> NNDSS</w:t>
      </w:r>
      <w:r w:rsidR="00C36A74" w:rsidRPr="00825C6D">
        <w:t>,</w:t>
      </w:r>
      <w:r w:rsidR="00E969C8" w:rsidRPr="00825C6D">
        <w:t xml:space="preserve"> </w:t>
      </w:r>
      <w:r w:rsidR="00463271" w:rsidRPr="00DA083E">
        <w:rPr>
          <w:i/>
        </w:rPr>
        <w:t xml:space="preserve">ABS </w:t>
      </w:r>
      <w:r w:rsidR="00463271" w:rsidRPr="006C74C6">
        <w:rPr>
          <w:i/>
        </w:rPr>
        <w:t>Population by Age and Sex</w:t>
      </w:r>
      <w:r w:rsidR="00463271" w:rsidRPr="006C74C6">
        <w:t>,</w:t>
      </w:r>
      <w:r w:rsidR="00463271" w:rsidRPr="006C74C6">
        <w:rPr>
          <w:i/>
        </w:rPr>
        <w:t xml:space="preserve"> Australian States and Territories</w:t>
      </w:r>
      <w:r w:rsidR="00463271" w:rsidRPr="006C74C6">
        <w:t xml:space="preserve"> (various years)</w:t>
      </w:r>
      <w:r w:rsidR="00AA31A0" w:rsidRPr="006C74C6">
        <w:t>, Cat. No. 3201.0; table </w:t>
      </w:r>
      <w:r w:rsidR="00311943">
        <w:t>11A.82</w:t>
      </w:r>
      <w:r w:rsidR="00863BB8">
        <w:t>.</w:t>
      </w:r>
    </w:p>
    <w:p w:rsidR="007D4C38" w:rsidRDefault="007D4C38" w:rsidP="007D4C38">
      <w:pPr>
        <w:pStyle w:val="Heading5"/>
      </w:pPr>
      <w:r w:rsidRPr="006C74C6">
        <w:t xml:space="preserve">Participation for women in breast </w:t>
      </w:r>
      <w:r w:rsidR="00D25B46" w:rsidRPr="006C74C6">
        <w:t xml:space="preserve">cancer </w:t>
      </w:r>
      <w:r w:rsidRPr="00701FDC">
        <w:t>screening</w:t>
      </w:r>
    </w:p>
    <w:p w:rsidR="00C84FAD" w:rsidRDefault="00C84FAD" w:rsidP="00944E91">
      <w:pPr>
        <w:pStyle w:val="BodyText"/>
      </w:pPr>
      <w:r>
        <w:t>‘</w:t>
      </w:r>
      <w:r w:rsidR="00DB722F" w:rsidRPr="00701FDC">
        <w:t xml:space="preserve">Participation for women in </w:t>
      </w:r>
      <w:r w:rsidR="00DB722F">
        <w:t>breast</w:t>
      </w:r>
      <w:r w:rsidR="00DB722F" w:rsidRPr="00701FDC">
        <w:t xml:space="preserve"> </w:t>
      </w:r>
      <w:r w:rsidR="00D25B46">
        <w:t xml:space="preserve">cancer </w:t>
      </w:r>
      <w:r w:rsidR="00DB722F" w:rsidRPr="00701FDC">
        <w:t xml:space="preserve">screening’ is an indicator of </w:t>
      </w:r>
      <w:r w:rsidR="00DB722F">
        <w:t>governments’ objective to reduce morbidity and mortality attributable to breast cancer through the provision of early detection services (</w:t>
      </w:r>
      <w:smartTag w:uri="urn:schemas-microsoft-com:office:smarttags" w:element="address">
        <w:smartTag w:uri="urn:schemas-microsoft-com:office:smarttags" w:element="Street">
          <w:r w:rsidR="00DB722F">
            <w:t>box</w:t>
          </w:r>
        </w:smartTag>
        <w:r w:rsidR="00DB722F">
          <w:t> </w:t>
        </w:r>
        <w:r w:rsidR="00E52050" w:rsidRPr="00E52050">
          <w:t>11.21</w:t>
        </w:r>
      </w:smartTag>
      <w:r w:rsidR="000A7179">
        <w:t>).</w:t>
      </w:r>
    </w:p>
    <w:p w:rsidR="00E52050" w:rsidRDefault="00E5205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2050">
        <w:tc>
          <w:tcPr>
            <w:tcW w:w="8771" w:type="dxa"/>
            <w:tcBorders>
              <w:top w:val="single" w:sz="6" w:space="0" w:color="auto"/>
              <w:bottom w:val="nil"/>
            </w:tcBorders>
          </w:tcPr>
          <w:p w:rsidR="00E52050" w:rsidRPr="00E52050" w:rsidRDefault="00E52050">
            <w:pPr>
              <w:pStyle w:val="BoxTitle"/>
            </w:pPr>
            <w:smartTag w:uri="urn:schemas-microsoft-com:office:smarttags" w:element="Street">
              <w:r>
                <w:rPr>
                  <w:b w:val="0"/>
                </w:rPr>
                <w:t>Box</w:t>
              </w:r>
            </w:smartTag>
            <w:r>
              <w:rPr>
                <w:b w:val="0"/>
              </w:rPr>
              <w:t xml:space="preserve"> 11.</w:t>
            </w:r>
            <w:r w:rsidR="00C44281">
              <w:rPr>
                <w:b w:val="0"/>
                <w:noProof/>
              </w:rPr>
              <w:t>21</w:t>
            </w:r>
            <w:r>
              <w:tab/>
            </w:r>
            <w:r w:rsidRPr="00E52050">
              <w:t>Participation for women in breast cancer screening</w:t>
            </w:r>
          </w:p>
        </w:tc>
      </w:tr>
      <w:tr w:rsidR="00E52050">
        <w:trPr>
          <w:cantSplit/>
        </w:trPr>
        <w:tc>
          <w:tcPr>
            <w:tcW w:w="8771" w:type="dxa"/>
            <w:tcBorders>
              <w:top w:val="nil"/>
              <w:left w:val="single" w:sz="6" w:space="0" w:color="auto"/>
              <w:bottom w:val="nil"/>
              <w:right w:val="single" w:sz="6" w:space="0" w:color="auto"/>
            </w:tcBorders>
          </w:tcPr>
          <w:p w:rsidR="00E52050" w:rsidRDefault="00E52050" w:rsidP="00E52050">
            <w:pPr>
              <w:pStyle w:val="Box"/>
            </w:pPr>
            <w:r w:rsidRPr="00C84FAD">
              <w:t>‘</w:t>
            </w:r>
            <w:r w:rsidRPr="002A3114">
              <w:t xml:space="preserve">Participation for women in breast cancer screening’ is defined as the number of women aged 50–69 years </w:t>
            </w:r>
            <w:r>
              <w:t xml:space="preserve">who are screened in the </w:t>
            </w:r>
            <w:r w:rsidRPr="00C84FAD">
              <w:t xml:space="preserve">BreastScreen Australia Program </w:t>
            </w:r>
            <w:r>
              <w:t xml:space="preserve">over a </w:t>
            </w:r>
            <w:r w:rsidRPr="002A3114">
              <w:t xml:space="preserve">24 month period, divided by the estimated population of women aged </w:t>
            </w:r>
            <w:r w:rsidR="00713DAD">
              <w:br/>
            </w:r>
            <w:r w:rsidRPr="002A3114">
              <w:t>50–69 years</w:t>
            </w:r>
            <w:r w:rsidR="008D4BC8">
              <w:t xml:space="preserve"> and reported as a rate</w:t>
            </w:r>
            <w:r w:rsidRPr="002A3114">
              <w:t>.</w:t>
            </w:r>
          </w:p>
          <w:p w:rsidR="00E52050" w:rsidRPr="00C84FAD" w:rsidRDefault="00E52050" w:rsidP="00E52050">
            <w:pPr>
              <w:pStyle w:val="Box"/>
            </w:pPr>
            <w:r w:rsidRPr="00C84FAD">
              <w:t>A high or increasing participation rate is desirable.</w:t>
            </w:r>
          </w:p>
          <w:p w:rsidR="006C5E9C" w:rsidRDefault="006C5E9C" w:rsidP="006C5E9C">
            <w:pPr>
              <w:pStyle w:val="Box"/>
            </w:pPr>
            <w:r>
              <w:t>Data reported against this indicator are:</w:t>
            </w:r>
          </w:p>
          <w:p w:rsidR="006C5E9C" w:rsidRDefault="006C5E9C" w:rsidP="006C5E9C">
            <w:pPr>
              <w:pStyle w:val="BoxListBullet"/>
            </w:pPr>
            <w:r>
              <w:t>comparable (subject to caveats) across jurisdictions and over time</w:t>
            </w:r>
          </w:p>
          <w:p w:rsidR="00E52050" w:rsidRPr="00C84FAD" w:rsidRDefault="006C5E9C" w:rsidP="006C5E9C">
            <w:pPr>
              <w:pStyle w:val="BoxListBullet"/>
            </w:pPr>
            <w:r>
              <w:t>complete (subject to caveats) for the current reporting period. All required data for the 24 month period 2011 and 2012 are available for all jurisdictions.</w:t>
            </w:r>
          </w:p>
          <w:p w:rsidR="00E52050" w:rsidRDefault="00355023" w:rsidP="00355023">
            <w:pPr>
              <w:pStyle w:val="Box"/>
            </w:pPr>
            <w:r w:rsidRPr="0027351B">
              <w:t xml:space="preserve">Data quality information </w:t>
            </w:r>
            <w:r w:rsidR="00743531">
              <w:t>for this indicator</w:t>
            </w:r>
            <w:r w:rsidR="00743531" w:rsidRPr="00743531">
              <w:t xml:space="preserve"> is at www.pc.gov.au/gsp/reports/</w:t>
            </w:r>
            <w:r w:rsidR="009E5543">
              <w:t>rogs/2014</w:t>
            </w:r>
            <w:r w:rsidR="00743531" w:rsidRPr="00743531">
              <w:t>.</w:t>
            </w:r>
          </w:p>
        </w:tc>
      </w:tr>
      <w:tr w:rsidR="00E52050">
        <w:trPr>
          <w:cantSplit/>
        </w:trPr>
        <w:tc>
          <w:tcPr>
            <w:tcW w:w="8771" w:type="dxa"/>
            <w:tcBorders>
              <w:top w:val="nil"/>
              <w:left w:val="single" w:sz="6" w:space="0" w:color="auto"/>
              <w:bottom w:val="single" w:sz="6" w:space="0" w:color="auto"/>
              <w:right w:val="single" w:sz="6" w:space="0" w:color="auto"/>
            </w:tcBorders>
          </w:tcPr>
          <w:p w:rsidR="00E52050" w:rsidRDefault="00E52050">
            <w:pPr>
              <w:pStyle w:val="Box"/>
              <w:spacing w:before="0" w:line="120" w:lineRule="exact"/>
            </w:pPr>
          </w:p>
        </w:tc>
      </w:tr>
      <w:tr w:rsidR="00E52050">
        <w:tc>
          <w:tcPr>
            <w:tcW w:w="8771" w:type="dxa"/>
            <w:tcBorders>
              <w:top w:val="nil"/>
              <w:left w:val="nil"/>
              <w:bottom w:val="nil"/>
              <w:right w:val="nil"/>
            </w:tcBorders>
          </w:tcPr>
          <w:p w:rsidR="00E52050" w:rsidRDefault="00E52050">
            <w:pPr>
              <w:pStyle w:val="Box"/>
              <w:keepNext w:val="0"/>
              <w:spacing w:before="60" w:after="60" w:line="80" w:lineRule="exact"/>
              <w:rPr>
                <w:b/>
                <w:color w:val="FF00FF"/>
                <w:sz w:val="14"/>
              </w:rPr>
            </w:pPr>
          </w:p>
        </w:tc>
      </w:tr>
    </w:tbl>
    <w:p w:rsidR="00B9612C" w:rsidRDefault="00A27AEA" w:rsidP="00DB722F">
      <w:pPr>
        <w:pStyle w:val="BodyText"/>
      </w:pPr>
      <w:r>
        <w:lastRenderedPageBreak/>
        <w:t>E</w:t>
      </w:r>
      <w:r w:rsidR="00B66980">
        <w:t xml:space="preserve">arly </w:t>
      </w:r>
      <w:r w:rsidR="00B9612C">
        <w:t>detection</w:t>
      </w:r>
      <w:r w:rsidR="00B66980">
        <w:t xml:space="preserve"> </w:t>
      </w:r>
      <w:r w:rsidR="00B9612C">
        <w:t xml:space="preserve">of breast cancer is </w:t>
      </w:r>
      <w:r w:rsidR="00C01683">
        <w:t xml:space="preserve">associated with improved </w:t>
      </w:r>
      <w:r w:rsidR="00B9612C">
        <w:t xml:space="preserve">morbidity and mortality </w:t>
      </w:r>
      <w:r w:rsidR="00C01683">
        <w:t>outcomes</w:t>
      </w:r>
      <w:r w:rsidR="00B9612C">
        <w:t>.</w:t>
      </w:r>
      <w:r w:rsidR="00C01683">
        <w:t xml:space="preserve"> </w:t>
      </w:r>
      <w:r w:rsidR="00B9612C">
        <w:t xml:space="preserve">Early detection </w:t>
      </w:r>
      <w:r w:rsidR="00B66980">
        <w:t>allows a wider range of treatment options</w:t>
      </w:r>
      <w:r w:rsidR="00B66980" w:rsidRPr="00B66980">
        <w:t xml:space="preserve"> </w:t>
      </w:r>
      <w:r w:rsidR="00C742C9">
        <w:t xml:space="preserve">— including less invasive procedures — </w:t>
      </w:r>
      <w:r w:rsidR="00B66980">
        <w:t>and a higher likelihood of survival</w:t>
      </w:r>
      <w:r w:rsidR="00C742C9">
        <w:t>,</w:t>
      </w:r>
      <w:r w:rsidR="00B66980">
        <w:t xml:space="preserve"> than does later </w:t>
      </w:r>
      <w:r w:rsidR="00B9612C">
        <w:t>detection</w:t>
      </w:r>
      <w:r w:rsidR="00C742C9">
        <w:t xml:space="preserve"> (AIHW and NBCC 2007). </w:t>
      </w:r>
      <w:r w:rsidR="00DB722F">
        <w:t>The BreastScreen Australia Program</w:t>
      </w:r>
      <w:r w:rsidR="00C742C9">
        <w:t xml:space="preserve"> is</w:t>
      </w:r>
      <w:r w:rsidR="00DB722F">
        <w:t xml:space="preserve"> jointly funded by the Australian, State and Territory governments</w:t>
      </w:r>
      <w:r w:rsidR="00C742C9">
        <w:t xml:space="preserve"> to </w:t>
      </w:r>
      <w:r w:rsidR="00DB722F">
        <w:t>undertake nationwide breast cancer screening.</w:t>
      </w:r>
      <w:r w:rsidR="00B9612C">
        <w:t xml:space="preserve"> </w:t>
      </w:r>
      <w:r w:rsidR="007B1AB3">
        <w:t xml:space="preserve">It </w:t>
      </w:r>
      <w:r w:rsidR="00B9612C">
        <w:t xml:space="preserve">aims to achieve at least 70 per cent participation in screening over a </w:t>
      </w:r>
      <w:r w:rsidR="007B1AB3">
        <w:t xml:space="preserve">period of </w:t>
      </w:r>
      <w:r w:rsidR="00B9612C">
        <w:t>24 month</w:t>
      </w:r>
      <w:r w:rsidR="007B1AB3">
        <w:t>s</w:t>
      </w:r>
      <w:r w:rsidR="00B9612C">
        <w:t xml:space="preserve"> </w:t>
      </w:r>
      <w:r w:rsidR="007B1AB3">
        <w:t>in the target group of</w:t>
      </w:r>
      <w:r w:rsidR="007B1AB3" w:rsidRPr="007B1AB3">
        <w:t xml:space="preserve"> </w:t>
      </w:r>
      <w:r w:rsidR="007B1AB3">
        <w:t>women aged 50–69 years</w:t>
      </w:r>
      <w:r w:rsidR="00B9612C">
        <w:t>.</w:t>
      </w:r>
      <w:r w:rsidR="007B1AB3" w:rsidRPr="007B1AB3">
        <w:t xml:space="preserve"> </w:t>
      </w:r>
      <w:r w:rsidR="007B1AB3">
        <w:t>Women aged 40–49 years and 70 years or over can also access the program.</w:t>
      </w:r>
    </w:p>
    <w:p w:rsidR="00C01683" w:rsidRDefault="00DB722F" w:rsidP="00DB722F">
      <w:pPr>
        <w:pStyle w:val="BodyText"/>
      </w:pPr>
      <w:r>
        <w:t>A</w:t>
      </w:r>
      <w:r w:rsidR="0020482B">
        <w:t>n</w:t>
      </w:r>
      <w:r>
        <w:t xml:space="preserve"> evaluation of the BreastScreen Australia Program found that it has been successful in reducing mortality from breast cancer in the target age group (women aged 50–69 years) by approximately 21–28 per cent since screening commenced in 1991 (</w:t>
      </w:r>
      <w:r w:rsidR="006C2E5E">
        <w:t>Department of Health</w:t>
      </w:r>
      <w:r>
        <w:t xml:space="preserve"> 2009). </w:t>
      </w:r>
      <w:r w:rsidR="00C01683">
        <w:t>Further, the relatively high proportion of cancers that are detected early, and treated by breast conserving surgery, was associated with reduced treatment related morbidity for Program participants.</w:t>
      </w:r>
    </w:p>
    <w:p w:rsidR="00F77BB6" w:rsidRPr="00C14146" w:rsidRDefault="0009244C" w:rsidP="00C14146">
      <w:pPr>
        <w:pStyle w:val="BodyText"/>
        <w:rPr>
          <w:rStyle w:val="DraftingNote"/>
          <w:b w:val="0"/>
          <w:color w:val="auto"/>
          <w:sz w:val="26"/>
          <w:u w:val="none"/>
        </w:rPr>
      </w:pPr>
      <w:r>
        <w:t xml:space="preserve">The national participation rate for women aged 50–69 years in BreastScreen </w:t>
      </w:r>
      <w:smartTag w:uri="urn:schemas-microsoft-com:office:smarttags" w:element="place">
        <w:smartTag w:uri="urn:schemas-microsoft-com:office:smarttags" w:element="country-region">
          <w:r>
            <w:t>Australia</w:t>
          </w:r>
        </w:smartTag>
      </w:smartTag>
      <w:r>
        <w:t xml:space="preserve"> screening programs decreased from</w:t>
      </w:r>
      <w:r w:rsidR="00A1435C">
        <w:t xml:space="preserve"> 55.6</w:t>
      </w:r>
      <w:r>
        <w:t xml:space="preserve"> per cent</w:t>
      </w:r>
      <w:r w:rsidRPr="00A21E61">
        <w:t xml:space="preserve"> </w:t>
      </w:r>
      <w:r>
        <w:t xml:space="preserve">in the 24 month </w:t>
      </w:r>
      <w:r w:rsidR="00A1435C">
        <w:br/>
      </w:r>
      <w:r>
        <w:t xml:space="preserve">period </w:t>
      </w:r>
      <w:r w:rsidR="00A1435C" w:rsidRPr="00A1435C">
        <w:t>2007</w:t>
      </w:r>
      <w:r w:rsidRPr="00A1435C">
        <w:t xml:space="preserve"> and 200</w:t>
      </w:r>
      <w:r w:rsidR="00A1435C" w:rsidRPr="00A1435C">
        <w:t>8</w:t>
      </w:r>
      <w:r>
        <w:t xml:space="preserve"> to </w:t>
      </w:r>
      <w:r w:rsidR="00A1435C">
        <w:t>54.5</w:t>
      </w:r>
      <w:r w:rsidRPr="00A21E61">
        <w:t xml:space="preserve"> per </w:t>
      </w:r>
      <w:r>
        <w:t xml:space="preserve">cent in the 24 month </w:t>
      </w:r>
      <w:r w:rsidRPr="00A1435C">
        <w:t>period 201</w:t>
      </w:r>
      <w:r w:rsidR="00A1435C" w:rsidRPr="00A1435C">
        <w:t>1 and 2012</w:t>
      </w:r>
      <w:r w:rsidR="00F71325">
        <w:t xml:space="preserve"> (figure </w:t>
      </w:r>
      <w:r>
        <w:t>11.4</w:t>
      </w:r>
      <w:r w:rsidR="00CA25A8">
        <w:t>6</w:t>
      </w:r>
      <w:r>
        <w:t>). The</w:t>
      </w:r>
      <w:r w:rsidR="00F71325">
        <w:t>se</w:t>
      </w:r>
      <w:r>
        <w:t xml:space="preserve"> rate</w:t>
      </w:r>
      <w:r w:rsidR="00F71325">
        <w:t>s remain</w:t>
      </w:r>
      <w:r>
        <w:t xml:space="preserve"> </w:t>
      </w:r>
      <w:r w:rsidR="00CB3765" w:rsidRPr="00A21E61">
        <w:t>below</w:t>
      </w:r>
      <w:r w:rsidR="00CB3765">
        <w:t xml:space="preserve"> the National Accreditation Standards aim </w:t>
      </w:r>
      <w:r w:rsidR="00F71325">
        <w:t>of</w:t>
      </w:r>
      <w:r w:rsidR="00CB3765">
        <w:t xml:space="preserve"> </w:t>
      </w:r>
      <w:r>
        <w:t xml:space="preserve">participation </w:t>
      </w:r>
      <w:r w:rsidR="00F71325">
        <w:t>by</w:t>
      </w:r>
      <w:r>
        <w:t xml:space="preserve"> </w:t>
      </w:r>
      <w:r w:rsidR="00CB3765">
        <w:t>70 per cent</w:t>
      </w:r>
      <w:r w:rsidR="00FA5C1C">
        <w:t xml:space="preserve"> women in this age group.</w:t>
      </w:r>
    </w:p>
    <w:p w:rsidR="00C107E6" w:rsidRPr="00C107E6" w:rsidRDefault="00C107E6" w:rsidP="006C33B5">
      <w:pPr>
        <w:pStyle w:val="FigureTitle"/>
        <w:ind w:left="1560" w:hanging="1560"/>
      </w:pPr>
      <w:r>
        <w:rPr>
          <w:b w:val="0"/>
        </w:rPr>
        <w:lastRenderedPageBreak/>
        <w:t>Figure 11.</w:t>
      </w:r>
      <w:r w:rsidR="00C44281">
        <w:rPr>
          <w:b w:val="0"/>
          <w:noProof/>
        </w:rPr>
        <w:t>4</w:t>
      </w:r>
      <w:r w:rsidR="00CA25A8">
        <w:rPr>
          <w:b w:val="0"/>
          <w:noProof/>
        </w:rPr>
        <w:t>6</w:t>
      </w:r>
      <w:r>
        <w:tab/>
      </w:r>
      <w:r w:rsidRPr="00C107E6">
        <w:t xml:space="preserve">Age standardised participation rate </w:t>
      </w:r>
      <w:r w:rsidR="001302A8">
        <w:t>for</w:t>
      </w:r>
      <w:r w:rsidRPr="00C107E6">
        <w:t xml:space="preserve"> women aged </w:t>
      </w:r>
      <w:r w:rsidR="006C33B5">
        <w:br/>
      </w:r>
      <w:r w:rsidRPr="00C107E6">
        <w:t>50–69 years in BreastScreen Au</w:t>
      </w:r>
      <w:r>
        <w:t>stralia screening programs (24 </w:t>
      </w:r>
      <w:r w:rsidRPr="00C107E6">
        <w:t>month period)</w:t>
      </w:r>
      <w:r w:rsidRPr="00C107E6">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07E6">
        <w:tc>
          <w:tcPr>
            <w:tcW w:w="8777" w:type="dxa"/>
          </w:tcPr>
          <w:p w:rsidR="00C107E6" w:rsidRDefault="00C315E2">
            <w:pPr>
              <w:pStyle w:val="Figure"/>
            </w:pPr>
            <w:r>
              <w:rPr>
                <w:noProof/>
              </w:rPr>
              <w:drawing>
                <wp:inline distT="0" distB="0" distL="0" distR="0">
                  <wp:extent cx="5400040" cy="2872105"/>
                  <wp:effectExtent l="0" t="0" r="0" b="4445"/>
                  <wp:docPr id="54" name="Picture 54" descr="Figure 11.46 Age standardised participation rate for women aged &#10;50–69 years in BreastScreen Australia screening programs (24 month perio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00040" cy="2872105"/>
                          </a:xfrm>
                          <a:prstGeom prst="rect">
                            <a:avLst/>
                          </a:prstGeom>
                          <a:noFill/>
                          <a:ln>
                            <a:noFill/>
                          </a:ln>
                        </pic:spPr>
                      </pic:pic>
                    </a:graphicData>
                  </a:graphic>
                </wp:inline>
              </w:drawing>
            </w:r>
          </w:p>
        </w:tc>
      </w:tr>
    </w:tbl>
    <w:p w:rsidR="00C107E6" w:rsidRDefault="00C107E6" w:rsidP="007C4FC8">
      <w:pPr>
        <w:pStyle w:val="Note"/>
        <w:keepNext/>
      </w:pPr>
      <w:r>
        <w:rPr>
          <w:rStyle w:val="NoteLabel"/>
        </w:rPr>
        <w:t>a</w:t>
      </w:r>
      <w:r>
        <w:sym w:font="Symbol" w:char="F020"/>
      </w:r>
      <w:r>
        <w:t xml:space="preserve">The participation rate is the number of women aged 50–69 years resident in the jurisdiction who were screened during the reference period, divided by the estimated number of women aged 50–69 years resident in the jurisdiction midway through the reference period. </w:t>
      </w:r>
      <w:r w:rsidRPr="00C107E6">
        <w:rPr>
          <w:rStyle w:val="NoteLabel"/>
        </w:rPr>
        <w:t>b</w:t>
      </w:r>
      <w:r w:rsidR="00C52A5F">
        <w:t xml:space="preserve"> In general,</w:t>
      </w:r>
      <w:r>
        <w:t xml:space="preserve"> women resident in the jurisdiction represent over 99 per cent of the women screened in each jurisdiction</w:t>
      </w:r>
      <w:r w:rsidR="00C52A5F">
        <w:t>,</w:t>
      </w:r>
      <w:r>
        <w:t xml:space="preserve"> except </w:t>
      </w:r>
      <w:r w:rsidR="00C52A5F">
        <w:t xml:space="preserve">for </w:t>
      </w:r>
      <w:r>
        <w:t>the ACT (</w:t>
      </w:r>
      <w:r w:rsidR="007F18CA">
        <w:t xml:space="preserve">where </w:t>
      </w:r>
      <w:r w:rsidR="00C52A5F">
        <w:t xml:space="preserve">residents accounted for </w:t>
      </w:r>
      <w:r w:rsidR="009E7E1C">
        <w:t>91.3</w:t>
      </w:r>
      <w:r>
        <w:t xml:space="preserve"> per cent</w:t>
      </w:r>
      <w:r w:rsidR="00C52A5F">
        <w:t xml:space="preserve"> of those screened in the 2010–2011 reference period</w:t>
      </w:r>
      <w:r>
        <w:t xml:space="preserve">). </w:t>
      </w:r>
      <w:r w:rsidRPr="00C107E6">
        <w:rPr>
          <w:rStyle w:val="NoteLabel"/>
        </w:rPr>
        <w:t>c</w:t>
      </w:r>
      <w:r>
        <w:t xml:space="preserve"> The estimated resident population (ERP) is computed as the average of the ERP in each calendar year of the reference period. </w:t>
      </w:r>
      <w:r w:rsidR="00011082" w:rsidRPr="00011082">
        <w:t>ERPs to June 2011 are revised to the ABS’ final 2011 Census rebased ERPs. The final ERP</w:t>
      </w:r>
      <w:r w:rsidR="00011082">
        <w:t>s</w:t>
      </w:r>
      <w:r w:rsidR="00011082" w:rsidRPr="00011082">
        <w:t xml:space="preserve"> replace the preliminary 2006 Census based ERPs used in the 2013 Report. ERP data </w:t>
      </w:r>
      <w:r w:rsidR="00011082">
        <w:t>for June 2012</w:t>
      </w:r>
      <w:r w:rsidR="00011082" w:rsidRPr="00011082">
        <w:t xml:space="preserve"> are first preliminary estimates based on the 2011 Census. See Chapter 2 (table 2A.1-2) for details.</w:t>
      </w:r>
      <w:r w:rsidR="00947EDF">
        <w:t xml:space="preserve"> </w:t>
      </w:r>
      <w:r w:rsidRPr="00C107E6">
        <w:rPr>
          <w:rStyle w:val="NoteLabel"/>
        </w:rPr>
        <w:t>d</w:t>
      </w:r>
      <w:r w:rsidR="008E1DE3">
        <w:t> </w:t>
      </w:r>
      <w:r>
        <w:t xml:space="preserve">Rates are standardised to the 2001 </w:t>
      </w:r>
      <w:r w:rsidR="006A489A">
        <w:t>Australian population standard.</w:t>
      </w:r>
    </w:p>
    <w:p w:rsidR="00C107E6" w:rsidRDefault="00C107E6">
      <w:pPr>
        <w:pStyle w:val="Source"/>
      </w:pPr>
      <w:r>
        <w:rPr>
          <w:i/>
        </w:rPr>
        <w:t>Source</w:t>
      </w:r>
      <w:r w:rsidRPr="00167F06">
        <w:t xml:space="preserve">: </w:t>
      </w:r>
      <w:r>
        <w:t>State and Territory governments (unpublished); ABS (</w:t>
      </w:r>
      <w:r w:rsidR="00F75880">
        <w:t xml:space="preserve">2008, </w:t>
      </w:r>
      <w:r>
        <w:t>2009</w:t>
      </w:r>
      <w:r w:rsidR="00F75880">
        <w:t>, 2010</w:t>
      </w:r>
      <w:r w:rsidR="000A2286">
        <w:t>, 2011</w:t>
      </w:r>
      <w:r>
        <w:t xml:space="preserve">) </w:t>
      </w:r>
      <w:r w:rsidRPr="00F75880">
        <w:rPr>
          <w:i/>
        </w:rPr>
        <w:t xml:space="preserve">Population by Age and Sex, </w:t>
      </w:r>
      <w:smartTag w:uri="urn:schemas-microsoft-com:office:smarttags" w:element="place">
        <w:smartTag w:uri="urn:schemas-microsoft-com:office:smarttags" w:element="PlaceName">
          <w:r w:rsidRPr="00F75880">
            <w:rPr>
              <w:i/>
            </w:rPr>
            <w:t>Australian</w:t>
          </w:r>
        </w:smartTag>
        <w:r w:rsidRPr="00F75880">
          <w:rPr>
            <w:i/>
          </w:rPr>
          <w:t xml:space="preserve"> </w:t>
        </w:r>
        <w:smartTag w:uri="urn:schemas-microsoft-com:office:smarttags" w:element="PlaceType">
          <w:r w:rsidRPr="00F75880">
            <w:rPr>
              <w:i/>
            </w:rPr>
            <w:t>States</w:t>
          </w:r>
        </w:smartTag>
      </w:smartTag>
      <w:r w:rsidRPr="00F75880">
        <w:rPr>
          <w:i/>
        </w:rPr>
        <w:t xml:space="preserve"> and Territories</w:t>
      </w:r>
      <w:r w:rsidR="00F75880">
        <w:rPr>
          <w:i/>
        </w:rPr>
        <w:t xml:space="preserve"> </w:t>
      </w:r>
      <w:r w:rsidR="00F75880">
        <w:t>(various years)</w:t>
      </w:r>
      <w:r>
        <w:t xml:space="preserve">, Cat. no. 3201.0; tables </w:t>
      </w:r>
      <w:r w:rsidR="00EC4BB2">
        <w:t>11A.8</w:t>
      </w:r>
      <w:r w:rsidR="00311943">
        <w:t>3</w:t>
      </w:r>
      <w:r>
        <w:t xml:space="preserve">, </w:t>
      </w:r>
      <w:r w:rsidR="003F3FB0">
        <w:t>11A.</w:t>
      </w:r>
      <w:r w:rsidR="00BE6366">
        <w:t>8</w:t>
      </w:r>
      <w:r w:rsidR="00311943">
        <w:t>4</w:t>
      </w:r>
      <w:r>
        <w:t>.</w:t>
      </w:r>
    </w:p>
    <w:p w:rsidR="002A4BFF" w:rsidRDefault="00A27AEA" w:rsidP="00A27AEA">
      <w:pPr>
        <w:pStyle w:val="BodyText"/>
      </w:pPr>
      <w:r w:rsidRPr="008424C4">
        <w:t>Indigenous wo</w:t>
      </w:r>
      <w:r w:rsidR="00DE19FE">
        <w:t>men, women from non</w:t>
      </w:r>
      <w:r w:rsidR="00DE19FE">
        <w:noBreakHyphen/>
      </w:r>
      <w:r w:rsidRPr="008424C4">
        <w:t>English speaking backgrounds (NESB) and women living in outer regional, remote and very remote areas can experience particular language, cultural and geographic barriers to accessing breast cancer screening.</w:t>
      </w:r>
      <w:r>
        <w:t xml:space="preserve"> </w:t>
      </w:r>
      <w:r w:rsidR="00B927EB" w:rsidRPr="00B927EB">
        <w:t>Participation rates for community groups at</w:t>
      </w:r>
      <w:r w:rsidR="00297202">
        <w:t xml:space="preserve"> or close to</w:t>
      </w:r>
      <w:r w:rsidR="00B927EB" w:rsidRPr="00B927EB">
        <w:t xml:space="preserve"> those for the total population indicate equitable access to early detection services.</w:t>
      </w:r>
      <w:r w:rsidR="008D2303">
        <w:t xml:space="preserve"> </w:t>
      </w:r>
      <w:r w:rsidR="008D2303" w:rsidRPr="00D72BFA">
        <w:t>Care needs to be taken when comparing data across jurisdictions as there is variation in the collection of Indigenous and NESB identification data</w:t>
      </w:r>
      <w:r w:rsidR="008D2303">
        <w:t>,</w:t>
      </w:r>
      <w:r w:rsidR="008D2303" w:rsidRPr="00D72BFA">
        <w:t xml:space="preserve"> and in the collectio</w:t>
      </w:r>
      <w:r w:rsidR="008D2303">
        <w:t xml:space="preserve">n of residential postcodes data. Updated State and Territory data for participation rate by remoteness area </w:t>
      </w:r>
      <w:r w:rsidR="00C14146">
        <w:t>were</w:t>
      </w:r>
      <w:r w:rsidR="008D2303">
        <w:t xml:space="preserve"> unavailable for the </w:t>
      </w:r>
      <w:r w:rsidR="008D2303" w:rsidRPr="00E662AF">
        <w:t>2014</w:t>
      </w:r>
      <w:r w:rsidR="008D2303">
        <w:t xml:space="preserve"> Report </w:t>
      </w:r>
      <w:r w:rsidR="008D2303" w:rsidRPr="00A73D31">
        <w:t xml:space="preserve">— data for </w:t>
      </w:r>
      <w:r w:rsidR="00DC029C" w:rsidRPr="00A73D31">
        <w:t xml:space="preserve">2009–2010 and </w:t>
      </w:r>
      <w:r w:rsidR="008D2303" w:rsidRPr="00A73D31">
        <w:t>previous years</w:t>
      </w:r>
      <w:r w:rsidR="00DC029C" w:rsidRPr="00A73D31">
        <w:t>,</w:t>
      </w:r>
      <w:r w:rsidR="008D2303" w:rsidRPr="00A73D31">
        <w:t xml:space="preserve"> as well as nationa</w:t>
      </w:r>
      <w:r w:rsidR="008D2303">
        <w:t xml:space="preserve">l data for </w:t>
      </w:r>
      <w:r w:rsidR="008D2303" w:rsidRPr="00E662AF">
        <w:t>2010–2011</w:t>
      </w:r>
      <w:r w:rsidR="008D2303">
        <w:t xml:space="preserve"> are reported in table 11A.</w:t>
      </w:r>
      <w:r w:rsidR="00BE6366">
        <w:t>8</w:t>
      </w:r>
      <w:r w:rsidR="00311943">
        <w:t>7</w:t>
      </w:r>
      <w:r w:rsidR="008D2303">
        <w:t>.</w:t>
      </w:r>
    </w:p>
    <w:p w:rsidR="00E0658E" w:rsidRPr="00C14146" w:rsidRDefault="00DE19FE" w:rsidP="00C14146">
      <w:pPr>
        <w:pStyle w:val="BodyText"/>
        <w:rPr>
          <w:rStyle w:val="DraftingNote"/>
          <w:b w:val="0"/>
          <w:color w:val="auto"/>
          <w:sz w:val="26"/>
          <w:u w:val="none"/>
        </w:rPr>
      </w:pPr>
      <w:r>
        <w:t>P</w:t>
      </w:r>
      <w:r w:rsidRPr="00B927EB">
        <w:t>articipation rate</w:t>
      </w:r>
      <w:r>
        <w:t>s</w:t>
      </w:r>
      <w:r w:rsidRPr="00B927EB">
        <w:t xml:space="preserve"> in the BreastScreen Australia Program </w:t>
      </w:r>
      <w:r w:rsidR="001302A8">
        <w:t>for</w:t>
      </w:r>
      <w:r w:rsidRPr="00B927EB">
        <w:t xml:space="preserve"> women from selected community groups</w:t>
      </w:r>
      <w:r w:rsidR="009821C3">
        <w:t xml:space="preserve"> are shown in table 11.8</w:t>
      </w:r>
      <w:r>
        <w:t xml:space="preserve">. </w:t>
      </w:r>
      <w:r w:rsidR="008424C4" w:rsidRPr="00D72BFA">
        <w:t xml:space="preserve">In the 24 month period </w:t>
      </w:r>
      <w:r w:rsidR="00D571B0" w:rsidRPr="00E662AF">
        <w:t>20</w:t>
      </w:r>
      <w:r w:rsidR="00F808B9" w:rsidRPr="00E662AF">
        <w:t>1</w:t>
      </w:r>
      <w:r w:rsidR="00E662AF" w:rsidRPr="00E662AF">
        <w:t>1</w:t>
      </w:r>
      <w:r w:rsidR="008424C4" w:rsidRPr="00E662AF">
        <w:t xml:space="preserve"> and 20</w:t>
      </w:r>
      <w:r w:rsidR="00D571B0" w:rsidRPr="00E662AF">
        <w:t>1</w:t>
      </w:r>
      <w:r w:rsidR="00E662AF" w:rsidRPr="00E662AF">
        <w:t>2</w:t>
      </w:r>
      <w:r w:rsidR="008424C4" w:rsidRPr="00D72BFA">
        <w:t xml:space="preserve">, the national age standardised participation rate for Indigenous women aged 50–69 </w:t>
      </w:r>
      <w:r w:rsidR="008D4BC8">
        <w:lastRenderedPageBreak/>
        <w:t>years</w:t>
      </w:r>
      <w:r w:rsidR="00E0658E">
        <w:t xml:space="preserve"> was </w:t>
      </w:r>
      <w:r w:rsidR="00E662AF">
        <w:t>37.7 </w:t>
      </w:r>
      <w:r w:rsidR="008424C4" w:rsidRPr="00D72BFA">
        <w:t>per cent</w:t>
      </w:r>
      <w:r w:rsidR="00E0658E">
        <w:t xml:space="preserve"> (</w:t>
      </w:r>
      <w:r w:rsidR="00E0658E" w:rsidRPr="00D72BFA">
        <w:t xml:space="preserve">table </w:t>
      </w:r>
      <w:r w:rsidR="00BE6366">
        <w:t>11A.8</w:t>
      </w:r>
      <w:r w:rsidR="00311943">
        <w:t>5</w:t>
      </w:r>
      <w:r w:rsidR="00E0658E">
        <w:t>). A low participation rate can in part reflect u</w:t>
      </w:r>
      <w:r w:rsidR="00E0658E" w:rsidRPr="00D72BFA">
        <w:t>nder-reporting of Indigenous status in screening program records</w:t>
      </w:r>
      <w:r w:rsidR="008D2303">
        <w:t>.</w:t>
      </w:r>
      <w:r w:rsidR="009B7EB5">
        <w:t xml:space="preserve"> Rates for Indigenous women are derived using projected populations based on the 2006 Census and are not comparable with rates for all women or NESB women which are derived using ERPs based on the 2011 Census.</w:t>
      </w:r>
    </w:p>
    <w:p w:rsidR="00E43788" w:rsidRDefault="00E0658E" w:rsidP="008D2303">
      <w:pPr>
        <w:pStyle w:val="BodyText"/>
      </w:pPr>
      <w:r w:rsidRPr="00D72BFA">
        <w:t xml:space="preserve">In the 24 month period </w:t>
      </w:r>
      <w:r w:rsidRPr="00E662AF">
        <w:t>2011 and 2012</w:t>
      </w:r>
      <w:r w:rsidRPr="00D72BFA">
        <w:t xml:space="preserve">, the national age standardised participation rate for </w:t>
      </w:r>
      <w:r>
        <w:t xml:space="preserve">NESB </w:t>
      </w:r>
      <w:r w:rsidRPr="00D72BFA">
        <w:t xml:space="preserve">women aged 50–69 </w:t>
      </w:r>
      <w:r>
        <w:t xml:space="preserve">years </w:t>
      </w:r>
      <w:r w:rsidR="008D2303">
        <w:t xml:space="preserve">was </w:t>
      </w:r>
      <w:r w:rsidR="00E662AF">
        <w:t>50.6</w:t>
      </w:r>
      <w:r w:rsidR="008424C4" w:rsidRPr="00D72BFA">
        <w:t xml:space="preserve"> per cent</w:t>
      </w:r>
      <w:r w:rsidR="008D2303">
        <w:t>,</w:t>
      </w:r>
      <w:r w:rsidR="008424C4" w:rsidRPr="00D72BFA">
        <w:t xml:space="preserve"> </w:t>
      </w:r>
      <w:r w:rsidR="008D2303" w:rsidRPr="00D72BFA">
        <w:t xml:space="preserve">lower than </w:t>
      </w:r>
      <w:r w:rsidR="008D2303" w:rsidRPr="008D2303">
        <w:t xml:space="preserve">the total participation rate in that age group </w:t>
      </w:r>
      <w:r w:rsidR="008D2303" w:rsidRPr="00D72BFA">
        <w:t>(</w:t>
      </w:r>
      <w:r w:rsidR="008D2303">
        <w:t>54.5 </w:t>
      </w:r>
      <w:r w:rsidR="008D2303" w:rsidRPr="00D72BFA">
        <w:t>per cent)</w:t>
      </w:r>
      <w:r w:rsidR="008D2303">
        <w:t xml:space="preserve"> (</w:t>
      </w:r>
      <w:r w:rsidR="008D2303" w:rsidRPr="00D72BFA">
        <w:t>table</w:t>
      </w:r>
      <w:r w:rsidR="00BE6366">
        <w:t xml:space="preserve"> 11A.8</w:t>
      </w:r>
      <w:r w:rsidR="00311943">
        <w:t>6</w:t>
      </w:r>
      <w:r w:rsidR="008D2303">
        <w:t>)</w:t>
      </w:r>
      <w:r w:rsidR="008D2303" w:rsidRPr="00D72BFA">
        <w:t xml:space="preserve">. </w:t>
      </w:r>
    </w:p>
    <w:p w:rsidR="00A21E61" w:rsidRPr="00A21E61" w:rsidRDefault="00A21E61">
      <w:pPr>
        <w:pStyle w:val="TableTitle"/>
      </w:pPr>
      <w:r>
        <w:rPr>
          <w:b w:val="0"/>
        </w:rPr>
        <w:t xml:space="preserve">Table </w:t>
      </w:r>
      <w:r w:rsidR="001F5DD4">
        <w:rPr>
          <w:b w:val="0"/>
        </w:rPr>
        <w:t>11.</w:t>
      </w:r>
      <w:r w:rsidR="009821C3">
        <w:rPr>
          <w:b w:val="0"/>
          <w:noProof/>
        </w:rPr>
        <w:t>8</w:t>
      </w:r>
      <w:r>
        <w:tab/>
      </w:r>
      <w:r w:rsidRPr="00A21E61">
        <w:t xml:space="preserve">Age standardised participation rate </w:t>
      </w:r>
      <w:r w:rsidR="001302A8">
        <w:t>for</w:t>
      </w:r>
      <w:r w:rsidRPr="00A21E61">
        <w:t xml:space="preserve"> women aged </w:t>
      </w:r>
      <w:r w:rsidR="00F010CB">
        <w:br/>
      </w:r>
      <w:r w:rsidRPr="00A21E61">
        <w:t>50–69 years from selected communities in BreastScreen Australia programs, 20</w:t>
      </w:r>
      <w:r w:rsidR="005B0E05">
        <w:t>1</w:t>
      </w:r>
      <w:r w:rsidR="0042499A">
        <w:t>1</w:t>
      </w:r>
      <w:r w:rsidRPr="00A21E61">
        <w:t xml:space="preserve"> </w:t>
      </w:r>
      <w:r>
        <w:t>and 201</w:t>
      </w:r>
      <w:r w:rsidR="0042499A">
        <w:t>2</w:t>
      </w:r>
      <w:r>
        <w:t xml:space="preserve"> (24 month period) (per </w:t>
      </w:r>
      <w:r w:rsidRPr="00A21E61">
        <w:t>cent)</w:t>
      </w:r>
      <w:r w:rsidRPr="00A21E61">
        <w:rPr>
          <w:rStyle w:val="NoteLabel"/>
          <w:b/>
        </w:rPr>
        <w:t>a, b</w:t>
      </w:r>
      <w:r>
        <w:rPr>
          <w:rStyle w:val="NoteLabel"/>
          <w:b/>
        </w:rPr>
        <w:t>, c</w:t>
      </w:r>
      <w:r w:rsidR="00E0658E">
        <w:rPr>
          <w:rStyle w:val="NoteLabel"/>
          <w:b/>
        </w:rPr>
        <w:t>, d, e, f</w:t>
      </w:r>
    </w:p>
    <w:tbl>
      <w:tblPr>
        <w:tblW w:w="5036" w:type="pct"/>
        <w:tblCellMar>
          <w:left w:w="0" w:type="dxa"/>
          <w:right w:w="0" w:type="dxa"/>
        </w:tblCellMar>
        <w:tblLook w:val="0000" w:firstRow="0" w:lastRow="0" w:firstColumn="0" w:lastColumn="0" w:noHBand="0" w:noVBand="0"/>
      </w:tblPr>
      <w:tblGrid>
        <w:gridCol w:w="2697"/>
        <w:gridCol w:w="863"/>
        <w:gridCol w:w="634"/>
        <w:gridCol w:w="690"/>
        <w:gridCol w:w="552"/>
        <w:gridCol w:w="671"/>
        <w:gridCol w:w="644"/>
        <w:gridCol w:w="710"/>
        <w:gridCol w:w="699"/>
        <w:gridCol w:w="692"/>
      </w:tblGrid>
      <w:tr w:rsidR="00BC1476" w:rsidTr="00BC1476">
        <w:tc>
          <w:tcPr>
            <w:tcW w:w="1523" w:type="pct"/>
            <w:tcBorders>
              <w:top w:val="single" w:sz="6" w:space="0" w:color="auto"/>
            </w:tcBorders>
          </w:tcPr>
          <w:p w:rsidR="00BC1476" w:rsidRDefault="00BC1476" w:rsidP="00BC1476">
            <w:pPr>
              <w:spacing w:before="40" w:afterLines="40" w:after="96"/>
              <w:ind w:right="57"/>
              <w:rPr>
                <w:rFonts w:ascii="Arial" w:hAnsi="Arial" w:cs="Arial"/>
                <w:sz w:val="20"/>
                <w:szCs w:val="20"/>
              </w:rPr>
            </w:pPr>
          </w:p>
        </w:tc>
        <w:tc>
          <w:tcPr>
            <w:tcW w:w="487" w:type="pct"/>
            <w:tcBorders>
              <w:top w:val="single" w:sz="6" w:space="0" w:color="auto"/>
            </w:tcBorders>
          </w:tcPr>
          <w:p w:rsidR="00BC1476" w:rsidRPr="00501480" w:rsidRDefault="00BC1476" w:rsidP="00501480">
            <w:pPr>
              <w:pStyle w:val="TableColumnHeading"/>
            </w:pPr>
            <w:r w:rsidRPr="00501480">
              <w:t>NSW</w:t>
            </w:r>
          </w:p>
        </w:tc>
        <w:tc>
          <w:tcPr>
            <w:tcW w:w="358" w:type="pct"/>
            <w:tcBorders>
              <w:top w:val="single" w:sz="6" w:space="0" w:color="auto"/>
            </w:tcBorders>
          </w:tcPr>
          <w:p w:rsidR="00BC1476" w:rsidRPr="00501480" w:rsidRDefault="00BC1476" w:rsidP="00501480">
            <w:pPr>
              <w:pStyle w:val="TableColumnHeading"/>
            </w:pPr>
            <w:r w:rsidRPr="00501480">
              <w:t>Vic</w:t>
            </w:r>
          </w:p>
        </w:tc>
        <w:tc>
          <w:tcPr>
            <w:tcW w:w="390" w:type="pct"/>
            <w:tcBorders>
              <w:top w:val="single" w:sz="6" w:space="0" w:color="auto"/>
            </w:tcBorders>
          </w:tcPr>
          <w:p w:rsidR="00BC1476" w:rsidRPr="00501480" w:rsidRDefault="00BC1476" w:rsidP="00501480">
            <w:pPr>
              <w:pStyle w:val="TableColumnHeading"/>
            </w:pPr>
            <w:r w:rsidRPr="00501480">
              <w:t>Qld</w:t>
            </w:r>
          </w:p>
        </w:tc>
        <w:tc>
          <w:tcPr>
            <w:tcW w:w="312" w:type="pct"/>
            <w:tcBorders>
              <w:top w:val="single" w:sz="6" w:space="0" w:color="auto"/>
            </w:tcBorders>
          </w:tcPr>
          <w:p w:rsidR="00BC1476" w:rsidRPr="00501480" w:rsidRDefault="00BC1476" w:rsidP="00501480">
            <w:pPr>
              <w:pStyle w:val="TableColumnHeading"/>
            </w:pPr>
            <w:r w:rsidRPr="00501480">
              <w:t>WA</w:t>
            </w:r>
          </w:p>
        </w:tc>
        <w:tc>
          <w:tcPr>
            <w:tcW w:w="379" w:type="pct"/>
            <w:tcBorders>
              <w:top w:val="single" w:sz="6" w:space="0" w:color="auto"/>
            </w:tcBorders>
          </w:tcPr>
          <w:p w:rsidR="00BC1476" w:rsidRPr="00501480" w:rsidRDefault="00BC1476" w:rsidP="00501480">
            <w:pPr>
              <w:pStyle w:val="TableColumnHeading"/>
            </w:pPr>
            <w:r w:rsidRPr="00501480">
              <w:t>SA</w:t>
            </w:r>
          </w:p>
        </w:tc>
        <w:tc>
          <w:tcPr>
            <w:tcW w:w="364" w:type="pct"/>
            <w:tcBorders>
              <w:top w:val="single" w:sz="6" w:space="0" w:color="auto"/>
            </w:tcBorders>
          </w:tcPr>
          <w:p w:rsidR="00BC1476" w:rsidRPr="00501480" w:rsidRDefault="00BC1476" w:rsidP="00501480">
            <w:pPr>
              <w:pStyle w:val="TableColumnHeading"/>
              <w:rPr>
                <w:rStyle w:val="NoteLabel"/>
                <w:b w:val="0"/>
                <w:position w:val="0"/>
                <w:sz w:val="20"/>
              </w:rPr>
            </w:pPr>
            <w:r w:rsidRPr="00501480">
              <w:t>Tas</w:t>
            </w:r>
          </w:p>
        </w:tc>
        <w:tc>
          <w:tcPr>
            <w:tcW w:w="401" w:type="pct"/>
            <w:tcBorders>
              <w:top w:val="single" w:sz="6" w:space="0" w:color="auto"/>
            </w:tcBorders>
          </w:tcPr>
          <w:p w:rsidR="00BC1476" w:rsidRPr="00501480" w:rsidRDefault="00BC1476" w:rsidP="00501480">
            <w:pPr>
              <w:pStyle w:val="TableColumnHeading"/>
              <w:rPr>
                <w:rStyle w:val="NoteLabel"/>
                <w:b w:val="0"/>
                <w:position w:val="0"/>
                <w:sz w:val="20"/>
              </w:rPr>
            </w:pPr>
            <w:r w:rsidRPr="00501480">
              <w:t>ACT</w:t>
            </w:r>
            <w:r w:rsidR="00B41504" w:rsidRPr="00501480">
              <w:rPr>
                <w:rStyle w:val="NoteLabel"/>
              </w:rPr>
              <w:t>d</w:t>
            </w:r>
          </w:p>
        </w:tc>
        <w:tc>
          <w:tcPr>
            <w:tcW w:w="395" w:type="pct"/>
            <w:tcBorders>
              <w:top w:val="single" w:sz="6" w:space="0" w:color="auto"/>
            </w:tcBorders>
          </w:tcPr>
          <w:p w:rsidR="00BC1476" w:rsidRPr="00501480" w:rsidRDefault="00BC1476" w:rsidP="00501480">
            <w:pPr>
              <w:pStyle w:val="TableColumnHeading"/>
            </w:pPr>
            <w:r w:rsidRPr="00501480">
              <w:t>NT</w:t>
            </w:r>
          </w:p>
        </w:tc>
        <w:tc>
          <w:tcPr>
            <w:tcW w:w="391" w:type="pct"/>
            <w:tcBorders>
              <w:top w:val="single" w:sz="6" w:space="0" w:color="auto"/>
            </w:tcBorders>
          </w:tcPr>
          <w:p w:rsidR="00BC1476" w:rsidRPr="00501480" w:rsidRDefault="00BC1476" w:rsidP="00501480">
            <w:pPr>
              <w:pStyle w:val="TableColumnHeading"/>
            </w:pPr>
            <w:r w:rsidRPr="00501480">
              <w:t>Aust</w:t>
            </w:r>
          </w:p>
        </w:tc>
      </w:tr>
      <w:tr w:rsidR="00E662AF" w:rsidRPr="00C124F7" w:rsidTr="00E662AF">
        <w:tc>
          <w:tcPr>
            <w:tcW w:w="1523" w:type="pct"/>
            <w:tcBorders>
              <w:top w:val="single" w:sz="6" w:space="0" w:color="auto"/>
            </w:tcBorders>
            <w:vAlign w:val="bottom"/>
          </w:tcPr>
          <w:p w:rsidR="00E662AF" w:rsidRPr="00C124F7" w:rsidRDefault="00E662AF" w:rsidP="00BC1476">
            <w:pPr>
              <w:spacing w:before="40" w:afterLines="40" w:after="96"/>
              <w:ind w:right="57"/>
              <w:rPr>
                <w:rFonts w:ascii="Arial" w:hAnsi="Arial" w:cs="Arial"/>
                <w:sz w:val="20"/>
                <w:szCs w:val="20"/>
              </w:rPr>
            </w:pPr>
            <w:r w:rsidRPr="00C124F7">
              <w:rPr>
                <w:rFonts w:ascii="Arial" w:hAnsi="Arial" w:cs="Arial"/>
                <w:sz w:val="20"/>
                <w:szCs w:val="20"/>
              </w:rPr>
              <w:t>Indigenous</w:t>
            </w:r>
            <w:r w:rsidRPr="00C124F7">
              <w:rPr>
                <w:rStyle w:val="NoteLabel"/>
                <w:rFonts w:cs="Arial"/>
                <w:sz w:val="20"/>
                <w:szCs w:val="20"/>
              </w:rPr>
              <w:t>e</w:t>
            </w:r>
          </w:p>
        </w:tc>
        <w:tc>
          <w:tcPr>
            <w:tcW w:w="487" w:type="pct"/>
            <w:tcBorders>
              <w:top w:val="single" w:sz="6" w:space="0" w:color="auto"/>
            </w:tcBorders>
            <w:shd w:val="clear" w:color="auto" w:fill="auto"/>
            <w:vAlign w:val="bottom"/>
          </w:tcPr>
          <w:p w:rsidR="00E662AF" w:rsidRPr="00464C9A" w:rsidRDefault="00E662AF" w:rsidP="00E662AF">
            <w:pPr>
              <w:pStyle w:val="TableBodyText"/>
            </w:pPr>
            <w:r w:rsidRPr="00464C9A">
              <w:t>36.4</w:t>
            </w:r>
          </w:p>
        </w:tc>
        <w:tc>
          <w:tcPr>
            <w:tcW w:w="358" w:type="pct"/>
            <w:tcBorders>
              <w:top w:val="single" w:sz="6" w:space="0" w:color="auto"/>
            </w:tcBorders>
            <w:shd w:val="clear" w:color="auto" w:fill="auto"/>
            <w:vAlign w:val="bottom"/>
          </w:tcPr>
          <w:p w:rsidR="00E662AF" w:rsidRPr="00464C9A" w:rsidRDefault="00E662AF" w:rsidP="00E662AF">
            <w:pPr>
              <w:pStyle w:val="TableBodyText"/>
            </w:pPr>
            <w:r w:rsidRPr="00464C9A">
              <w:t>30.5</w:t>
            </w:r>
          </w:p>
        </w:tc>
        <w:tc>
          <w:tcPr>
            <w:tcW w:w="390" w:type="pct"/>
            <w:tcBorders>
              <w:top w:val="single" w:sz="6" w:space="0" w:color="auto"/>
            </w:tcBorders>
            <w:shd w:val="clear" w:color="auto" w:fill="auto"/>
            <w:vAlign w:val="bottom"/>
          </w:tcPr>
          <w:p w:rsidR="00E662AF" w:rsidRPr="00464C9A" w:rsidRDefault="00E662AF" w:rsidP="00E662AF">
            <w:pPr>
              <w:pStyle w:val="TableBodyText"/>
            </w:pPr>
            <w:r w:rsidRPr="00464C9A">
              <w:t>47.7</w:t>
            </w:r>
          </w:p>
        </w:tc>
        <w:tc>
          <w:tcPr>
            <w:tcW w:w="312" w:type="pct"/>
            <w:tcBorders>
              <w:top w:val="single" w:sz="6" w:space="0" w:color="auto"/>
            </w:tcBorders>
            <w:shd w:val="clear" w:color="auto" w:fill="auto"/>
            <w:vAlign w:val="bottom"/>
          </w:tcPr>
          <w:p w:rsidR="00E662AF" w:rsidRPr="00464C9A" w:rsidRDefault="00E662AF" w:rsidP="00E662AF">
            <w:pPr>
              <w:pStyle w:val="TableBodyText"/>
            </w:pPr>
            <w:r w:rsidRPr="00464C9A">
              <w:t>36.9</w:t>
            </w:r>
          </w:p>
        </w:tc>
        <w:tc>
          <w:tcPr>
            <w:tcW w:w="379" w:type="pct"/>
            <w:tcBorders>
              <w:top w:val="single" w:sz="6" w:space="0" w:color="auto"/>
            </w:tcBorders>
            <w:shd w:val="clear" w:color="auto" w:fill="auto"/>
            <w:vAlign w:val="bottom"/>
          </w:tcPr>
          <w:p w:rsidR="00E662AF" w:rsidRPr="00464C9A" w:rsidRDefault="00E662AF" w:rsidP="00E662AF">
            <w:pPr>
              <w:pStyle w:val="TableBodyText"/>
            </w:pPr>
            <w:r w:rsidRPr="00464C9A">
              <w:t>34.0</w:t>
            </w:r>
          </w:p>
        </w:tc>
        <w:tc>
          <w:tcPr>
            <w:tcW w:w="364" w:type="pct"/>
            <w:tcBorders>
              <w:top w:val="single" w:sz="6" w:space="0" w:color="auto"/>
            </w:tcBorders>
            <w:shd w:val="clear" w:color="auto" w:fill="auto"/>
            <w:vAlign w:val="bottom"/>
          </w:tcPr>
          <w:p w:rsidR="00E662AF" w:rsidRPr="00464C9A" w:rsidRDefault="00E662AF" w:rsidP="00E662AF">
            <w:pPr>
              <w:pStyle w:val="TableBodyText"/>
            </w:pPr>
            <w:r w:rsidRPr="00464C9A">
              <w:t>47.5</w:t>
            </w:r>
          </w:p>
        </w:tc>
        <w:tc>
          <w:tcPr>
            <w:tcW w:w="401" w:type="pct"/>
            <w:tcBorders>
              <w:top w:val="single" w:sz="6" w:space="0" w:color="auto"/>
            </w:tcBorders>
            <w:shd w:val="clear" w:color="auto" w:fill="auto"/>
            <w:vAlign w:val="bottom"/>
          </w:tcPr>
          <w:p w:rsidR="00E662AF" w:rsidRPr="00464C9A" w:rsidRDefault="00E662AF" w:rsidP="00E662AF">
            <w:pPr>
              <w:pStyle w:val="TableBodyText"/>
            </w:pPr>
            <w:r w:rsidRPr="00464C9A">
              <w:t>50.1</w:t>
            </w:r>
          </w:p>
        </w:tc>
        <w:tc>
          <w:tcPr>
            <w:tcW w:w="395" w:type="pct"/>
            <w:tcBorders>
              <w:top w:val="single" w:sz="6" w:space="0" w:color="auto"/>
            </w:tcBorders>
            <w:shd w:val="clear" w:color="auto" w:fill="auto"/>
            <w:vAlign w:val="bottom"/>
          </w:tcPr>
          <w:p w:rsidR="00E662AF" w:rsidRPr="00464C9A" w:rsidRDefault="00E662AF" w:rsidP="00E662AF">
            <w:pPr>
              <w:pStyle w:val="TableBodyText"/>
            </w:pPr>
            <w:r w:rsidRPr="00464C9A">
              <w:t>24.6</w:t>
            </w:r>
          </w:p>
        </w:tc>
        <w:tc>
          <w:tcPr>
            <w:tcW w:w="391" w:type="pct"/>
            <w:tcBorders>
              <w:top w:val="single" w:sz="6" w:space="0" w:color="auto"/>
            </w:tcBorders>
            <w:shd w:val="clear" w:color="auto" w:fill="auto"/>
            <w:vAlign w:val="bottom"/>
          </w:tcPr>
          <w:p w:rsidR="00E662AF" w:rsidRPr="00464C9A" w:rsidRDefault="00E662AF" w:rsidP="00E662AF">
            <w:pPr>
              <w:pStyle w:val="TableBodyText"/>
            </w:pPr>
            <w:r w:rsidRPr="00464C9A">
              <w:t>37.7</w:t>
            </w:r>
          </w:p>
        </w:tc>
      </w:tr>
      <w:tr w:rsidR="00E662AF" w:rsidRPr="003B0E27" w:rsidTr="00E662AF">
        <w:tc>
          <w:tcPr>
            <w:tcW w:w="1523" w:type="pct"/>
            <w:vAlign w:val="bottom"/>
          </w:tcPr>
          <w:p w:rsidR="00E662AF" w:rsidRPr="00C124F7" w:rsidRDefault="00E662AF" w:rsidP="00BC1476">
            <w:pPr>
              <w:spacing w:afterLines="40" w:after="96"/>
              <w:ind w:right="57"/>
              <w:rPr>
                <w:rFonts w:ascii="Arial" w:hAnsi="Arial" w:cs="Arial"/>
                <w:sz w:val="20"/>
                <w:szCs w:val="20"/>
              </w:rPr>
            </w:pPr>
            <w:r w:rsidRPr="00C124F7">
              <w:rPr>
                <w:rFonts w:ascii="Arial" w:hAnsi="Arial" w:cs="Arial"/>
                <w:sz w:val="20"/>
                <w:szCs w:val="20"/>
              </w:rPr>
              <w:t>NESB</w:t>
            </w:r>
            <w:r w:rsidRPr="00C124F7">
              <w:rPr>
                <w:rStyle w:val="NoteLabel"/>
                <w:rFonts w:cs="Arial"/>
                <w:sz w:val="20"/>
                <w:szCs w:val="20"/>
              </w:rPr>
              <w:t>f</w:t>
            </w:r>
          </w:p>
        </w:tc>
        <w:tc>
          <w:tcPr>
            <w:tcW w:w="487" w:type="pct"/>
            <w:shd w:val="clear" w:color="auto" w:fill="auto"/>
            <w:vAlign w:val="bottom"/>
          </w:tcPr>
          <w:p w:rsidR="00E662AF" w:rsidRPr="00464C9A" w:rsidRDefault="00E662AF" w:rsidP="00E662AF">
            <w:pPr>
              <w:pStyle w:val="TableBodyText"/>
            </w:pPr>
            <w:r w:rsidRPr="00464C9A">
              <w:t>46.8</w:t>
            </w:r>
          </w:p>
        </w:tc>
        <w:tc>
          <w:tcPr>
            <w:tcW w:w="358" w:type="pct"/>
            <w:shd w:val="clear" w:color="auto" w:fill="auto"/>
            <w:vAlign w:val="bottom"/>
          </w:tcPr>
          <w:p w:rsidR="00E662AF" w:rsidRPr="00464C9A" w:rsidRDefault="00E662AF" w:rsidP="00E662AF">
            <w:pPr>
              <w:pStyle w:val="TableBodyText"/>
            </w:pPr>
            <w:r w:rsidRPr="00464C9A">
              <w:t>50.7</w:t>
            </w:r>
          </w:p>
        </w:tc>
        <w:tc>
          <w:tcPr>
            <w:tcW w:w="390" w:type="pct"/>
            <w:shd w:val="clear" w:color="auto" w:fill="auto"/>
            <w:vAlign w:val="bottom"/>
          </w:tcPr>
          <w:p w:rsidR="00E662AF" w:rsidRPr="00464C9A" w:rsidRDefault="00E662AF" w:rsidP="00E662AF">
            <w:pPr>
              <w:pStyle w:val="TableBodyText"/>
            </w:pPr>
            <w:r w:rsidRPr="00464C9A">
              <w:t>62.2</w:t>
            </w:r>
          </w:p>
        </w:tc>
        <w:tc>
          <w:tcPr>
            <w:tcW w:w="312" w:type="pct"/>
            <w:shd w:val="clear" w:color="auto" w:fill="auto"/>
            <w:vAlign w:val="bottom"/>
          </w:tcPr>
          <w:p w:rsidR="00E662AF" w:rsidRPr="00464C9A" w:rsidRDefault="00E662AF" w:rsidP="00E662AF">
            <w:pPr>
              <w:pStyle w:val="TableBodyText"/>
            </w:pPr>
            <w:r w:rsidRPr="00464C9A">
              <w:t>64.2</w:t>
            </w:r>
          </w:p>
        </w:tc>
        <w:tc>
          <w:tcPr>
            <w:tcW w:w="379" w:type="pct"/>
            <w:shd w:val="clear" w:color="auto" w:fill="auto"/>
            <w:vAlign w:val="bottom"/>
          </w:tcPr>
          <w:p w:rsidR="00E662AF" w:rsidRPr="00464C9A" w:rsidRDefault="00E662AF" w:rsidP="00E662AF">
            <w:pPr>
              <w:pStyle w:val="TableBodyText"/>
            </w:pPr>
            <w:r w:rsidRPr="00464C9A">
              <w:t>52.1</w:t>
            </w:r>
          </w:p>
        </w:tc>
        <w:tc>
          <w:tcPr>
            <w:tcW w:w="364" w:type="pct"/>
            <w:shd w:val="clear" w:color="auto" w:fill="auto"/>
            <w:vAlign w:val="bottom"/>
          </w:tcPr>
          <w:p w:rsidR="00E662AF" w:rsidRPr="00464C9A" w:rsidRDefault="00E662AF" w:rsidP="00E662AF">
            <w:pPr>
              <w:pStyle w:val="TableBodyText"/>
            </w:pPr>
            <w:r w:rsidRPr="00464C9A">
              <w:t>44.1</w:t>
            </w:r>
          </w:p>
        </w:tc>
        <w:tc>
          <w:tcPr>
            <w:tcW w:w="401" w:type="pct"/>
            <w:shd w:val="clear" w:color="auto" w:fill="auto"/>
            <w:vAlign w:val="bottom"/>
          </w:tcPr>
          <w:p w:rsidR="00E662AF" w:rsidRPr="00464C9A" w:rsidRDefault="00E662AF" w:rsidP="00E662AF">
            <w:pPr>
              <w:pStyle w:val="TableBodyText"/>
            </w:pPr>
            <w:r w:rsidRPr="00464C9A">
              <w:t>19.0</w:t>
            </w:r>
          </w:p>
        </w:tc>
        <w:tc>
          <w:tcPr>
            <w:tcW w:w="395" w:type="pct"/>
            <w:shd w:val="clear" w:color="auto" w:fill="auto"/>
            <w:vAlign w:val="bottom"/>
          </w:tcPr>
          <w:p w:rsidR="00E662AF" w:rsidRPr="00464C9A" w:rsidRDefault="00E662AF" w:rsidP="00E662AF">
            <w:pPr>
              <w:pStyle w:val="TableBodyText"/>
            </w:pPr>
            <w:r w:rsidRPr="00464C9A">
              <w:t>37.8</w:t>
            </w:r>
          </w:p>
        </w:tc>
        <w:tc>
          <w:tcPr>
            <w:tcW w:w="391" w:type="pct"/>
            <w:shd w:val="clear" w:color="auto" w:fill="auto"/>
            <w:vAlign w:val="bottom"/>
          </w:tcPr>
          <w:p w:rsidR="00E662AF" w:rsidRPr="00464C9A" w:rsidRDefault="00E662AF" w:rsidP="00E662AF">
            <w:pPr>
              <w:pStyle w:val="TableBodyText"/>
            </w:pPr>
            <w:r w:rsidRPr="00464C9A">
              <w:t>50.6</w:t>
            </w:r>
          </w:p>
        </w:tc>
      </w:tr>
      <w:tr w:rsidR="00E662AF" w:rsidTr="00E662AF">
        <w:trPr>
          <w:trHeight w:val="333"/>
        </w:trPr>
        <w:tc>
          <w:tcPr>
            <w:tcW w:w="1523" w:type="pct"/>
            <w:tcBorders>
              <w:bottom w:val="single" w:sz="6" w:space="0" w:color="auto"/>
            </w:tcBorders>
            <w:shd w:val="clear" w:color="auto" w:fill="auto"/>
            <w:vAlign w:val="bottom"/>
          </w:tcPr>
          <w:p w:rsidR="00E662AF" w:rsidRPr="003B0E27" w:rsidRDefault="00E662AF" w:rsidP="00BC1476">
            <w:pPr>
              <w:spacing w:afterLines="40" w:after="96"/>
              <w:ind w:right="57"/>
              <w:rPr>
                <w:rFonts w:ascii="Arial" w:hAnsi="Arial" w:cs="Arial"/>
                <w:sz w:val="20"/>
                <w:szCs w:val="20"/>
                <w:highlight w:val="lightGray"/>
              </w:rPr>
            </w:pPr>
            <w:r w:rsidRPr="0016770C">
              <w:rPr>
                <w:rFonts w:ascii="Arial" w:hAnsi="Arial" w:cs="Arial"/>
                <w:sz w:val="20"/>
                <w:szCs w:val="20"/>
              </w:rPr>
              <w:t>All women aged 50–69 years</w:t>
            </w:r>
          </w:p>
        </w:tc>
        <w:tc>
          <w:tcPr>
            <w:tcW w:w="487" w:type="pct"/>
            <w:tcBorders>
              <w:bottom w:val="single" w:sz="6" w:space="0" w:color="auto"/>
            </w:tcBorders>
            <w:shd w:val="clear" w:color="auto" w:fill="auto"/>
            <w:vAlign w:val="bottom"/>
          </w:tcPr>
          <w:p w:rsidR="00E662AF" w:rsidRPr="00464C9A" w:rsidRDefault="00E662AF" w:rsidP="00E662AF">
            <w:pPr>
              <w:pStyle w:val="TableBodyText"/>
            </w:pPr>
            <w:r w:rsidRPr="00464C9A">
              <w:t>50.4</w:t>
            </w:r>
          </w:p>
        </w:tc>
        <w:tc>
          <w:tcPr>
            <w:tcW w:w="358" w:type="pct"/>
            <w:tcBorders>
              <w:bottom w:val="single" w:sz="6" w:space="0" w:color="auto"/>
            </w:tcBorders>
            <w:shd w:val="clear" w:color="auto" w:fill="auto"/>
            <w:vAlign w:val="bottom"/>
          </w:tcPr>
          <w:p w:rsidR="00E662AF" w:rsidRPr="00464C9A" w:rsidRDefault="00E662AF" w:rsidP="00E662AF">
            <w:pPr>
              <w:pStyle w:val="TableBodyText"/>
            </w:pPr>
            <w:r w:rsidRPr="00464C9A">
              <w:t>54.3</w:t>
            </w:r>
          </w:p>
        </w:tc>
        <w:tc>
          <w:tcPr>
            <w:tcW w:w="390" w:type="pct"/>
            <w:tcBorders>
              <w:bottom w:val="single" w:sz="6" w:space="0" w:color="auto"/>
            </w:tcBorders>
            <w:shd w:val="clear" w:color="auto" w:fill="auto"/>
            <w:vAlign w:val="bottom"/>
          </w:tcPr>
          <w:p w:rsidR="00E662AF" w:rsidRPr="00464C9A" w:rsidRDefault="00E662AF" w:rsidP="00E662AF">
            <w:pPr>
              <w:pStyle w:val="TableBodyText"/>
            </w:pPr>
            <w:r w:rsidRPr="00464C9A">
              <w:t>57.1</w:t>
            </w:r>
          </w:p>
        </w:tc>
        <w:tc>
          <w:tcPr>
            <w:tcW w:w="312" w:type="pct"/>
            <w:tcBorders>
              <w:bottom w:val="single" w:sz="6" w:space="0" w:color="auto"/>
            </w:tcBorders>
            <w:shd w:val="clear" w:color="auto" w:fill="auto"/>
            <w:vAlign w:val="bottom"/>
          </w:tcPr>
          <w:p w:rsidR="00E662AF" w:rsidRPr="00464C9A" w:rsidRDefault="00E662AF" w:rsidP="00E662AF">
            <w:pPr>
              <w:pStyle w:val="TableBodyText"/>
            </w:pPr>
            <w:r w:rsidRPr="00464C9A">
              <w:t>57.8</w:t>
            </w:r>
          </w:p>
        </w:tc>
        <w:tc>
          <w:tcPr>
            <w:tcW w:w="379" w:type="pct"/>
            <w:tcBorders>
              <w:bottom w:val="single" w:sz="6" w:space="0" w:color="auto"/>
            </w:tcBorders>
            <w:shd w:val="clear" w:color="auto" w:fill="auto"/>
            <w:vAlign w:val="bottom"/>
          </w:tcPr>
          <w:p w:rsidR="00E662AF" w:rsidRPr="00464C9A" w:rsidRDefault="00E662AF" w:rsidP="00E662AF">
            <w:pPr>
              <w:pStyle w:val="TableBodyText"/>
            </w:pPr>
            <w:r w:rsidRPr="00464C9A">
              <w:t>58.8</w:t>
            </w:r>
          </w:p>
        </w:tc>
        <w:tc>
          <w:tcPr>
            <w:tcW w:w="364" w:type="pct"/>
            <w:tcBorders>
              <w:bottom w:val="single" w:sz="6" w:space="0" w:color="auto"/>
            </w:tcBorders>
            <w:shd w:val="clear" w:color="auto" w:fill="auto"/>
            <w:vAlign w:val="bottom"/>
          </w:tcPr>
          <w:p w:rsidR="00E662AF" w:rsidRPr="00464C9A" w:rsidRDefault="00E662AF" w:rsidP="00E662AF">
            <w:pPr>
              <w:pStyle w:val="TableBodyText"/>
            </w:pPr>
            <w:r w:rsidRPr="00464C9A">
              <w:t>57.8</w:t>
            </w:r>
          </w:p>
        </w:tc>
        <w:tc>
          <w:tcPr>
            <w:tcW w:w="401" w:type="pct"/>
            <w:tcBorders>
              <w:bottom w:val="single" w:sz="6" w:space="0" w:color="auto"/>
            </w:tcBorders>
            <w:shd w:val="clear" w:color="auto" w:fill="auto"/>
            <w:vAlign w:val="bottom"/>
          </w:tcPr>
          <w:p w:rsidR="00E662AF" w:rsidRPr="00464C9A" w:rsidRDefault="00E662AF" w:rsidP="00E662AF">
            <w:pPr>
              <w:pStyle w:val="TableBodyText"/>
            </w:pPr>
            <w:r w:rsidRPr="00464C9A">
              <w:t>53.5</w:t>
            </w:r>
          </w:p>
        </w:tc>
        <w:tc>
          <w:tcPr>
            <w:tcW w:w="395" w:type="pct"/>
            <w:tcBorders>
              <w:bottom w:val="single" w:sz="6" w:space="0" w:color="auto"/>
            </w:tcBorders>
            <w:shd w:val="clear" w:color="auto" w:fill="auto"/>
            <w:vAlign w:val="bottom"/>
          </w:tcPr>
          <w:p w:rsidR="00E662AF" w:rsidRPr="00464C9A" w:rsidRDefault="00E662AF" w:rsidP="00E662AF">
            <w:pPr>
              <w:pStyle w:val="TableBodyText"/>
            </w:pPr>
            <w:r w:rsidRPr="00464C9A">
              <w:t>41.6</w:t>
            </w:r>
          </w:p>
        </w:tc>
        <w:tc>
          <w:tcPr>
            <w:tcW w:w="391" w:type="pct"/>
            <w:tcBorders>
              <w:bottom w:val="single" w:sz="6" w:space="0" w:color="auto"/>
            </w:tcBorders>
            <w:shd w:val="clear" w:color="auto" w:fill="auto"/>
            <w:vAlign w:val="bottom"/>
          </w:tcPr>
          <w:p w:rsidR="00E662AF" w:rsidRDefault="00E662AF" w:rsidP="00E662AF">
            <w:pPr>
              <w:pStyle w:val="TableBodyText"/>
            </w:pPr>
            <w:r w:rsidRPr="00464C9A">
              <w:t>54.5</w:t>
            </w:r>
          </w:p>
        </w:tc>
      </w:tr>
    </w:tbl>
    <w:p w:rsidR="00A21E61" w:rsidRDefault="00A21E61" w:rsidP="00A21E61">
      <w:pPr>
        <w:pStyle w:val="Note"/>
      </w:pPr>
      <w:r w:rsidRPr="00A21E61">
        <w:rPr>
          <w:rStyle w:val="NoteLabel"/>
        </w:rPr>
        <w:t>a</w:t>
      </w:r>
      <w:r>
        <w:rPr>
          <w:rFonts w:cs="Arial"/>
        </w:rPr>
        <w:t xml:space="preserve"> </w:t>
      </w:r>
      <w:r w:rsidRPr="00A21E61">
        <w:t xml:space="preserve">First and subsequent rounds. </w:t>
      </w:r>
      <w:r w:rsidRPr="00A21E61">
        <w:rPr>
          <w:rStyle w:val="NoteLabel"/>
        </w:rPr>
        <w:t>b</w:t>
      </w:r>
      <w:r w:rsidRPr="00A21E61">
        <w:t xml:space="preserve"> Rates are standardised to the Australian population</w:t>
      </w:r>
      <w:r w:rsidR="00D661F3">
        <w:t xml:space="preserve"> at 30 June 2001</w:t>
      </w:r>
      <w:r w:rsidRPr="00A21E61">
        <w:t>.</w:t>
      </w:r>
      <w:r w:rsidRPr="00A21E61">
        <w:rPr>
          <w:rStyle w:val="NoteLabel"/>
        </w:rPr>
        <w:t xml:space="preserve"> c</w:t>
      </w:r>
      <w:r>
        <w:t> </w:t>
      </w:r>
      <w:r w:rsidRPr="00A21E61">
        <w:t>Data reported for this measure are not directly comparable.</w:t>
      </w:r>
      <w:r>
        <w:t xml:space="preserve"> </w:t>
      </w:r>
      <w:r w:rsidR="00B41504" w:rsidRPr="00A21E61">
        <w:rPr>
          <w:rStyle w:val="NoteLabel"/>
        </w:rPr>
        <w:t>d</w:t>
      </w:r>
      <w:r w:rsidR="00B41504" w:rsidRPr="00A21E61">
        <w:t xml:space="preserve"> </w:t>
      </w:r>
      <w:r w:rsidR="00B41504">
        <w:t>Women resident in the jurisdiction represent over 99 per cent of women screened in each jurisdiction except the ACT (</w:t>
      </w:r>
      <w:r w:rsidR="009D2E7B">
        <w:t>91.3</w:t>
      </w:r>
      <w:r w:rsidR="00B41504">
        <w:t xml:space="preserve"> per cent</w:t>
      </w:r>
      <w:r w:rsidR="009D2E7B">
        <w:t xml:space="preserve"> in 2010</w:t>
      </w:r>
      <w:r w:rsidR="009D2E7B" w:rsidRPr="0016770C">
        <w:rPr>
          <w:rFonts w:cs="Arial"/>
          <w:sz w:val="20"/>
        </w:rPr>
        <w:t>–</w:t>
      </w:r>
      <w:r w:rsidR="009D2E7B">
        <w:rPr>
          <w:rFonts w:cs="Arial"/>
          <w:sz w:val="20"/>
        </w:rPr>
        <w:t>2011</w:t>
      </w:r>
      <w:r w:rsidR="00B41504">
        <w:t xml:space="preserve">). </w:t>
      </w:r>
      <w:r w:rsidR="00B41504">
        <w:rPr>
          <w:rStyle w:val="NoteLabel"/>
        </w:rPr>
        <w:t>e</w:t>
      </w:r>
      <w:r w:rsidRPr="00A21E61">
        <w:t xml:space="preserve"> Women who self-identify as being of Aboriginal and/or Torres Strait Islander descent. </w:t>
      </w:r>
      <w:r w:rsidR="00B41504">
        <w:rPr>
          <w:rStyle w:val="NoteLabel"/>
        </w:rPr>
        <w:t>f</w:t>
      </w:r>
      <w:r w:rsidRPr="00A21E61">
        <w:t xml:space="preserve"> NESB is defined as speaking a language other than English at home.</w:t>
      </w:r>
    </w:p>
    <w:p w:rsidR="00A21E61" w:rsidRDefault="00A21E61" w:rsidP="00A21E61">
      <w:pPr>
        <w:pStyle w:val="Source"/>
      </w:pPr>
      <w:r>
        <w:rPr>
          <w:i/>
        </w:rPr>
        <w:t>Source</w:t>
      </w:r>
      <w:r>
        <w:t xml:space="preserve">: </w:t>
      </w:r>
      <w:r w:rsidRPr="00A21E61">
        <w:t>State and Territory governments (unpublished); ABS (20</w:t>
      </w:r>
      <w:r>
        <w:t>1</w:t>
      </w:r>
      <w:r w:rsidR="001F5DD4">
        <w:t>1</w:t>
      </w:r>
      <w:r w:rsidRPr="00A21E61">
        <w:t xml:space="preserve">) </w:t>
      </w:r>
      <w:r w:rsidRPr="00A21E61">
        <w:rPr>
          <w:i/>
        </w:rPr>
        <w:t xml:space="preserve">Population by Age and Sex, </w:t>
      </w:r>
      <w:smartTag w:uri="urn:schemas-microsoft-com:office:smarttags" w:element="place">
        <w:smartTag w:uri="urn:schemas-microsoft-com:office:smarttags" w:element="PlaceName">
          <w:r w:rsidRPr="00A21E61">
            <w:rPr>
              <w:i/>
            </w:rPr>
            <w:t>Australian</w:t>
          </w:r>
        </w:smartTag>
        <w:r w:rsidRPr="00A21E61">
          <w:rPr>
            <w:i/>
          </w:rPr>
          <w:t xml:space="preserve"> </w:t>
        </w:r>
        <w:smartTag w:uri="urn:schemas-microsoft-com:office:smarttags" w:element="PlaceType">
          <w:r w:rsidRPr="00A21E61">
            <w:rPr>
              <w:i/>
            </w:rPr>
            <w:t>States</w:t>
          </w:r>
        </w:smartTag>
      </w:smartTag>
      <w:r w:rsidRPr="00A21E61">
        <w:rPr>
          <w:i/>
        </w:rPr>
        <w:t xml:space="preserve"> and Territories</w:t>
      </w:r>
      <w:r w:rsidRPr="00A21E61">
        <w:t>, June 20</w:t>
      </w:r>
      <w:r>
        <w:t>1</w:t>
      </w:r>
      <w:r w:rsidR="001F5DD4">
        <w:t>1</w:t>
      </w:r>
      <w:r w:rsidRPr="00A21E61">
        <w:t xml:space="preserve">, Cat. no. 3201.0; ABS (unpublished) Experimental Estimates And Projections, Aboriginal And Torres Strait Islander Australians, 1991 to 2021, Cat. no. 3238.0; ABS (unpublished) 2006 Census of Population and Housing; tables </w:t>
      </w:r>
      <w:r w:rsidR="00BE6366">
        <w:t>11A.</w:t>
      </w:r>
      <w:r w:rsidR="00852217">
        <w:t>8</w:t>
      </w:r>
      <w:r w:rsidR="00311943">
        <w:t>3</w:t>
      </w:r>
      <w:r w:rsidR="00D605C5">
        <w:t>–</w:t>
      </w:r>
      <w:r w:rsidR="00BE6366">
        <w:t>11A.8</w:t>
      </w:r>
      <w:r w:rsidR="00311943">
        <w:t>6</w:t>
      </w:r>
      <w:r w:rsidRPr="00A21E61">
        <w:t>.</w:t>
      </w:r>
    </w:p>
    <w:p w:rsidR="00480CFE" w:rsidRPr="00701FDC" w:rsidRDefault="00480CFE" w:rsidP="00EB3C27">
      <w:pPr>
        <w:pStyle w:val="Heading5"/>
      </w:pPr>
      <w:r w:rsidRPr="00701FDC">
        <w:t>Participation for women in cervical screening</w:t>
      </w:r>
    </w:p>
    <w:p w:rsidR="00F2021D" w:rsidRPr="00200C93" w:rsidRDefault="00480CFE" w:rsidP="00944E91">
      <w:pPr>
        <w:pStyle w:val="BodyText"/>
      </w:pPr>
      <w:r w:rsidRPr="00701FDC">
        <w:t xml:space="preserve">‘Participation for women in cervical screening’ is an indicator of </w:t>
      </w:r>
      <w:r w:rsidR="00F2021D">
        <w:t xml:space="preserve">governments’ objective to reduce morbidity and mortality attributable to cervical cancer through the provision of early detection services </w:t>
      </w:r>
      <w:r w:rsidR="006022D9">
        <w:t>(</w:t>
      </w:r>
      <w:smartTag w:uri="urn:schemas-microsoft-com:office:smarttags" w:element="address">
        <w:smartTag w:uri="urn:schemas-microsoft-com:office:smarttags" w:element="Street">
          <w:r w:rsidR="006022D9">
            <w:t>box</w:t>
          </w:r>
        </w:smartTag>
        <w:r w:rsidR="006022D9">
          <w:t> </w:t>
        </w:r>
        <w:r w:rsidR="00445562" w:rsidRPr="00D571B0">
          <w:t>11.2</w:t>
        </w:r>
        <w:r w:rsidR="00D571B0" w:rsidRPr="00D571B0">
          <w:t>2</w:t>
        </w:r>
      </w:smartTag>
      <w:r w:rsidR="00F2021D">
        <w:t>).</w:t>
      </w:r>
    </w:p>
    <w:p w:rsidR="00701FDC" w:rsidRDefault="00701FDC" w:rsidP="00701FDC">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6C64" w:rsidTr="00701FDC">
        <w:tc>
          <w:tcPr>
            <w:tcW w:w="8771" w:type="dxa"/>
            <w:tcBorders>
              <w:top w:val="single" w:sz="6" w:space="0" w:color="auto"/>
              <w:bottom w:val="nil"/>
            </w:tcBorders>
          </w:tcPr>
          <w:p w:rsidR="00716C64" w:rsidRPr="00480CFE" w:rsidRDefault="00716C64" w:rsidP="00031744">
            <w:pPr>
              <w:pStyle w:val="BoxTitle"/>
            </w:pPr>
            <w:smartTag w:uri="urn:schemas-microsoft-com:office:smarttags" w:element="Street">
              <w:r>
                <w:rPr>
                  <w:b w:val="0"/>
                </w:rPr>
                <w:t>Box</w:t>
              </w:r>
            </w:smartTag>
            <w:r>
              <w:rPr>
                <w:b w:val="0"/>
              </w:rPr>
              <w:t xml:space="preserve"> </w:t>
            </w:r>
            <w:bookmarkStart w:id="63" w:name="OLE_LINK41"/>
            <w:r w:rsidR="00EC42DB">
              <w:rPr>
                <w:b w:val="0"/>
              </w:rPr>
              <w:t>11.</w:t>
            </w:r>
            <w:r w:rsidR="00C44281">
              <w:rPr>
                <w:b w:val="0"/>
                <w:noProof/>
              </w:rPr>
              <w:t>22</w:t>
            </w:r>
            <w:bookmarkEnd w:id="63"/>
            <w:r>
              <w:tab/>
            </w:r>
            <w:r w:rsidRPr="00480CFE">
              <w:t>Participation for women in cervical screening</w:t>
            </w:r>
          </w:p>
        </w:tc>
      </w:tr>
      <w:tr w:rsidR="00716C64" w:rsidTr="00701FDC">
        <w:trPr>
          <w:cantSplit/>
        </w:trPr>
        <w:tc>
          <w:tcPr>
            <w:tcW w:w="8771" w:type="dxa"/>
            <w:tcBorders>
              <w:top w:val="nil"/>
              <w:left w:val="single" w:sz="6" w:space="0" w:color="auto"/>
              <w:bottom w:val="nil"/>
              <w:right w:val="single" w:sz="6" w:space="0" w:color="auto"/>
            </w:tcBorders>
          </w:tcPr>
          <w:p w:rsidR="00716C64" w:rsidRDefault="00F2021D" w:rsidP="009821EC">
            <w:pPr>
              <w:pStyle w:val="Box"/>
            </w:pPr>
            <w:r w:rsidRPr="00F2021D">
              <w:t xml:space="preserve">‘Participation for women in cervical screening’ </w:t>
            </w:r>
            <w:r w:rsidR="00716C64">
              <w:t xml:space="preserve">is defined as the number of women aged 20–69 years who are screened over a two year period, </w:t>
            </w:r>
            <w:r w:rsidR="00973D0E">
              <w:t>divided by</w:t>
            </w:r>
            <w:r>
              <w:t xml:space="preserve"> </w:t>
            </w:r>
            <w:r w:rsidR="00973D0E">
              <w:t xml:space="preserve">the estimated population of </w:t>
            </w:r>
            <w:r w:rsidR="00017B7C">
              <w:t xml:space="preserve">eligible </w:t>
            </w:r>
            <w:r>
              <w:t>women aged 20–69 years</w:t>
            </w:r>
            <w:r w:rsidR="00973D0E">
              <w:t xml:space="preserve"> and reported as a rate</w:t>
            </w:r>
            <w:r>
              <w:t>.</w:t>
            </w:r>
            <w:r w:rsidR="00017B7C">
              <w:t xml:space="preserve"> Eligible women are those who have not had a hysterectomy.</w:t>
            </w:r>
          </w:p>
          <w:p w:rsidR="00716C64" w:rsidRDefault="00716C64" w:rsidP="00370694">
            <w:pPr>
              <w:pStyle w:val="Box"/>
            </w:pPr>
            <w:r>
              <w:t>A</w:t>
            </w:r>
            <w:r w:rsidR="00787A85">
              <w:t xml:space="preserve"> high or increasing</w:t>
            </w:r>
            <w:r>
              <w:t xml:space="preserve"> proportion of </w:t>
            </w:r>
            <w:r w:rsidR="00B93BC0">
              <w:t xml:space="preserve">eligible </w:t>
            </w:r>
            <w:r>
              <w:t xml:space="preserve">women aged 20–69 years who have been screened </w:t>
            </w:r>
            <w:r w:rsidR="00F2021D">
              <w:t>is desirable</w:t>
            </w:r>
            <w:r w:rsidR="00F000A2">
              <w:t>.</w:t>
            </w:r>
          </w:p>
          <w:p w:rsidR="002901E0" w:rsidRDefault="002901E0" w:rsidP="002901E0">
            <w:pPr>
              <w:pStyle w:val="Box"/>
            </w:pPr>
            <w:r>
              <w:t>Data reported against this indicator are:</w:t>
            </w:r>
          </w:p>
          <w:p w:rsidR="002901E0" w:rsidRDefault="002901E0" w:rsidP="002901E0">
            <w:pPr>
              <w:pStyle w:val="BoxListBullet"/>
            </w:pPr>
            <w:r>
              <w:t>comparable (subject to caveats) across jurisdictions and over time</w:t>
            </w:r>
          </w:p>
          <w:p w:rsidR="00723DEC" w:rsidRDefault="00723DEC" w:rsidP="00723DEC">
            <w:pPr>
              <w:pStyle w:val="BoxListBullet"/>
            </w:pPr>
            <w:r>
              <w:t>complete (subject to caveats) for the current reporting period. All required data for the 24 month period 2011 and 2012 are available for all jurisdictions.</w:t>
            </w:r>
          </w:p>
          <w:p w:rsidR="00BC5B5C" w:rsidRPr="00BC5B5C" w:rsidRDefault="00355023" w:rsidP="00355023">
            <w:pPr>
              <w:pStyle w:val="Box"/>
            </w:pPr>
            <w:r w:rsidRPr="0027351B">
              <w:t xml:space="preserve">Data quality information </w:t>
            </w:r>
            <w:r w:rsidR="00743531" w:rsidRPr="00743531">
              <w:t>f</w:t>
            </w:r>
            <w:r w:rsidR="00743531">
              <w:t xml:space="preserve">or this indicator is at </w:t>
            </w:r>
            <w:r w:rsidR="00743531" w:rsidRPr="00743531">
              <w:t>www.pc.gov.au/gsp/reports/</w:t>
            </w:r>
            <w:r w:rsidR="009E5543">
              <w:t>rogs/2014</w:t>
            </w:r>
            <w:r w:rsidR="00743531" w:rsidRPr="00743531">
              <w:t>.</w:t>
            </w:r>
          </w:p>
        </w:tc>
      </w:tr>
      <w:tr w:rsidR="00716C64" w:rsidTr="00701FDC">
        <w:trPr>
          <w:cantSplit/>
        </w:trPr>
        <w:tc>
          <w:tcPr>
            <w:tcW w:w="8771" w:type="dxa"/>
            <w:tcBorders>
              <w:top w:val="nil"/>
              <w:left w:val="single" w:sz="6" w:space="0" w:color="auto"/>
              <w:bottom w:val="single" w:sz="6" w:space="0" w:color="auto"/>
              <w:right w:val="single" w:sz="6" w:space="0" w:color="auto"/>
            </w:tcBorders>
          </w:tcPr>
          <w:p w:rsidR="00716C64" w:rsidRDefault="00716C64" w:rsidP="00031744">
            <w:pPr>
              <w:pStyle w:val="Box"/>
              <w:spacing w:before="0" w:line="120" w:lineRule="exact"/>
            </w:pPr>
          </w:p>
        </w:tc>
      </w:tr>
      <w:tr w:rsidR="00716C64" w:rsidTr="00701FDC">
        <w:tc>
          <w:tcPr>
            <w:tcW w:w="8771" w:type="dxa"/>
            <w:tcBorders>
              <w:top w:val="nil"/>
              <w:left w:val="nil"/>
              <w:bottom w:val="nil"/>
              <w:right w:val="nil"/>
            </w:tcBorders>
          </w:tcPr>
          <w:p w:rsidR="00716C64" w:rsidRDefault="00716C64" w:rsidP="00031744">
            <w:pPr>
              <w:pStyle w:val="Box"/>
              <w:keepNext w:val="0"/>
              <w:spacing w:before="60" w:after="60" w:line="80" w:lineRule="exact"/>
              <w:rPr>
                <w:b/>
                <w:color w:val="FF00FF"/>
                <w:sz w:val="14"/>
              </w:rPr>
            </w:pPr>
          </w:p>
        </w:tc>
      </w:tr>
    </w:tbl>
    <w:p w:rsidR="00C161F3" w:rsidRDefault="00D81B9C" w:rsidP="00C161F3">
      <w:pPr>
        <w:pStyle w:val="BodyText"/>
      </w:pPr>
      <w:r w:rsidRPr="00F2021D">
        <w:t>It</w:t>
      </w:r>
      <w:r>
        <w:t xml:space="preserve"> is estimated that up to 90 per </w:t>
      </w:r>
      <w:r w:rsidRPr="00F2021D">
        <w:t xml:space="preserve">cent of the most common type of cervical cancer (squamous cervical cancer) </w:t>
      </w:r>
      <w:r w:rsidR="00A9643F">
        <w:t>can</w:t>
      </w:r>
      <w:r w:rsidRPr="00F2021D">
        <w:t xml:space="preserve"> be prevented if cell changes are detected and treated ea</w:t>
      </w:r>
      <w:r>
        <w:t>rl</w:t>
      </w:r>
      <w:r w:rsidR="00A9643F">
        <w:t>y (</w:t>
      </w:r>
      <w:r w:rsidR="006C2E5E">
        <w:t>Department of Health</w:t>
      </w:r>
      <w:r w:rsidR="00A9643F">
        <w:t xml:space="preserve"> </w:t>
      </w:r>
      <w:r w:rsidR="00A9643F" w:rsidRPr="006A489A">
        <w:t>20</w:t>
      </w:r>
      <w:r w:rsidR="002C07F1">
        <w:t>12</w:t>
      </w:r>
      <w:r w:rsidR="00A9643F" w:rsidRPr="006A489A">
        <w:t>; Mitchell, Hocking and</w:t>
      </w:r>
      <w:r w:rsidRPr="006A489A">
        <w:t xml:space="preserve"> Saville 2003</w:t>
      </w:r>
      <w:r w:rsidRPr="00F2021D">
        <w:t>). A range of healthcare providers offe</w:t>
      </w:r>
      <w:r>
        <w:t>r cervical screening tests (</w:t>
      </w:r>
      <w:r w:rsidR="00925C6E">
        <w:t>P</w:t>
      </w:r>
      <w:r>
        <w:t>ap </w:t>
      </w:r>
      <w:r w:rsidRPr="00F2021D">
        <w:t>smears). The National Cervical Screening Program involves GPs, gynaecologists, family planning clinics and hospital outpatient clinics.</w:t>
      </w:r>
    </w:p>
    <w:p w:rsidR="00B810AE" w:rsidRPr="00C14146" w:rsidRDefault="0071006C" w:rsidP="00C14146">
      <w:pPr>
        <w:pStyle w:val="BodyText"/>
        <w:rPr>
          <w:rStyle w:val="DraftingNote"/>
          <w:b w:val="0"/>
          <w:color w:val="auto"/>
          <w:sz w:val="26"/>
          <w:u w:val="none"/>
        </w:rPr>
      </w:pPr>
      <w:r>
        <w:t>T</w:t>
      </w:r>
      <w:r w:rsidRPr="0071006C">
        <w:t xml:space="preserve">he national age-standardised participation rate for women aged 20–69 years in cervical screening </w:t>
      </w:r>
      <w:r w:rsidR="009579C4">
        <w:t xml:space="preserve">dropped </w:t>
      </w:r>
      <w:r w:rsidR="009579C4" w:rsidRPr="007A4C05">
        <w:t>from 59.</w:t>
      </w:r>
      <w:r w:rsidR="007A4C05" w:rsidRPr="007A4C05">
        <w:t>8</w:t>
      </w:r>
      <w:r w:rsidRPr="007A4C05">
        <w:t xml:space="preserve"> </w:t>
      </w:r>
      <w:r w:rsidR="009579C4" w:rsidRPr="007A4C05">
        <w:t>per cent</w:t>
      </w:r>
      <w:r w:rsidR="009579C4" w:rsidRPr="0071006C">
        <w:t xml:space="preserve"> </w:t>
      </w:r>
      <w:r w:rsidR="009579C4">
        <w:t>f</w:t>
      </w:r>
      <w:r w:rsidR="009579C4" w:rsidRPr="0071006C">
        <w:t xml:space="preserve">or the 24 month period </w:t>
      </w:r>
      <w:r w:rsidR="009579C4">
        <w:t xml:space="preserve">1 </w:t>
      </w:r>
      <w:r w:rsidR="009579C4" w:rsidRPr="00117908">
        <w:t xml:space="preserve">January </w:t>
      </w:r>
      <w:r w:rsidR="009579C4" w:rsidRPr="006E5535">
        <w:t>200</w:t>
      </w:r>
      <w:r w:rsidR="007A4C05">
        <w:t>7</w:t>
      </w:r>
      <w:r w:rsidR="009579C4" w:rsidRPr="00117908">
        <w:t xml:space="preserve"> to 31 December </w:t>
      </w:r>
      <w:r w:rsidR="009579C4" w:rsidRPr="006E5535">
        <w:t>20</w:t>
      </w:r>
      <w:r w:rsidR="00EF6909" w:rsidRPr="006E5535">
        <w:t>0</w:t>
      </w:r>
      <w:r w:rsidR="007A4C05">
        <w:t>8</w:t>
      </w:r>
      <w:r w:rsidR="009579C4">
        <w:t xml:space="preserve"> to </w:t>
      </w:r>
      <w:r w:rsidR="001F5DD4">
        <w:t>57.</w:t>
      </w:r>
      <w:r w:rsidR="007A4C05">
        <w:t>7</w:t>
      </w:r>
      <w:r w:rsidRPr="0071006C">
        <w:t xml:space="preserve"> per cent </w:t>
      </w:r>
      <w:r>
        <w:t>f</w:t>
      </w:r>
      <w:r w:rsidR="00B810AE" w:rsidRPr="0071006C">
        <w:t xml:space="preserve">or the </w:t>
      </w:r>
      <w:r w:rsidRPr="0071006C">
        <w:t>24 month</w:t>
      </w:r>
      <w:r w:rsidR="009579C4">
        <w:t>s</w:t>
      </w:r>
      <w:r w:rsidRPr="0071006C">
        <w:t xml:space="preserve"> </w:t>
      </w:r>
      <w:r w:rsidR="00F966B0">
        <w:t xml:space="preserve">1 </w:t>
      </w:r>
      <w:r w:rsidR="00F966B0" w:rsidRPr="00117908">
        <w:t xml:space="preserve">January </w:t>
      </w:r>
      <w:r w:rsidR="00B810AE" w:rsidRPr="007A4C05">
        <w:t>20</w:t>
      </w:r>
      <w:r w:rsidR="001F5DD4" w:rsidRPr="007A4C05">
        <w:t>1</w:t>
      </w:r>
      <w:r w:rsidR="007A4C05" w:rsidRPr="007A4C05">
        <w:t>1</w:t>
      </w:r>
      <w:r w:rsidRPr="007A4C05">
        <w:t xml:space="preserve"> </w:t>
      </w:r>
      <w:r w:rsidR="00EF09A8" w:rsidRPr="007A4C05">
        <w:t>to 31 </w:t>
      </w:r>
      <w:r w:rsidR="00F966B0" w:rsidRPr="007A4C05">
        <w:t>December</w:t>
      </w:r>
      <w:r w:rsidR="006022D9" w:rsidRPr="007A4C05">
        <w:t> </w:t>
      </w:r>
      <w:r w:rsidR="00B810AE" w:rsidRPr="007A4C05">
        <w:t>20</w:t>
      </w:r>
      <w:r w:rsidR="00117908" w:rsidRPr="007A4C05">
        <w:t>1</w:t>
      </w:r>
      <w:r w:rsidR="007A4C05" w:rsidRPr="007A4C05">
        <w:t>2</w:t>
      </w:r>
      <w:r w:rsidR="00117908" w:rsidRPr="00117908">
        <w:t xml:space="preserve"> </w:t>
      </w:r>
      <w:r w:rsidR="0097132C" w:rsidRPr="00117908">
        <w:t>(figure </w:t>
      </w:r>
      <w:r w:rsidR="006B2C0D" w:rsidRPr="00117908">
        <w:t>11.</w:t>
      </w:r>
      <w:r w:rsidR="00AA0FDD">
        <w:t>4</w:t>
      </w:r>
      <w:r w:rsidR="00CA25A8">
        <w:t>7</w:t>
      </w:r>
      <w:r w:rsidRPr="00117908">
        <w:t>).</w:t>
      </w:r>
      <w:r w:rsidRPr="0071006C">
        <w:t xml:space="preserve"> </w:t>
      </w:r>
      <w:r>
        <w:t xml:space="preserve">For most jurisdictions, </w:t>
      </w:r>
      <w:r w:rsidR="00853B71">
        <w:t>p</w:t>
      </w:r>
      <w:r w:rsidR="00853B71" w:rsidRPr="0071006C">
        <w:t xml:space="preserve">articipation rates </w:t>
      </w:r>
      <w:r w:rsidR="00853B71">
        <w:t xml:space="preserve">have </w:t>
      </w:r>
      <w:r w:rsidR="00FC03CE">
        <w:t>decreased</w:t>
      </w:r>
      <w:r w:rsidR="00787A85">
        <w:t xml:space="preserve"> </w:t>
      </w:r>
      <w:r w:rsidR="0008046A">
        <w:t>s</w:t>
      </w:r>
      <w:r>
        <w:t>in</w:t>
      </w:r>
      <w:r w:rsidR="0008046A">
        <w:t>ce</w:t>
      </w:r>
      <w:r>
        <w:t xml:space="preserve"> </w:t>
      </w:r>
      <w:r w:rsidRPr="0071006C">
        <w:t xml:space="preserve">the </w:t>
      </w:r>
      <w:r>
        <w:t xml:space="preserve">screening period </w:t>
      </w:r>
      <w:r w:rsidR="0008046A" w:rsidRPr="006E150F">
        <w:t xml:space="preserve">of </w:t>
      </w:r>
      <w:r w:rsidRPr="006E150F">
        <w:t>200</w:t>
      </w:r>
      <w:r w:rsidR="00FC03CE">
        <w:t>7</w:t>
      </w:r>
      <w:r w:rsidR="0008046A" w:rsidRPr="006E150F">
        <w:t xml:space="preserve"> and </w:t>
      </w:r>
      <w:r w:rsidRPr="006E150F">
        <w:t>200</w:t>
      </w:r>
      <w:r w:rsidR="00FC03CE">
        <w:t>8</w:t>
      </w:r>
      <w:r w:rsidRPr="0071006C">
        <w:t>.</w:t>
      </w:r>
      <w:r w:rsidR="000017FF">
        <w:t xml:space="preserve"> </w:t>
      </w:r>
      <w:r w:rsidR="000017FF" w:rsidRPr="00131F67">
        <w:t xml:space="preserve">Data for Indigenous women </w:t>
      </w:r>
      <w:r w:rsidR="006016D8" w:rsidRPr="00131F67">
        <w:t xml:space="preserve">for 2004-05 </w:t>
      </w:r>
      <w:r w:rsidR="000017FF" w:rsidRPr="00131F67">
        <w:t xml:space="preserve">are presented in table </w:t>
      </w:r>
      <w:r w:rsidR="00BE6366">
        <w:t>11A.8</w:t>
      </w:r>
      <w:r w:rsidR="00311943">
        <w:t>9</w:t>
      </w:r>
      <w:r w:rsidR="000017FF" w:rsidRPr="00131F67">
        <w:t>.</w:t>
      </w:r>
    </w:p>
    <w:p w:rsidR="00F856A0" w:rsidRPr="00F000A2" w:rsidRDefault="00F856A0" w:rsidP="0091333A">
      <w:pPr>
        <w:pStyle w:val="FigureTitle"/>
        <w:ind w:left="1560" w:hanging="1560"/>
        <w:rPr>
          <w:rStyle w:val="NoteLabel"/>
        </w:rPr>
      </w:pPr>
      <w:r>
        <w:rPr>
          <w:b w:val="0"/>
        </w:rPr>
        <w:lastRenderedPageBreak/>
        <w:t xml:space="preserve">Figure </w:t>
      </w:r>
      <w:bookmarkStart w:id="64" w:name="OLE_LINK57"/>
      <w:r w:rsidR="00EC42DB">
        <w:rPr>
          <w:b w:val="0"/>
        </w:rPr>
        <w:t>11.</w:t>
      </w:r>
      <w:r w:rsidR="00C44281">
        <w:rPr>
          <w:b w:val="0"/>
          <w:noProof/>
        </w:rPr>
        <w:t>4</w:t>
      </w:r>
      <w:bookmarkEnd w:id="64"/>
      <w:r w:rsidR="00CA25A8">
        <w:rPr>
          <w:b w:val="0"/>
          <w:noProof/>
        </w:rPr>
        <w:t>7</w:t>
      </w:r>
      <w:r>
        <w:tab/>
      </w:r>
      <w:r w:rsidR="00F000A2" w:rsidRPr="00F000A2">
        <w:t>Participation rates for women aged 20–69 years in cervical screening</w:t>
      </w:r>
      <w:r w:rsidR="00F000A2" w:rsidRPr="00B91268">
        <w:rPr>
          <w:rStyle w:val="NoteLabel"/>
          <w:b/>
        </w:rPr>
        <w:t>a</w:t>
      </w:r>
      <w:r w:rsidR="00E863B6">
        <w:rPr>
          <w:rStyle w:val="NoteLabel"/>
          <w:b/>
        </w:rPr>
        <w:t>, b</w:t>
      </w:r>
      <w:r w:rsidR="007D5052">
        <w:rPr>
          <w:rStyle w:val="NoteLabel"/>
          <w:b/>
        </w:rPr>
        <w:t>, c, d</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856A0" w:rsidTr="00F856A0">
        <w:tc>
          <w:tcPr>
            <w:tcW w:w="8777" w:type="dxa"/>
          </w:tcPr>
          <w:p w:rsidR="00F856A0" w:rsidRDefault="00C315E2">
            <w:pPr>
              <w:pStyle w:val="Figure"/>
            </w:pPr>
            <w:r>
              <w:rPr>
                <w:noProof/>
              </w:rPr>
              <w:drawing>
                <wp:inline distT="0" distB="0" distL="0" distR="0">
                  <wp:extent cx="5368290" cy="2710815"/>
                  <wp:effectExtent l="0" t="0" r="3810" b="0"/>
                  <wp:docPr id="55" name="Picture 55" descr="Figure 11.47 Participation rates for women aged 20–69 years in cervical screen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F856A0" w:rsidRPr="008F00F7" w:rsidRDefault="00F856A0" w:rsidP="003108FF">
      <w:pPr>
        <w:pStyle w:val="Note"/>
        <w:rPr>
          <w:rStyle w:val="NoteLabel"/>
          <w:b w:val="0"/>
          <w:position w:val="0"/>
        </w:rPr>
      </w:pPr>
      <w:r>
        <w:rPr>
          <w:rStyle w:val="NoteLabel"/>
        </w:rPr>
        <w:t>a</w:t>
      </w:r>
      <w:r w:rsidR="00531CF3" w:rsidRPr="00531CF3">
        <w:t xml:space="preserve"> Rates are the number of women screened as a proportion of the eligible female population</w:t>
      </w:r>
      <w:r w:rsidR="00531CF3">
        <w:t>,</w:t>
      </w:r>
      <w:r w:rsidR="00531CF3" w:rsidRPr="00531CF3">
        <w:t xml:space="preserve"> calculated as the average of the </w:t>
      </w:r>
      <w:r w:rsidR="0090188E">
        <w:t>ABS</w:t>
      </w:r>
      <w:r w:rsidR="00531CF3" w:rsidRPr="00531CF3">
        <w:t xml:space="preserve"> </w:t>
      </w:r>
      <w:r w:rsidR="00DA4F20">
        <w:t>ERP</w:t>
      </w:r>
      <w:r w:rsidR="008757A7">
        <w:t xml:space="preserve"> </w:t>
      </w:r>
      <w:r w:rsidR="00121817">
        <w:t xml:space="preserve">(based on the 2011 Census) </w:t>
      </w:r>
      <w:r w:rsidR="008757A7">
        <w:t>in each calendar year in the reference period</w:t>
      </w:r>
      <w:r w:rsidR="00531CF3">
        <w:t xml:space="preserve"> and </w:t>
      </w:r>
      <w:r w:rsidR="00F000A2">
        <w:t>age</w:t>
      </w:r>
      <w:r w:rsidR="00F66086">
        <w:t> </w:t>
      </w:r>
      <w:r w:rsidR="00F000A2">
        <w:t>standardised to the 2001 Australian population</w:t>
      </w:r>
      <w:r>
        <w:t>.</w:t>
      </w:r>
      <w:r w:rsidR="008F00F7">
        <w:t xml:space="preserve"> </w:t>
      </w:r>
      <w:r w:rsidR="008F00F7">
        <w:rPr>
          <w:rStyle w:val="NoteLabel"/>
        </w:rPr>
        <w:t>b</w:t>
      </w:r>
      <w:r w:rsidR="00E863B6">
        <w:t xml:space="preserve"> </w:t>
      </w:r>
      <w:r w:rsidR="008F00F7">
        <w:t>E</w:t>
      </w:r>
      <w:r w:rsidR="00E863B6" w:rsidRPr="00E863B6">
        <w:t xml:space="preserve">ligible female population adjusted for </w:t>
      </w:r>
      <w:r w:rsidR="004F493C">
        <w:t xml:space="preserve">the </w:t>
      </w:r>
      <w:r w:rsidR="00E863B6" w:rsidRPr="00E863B6">
        <w:t>estimated proportion who have had a hysterectomy</w:t>
      </w:r>
      <w:r w:rsidR="008F00F7">
        <w:t xml:space="preserve">. </w:t>
      </w:r>
      <w:r w:rsidR="008F00F7">
        <w:rPr>
          <w:rStyle w:val="NoteLabel"/>
        </w:rPr>
        <w:t>c</w:t>
      </w:r>
      <w:r w:rsidR="008F00F7">
        <w:t xml:space="preserve"> </w:t>
      </w:r>
      <w:r w:rsidR="008F00F7" w:rsidRPr="008F00F7">
        <w:t>Excludes women who have opted off the cervical cytology register.</w:t>
      </w:r>
      <w:r w:rsidR="003903D4">
        <w:t xml:space="preserve"> </w:t>
      </w:r>
      <w:r w:rsidR="007D5052">
        <w:rPr>
          <w:rStyle w:val="NoteLabel"/>
        </w:rPr>
        <w:t>d</w:t>
      </w:r>
      <w:r w:rsidR="007D5052">
        <w:t xml:space="preserve"> </w:t>
      </w:r>
      <w:r w:rsidR="00C217CE" w:rsidRPr="00F261EA">
        <w:t>Data include</w:t>
      </w:r>
      <w:r w:rsidR="007D5052" w:rsidRPr="00F261EA">
        <w:t xml:space="preserve"> all women screened except </w:t>
      </w:r>
      <w:r w:rsidR="00C217CE" w:rsidRPr="00F261EA">
        <w:t xml:space="preserve">for </w:t>
      </w:r>
      <w:r w:rsidR="00CA2141" w:rsidRPr="00F261EA">
        <w:t xml:space="preserve">Victoria and </w:t>
      </w:r>
      <w:r w:rsidR="00F079B6" w:rsidRPr="00F261EA">
        <w:t xml:space="preserve">the ACT, </w:t>
      </w:r>
      <w:r w:rsidR="00C217CE" w:rsidRPr="00F261EA">
        <w:t>where data are based on residence</w:t>
      </w:r>
      <w:r w:rsidR="007D5052" w:rsidRPr="00F261EA">
        <w:t>.</w:t>
      </w:r>
    </w:p>
    <w:p w:rsidR="00480CFE" w:rsidRPr="00944E91" w:rsidRDefault="00F000A2" w:rsidP="006E5535">
      <w:pPr>
        <w:pStyle w:val="Source"/>
      </w:pPr>
      <w:r w:rsidRPr="00014EF9">
        <w:rPr>
          <w:i/>
        </w:rPr>
        <w:t>S</w:t>
      </w:r>
      <w:r w:rsidR="00F856A0" w:rsidRPr="00014EF9">
        <w:rPr>
          <w:i/>
        </w:rPr>
        <w:t>ource</w:t>
      </w:r>
      <w:r w:rsidR="00F856A0" w:rsidRPr="00014EF9">
        <w:t>:</w:t>
      </w:r>
      <w:r w:rsidR="00736D36" w:rsidRPr="00014EF9">
        <w:t xml:space="preserve"> </w:t>
      </w:r>
      <w:r w:rsidR="00C064A5">
        <w:t>AIHW </w:t>
      </w:r>
      <w:r w:rsidR="009F7DA4" w:rsidRPr="00014EF9">
        <w:t xml:space="preserve">(unpublished) </w:t>
      </w:r>
      <w:r w:rsidR="00B249E5" w:rsidRPr="00014EF9">
        <w:t>S</w:t>
      </w:r>
      <w:r w:rsidR="000419CD" w:rsidRPr="00014EF9">
        <w:t>tate</w:t>
      </w:r>
      <w:r w:rsidR="000419CD">
        <w:t xml:space="preserve"> and </w:t>
      </w:r>
      <w:r w:rsidR="00B249E5">
        <w:t>T</w:t>
      </w:r>
      <w:r w:rsidR="000419CD">
        <w:t>erritory</w:t>
      </w:r>
      <w:r w:rsidR="00736D36">
        <w:t xml:space="preserve"> Cervical Cytology Registry</w:t>
      </w:r>
      <w:r w:rsidR="000419CD">
        <w:t xml:space="preserve"> data</w:t>
      </w:r>
      <w:r w:rsidR="00B249E5">
        <w:t xml:space="preserve"> collections</w:t>
      </w:r>
      <w:r w:rsidRPr="00EA31D1">
        <w:t>; table</w:t>
      </w:r>
      <w:r w:rsidR="006022D9">
        <w:t> </w:t>
      </w:r>
      <w:r w:rsidR="00BE6366">
        <w:t>11A.8</w:t>
      </w:r>
      <w:r w:rsidR="00311943">
        <w:t>8</w:t>
      </w:r>
      <w:r w:rsidRPr="00117908">
        <w:t>.</w:t>
      </w:r>
    </w:p>
    <w:p w:rsidR="00480CFE" w:rsidRPr="00CD25F0" w:rsidRDefault="00480CFE" w:rsidP="00EB3C27">
      <w:pPr>
        <w:pStyle w:val="Heading5"/>
      </w:pPr>
      <w:r w:rsidRPr="00CD25F0">
        <w:t>Influenza vaccination coverage for older people</w:t>
      </w:r>
    </w:p>
    <w:p w:rsidR="00F2021D" w:rsidRPr="00620327" w:rsidRDefault="00F2021D" w:rsidP="00944E91">
      <w:pPr>
        <w:pStyle w:val="BodyText"/>
      </w:pPr>
      <w:r w:rsidRPr="00310BB6">
        <w:t>‘Influenza vaccination coverage for older people’</w:t>
      </w:r>
      <w:r>
        <w:t xml:space="preserve"> is an indicator of governments’ objective to reduce the morbidity and mortality attributable to vaccine preventable disease (</w:t>
      </w:r>
      <w:smartTag w:uri="urn:schemas-microsoft-com:office:smarttags" w:element="address">
        <w:smartTag w:uri="urn:schemas-microsoft-com:office:smarttags" w:element="Street">
          <w:r>
            <w:t>box</w:t>
          </w:r>
        </w:smartTag>
        <w:r w:rsidR="006022D9">
          <w:t> </w:t>
        </w:r>
        <w:r w:rsidR="00445562">
          <w:t>11</w:t>
        </w:r>
        <w:r w:rsidR="00445562" w:rsidRPr="00B251BD">
          <w:t>.2</w:t>
        </w:r>
        <w:r w:rsidR="00B251BD" w:rsidRPr="00B251BD">
          <w:t>3</w:t>
        </w:r>
      </w:smartTag>
      <w:r w:rsidR="008718D7" w:rsidRPr="00B251BD">
        <w:t>)</w:t>
      </w:r>
      <w:r w:rsidR="008718D7">
        <w:t>.</w:t>
      </w:r>
    </w:p>
    <w:p w:rsidR="00480CFE" w:rsidRDefault="00480CF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0CFE" w:rsidTr="002F2126">
        <w:tc>
          <w:tcPr>
            <w:tcW w:w="8771" w:type="dxa"/>
            <w:tcBorders>
              <w:top w:val="single" w:sz="6" w:space="0" w:color="auto"/>
              <w:bottom w:val="nil"/>
            </w:tcBorders>
          </w:tcPr>
          <w:p w:rsidR="00480CFE" w:rsidRPr="00480CFE" w:rsidRDefault="00480CFE">
            <w:pPr>
              <w:pStyle w:val="BoxTitle"/>
            </w:pPr>
            <w:smartTag w:uri="urn:schemas-microsoft-com:office:smarttags" w:element="Street">
              <w:r>
                <w:rPr>
                  <w:b w:val="0"/>
                </w:rPr>
                <w:t>Box</w:t>
              </w:r>
            </w:smartTag>
            <w:r>
              <w:rPr>
                <w:b w:val="0"/>
              </w:rPr>
              <w:t xml:space="preserve"> </w:t>
            </w:r>
            <w:bookmarkStart w:id="65" w:name="OLE_LINK60"/>
            <w:r w:rsidR="00EC42DB">
              <w:rPr>
                <w:b w:val="0"/>
              </w:rPr>
              <w:t>11.</w:t>
            </w:r>
            <w:r w:rsidR="00C44281">
              <w:rPr>
                <w:b w:val="0"/>
                <w:noProof/>
              </w:rPr>
              <w:t>23</w:t>
            </w:r>
            <w:bookmarkEnd w:id="65"/>
            <w:r>
              <w:tab/>
            </w:r>
            <w:r w:rsidRPr="00480CFE">
              <w:t>Influenza vaccination coverage for older people</w:t>
            </w:r>
          </w:p>
        </w:tc>
      </w:tr>
      <w:tr w:rsidR="00480CFE" w:rsidTr="002F2126">
        <w:trPr>
          <w:cantSplit/>
        </w:trPr>
        <w:tc>
          <w:tcPr>
            <w:tcW w:w="8771" w:type="dxa"/>
            <w:tcBorders>
              <w:top w:val="nil"/>
              <w:left w:val="single" w:sz="6" w:space="0" w:color="auto"/>
              <w:bottom w:val="nil"/>
              <w:right w:val="single" w:sz="4" w:space="0" w:color="auto"/>
            </w:tcBorders>
          </w:tcPr>
          <w:p w:rsidR="002A4BFF" w:rsidRDefault="00CC362C" w:rsidP="00FB754F">
            <w:pPr>
              <w:pStyle w:val="Box"/>
            </w:pPr>
            <w:r>
              <w:t>‘</w:t>
            </w:r>
            <w:r w:rsidRPr="00CC362C">
              <w:t>Influenza vaccination coverage for older people</w:t>
            </w:r>
            <w:r>
              <w:t>’</w:t>
            </w:r>
            <w:r w:rsidR="00480CFE">
              <w:t xml:space="preserve"> is defined as the proportion of people aged 65 years or over who have be</w:t>
            </w:r>
            <w:r w:rsidR="001D67CA">
              <w:t xml:space="preserve">en vaccinated against </w:t>
            </w:r>
            <w:r w:rsidR="002F2126">
              <w:t xml:space="preserve">seasonal </w:t>
            </w:r>
            <w:r w:rsidR="001D67CA">
              <w:t>influenza</w:t>
            </w:r>
            <w:r w:rsidR="00EB7222">
              <w:t>.</w:t>
            </w:r>
          </w:p>
          <w:p w:rsidR="00FA172F" w:rsidRDefault="00480CFE" w:rsidP="009821EC">
            <w:pPr>
              <w:pStyle w:val="Box"/>
            </w:pPr>
            <w:r>
              <w:t>A</w:t>
            </w:r>
            <w:r w:rsidR="00B22838">
              <w:t xml:space="preserve"> high or increasing</w:t>
            </w:r>
            <w:r>
              <w:t xml:space="preserve"> proportion of older people vaccinated against influenza reduces the risk of older people contracting influenza and suffering consequent complications. </w:t>
            </w:r>
            <w:r w:rsidR="00B22838" w:rsidRPr="00D81B9C">
              <w:t>Each year, influenza and its consequences result in the hospitalisation of many older people, as well as a considerable number of deaths.</w:t>
            </w:r>
          </w:p>
          <w:p w:rsidR="00216571" w:rsidRDefault="00216571" w:rsidP="009821EC">
            <w:pPr>
              <w:pStyle w:val="Box"/>
            </w:pPr>
            <w:r>
              <w:t>Data reported for this indicator are:</w:t>
            </w:r>
          </w:p>
          <w:p w:rsidR="00480CFE" w:rsidRDefault="00216571" w:rsidP="008141CE">
            <w:pPr>
              <w:pStyle w:val="Box"/>
            </w:pPr>
            <w:r w:rsidRPr="00216571">
              <w:t>•</w:t>
            </w:r>
            <w:r w:rsidRPr="00216571">
              <w:tab/>
              <w:t>comparable (subject to caveats) across jurisdictions and over time</w:t>
            </w:r>
          </w:p>
          <w:p w:rsidR="00216571" w:rsidRDefault="00216571" w:rsidP="008141CE">
            <w:pPr>
              <w:pStyle w:val="Box"/>
            </w:pPr>
            <w:r w:rsidRPr="00216571">
              <w:t>•</w:t>
            </w:r>
            <w:r w:rsidRPr="00216571">
              <w:tab/>
            </w:r>
            <w:r>
              <w:t>not available for the current reporting period.</w:t>
            </w:r>
          </w:p>
          <w:p w:rsidR="0027351B" w:rsidRPr="008141CE" w:rsidRDefault="0027351B" w:rsidP="008141CE">
            <w:pPr>
              <w:pStyle w:val="Box"/>
              <w:rPr>
                <w:rStyle w:val="DraftingNote"/>
                <w:b w:val="0"/>
                <w:color w:val="auto"/>
                <w:sz w:val="22"/>
                <w:u w:val="none"/>
              </w:rPr>
            </w:pPr>
            <w:r w:rsidRPr="0027351B">
              <w:t>Data quality information for this indicator is under deve</w:t>
            </w:r>
            <w:r>
              <w:t>lopment.</w:t>
            </w:r>
          </w:p>
        </w:tc>
      </w:tr>
      <w:tr w:rsidR="00480CFE">
        <w:trPr>
          <w:cantSplit/>
        </w:trPr>
        <w:tc>
          <w:tcPr>
            <w:tcW w:w="8771" w:type="dxa"/>
            <w:tcBorders>
              <w:top w:val="nil"/>
              <w:left w:val="single" w:sz="6" w:space="0" w:color="auto"/>
              <w:bottom w:val="single" w:sz="6" w:space="0" w:color="auto"/>
              <w:right w:val="single" w:sz="6" w:space="0" w:color="auto"/>
            </w:tcBorders>
          </w:tcPr>
          <w:p w:rsidR="00480CFE" w:rsidRDefault="00480CFE">
            <w:pPr>
              <w:pStyle w:val="Box"/>
              <w:spacing w:before="0" w:line="120" w:lineRule="exact"/>
            </w:pPr>
          </w:p>
        </w:tc>
      </w:tr>
      <w:tr w:rsidR="00480CFE">
        <w:tc>
          <w:tcPr>
            <w:tcW w:w="8771" w:type="dxa"/>
            <w:tcBorders>
              <w:top w:val="nil"/>
              <w:left w:val="nil"/>
              <w:bottom w:val="nil"/>
              <w:right w:val="nil"/>
            </w:tcBorders>
          </w:tcPr>
          <w:p w:rsidR="00480CFE" w:rsidRDefault="00480CFE">
            <w:pPr>
              <w:pStyle w:val="Box"/>
              <w:keepNext w:val="0"/>
              <w:spacing w:before="60" w:after="60" w:line="80" w:lineRule="exact"/>
              <w:rPr>
                <w:b/>
                <w:color w:val="FF00FF"/>
                <w:sz w:val="14"/>
              </w:rPr>
            </w:pPr>
          </w:p>
        </w:tc>
      </w:tr>
    </w:tbl>
    <w:p w:rsidR="00B6750F" w:rsidRDefault="00D81B9C" w:rsidP="00CA3C2D">
      <w:pPr>
        <w:pStyle w:val="BodyText"/>
      </w:pPr>
      <w:r w:rsidRPr="00D81B9C">
        <w:t>Influenza vaccinations for older people have been demonstrated to reduce hospitalisations and deaths (</w:t>
      </w:r>
      <w:r w:rsidR="006C2E5E">
        <w:t>Department of Health</w:t>
      </w:r>
      <w:r w:rsidRPr="00D81B9C">
        <w:t xml:space="preserve"> </w:t>
      </w:r>
      <w:r w:rsidRPr="00B251BD">
        <w:t>20</w:t>
      </w:r>
      <w:r w:rsidR="00681023">
        <w:t>13b</w:t>
      </w:r>
      <w:r w:rsidRPr="00D81B9C">
        <w:t xml:space="preserve">). </w:t>
      </w:r>
      <w:r w:rsidR="00742205">
        <w:t>F</w:t>
      </w:r>
      <w:r w:rsidR="00742205" w:rsidRPr="00E11EF2">
        <w:t xml:space="preserve">ree vaccines for Australians aged 65 years or </w:t>
      </w:r>
      <w:r w:rsidR="00742205" w:rsidRPr="00742205">
        <w:t>over</w:t>
      </w:r>
      <w:r w:rsidR="00742205">
        <w:t xml:space="preserve"> have been funded </w:t>
      </w:r>
      <w:r w:rsidR="00E5192F" w:rsidRPr="00742205">
        <w:t>since 1999</w:t>
      </w:r>
      <w:r w:rsidR="00E5192F">
        <w:t xml:space="preserve"> </w:t>
      </w:r>
      <w:r w:rsidR="00742205">
        <w:t>by the Australian Governm</w:t>
      </w:r>
      <w:r w:rsidR="00E5192F">
        <w:t>e</w:t>
      </w:r>
      <w:r w:rsidR="00742205">
        <w:t>nt</w:t>
      </w:r>
      <w:r w:rsidR="00742205" w:rsidRPr="00742205">
        <w:t xml:space="preserve"> </w:t>
      </w:r>
      <w:r w:rsidR="00E5192F">
        <w:t>t</w:t>
      </w:r>
      <w:r w:rsidR="00E5192F" w:rsidRPr="00E11EF2">
        <w:t xml:space="preserve">hrough the </w:t>
      </w:r>
      <w:r w:rsidR="002D6CC9">
        <w:t>Immunisation</w:t>
      </w:r>
      <w:r w:rsidR="00E5192F" w:rsidRPr="00E11EF2">
        <w:t xml:space="preserve"> Program</w:t>
      </w:r>
      <w:r w:rsidR="00742205">
        <w:t>.</w:t>
      </w:r>
      <w:r w:rsidR="00742205" w:rsidRPr="00742205">
        <w:t xml:space="preserve"> </w:t>
      </w:r>
      <w:r w:rsidR="00742205" w:rsidRPr="00D81B9C">
        <w:t xml:space="preserve">GPs provide the majority of </w:t>
      </w:r>
      <w:r w:rsidR="00742205">
        <w:t>these vaccinations.</w:t>
      </w:r>
      <w:r w:rsidR="00F148BC">
        <w:t xml:space="preserve"> </w:t>
      </w:r>
    </w:p>
    <w:p w:rsidR="002A4BFF" w:rsidRPr="00620327" w:rsidRDefault="00F148BC" w:rsidP="00944E91">
      <w:pPr>
        <w:pStyle w:val="BodyText"/>
      </w:pPr>
      <w:r>
        <w:t>Updated data were not available for the 201</w:t>
      </w:r>
      <w:r w:rsidR="009E3031">
        <w:t>4</w:t>
      </w:r>
      <w:r>
        <w:t xml:space="preserve"> Report.</w:t>
      </w:r>
      <w:r w:rsidR="00B6750F">
        <w:t xml:space="preserve"> </w:t>
      </w:r>
      <w:r w:rsidR="00E5192F">
        <w:t>Nationally,</w:t>
      </w:r>
      <w:r w:rsidR="002A0552">
        <w:t xml:space="preserve"> </w:t>
      </w:r>
      <w:r w:rsidR="002A0552" w:rsidRPr="00131F67">
        <w:t>74.6</w:t>
      </w:r>
      <w:r w:rsidR="00E5192F" w:rsidRPr="00131F67">
        <w:t xml:space="preserve"> per cent of eligible p</w:t>
      </w:r>
      <w:r w:rsidR="002E56F0" w:rsidRPr="00131F67">
        <w:t>e</w:t>
      </w:r>
      <w:r w:rsidR="00E5192F" w:rsidRPr="00131F67">
        <w:t>op</w:t>
      </w:r>
      <w:r w:rsidR="002E56F0" w:rsidRPr="00131F67">
        <w:t>le</w:t>
      </w:r>
      <w:r w:rsidR="00E5192F" w:rsidRPr="00131F67">
        <w:t xml:space="preserve"> </w:t>
      </w:r>
      <w:r w:rsidR="004F1184" w:rsidRPr="00131F67">
        <w:t>w</w:t>
      </w:r>
      <w:r w:rsidR="002E56F0" w:rsidRPr="00131F67">
        <w:t>ere</w:t>
      </w:r>
      <w:r w:rsidR="004F1184" w:rsidRPr="00131F67">
        <w:t xml:space="preserve"> fully vaccinated against influenza in 200</w:t>
      </w:r>
      <w:r w:rsidR="00014EF9" w:rsidRPr="00131F67">
        <w:t>9</w:t>
      </w:r>
      <w:r w:rsidR="004F1184" w:rsidRPr="00131F67">
        <w:t xml:space="preserve"> </w:t>
      </w:r>
      <w:r w:rsidR="00E5192F" w:rsidRPr="00131F67">
        <w:t>(</w:t>
      </w:r>
      <w:r w:rsidR="00751334" w:rsidRPr="00751334">
        <w:t xml:space="preserve">table </w:t>
      </w:r>
      <w:r w:rsidR="00C562E0">
        <w:t>11A.90</w:t>
      </w:r>
      <w:r w:rsidR="00260047">
        <w:t>).</w:t>
      </w:r>
    </w:p>
    <w:p w:rsidR="00B908E9" w:rsidRDefault="007C505F" w:rsidP="007C505F">
      <w:pPr>
        <w:pStyle w:val="BodyText"/>
      </w:pPr>
      <w:r w:rsidRPr="00E5192F">
        <w:t>Pneumococcal disease is also</w:t>
      </w:r>
      <w:r>
        <w:t xml:space="preserve"> a</w:t>
      </w:r>
      <w:r w:rsidRPr="00E5192F">
        <w:t xml:space="preserve"> vaccine preventable</w:t>
      </w:r>
      <w:r>
        <w:t xml:space="preserve"> disease that</w:t>
      </w:r>
      <w:r w:rsidRPr="00E5192F">
        <w:t xml:space="preserve"> can result in hospitalisation and/or death. Free vaccinations against pneumococcal disease became available to older Australians in </w:t>
      </w:r>
      <w:r w:rsidRPr="007C505F">
        <w:t>2005</w:t>
      </w:r>
      <w:r>
        <w:t>. D</w:t>
      </w:r>
      <w:r w:rsidRPr="00E5192F">
        <w:t xml:space="preserve">ata for </w:t>
      </w:r>
      <w:r w:rsidR="0020277D">
        <w:t xml:space="preserve">2009 for </w:t>
      </w:r>
      <w:r w:rsidRPr="00E5192F">
        <w:t>older adults fully vaccinated against both influenza and pneumococcal disease</w:t>
      </w:r>
      <w:r w:rsidRPr="007C505F">
        <w:t xml:space="preserve"> </w:t>
      </w:r>
      <w:r>
        <w:t xml:space="preserve">are presented by remoteness in table </w:t>
      </w:r>
      <w:r w:rsidR="003F3FB0">
        <w:t>11A.</w:t>
      </w:r>
      <w:r w:rsidR="00C562E0">
        <w:t>91</w:t>
      </w:r>
      <w:r w:rsidRPr="006C74C6">
        <w:t xml:space="preserve">. </w:t>
      </w:r>
      <w:r w:rsidR="002E56F0">
        <w:t xml:space="preserve">Data for </w:t>
      </w:r>
      <w:r w:rsidR="006E4E2B">
        <w:t>Indigenous Australians</w:t>
      </w:r>
      <w:r w:rsidR="002E56F0">
        <w:t xml:space="preserve"> </w:t>
      </w:r>
      <w:r w:rsidRPr="00E5192F">
        <w:t>fully vaccinated against influenza and pneumococcal disease</w:t>
      </w:r>
      <w:r w:rsidRPr="007C505F">
        <w:t xml:space="preserve"> </w:t>
      </w:r>
      <w:r>
        <w:t>in</w:t>
      </w:r>
      <w:r w:rsidR="002E56F0">
        <w:t xml:space="preserve"> </w:t>
      </w:r>
      <w:r w:rsidRPr="00131F67">
        <w:t>2004</w:t>
      </w:r>
      <w:r w:rsidRPr="00131F67">
        <w:noBreakHyphen/>
      </w:r>
      <w:r w:rsidR="002E56F0" w:rsidRPr="00131F67">
        <w:t>05</w:t>
      </w:r>
      <w:r w:rsidR="00751334">
        <w:t xml:space="preserve"> are presented in table </w:t>
      </w:r>
      <w:r w:rsidR="00C562E0">
        <w:t>11A</w:t>
      </w:r>
      <w:r w:rsidR="00F148BC">
        <w:t>.</w:t>
      </w:r>
      <w:r w:rsidR="00C562E0">
        <w:t>92</w:t>
      </w:r>
    </w:p>
    <w:p w:rsidR="00C047A1" w:rsidRPr="00944E91" w:rsidRDefault="00C047A1" w:rsidP="00C047A1">
      <w:pPr>
        <w:pStyle w:val="Heading4"/>
      </w:pPr>
      <w:r w:rsidRPr="006C74C6">
        <w:t>Selected potentially preventable hospitalisations</w:t>
      </w:r>
    </w:p>
    <w:p w:rsidR="000B7E6E" w:rsidRDefault="00B90CA0" w:rsidP="00B90CA0">
      <w:pPr>
        <w:pStyle w:val="BodyText"/>
      </w:pPr>
      <w:r>
        <w:t>‘</w:t>
      </w:r>
      <w:r w:rsidRPr="00B90CA0">
        <w:t xml:space="preserve">Selected </w:t>
      </w:r>
      <w:r>
        <w:t>p</w:t>
      </w:r>
      <w:r w:rsidR="0012559F">
        <w:t>otentially preventable hospitalisations</w:t>
      </w:r>
      <w:r>
        <w:t>’</w:t>
      </w:r>
      <w:r w:rsidR="0012559F">
        <w:t xml:space="preserve"> </w:t>
      </w:r>
      <w:r w:rsidRPr="00B90CA0">
        <w:t>is an indicator of governments’ objective to reduce potentially preventable hospitalisations through the delivery of effective primary healthcare services</w:t>
      </w:r>
      <w:r w:rsidR="00CF7C41">
        <w:t xml:space="preserve"> (</w:t>
      </w:r>
      <w:smartTag w:uri="urn:schemas-microsoft-com:office:smarttags" w:element="address">
        <w:smartTag w:uri="urn:schemas-microsoft-com:office:smarttags" w:element="Street">
          <w:r w:rsidR="00CF7C41">
            <w:t>box</w:t>
          </w:r>
        </w:smartTag>
        <w:r w:rsidR="00CF7C41">
          <w:t xml:space="preserve"> 11.24</w:t>
        </w:r>
      </w:smartTag>
      <w:r w:rsidR="00CF7C41">
        <w:t>)</w:t>
      </w:r>
      <w:r>
        <w:t>.</w:t>
      </w:r>
      <w:r w:rsidR="00912CCE">
        <w:t xml:space="preserve"> </w:t>
      </w:r>
    </w:p>
    <w:p w:rsidR="000B7E6E" w:rsidRDefault="000B7E6E" w:rsidP="000B7E6E"/>
    <w:p w:rsidR="000B7E6E" w:rsidRDefault="000B7E6E" w:rsidP="000B7E6E"/>
    <w:p w:rsidR="005C1D23" w:rsidRPr="000B7E6E" w:rsidRDefault="000B7E6E" w:rsidP="000B7E6E">
      <w:pPr>
        <w:tabs>
          <w:tab w:val="left" w:pos="989"/>
        </w:tabs>
      </w:pPr>
      <w:r>
        <w:tab/>
      </w:r>
    </w:p>
    <w:p w:rsidR="000D0082" w:rsidRDefault="000D0082" w:rsidP="001627A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D0082">
        <w:tc>
          <w:tcPr>
            <w:tcW w:w="8771" w:type="dxa"/>
            <w:tcBorders>
              <w:top w:val="single" w:sz="6" w:space="0" w:color="auto"/>
              <w:bottom w:val="nil"/>
            </w:tcBorders>
          </w:tcPr>
          <w:p w:rsidR="000D0082" w:rsidRPr="000D0082" w:rsidRDefault="000D0082" w:rsidP="001627AE">
            <w:pPr>
              <w:pStyle w:val="BoxTitle"/>
            </w:pPr>
            <w:smartTag w:uri="urn:schemas-microsoft-com:office:smarttags" w:element="Street">
              <w:r>
                <w:rPr>
                  <w:b w:val="0"/>
                </w:rPr>
                <w:t>Box</w:t>
              </w:r>
            </w:smartTag>
            <w:r>
              <w:rPr>
                <w:b w:val="0"/>
              </w:rPr>
              <w:t xml:space="preserve"> </w:t>
            </w:r>
            <w:bookmarkStart w:id="66" w:name="OLE_LINK68"/>
            <w:r w:rsidR="001C4B1F">
              <w:rPr>
                <w:b w:val="0"/>
              </w:rPr>
              <w:t>11.</w:t>
            </w:r>
            <w:r w:rsidR="00C44281">
              <w:rPr>
                <w:b w:val="0"/>
                <w:noProof/>
              </w:rPr>
              <w:t>24</w:t>
            </w:r>
            <w:bookmarkEnd w:id="66"/>
            <w:r>
              <w:tab/>
            </w:r>
            <w:r w:rsidR="00B90CA0" w:rsidRPr="00B90CA0">
              <w:t xml:space="preserve">Selected </w:t>
            </w:r>
            <w:r w:rsidR="00B90CA0">
              <w:t>p</w:t>
            </w:r>
            <w:r w:rsidRPr="000D0082">
              <w:t>otentially preventable hospitalisation</w:t>
            </w:r>
            <w:r w:rsidR="00B90CA0">
              <w:t>s</w:t>
            </w:r>
            <w:r w:rsidRPr="000D0082">
              <w:t xml:space="preserve"> </w:t>
            </w:r>
          </w:p>
        </w:tc>
      </w:tr>
      <w:tr w:rsidR="000D0082">
        <w:trPr>
          <w:cantSplit/>
        </w:trPr>
        <w:tc>
          <w:tcPr>
            <w:tcW w:w="8771" w:type="dxa"/>
            <w:tcBorders>
              <w:top w:val="nil"/>
              <w:left w:val="single" w:sz="6" w:space="0" w:color="auto"/>
              <w:bottom w:val="nil"/>
              <w:right w:val="single" w:sz="6" w:space="0" w:color="auto"/>
            </w:tcBorders>
          </w:tcPr>
          <w:p w:rsidR="008507BC" w:rsidRDefault="00234FE9" w:rsidP="001627AE">
            <w:pPr>
              <w:pStyle w:val="Box"/>
            </w:pPr>
            <w:r>
              <w:t>‘Selected p</w:t>
            </w:r>
            <w:r w:rsidR="00B709A5" w:rsidRPr="00B709A5">
              <w:t>otentially preventable hospitalisations</w:t>
            </w:r>
            <w:r>
              <w:t>’</w:t>
            </w:r>
            <w:r w:rsidR="00B709A5">
              <w:t xml:space="preserve"> is defined as </w:t>
            </w:r>
            <w:r w:rsidR="007013CD" w:rsidRPr="007013CD">
              <w:t>hospital admissions that may be avoided by</w:t>
            </w:r>
            <w:r w:rsidR="007013CD">
              <w:t xml:space="preserve"> </w:t>
            </w:r>
            <w:r w:rsidR="00FC3575">
              <w:t>effective</w:t>
            </w:r>
            <w:r w:rsidR="00FC3575" w:rsidRPr="007013CD">
              <w:t xml:space="preserve"> management</w:t>
            </w:r>
            <w:r w:rsidR="00FC3575">
              <w:t xml:space="preserve"> of </w:t>
            </w:r>
            <w:r w:rsidR="00FC3575" w:rsidRPr="007013CD">
              <w:t>illness and injury in the primary and community healthcare sector</w:t>
            </w:r>
            <w:r w:rsidR="00FC3575">
              <w:t xml:space="preserve"> or, in some cases,</w:t>
            </w:r>
            <w:r w:rsidR="00FC3575" w:rsidRPr="007013CD">
              <w:t xml:space="preserve"> </w:t>
            </w:r>
            <w:r w:rsidR="00FC3575">
              <w:t xml:space="preserve">by </w:t>
            </w:r>
            <w:r w:rsidR="008507BC">
              <w:t>preventin</w:t>
            </w:r>
            <w:r w:rsidR="009D6B16">
              <w:t>g</w:t>
            </w:r>
            <w:r w:rsidR="00FC3575">
              <w:t xml:space="preserve"> illness and injury</w:t>
            </w:r>
            <w:r w:rsidR="00770878">
              <w:t xml:space="preserve"> altogether</w:t>
            </w:r>
            <w:r w:rsidR="008507BC">
              <w:t>.</w:t>
            </w:r>
          </w:p>
          <w:p w:rsidR="00B709A5" w:rsidRDefault="007013CD" w:rsidP="001627AE">
            <w:pPr>
              <w:pStyle w:val="Box"/>
            </w:pPr>
            <w:r>
              <w:t>T</w:t>
            </w:r>
            <w:r w:rsidR="00B709A5">
              <w:t>hree measures</w:t>
            </w:r>
            <w:r>
              <w:t xml:space="preserve"> of </w:t>
            </w:r>
            <w:r w:rsidR="00234FE9">
              <w:t xml:space="preserve">selected </w:t>
            </w:r>
            <w:r>
              <w:t>potentially preventable hospitalisat</w:t>
            </w:r>
            <w:r w:rsidR="008507BC">
              <w:t>i</w:t>
            </w:r>
            <w:r>
              <w:t>ons are reported</w:t>
            </w:r>
            <w:r w:rsidR="00D41D54">
              <w:t xml:space="preserve"> (the first measure is reported against the indicator of the same name in the NHA)</w:t>
            </w:r>
            <w:r w:rsidR="00B709A5">
              <w:t>:</w:t>
            </w:r>
          </w:p>
          <w:p w:rsidR="00B709A5" w:rsidRDefault="00B709A5" w:rsidP="001627AE">
            <w:pPr>
              <w:pStyle w:val="BoxListBullet"/>
            </w:pPr>
            <w:r>
              <w:t>potentially preventable hospitalisations for selected</w:t>
            </w:r>
            <w:r w:rsidRPr="00EA38DE">
              <w:t xml:space="preserve"> </w:t>
            </w:r>
            <w:r>
              <w:t xml:space="preserve">vaccine preventable, acute and chronic </w:t>
            </w:r>
            <w:r w:rsidRPr="00EA38DE">
              <w:t>conditions</w:t>
            </w:r>
            <w:r w:rsidR="00131F67">
              <w:t xml:space="preserve"> </w:t>
            </w:r>
            <w:r w:rsidR="003B5421">
              <w:t xml:space="preserve">as </w:t>
            </w:r>
            <w:r w:rsidR="003B5421" w:rsidRPr="003B5421">
              <w:t xml:space="preserve">defined </w:t>
            </w:r>
            <w:r w:rsidR="003B5421">
              <w:t>in</w:t>
            </w:r>
            <w:r w:rsidR="003B5421" w:rsidRPr="003B5421">
              <w:t xml:space="preserve"> the Victorian Ambulatory Care Sensitive Conditio</w:t>
            </w:r>
            <w:r w:rsidR="007013CD">
              <w:t>ns Study (AIHW 201</w:t>
            </w:r>
            <w:r w:rsidR="0088243E">
              <w:t>2b</w:t>
            </w:r>
            <w:r w:rsidR="007013CD">
              <w:t>; DHS 2002)</w:t>
            </w:r>
          </w:p>
          <w:p w:rsidR="00723DEC" w:rsidRDefault="00B709A5" w:rsidP="00723DEC">
            <w:pPr>
              <w:pStyle w:val="BoxListBullet"/>
            </w:pPr>
            <w:r>
              <w:t>potential</w:t>
            </w:r>
            <w:r w:rsidR="00931B26">
              <w:t xml:space="preserve">ly preventable hospitalisations </w:t>
            </w:r>
            <w:r>
              <w:t>for diabetes</w:t>
            </w:r>
            <w:r w:rsidR="00931B26">
              <w:t xml:space="preserve"> </w:t>
            </w:r>
          </w:p>
          <w:p w:rsidR="000D0082" w:rsidRDefault="00B709A5" w:rsidP="001627AE">
            <w:pPr>
              <w:pStyle w:val="BoxListBullet"/>
            </w:pPr>
            <w:r>
              <w:t>potentially preventable hospitalisations of older people for falls.</w:t>
            </w:r>
          </w:p>
          <w:p w:rsidR="00E679DF" w:rsidRDefault="00E679DF" w:rsidP="001627AE">
            <w:pPr>
              <w:pStyle w:val="Box"/>
            </w:pPr>
            <w:r>
              <w:t xml:space="preserve">Low or </w:t>
            </w:r>
            <w:r w:rsidR="00B520DE">
              <w:t>decreasing</w:t>
            </w:r>
            <w:r>
              <w:t xml:space="preserve"> separation rates for selected potentially preventable hospitalisations can indicate improvements in the effectiveness of preventative programs and/or more effective management of selected conditions in the primary and community healthcare sector.</w:t>
            </w:r>
          </w:p>
          <w:p w:rsidR="00422382" w:rsidRDefault="00422382" w:rsidP="00422382">
            <w:pPr>
              <w:pStyle w:val="Box"/>
            </w:pPr>
            <w:r>
              <w:t>Factors outside the control of the primary and community healthcare sector also influence hospitalisation rates for these conditions</w:t>
            </w:r>
            <w:r w:rsidR="003A65A7">
              <w:t xml:space="preserve"> (</w:t>
            </w:r>
            <w:r w:rsidR="0088243E">
              <w:t>AIHW 2008b</w:t>
            </w:r>
            <w:r w:rsidR="00BF2516">
              <w:t xml:space="preserve">, </w:t>
            </w:r>
            <w:r w:rsidR="0088243E" w:rsidRPr="00A61BF6">
              <w:t>2012b</w:t>
            </w:r>
            <w:r w:rsidR="003A65A7" w:rsidRPr="0076506D">
              <w:t>).</w:t>
            </w:r>
            <w:r w:rsidR="003A65A7">
              <w:t xml:space="preserve"> F</w:t>
            </w:r>
            <w:r>
              <w:t>or example, the underlying prevalence of conditions</w:t>
            </w:r>
            <w:r w:rsidR="00C5567A">
              <w:t>,</w:t>
            </w:r>
            <w:r>
              <w:t xml:space="preserve"> patient compliance with treatment</w:t>
            </w:r>
            <w:r w:rsidR="009C56C5">
              <w:t xml:space="preserve"> and</w:t>
            </w:r>
            <w:r w:rsidR="00C5567A">
              <w:t xml:space="preserve"> older people’s access to </w:t>
            </w:r>
            <w:r w:rsidR="00C5567A" w:rsidRPr="00C5567A">
              <w:t xml:space="preserve">aged care services </w:t>
            </w:r>
            <w:r w:rsidR="009C56C5">
              <w:t>and other support</w:t>
            </w:r>
            <w:r w:rsidR="00A669AF">
              <w:t>.</w:t>
            </w:r>
          </w:p>
          <w:p w:rsidR="00723DEC" w:rsidRDefault="00723DEC" w:rsidP="00723DEC">
            <w:pPr>
              <w:pStyle w:val="Box"/>
            </w:pPr>
            <w:r>
              <w:t>Data reported for this indicator are:</w:t>
            </w:r>
          </w:p>
          <w:p w:rsidR="007D68D4" w:rsidRPr="007D68D4" w:rsidRDefault="00723DEC" w:rsidP="00723DEC">
            <w:pPr>
              <w:pStyle w:val="BoxListBullet"/>
              <w:rPr>
                <w:rStyle w:val="DraftingNote"/>
                <w:b w:val="0"/>
                <w:color w:val="auto"/>
                <w:sz w:val="22"/>
                <w:u w:val="none"/>
              </w:rPr>
            </w:pPr>
            <w:r>
              <w:t>comparable (subject to caveats) across jurisdictions and over time</w:t>
            </w:r>
            <w:r w:rsidR="004E167F">
              <w:t xml:space="preserve"> except for the measure potentially preventab</w:t>
            </w:r>
            <w:r w:rsidR="00857360">
              <w:t>le hospitalisations for diabetes</w:t>
            </w:r>
          </w:p>
          <w:p w:rsidR="00422382" w:rsidRDefault="00723DEC" w:rsidP="00723DEC">
            <w:pPr>
              <w:pStyle w:val="BoxListBullet"/>
            </w:pPr>
            <w:r>
              <w:t>complete (subject to caveats) for the current reporting period</w:t>
            </w:r>
            <w:r w:rsidR="004E167F">
              <w:t xml:space="preserve"> except for the measure potentially preventable hospitalisations for diabetes, for which data are not published for Tasmania, the ACT and the NT</w:t>
            </w:r>
            <w:r>
              <w:t xml:space="preserve">. All </w:t>
            </w:r>
            <w:r w:rsidR="004E167F">
              <w:t xml:space="preserve">other </w:t>
            </w:r>
            <w:r>
              <w:t>required 2011</w:t>
            </w:r>
            <w:r>
              <w:noBreakHyphen/>
              <w:t>12 data are available for all jurisdictions.</w:t>
            </w:r>
          </w:p>
          <w:p w:rsidR="00422382" w:rsidRPr="00C81007" w:rsidRDefault="00F67FD5" w:rsidP="00F67FD5">
            <w:pPr>
              <w:pStyle w:val="Box"/>
            </w:pPr>
            <w:r>
              <w:t>Data quality i</w:t>
            </w:r>
            <w:r w:rsidR="00134EE4" w:rsidRPr="00134EE4">
              <w:t xml:space="preserve">nformation </w:t>
            </w:r>
            <w:r w:rsidR="00134EE4">
              <w:t>for this indicator</w:t>
            </w:r>
            <w:r w:rsidR="00134EE4" w:rsidRPr="00134EE4">
              <w:t xml:space="preserve"> is at www.pc.gov.au/gsp/reports/</w:t>
            </w:r>
            <w:r w:rsidR="009E5543">
              <w:t>rogs/2014</w:t>
            </w:r>
            <w:r w:rsidR="00134EE4" w:rsidRPr="00134EE4">
              <w:t>.</w:t>
            </w:r>
          </w:p>
        </w:tc>
      </w:tr>
      <w:tr w:rsidR="000D0082">
        <w:trPr>
          <w:cantSplit/>
        </w:trPr>
        <w:tc>
          <w:tcPr>
            <w:tcW w:w="8771" w:type="dxa"/>
            <w:tcBorders>
              <w:top w:val="nil"/>
              <w:left w:val="single" w:sz="6" w:space="0" w:color="auto"/>
              <w:bottom w:val="single" w:sz="6" w:space="0" w:color="auto"/>
              <w:right w:val="single" w:sz="6" w:space="0" w:color="auto"/>
            </w:tcBorders>
          </w:tcPr>
          <w:p w:rsidR="000D0082" w:rsidRDefault="000D0082" w:rsidP="001627AE">
            <w:pPr>
              <w:pStyle w:val="Box"/>
              <w:spacing w:before="0" w:line="120" w:lineRule="exact"/>
            </w:pPr>
          </w:p>
        </w:tc>
      </w:tr>
      <w:tr w:rsidR="000D0082">
        <w:tc>
          <w:tcPr>
            <w:tcW w:w="8771" w:type="dxa"/>
            <w:tcBorders>
              <w:top w:val="nil"/>
              <w:left w:val="nil"/>
              <w:bottom w:val="nil"/>
              <w:right w:val="nil"/>
            </w:tcBorders>
          </w:tcPr>
          <w:p w:rsidR="000D0082" w:rsidRDefault="000D0082" w:rsidP="001627AE">
            <w:pPr>
              <w:pStyle w:val="Box"/>
              <w:keepNext w:val="0"/>
              <w:spacing w:before="60" w:after="60" w:line="80" w:lineRule="exact"/>
              <w:rPr>
                <w:b/>
                <w:color w:val="FF00FF"/>
                <w:sz w:val="14"/>
              </w:rPr>
            </w:pPr>
          </w:p>
        </w:tc>
      </w:tr>
    </w:tbl>
    <w:p w:rsidR="001E4048" w:rsidRDefault="001E4048" w:rsidP="009A5F51">
      <w:pPr>
        <w:pStyle w:val="Heading5"/>
      </w:pPr>
      <w:bookmarkStart w:id="67" w:name="BoxTitle"/>
      <w:bookmarkEnd w:id="67"/>
      <w:r>
        <w:t>P</w:t>
      </w:r>
      <w:r w:rsidRPr="003773EE">
        <w:t xml:space="preserve">otentially </w:t>
      </w:r>
      <w:r w:rsidRPr="009A5F51">
        <w:t>preventable</w:t>
      </w:r>
      <w:r w:rsidRPr="003773EE">
        <w:t xml:space="preserve"> hospitalisations for </w:t>
      </w:r>
      <w:r>
        <w:t>selected</w:t>
      </w:r>
      <w:r w:rsidRPr="00EA38DE">
        <w:t xml:space="preserve"> </w:t>
      </w:r>
      <w:r>
        <w:t xml:space="preserve">vaccine preventable, acute and chronic </w:t>
      </w:r>
      <w:r w:rsidRPr="00EA38DE">
        <w:t>conditions</w:t>
      </w:r>
    </w:p>
    <w:p w:rsidR="00805A58" w:rsidRDefault="00805A58" w:rsidP="000F6EF2">
      <w:pPr>
        <w:pStyle w:val="BodyText"/>
      </w:pPr>
      <w:r>
        <w:t>This measure has improved for the 2014 Report with data for all states and territories included in Australian totals for the first time. Indigenous identification in 2011-12 hospital administrative data is considered acceptable for analysis in all states and territories from the 2011-12 reporting period.</w:t>
      </w:r>
    </w:p>
    <w:p w:rsidR="00CE3538" w:rsidRDefault="000F6EF2" w:rsidP="000F6EF2">
      <w:pPr>
        <w:pStyle w:val="BodyText"/>
      </w:pPr>
      <w:r>
        <w:t xml:space="preserve">Studies have shown that hospitalisation rates for selected vaccine preventable, acute and chronic conditions are significantly affected by the availability of care in the primary and community healthcare sector (DHS </w:t>
      </w:r>
      <w:r w:rsidRPr="00F61EC4">
        <w:t>2002</w:t>
      </w:r>
      <w:r>
        <w:t xml:space="preserve">). These are conditions </w:t>
      </w:r>
      <w:r w:rsidR="00832ADE">
        <w:t xml:space="preserve">for </w:t>
      </w:r>
      <w:r w:rsidR="00832ADE">
        <w:lastRenderedPageBreak/>
        <w:t>which hospitalisation can potentially be avoided, through prevention of the condition —</w:t>
      </w:r>
      <w:r>
        <w:t xml:space="preserve"> for example</w:t>
      </w:r>
      <w:r w:rsidR="00832ADE">
        <w:t>,</w:t>
      </w:r>
      <w:r>
        <w:t xml:space="preserve"> through vaccination</w:t>
      </w:r>
      <w:r w:rsidR="00832ADE">
        <w:t xml:space="preserve"> — </w:t>
      </w:r>
      <w:r>
        <w:t>or</w:t>
      </w:r>
      <w:r w:rsidR="00832ADE">
        <w:t xml:space="preserve">, </w:t>
      </w:r>
      <w:r w:rsidR="008C6007">
        <w:t xml:space="preserve">prevention of exacerbations or complications requiring hospitalisation — through </w:t>
      </w:r>
      <w:r w:rsidR="00832ADE">
        <w:t>effective management of the condition in the primary</w:t>
      </w:r>
      <w:r w:rsidR="00832ADE" w:rsidRPr="00964CA6">
        <w:t xml:space="preserve"> </w:t>
      </w:r>
      <w:r w:rsidR="00832ADE">
        <w:t>and community healthcare sector</w:t>
      </w:r>
      <w:r w:rsidR="008C6007">
        <w:t xml:space="preserve">. </w:t>
      </w:r>
      <w:r w:rsidR="00386C3C">
        <w:t>While n</w:t>
      </w:r>
      <w:r>
        <w:t>ot all hospitalisations for the selected conditions can be prevented,</w:t>
      </w:r>
      <w:r w:rsidR="00386C3C">
        <w:t xml:space="preserve"> s</w:t>
      </w:r>
      <w:r w:rsidR="00386C3C" w:rsidRPr="00794D93">
        <w:t xml:space="preserve">trengthening the effectiveness of </w:t>
      </w:r>
      <w:r w:rsidR="00386C3C">
        <w:t xml:space="preserve">primary and community healthcare has </w:t>
      </w:r>
      <w:r w:rsidR="00386C3C" w:rsidRPr="00794D93">
        <w:t xml:space="preserve">considerable potential </w:t>
      </w:r>
      <w:r w:rsidR="00386C3C">
        <w:t>to reduce the need for hospit</w:t>
      </w:r>
      <w:r w:rsidR="00CE3538">
        <w:t>alisation for these conditions.</w:t>
      </w:r>
    </w:p>
    <w:p w:rsidR="00AF5837" w:rsidRPr="000F6EF2" w:rsidRDefault="00CE3538" w:rsidP="00855F86">
      <w:pPr>
        <w:pStyle w:val="BodyText"/>
      </w:pPr>
      <w:r>
        <w:t>Variation in h</w:t>
      </w:r>
      <w:r w:rsidR="000F6EF2">
        <w:t>ospitalisation rates</w:t>
      </w:r>
      <w:r w:rsidR="00386C3C">
        <w:t xml:space="preserve"> </w:t>
      </w:r>
      <w:r>
        <w:t xml:space="preserve">data </w:t>
      </w:r>
      <w:r w:rsidR="005E3949">
        <w:t xml:space="preserve">can also be affected by </w:t>
      </w:r>
      <w:r w:rsidR="00C71403">
        <w:t>differences</w:t>
      </w:r>
      <w:r w:rsidR="00386C3C">
        <w:t xml:space="preserve"> </w:t>
      </w:r>
      <w:r w:rsidR="00AF5837">
        <w:t>in hospital protocols for clinical coding and admission between and within jurisdictions</w:t>
      </w:r>
      <w:r w:rsidR="005E3949">
        <w:t xml:space="preserve">. This </w:t>
      </w:r>
      <w:r>
        <w:t xml:space="preserve">particularly </w:t>
      </w:r>
      <w:r w:rsidR="005E3949">
        <w:t>affects</w:t>
      </w:r>
      <w:r w:rsidR="00C71403">
        <w:t xml:space="preserve"> diagnoses of</w:t>
      </w:r>
      <w:r>
        <w:t xml:space="preserve"> dehydration and gastroenteritis </w:t>
      </w:r>
      <w:r w:rsidR="00010420">
        <w:t>and</w:t>
      </w:r>
      <w:r>
        <w:t xml:space="preserve"> diabetes complications. </w:t>
      </w:r>
      <w:r w:rsidR="00C71403">
        <w:t>Th</w:t>
      </w:r>
      <w:r w:rsidR="005E3949">
        <w:t>e</w:t>
      </w:r>
      <w:r w:rsidR="00C71403">
        <w:t xml:space="preserve"> effect is exacerbated for diabetes hospitalisations data disaggregated by Indigenous status because of the high prevalence of diabetes in Indigenous communities.</w:t>
      </w:r>
      <w:r w:rsidR="00644CE1">
        <w:t xml:space="preserve"> </w:t>
      </w:r>
      <w:r w:rsidR="00AF5837">
        <w:t xml:space="preserve">Caution should also be used in time series analysis because of revisions to clinical coding standards and </w:t>
      </w:r>
      <w:r w:rsidR="00AF5837" w:rsidRPr="00AF5837">
        <w:t>improvements in data quality over time</w:t>
      </w:r>
      <w:r w:rsidR="00AF5837">
        <w:t xml:space="preserve">, as well as changes in hospital </w:t>
      </w:r>
      <w:r w:rsidR="003C1684">
        <w:t xml:space="preserve">coding and admission </w:t>
      </w:r>
      <w:r w:rsidR="00AF5837">
        <w:t>protocols.</w:t>
      </w:r>
    </w:p>
    <w:p w:rsidR="000F6EF2" w:rsidRDefault="00237CE0" w:rsidP="000F6EF2">
      <w:pPr>
        <w:pStyle w:val="BodyText"/>
      </w:pPr>
      <w:r>
        <w:t xml:space="preserve">Data are </w:t>
      </w:r>
      <w:r w:rsidR="00726BF4" w:rsidRPr="00816B58">
        <w:t>age</w:t>
      </w:r>
      <w:r w:rsidR="0053761F">
        <w:noBreakHyphen/>
      </w:r>
      <w:r w:rsidR="00726BF4" w:rsidRPr="00816B58">
        <w:t xml:space="preserve">standardised </w:t>
      </w:r>
      <w:r w:rsidR="00726BF4">
        <w:t>to</w:t>
      </w:r>
      <w:r>
        <w:t xml:space="preserve"> </w:t>
      </w:r>
      <w:r w:rsidRPr="005A5078">
        <w:t>account for differences in the age structures of the populations across states and territories</w:t>
      </w:r>
      <w:r>
        <w:t>.</w:t>
      </w:r>
    </w:p>
    <w:p w:rsidR="00DF3F57" w:rsidRPr="00C14146" w:rsidRDefault="00DF3F57" w:rsidP="00C14146">
      <w:pPr>
        <w:pStyle w:val="BodyText"/>
        <w:rPr>
          <w:rStyle w:val="DraftingNote"/>
          <w:b w:val="0"/>
          <w:color w:val="auto"/>
          <w:sz w:val="26"/>
          <w:u w:val="none"/>
        </w:rPr>
      </w:pPr>
      <w:r w:rsidRPr="00816B58">
        <w:t>Nationally, the age</w:t>
      </w:r>
      <w:r w:rsidR="0053761F">
        <w:noBreakHyphen/>
      </w:r>
      <w:r w:rsidRPr="00816B58">
        <w:t xml:space="preserve">standardised hospital separation rate for </w:t>
      </w:r>
      <w:r w:rsidR="00D30DB6">
        <w:t xml:space="preserve">the </w:t>
      </w:r>
      <w:r w:rsidRPr="0055300E">
        <w:t xml:space="preserve">selected vaccine </w:t>
      </w:r>
      <w:r w:rsidRPr="00D30DB6">
        <w:t xml:space="preserve">preventable, acute and chronic conditions </w:t>
      </w:r>
      <w:r w:rsidR="00D30DB6" w:rsidRPr="00D30DB6">
        <w:t xml:space="preserve">reported here </w:t>
      </w:r>
      <w:r w:rsidRPr="00D30DB6">
        <w:t xml:space="preserve">was </w:t>
      </w:r>
      <w:r w:rsidR="003E7656">
        <w:t>24.0</w:t>
      </w:r>
      <w:r w:rsidRPr="00D30DB6">
        <w:t xml:space="preserve"> per 1000 people in </w:t>
      </w:r>
      <w:r w:rsidR="003E7656">
        <w:t>2011-12</w:t>
      </w:r>
      <w:r w:rsidRPr="00D30DB6">
        <w:t xml:space="preserve"> (table 11.</w:t>
      </w:r>
      <w:r w:rsidR="009821C3">
        <w:t>9</w:t>
      </w:r>
      <w:r w:rsidRPr="00D30DB6">
        <w:t>). Of these</w:t>
      </w:r>
      <w:r w:rsidRPr="003E7656">
        <w:t xml:space="preserve">, </w:t>
      </w:r>
      <w:r w:rsidR="003E7656" w:rsidRPr="003E7656">
        <w:t>47.1</w:t>
      </w:r>
      <w:r w:rsidRPr="003E7656">
        <w:t xml:space="preserve"> per cent were for chronic and </w:t>
      </w:r>
      <w:r w:rsidR="003E7656" w:rsidRPr="003E7656">
        <w:t>49.9</w:t>
      </w:r>
      <w:r w:rsidRPr="003E7656">
        <w:t> per</w:t>
      </w:r>
      <w:r w:rsidRPr="00D30DB6">
        <w:t xml:space="preserve"> cent for acute conditions (table </w:t>
      </w:r>
      <w:r w:rsidR="00BE6366">
        <w:t>11A.9</w:t>
      </w:r>
      <w:r w:rsidR="00CD3151">
        <w:t>3</w:t>
      </w:r>
      <w:r w:rsidRPr="00D30DB6">
        <w:t>). Data are presented disaggregated by</w:t>
      </w:r>
      <w:r w:rsidR="0021016E">
        <w:t xml:space="preserve"> Indigenous status in table </w:t>
      </w:r>
      <w:r w:rsidR="00D016FB">
        <w:t>11A.9</w:t>
      </w:r>
      <w:r w:rsidR="00CD3151">
        <w:t>4</w:t>
      </w:r>
      <w:r w:rsidR="0021016E">
        <w:t xml:space="preserve"> and </w:t>
      </w:r>
      <w:r w:rsidRPr="00D30DB6">
        <w:t>remoteness in</w:t>
      </w:r>
      <w:r w:rsidRPr="006C74C6">
        <w:t xml:space="preserve"> table </w:t>
      </w:r>
      <w:r w:rsidR="00BE6366">
        <w:t>11A.9</w:t>
      </w:r>
      <w:r w:rsidR="00CD3151">
        <w:t>5</w:t>
      </w:r>
      <w:r w:rsidR="00770D5D" w:rsidRPr="006C74C6">
        <w:t>.</w:t>
      </w:r>
      <w:r w:rsidR="007A321A">
        <w:t xml:space="preserve"> </w:t>
      </w:r>
      <w:r w:rsidR="007A321A" w:rsidRPr="00931CC9">
        <w:t>National data by Indigenous status and remoten</w:t>
      </w:r>
      <w:r w:rsidR="008A25EA">
        <w:t>ess are presented in table 11A.9</w:t>
      </w:r>
      <w:r w:rsidR="00CD3151">
        <w:t>6</w:t>
      </w:r>
      <w:r w:rsidR="007A321A" w:rsidRPr="00931CC9">
        <w:t>.</w:t>
      </w:r>
    </w:p>
    <w:p w:rsidR="00DF3F57" w:rsidRPr="0032246D" w:rsidRDefault="00DF3F57" w:rsidP="001627AE">
      <w:pPr>
        <w:pStyle w:val="TableTitle"/>
        <w:rPr>
          <w:rStyle w:val="NoteLabel"/>
          <w:b/>
          <w:position w:val="0"/>
          <w:sz w:val="26"/>
        </w:rPr>
      </w:pPr>
      <w:r>
        <w:rPr>
          <w:b w:val="0"/>
        </w:rPr>
        <w:t>Table 11.</w:t>
      </w:r>
      <w:r w:rsidR="009821C3">
        <w:rPr>
          <w:b w:val="0"/>
        </w:rPr>
        <w:t>9</w:t>
      </w:r>
      <w:r>
        <w:tab/>
      </w:r>
      <w:r w:rsidRPr="00816B58">
        <w:t xml:space="preserve">Separations for </w:t>
      </w:r>
      <w:r>
        <w:t>selected p</w:t>
      </w:r>
      <w:r w:rsidRPr="00816B58">
        <w:t>otentially preventable hospitalisations</w:t>
      </w:r>
      <w:r>
        <w:t xml:space="preserve"> per 1000 people</w:t>
      </w:r>
      <w:r w:rsidRPr="002C4939">
        <w:t xml:space="preserve">, </w:t>
      </w:r>
      <w:r w:rsidR="003E7656">
        <w:t>2011-12</w:t>
      </w:r>
      <w:r w:rsidRPr="002C4939">
        <w:rPr>
          <w:rStyle w:val="NoteLabel"/>
          <w:b/>
        </w:rPr>
        <w:t>a, b</w:t>
      </w:r>
    </w:p>
    <w:tbl>
      <w:tblPr>
        <w:tblW w:w="4974" w:type="pct"/>
        <w:tblCellMar>
          <w:left w:w="0" w:type="dxa"/>
          <w:right w:w="0" w:type="dxa"/>
        </w:tblCellMar>
        <w:tblLook w:val="0000" w:firstRow="0" w:lastRow="0" w:firstColumn="0" w:lastColumn="0" w:noHBand="0" w:noVBand="0"/>
      </w:tblPr>
      <w:tblGrid>
        <w:gridCol w:w="2835"/>
        <w:gridCol w:w="656"/>
        <w:gridCol w:w="656"/>
        <w:gridCol w:w="657"/>
        <w:gridCol w:w="656"/>
        <w:gridCol w:w="657"/>
        <w:gridCol w:w="656"/>
        <w:gridCol w:w="657"/>
        <w:gridCol w:w="656"/>
        <w:gridCol w:w="657"/>
      </w:tblGrid>
      <w:tr w:rsidR="00DF3F57" w:rsidRPr="002C4939" w:rsidTr="00DF3F57">
        <w:tc>
          <w:tcPr>
            <w:tcW w:w="2835" w:type="dxa"/>
            <w:tcBorders>
              <w:top w:val="single" w:sz="6" w:space="0" w:color="auto"/>
              <w:bottom w:val="single" w:sz="6" w:space="0" w:color="auto"/>
            </w:tcBorders>
            <w:shd w:val="clear" w:color="auto" w:fill="auto"/>
          </w:tcPr>
          <w:p w:rsidR="00DF3F57" w:rsidRDefault="00DF3F57" w:rsidP="00B656A4">
            <w:pPr>
              <w:pStyle w:val="TableColumnHeading"/>
              <w:spacing w:before="0" w:afterLines="40" w:after="96" w:line="0" w:lineRule="atLeast"/>
              <w:ind w:right="57"/>
              <w:jc w:val="left"/>
            </w:pPr>
          </w:p>
        </w:tc>
        <w:tc>
          <w:tcPr>
            <w:tcW w:w="656"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NSW</w:t>
            </w:r>
          </w:p>
        </w:tc>
        <w:tc>
          <w:tcPr>
            <w:tcW w:w="656"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Vic</w:t>
            </w:r>
          </w:p>
        </w:tc>
        <w:tc>
          <w:tcPr>
            <w:tcW w:w="657"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Qld</w:t>
            </w:r>
          </w:p>
        </w:tc>
        <w:tc>
          <w:tcPr>
            <w:tcW w:w="656"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WA</w:t>
            </w:r>
          </w:p>
        </w:tc>
        <w:tc>
          <w:tcPr>
            <w:tcW w:w="657"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SA</w:t>
            </w:r>
          </w:p>
        </w:tc>
        <w:tc>
          <w:tcPr>
            <w:tcW w:w="656"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Tas</w:t>
            </w:r>
          </w:p>
        </w:tc>
        <w:tc>
          <w:tcPr>
            <w:tcW w:w="657"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ACT</w:t>
            </w:r>
          </w:p>
        </w:tc>
        <w:tc>
          <w:tcPr>
            <w:tcW w:w="656"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40" w:before="96" w:afterLines="40" w:after="96" w:line="0" w:lineRule="atLeast"/>
            </w:pPr>
            <w:r w:rsidRPr="0039348A">
              <w:t>NT</w:t>
            </w:r>
          </w:p>
        </w:tc>
        <w:tc>
          <w:tcPr>
            <w:tcW w:w="657" w:type="dxa"/>
            <w:tcBorders>
              <w:top w:val="single" w:sz="6" w:space="0" w:color="auto"/>
              <w:bottom w:val="single" w:sz="6" w:space="0" w:color="auto"/>
            </w:tcBorders>
            <w:shd w:val="clear" w:color="auto" w:fill="auto"/>
          </w:tcPr>
          <w:p w:rsidR="00DF3F57" w:rsidRPr="0039348A" w:rsidRDefault="00DF3F57" w:rsidP="00B656A4">
            <w:pPr>
              <w:pStyle w:val="TableColumnHeading"/>
              <w:spacing w:beforeLines="20" w:before="48" w:afterLines="40" w:after="96" w:line="0" w:lineRule="atLeast"/>
            </w:pPr>
            <w:r w:rsidRPr="0039348A">
              <w:t>Aust</w:t>
            </w:r>
            <w:r w:rsidRPr="002C2461">
              <w:rPr>
                <w:rStyle w:val="NoteLabel"/>
                <w:i w:val="0"/>
              </w:rPr>
              <w:t>c</w:t>
            </w:r>
          </w:p>
        </w:tc>
      </w:tr>
      <w:tr w:rsidR="00DF61E7" w:rsidRPr="002A7E31" w:rsidTr="00DF61E7">
        <w:tc>
          <w:tcPr>
            <w:tcW w:w="2835" w:type="dxa"/>
            <w:tcBorders>
              <w:top w:val="single" w:sz="6" w:space="0" w:color="auto"/>
            </w:tcBorders>
          </w:tcPr>
          <w:p w:rsidR="00DF61E7" w:rsidRPr="002C4939" w:rsidRDefault="00DF61E7" w:rsidP="00C83E8E">
            <w:pPr>
              <w:pStyle w:val="TableBodyText"/>
              <w:spacing w:before="40" w:afterLines="40" w:after="96"/>
              <w:ind w:right="57"/>
              <w:jc w:val="left"/>
            </w:pPr>
            <w:r w:rsidRPr="002C4939">
              <w:t>Vaccine preventable conditions</w:t>
            </w:r>
          </w:p>
        </w:tc>
        <w:tc>
          <w:tcPr>
            <w:tcW w:w="656" w:type="dxa"/>
            <w:tcBorders>
              <w:top w:val="single" w:sz="6" w:space="0" w:color="auto"/>
            </w:tcBorders>
            <w:shd w:val="clear" w:color="auto" w:fill="auto"/>
            <w:vAlign w:val="bottom"/>
          </w:tcPr>
          <w:p w:rsidR="00DF61E7" w:rsidRPr="0055155E" w:rsidRDefault="00DF61E7" w:rsidP="003E7656">
            <w:pPr>
              <w:pStyle w:val="TableBodyText"/>
            </w:pPr>
            <w:r w:rsidRPr="0055155E">
              <w:t xml:space="preserve">  0.8</w:t>
            </w:r>
          </w:p>
        </w:tc>
        <w:tc>
          <w:tcPr>
            <w:tcW w:w="656" w:type="dxa"/>
            <w:tcBorders>
              <w:top w:val="single" w:sz="6" w:space="0" w:color="auto"/>
            </w:tcBorders>
            <w:shd w:val="clear" w:color="auto" w:fill="auto"/>
            <w:vAlign w:val="bottom"/>
          </w:tcPr>
          <w:p w:rsidR="00DF61E7" w:rsidRPr="0055155E" w:rsidRDefault="00DF61E7" w:rsidP="003E7656">
            <w:pPr>
              <w:pStyle w:val="TableBodyText"/>
            </w:pPr>
            <w:r w:rsidRPr="0055155E">
              <w:t xml:space="preserve">  0.8</w:t>
            </w:r>
          </w:p>
        </w:tc>
        <w:tc>
          <w:tcPr>
            <w:tcW w:w="657" w:type="dxa"/>
            <w:tcBorders>
              <w:top w:val="single" w:sz="6" w:space="0" w:color="auto"/>
            </w:tcBorders>
            <w:shd w:val="clear" w:color="auto" w:fill="auto"/>
            <w:vAlign w:val="bottom"/>
          </w:tcPr>
          <w:p w:rsidR="00DF61E7" w:rsidRPr="0055155E" w:rsidRDefault="00DF61E7" w:rsidP="003E7656">
            <w:pPr>
              <w:pStyle w:val="TableBodyText"/>
            </w:pPr>
            <w:r w:rsidRPr="0055155E">
              <w:t xml:space="preserve">  0.9</w:t>
            </w:r>
          </w:p>
        </w:tc>
        <w:tc>
          <w:tcPr>
            <w:tcW w:w="656" w:type="dxa"/>
            <w:tcBorders>
              <w:top w:val="single" w:sz="6" w:space="0" w:color="auto"/>
            </w:tcBorders>
            <w:shd w:val="clear" w:color="auto" w:fill="auto"/>
            <w:vAlign w:val="bottom"/>
          </w:tcPr>
          <w:p w:rsidR="00DF61E7" w:rsidRPr="00EC3EC3" w:rsidRDefault="00DF61E7" w:rsidP="00DF61E7">
            <w:pPr>
              <w:pStyle w:val="TableBodyText"/>
            </w:pPr>
            <w:r w:rsidRPr="00EC3EC3">
              <w:t xml:space="preserve">  0.8</w:t>
            </w:r>
          </w:p>
        </w:tc>
        <w:tc>
          <w:tcPr>
            <w:tcW w:w="657" w:type="dxa"/>
            <w:tcBorders>
              <w:top w:val="single" w:sz="6" w:space="0" w:color="auto"/>
            </w:tcBorders>
            <w:shd w:val="clear" w:color="auto" w:fill="auto"/>
            <w:vAlign w:val="bottom"/>
          </w:tcPr>
          <w:p w:rsidR="00DF61E7" w:rsidRPr="00EC3EC3" w:rsidRDefault="00DF61E7" w:rsidP="00DF61E7">
            <w:pPr>
              <w:pStyle w:val="TableBodyText"/>
            </w:pPr>
            <w:r w:rsidRPr="00EC3EC3">
              <w:t xml:space="preserve">  0.9</w:t>
            </w:r>
          </w:p>
        </w:tc>
        <w:tc>
          <w:tcPr>
            <w:tcW w:w="656" w:type="dxa"/>
            <w:tcBorders>
              <w:top w:val="single" w:sz="6" w:space="0" w:color="auto"/>
            </w:tcBorders>
            <w:shd w:val="clear" w:color="auto" w:fill="auto"/>
            <w:vAlign w:val="bottom"/>
          </w:tcPr>
          <w:p w:rsidR="00DF61E7" w:rsidRPr="00EC3EC3" w:rsidRDefault="00DF61E7" w:rsidP="00DF61E7">
            <w:pPr>
              <w:pStyle w:val="TableBodyText"/>
            </w:pPr>
            <w:r w:rsidRPr="00EC3EC3">
              <w:t xml:space="preserve">  0.5</w:t>
            </w:r>
          </w:p>
        </w:tc>
        <w:tc>
          <w:tcPr>
            <w:tcW w:w="657" w:type="dxa"/>
            <w:tcBorders>
              <w:top w:val="single" w:sz="6" w:space="0" w:color="auto"/>
            </w:tcBorders>
            <w:shd w:val="clear" w:color="auto" w:fill="auto"/>
            <w:vAlign w:val="bottom"/>
          </w:tcPr>
          <w:p w:rsidR="00DF61E7" w:rsidRPr="00EC3EC3" w:rsidRDefault="00DF61E7" w:rsidP="00DF61E7">
            <w:pPr>
              <w:pStyle w:val="TableBodyText"/>
            </w:pPr>
            <w:r w:rsidRPr="00EC3EC3">
              <w:t xml:space="preserve">  0.7</w:t>
            </w:r>
          </w:p>
        </w:tc>
        <w:tc>
          <w:tcPr>
            <w:tcW w:w="656" w:type="dxa"/>
            <w:tcBorders>
              <w:top w:val="single" w:sz="6" w:space="0" w:color="auto"/>
            </w:tcBorders>
            <w:shd w:val="clear" w:color="auto" w:fill="auto"/>
            <w:vAlign w:val="bottom"/>
          </w:tcPr>
          <w:p w:rsidR="00DF61E7" w:rsidRDefault="00DF61E7" w:rsidP="00DF61E7">
            <w:pPr>
              <w:pStyle w:val="TableBodyText"/>
            </w:pPr>
            <w:r w:rsidRPr="00EC3EC3">
              <w:t xml:space="preserve">  3.1</w:t>
            </w:r>
          </w:p>
        </w:tc>
        <w:tc>
          <w:tcPr>
            <w:tcW w:w="657" w:type="dxa"/>
            <w:tcBorders>
              <w:top w:val="single" w:sz="6" w:space="0" w:color="auto"/>
            </w:tcBorders>
            <w:shd w:val="clear" w:color="auto" w:fill="auto"/>
            <w:vAlign w:val="bottom"/>
          </w:tcPr>
          <w:p w:rsidR="00DF61E7" w:rsidRDefault="00DF61E7" w:rsidP="003E7656">
            <w:pPr>
              <w:pStyle w:val="TableBodyText"/>
            </w:pPr>
            <w:r w:rsidRPr="0055155E">
              <w:t xml:space="preserve">  0.8</w:t>
            </w:r>
          </w:p>
        </w:tc>
      </w:tr>
      <w:tr w:rsidR="00DF61E7" w:rsidRPr="002A7E31" w:rsidTr="00DF61E7">
        <w:tc>
          <w:tcPr>
            <w:tcW w:w="2835" w:type="dxa"/>
          </w:tcPr>
          <w:p w:rsidR="00DF61E7" w:rsidRPr="002C4939" w:rsidRDefault="00DF61E7" w:rsidP="005A6042">
            <w:pPr>
              <w:pStyle w:val="TableBodyText"/>
              <w:spacing w:afterLines="40" w:after="96"/>
              <w:ind w:right="57"/>
              <w:jc w:val="left"/>
            </w:pPr>
            <w:r>
              <w:t>Selected a</w:t>
            </w:r>
            <w:r w:rsidRPr="005A6042">
              <w:t>cute conditions</w:t>
            </w:r>
            <w:r w:rsidRPr="002C4939">
              <w:rPr>
                <w:rStyle w:val="NoteLabel"/>
              </w:rPr>
              <w:t>d</w:t>
            </w:r>
            <w:r w:rsidRPr="005A6042">
              <w:t xml:space="preserve"> </w:t>
            </w:r>
          </w:p>
        </w:tc>
        <w:tc>
          <w:tcPr>
            <w:tcW w:w="656" w:type="dxa"/>
            <w:shd w:val="clear" w:color="auto" w:fill="auto"/>
            <w:vAlign w:val="bottom"/>
          </w:tcPr>
          <w:p w:rsidR="00DF61E7" w:rsidRPr="00D07C64" w:rsidRDefault="00DF61E7" w:rsidP="003E7656">
            <w:pPr>
              <w:pStyle w:val="TableBodyText"/>
            </w:pPr>
            <w:r w:rsidRPr="00D07C64">
              <w:t xml:space="preserve">  10.9</w:t>
            </w:r>
          </w:p>
        </w:tc>
        <w:tc>
          <w:tcPr>
            <w:tcW w:w="656" w:type="dxa"/>
            <w:shd w:val="clear" w:color="auto" w:fill="auto"/>
            <w:vAlign w:val="bottom"/>
          </w:tcPr>
          <w:p w:rsidR="00DF61E7" w:rsidRPr="00D07C64" w:rsidRDefault="00DF61E7" w:rsidP="003E7656">
            <w:pPr>
              <w:pStyle w:val="TableBodyText"/>
            </w:pPr>
            <w:r w:rsidRPr="00D07C64">
              <w:t xml:space="preserve">  12.0</w:t>
            </w:r>
          </w:p>
        </w:tc>
        <w:tc>
          <w:tcPr>
            <w:tcW w:w="657" w:type="dxa"/>
            <w:shd w:val="clear" w:color="auto" w:fill="auto"/>
            <w:vAlign w:val="bottom"/>
          </w:tcPr>
          <w:p w:rsidR="00DF61E7" w:rsidRPr="00D07C64" w:rsidRDefault="00DF61E7" w:rsidP="003E7656">
            <w:pPr>
              <w:pStyle w:val="TableBodyText"/>
            </w:pPr>
            <w:r w:rsidRPr="00D07C64">
              <w:t xml:space="preserve">  12.7</w:t>
            </w:r>
          </w:p>
        </w:tc>
        <w:tc>
          <w:tcPr>
            <w:tcW w:w="656" w:type="dxa"/>
            <w:shd w:val="clear" w:color="auto" w:fill="auto"/>
            <w:vAlign w:val="bottom"/>
          </w:tcPr>
          <w:p w:rsidR="00DF61E7" w:rsidRPr="005E7A7F" w:rsidRDefault="00DF61E7" w:rsidP="00DF61E7">
            <w:pPr>
              <w:pStyle w:val="TableBodyText"/>
            </w:pPr>
            <w:r w:rsidRPr="005E7A7F">
              <w:t xml:space="preserve">  13.6</w:t>
            </w:r>
          </w:p>
        </w:tc>
        <w:tc>
          <w:tcPr>
            <w:tcW w:w="657" w:type="dxa"/>
            <w:shd w:val="clear" w:color="auto" w:fill="auto"/>
            <w:vAlign w:val="bottom"/>
          </w:tcPr>
          <w:p w:rsidR="00DF61E7" w:rsidRPr="005E7A7F" w:rsidRDefault="00DF61E7" w:rsidP="00DF61E7">
            <w:pPr>
              <w:pStyle w:val="TableBodyText"/>
            </w:pPr>
            <w:r w:rsidRPr="005E7A7F">
              <w:t xml:space="preserve">  12.8</w:t>
            </w:r>
          </w:p>
        </w:tc>
        <w:tc>
          <w:tcPr>
            <w:tcW w:w="656" w:type="dxa"/>
            <w:shd w:val="clear" w:color="auto" w:fill="auto"/>
            <w:vAlign w:val="bottom"/>
          </w:tcPr>
          <w:p w:rsidR="00DF61E7" w:rsidRPr="005E7A7F" w:rsidRDefault="00DF61E7" w:rsidP="00DF61E7">
            <w:pPr>
              <w:pStyle w:val="TableBodyText"/>
            </w:pPr>
            <w:r w:rsidRPr="005E7A7F">
              <w:t xml:space="preserve">  8.5</w:t>
            </w:r>
          </w:p>
        </w:tc>
        <w:tc>
          <w:tcPr>
            <w:tcW w:w="657" w:type="dxa"/>
            <w:shd w:val="clear" w:color="auto" w:fill="auto"/>
            <w:vAlign w:val="bottom"/>
          </w:tcPr>
          <w:p w:rsidR="00DF61E7" w:rsidRPr="005E7A7F" w:rsidRDefault="00DF61E7" w:rsidP="00DF61E7">
            <w:pPr>
              <w:pStyle w:val="TableBodyText"/>
            </w:pPr>
            <w:r w:rsidRPr="005E7A7F">
              <w:t xml:space="preserve">  9.5</w:t>
            </w:r>
          </w:p>
        </w:tc>
        <w:tc>
          <w:tcPr>
            <w:tcW w:w="656" w:type="dxa"/>
            <w:shd w:val="clear" w:color="auto" w:fill="auto"/>
            <w:vAlign w:val="bottom"/>
          </w:tcPr>
          <w:p w:rsidR="00DF61E7" w:rsidRDefault="00DF61E7" w:rsidP="00DF61E7">
            <w:pPr>
              <w:pStyle w:val="TableBodyText"/>
            </w:pPr>
            <w:r w:rsidRPr="005E7A7F">
              <w:t xml:space="preserve">  19.8</w:t>
            </w:r>
          </w:p>
        </w:tc>
        <w:tc>
          <w:tcPr>
            <w:tcW w:w="657" w:type="dxa"/>
            <w:shd w:val="clear" w:color="auto" w:fill="auto"/>
            <w:vAlign w:val="bottom"/>
          </w:tcPr>
          <w:p w:rsidR="00DF61E7" w:rsidRDefault="00DF61E7" w:rsidP="003E7656">
            <w:pPr>
              <w:pStyle w:val="TableBodyText"/>
            </w:pPr>
            <w:r w:rsidRPr="00D07C64">
              <w:t xml:space="preserve">  12.0</w:t>
            </w:r>
          </w:p>
        </w:tc>
      </w:tr>
      <w:tr w:rsidR="00DF61E7" w:rsidRPr="002A7E31" w:rsidTr="00DF61E7">
        <w:tc>
          <w:tcPr>
            <w:tcW w:w="2835" w:type="dxa"/>
          </w:tcPr>
          <w:p w:rsidR="00DF61E7" w:rsidRPr="002C4939" w:rsidRDefault="00DF61E7" w:rsidP="005A6042">
            <w:pPr>
              <w:pStyle w:val="TableBodyText"/>
              <w:spacing w:afterLines="40" w:after="96"/>
              <w:ind w:right="57"/>
              <w:jc w:val="left"/>
            </w:pPr>
            <w:r w:rsidRPr="002C4939">
              <w:t>Selected chronic conditions</w:t>
            </w:r>
            <w:r>
              <w:rPr>
                <w:rStyle w:val="NoteLabel"/>
              </w:rPr>
              <w:t>e</w:t>
            </w:r>
            <w:r>
              <w:t xml:space="preserve"> </w:t>
            </w:r>
          </w:p>
        </w:tc>
        <w:tc>
          <w:tcPr>
            <w:tcW w:w="656" w:type="dxa"/>
            <w:shd w:val="clear" w:color="auto" w:fill="auto"/>
            <w:vAlign w:val="bottom"/>
          </w:tcPr>
          <w:p w:rsidR="00DF61E7" w:rsidRPr="009D7833" w:rsidRDefault="00DF61E7" w:rsidP="003E7656">
            <w:pPr>
              <w:pStyle w:val="TableBodyText"/>
            </w:pPr>
            <w:r w:rsidRPr="009D7833">
              <w:t xml:space="preserve">  10.4</w:t>
            </w:r>
          </w:p>
        </w:tc>
        <w:tc>
          <w:tcPr>
            <w:tcW w:w="656" w:type="dxa"/>
            <w:shd w:val="clear" w:color="auto" w:fill="auto"/>
            <w:vAlign w:val="bottom"/>
          </w:tcPr>
          <w:p w:rsidR="00DF61E7" w:rsidRPr="009D7833" w:rsidRDefault="00DF61E7" w:rsidP="003E7656">
            <w:pPr>
              <w:pStyle w:val="TableBodyText"/>
            </w:pPr>
            <w:r w:rsidRPr="009D7833">
              <w:t xml:space="preserve">  11.9</w:t>
            </w:r>
          </w:p>
        </w:tc>
        <w:tc>
          <w:tcPr>
            <w:tcW w:w="657" w:type="dxa"/>
            <w:shd w:val="clear" w:color="auto" w:fill="auto"/>
            <w:vAlign w:val="bottom"/>
          </w:tcPr>
          <w:p w:rsidR="00DF61E7" w:rsidRPr="009D7833" w:rsidRDefault="00DF61E7" w:rsidP="003E7656">
            <w:pPr>
              <w:pStyle w:val="TableBodyText"/>
            </w:pPr>
            <w:r w:rsidRPr="009D7833">
              <w:t xml:space="preserve">  12.5</w:t>
            </w:r>
          </w:p>
        </w:tc>
        <w:tc>
          <w:tcPr>
            <w:tcW w:w="656" w:type="dxa"/>
            <w:shd w:val="clear" w:color="auto" w:fill="auto"/>
            <w:vAlign w:val="bottom"/>
          </w:tcPr>
          <w:p w:rsidR="00DF61E7" w:rsidRPr="00D82E88" w:rsidRDefault="00DF61E7" w:rsidP="00DF61E7">
            <w:pPr>
              <w:pStyle w:val="TableBodyText"/>
            </w:pPr>
            <w:r w:rsidRPr="00D82E88">
              <w:t xml:space="preserve">  10.7</w:t>
            </w:r>
          </w:p>
        </w:tc>
        <w:tc>
          <w:tcPr>
            <w:tcW w:w="657" w:type="dxa"/>
            <w:shd w:val="clear" w:color="auto" w:fill="auto"/>
            <w:vAlign w:val="bottom"/>
          </w:tcPr>
          <w:p w:rsidR="00DF61E7" w:rsidRPr="00D82E88" w:rsidRDefault="00DF61E7" w:rsidP="00DF61E7">
            <w:pPr>
              <w:pStyle w:val="TableBodyText"/>
            </w:pPr>
            <w:r w:rsidRPr="00D82E88">
              <w:t xml:space="preserve">  11.4</w:t>
            </w:r>
          </w:p>
        </w:tc>
        <w:tc>
          <w:tcPr>
            <w:tcW w:w="656" w:type="dxa"/>
            <w:shd w:val="clear" w:color="auto" w:fill="auto"/>
            <w:vAlign w:val="bottom"/>
          </w:tcPr>
          <w:p w:rsidR="00DF61E7" w:rsidRPr="00D82E88" w:rsidRDefault="00DF61E7" w:rsidP="00DF61E7">
            <w:pPr>
              <w:pStyle w:val="TableBodyText"/>
            </w:pPr>
            <w:r w:rsidRPr="00D82E88">
              <w:t xml:space="preserve">  9.1</w:t>
            </w:r>
          </w:p>
        </w:tc>
        <w:tc>
          <w:tcPr>
            <w:tcW w:w="657" w:type="dxa"/>
            <w:shd w:val="clear" w:color="auto" w:fill="auto"/>
            <w:vAlign w:val="bottom"/>
          </w:tcPr>
          <w:p w:rsidR="00DF61E7" w:rsidRPr="00D82E88" w:rsidRDefault="00DF61E7" w:rsidP="00DF61E7">
            <w:pPr>
              <w:pStyle w:val="TableBodyText"/>
            </w:pPr>
            <w:r w:rsidRPr="00D82E88">
              <w:t xml:space="preserve">  8.5</w:t>
            </w:r>
          </w:p>
        </w:tc>
        <w:tc>
          <w:tcPr>
            <w:tcW w:w="656" w:type="dxa"/>
            <w:shd w:val="clear" w:color="auto" w:fill="auto"/>
            <w:vAlign w:val="bottom"/>
          </w:tcPr>
          <w:p w:rsidR="00DF61E7" w:rsidRDefault="00DF61E7" w:rsidP="00DF61E7">
            <w:pPr>
              <w:pStyle w:val="TableBodyText"/>
            </w:pPr>
            <w:r w:rsidRPr="00D82E88">
              <w:t xml:space="preserve">  21.0</w:t>
            </w:r>
          </w:p>
        </w:tc>
        <w:tc>
          <w:tcPr>
            <w:tcW w:w="657" w:type="dxa"/>
            <w:shd w:val="clear" w:color="auto" w:fill="auto"/>
            <w:vAlign w:val="bottom"/>
          </w:tcPr>
          <w:p w:rsidR="00DF61E7" w:rsidRDefault="00DF61E7" w:rsidP="003E7656">
            <w:pPr>
              <w:pStyle w:val="TableBodyText"/>
            </w:pPr>
            <w:r w:rsidRPr="009D7833">
              <w:t xml:space="preserve">  11.3</w:t>
            </w:r>
          </w:p>
        </w:tc>
      </w:tr>
      <w:tr w:rsidR="00DF61E7" w:rsidRPr="003E7656" w:rsidTr="00DF61E7">
        <w:tc>
          <w:tcPr>
            <w:tcW w:w="2835" w:type="dxa"/>
            <w:tcBorders>
              <w:bottom w:val="single" w:sz="4" w:space="0" w:color="auto"/>
            </w:tcBorders>
            <w:shd w:val="clear" w:color="auto" w:fill="auto"/>
          </w:tcPr>
          <w:p w:rsidR="00DF61E7" w:rsidRPr="003E7656" w:rsidRDefault="00DF61E7" w:rsidP="00B23B83">
            <w:pPr>
              <w:pStyle w:val="TableBodyText"/>
              <w:spacing w:afterLines="40" w:after="96"/>
              <w:ind w:right="57"/>
              <w:jc w:val="left"/>
              <w:rPr>
                <w:rStyle w:val="NoteLabel"/>
                <w:b w:val="0"/>
                <w:sz w:val="20"/>
              </w:rPr>
            </w:pPr>
            <w:r w:rsidRPr="003E7656">
              <w:rPr>
                <w:b/>
              </w:rPr>
              <w:t>Total</w:t>
            </w:r>
            <w:r w:rsidRPr="003A5DDA">
              <w:rPr>
                <w:rStyle w:val="NoteLabel"/>
              </w:rPr>
              <w:t>f, g</w:t>
            </w:r>
          </w:p>
        </w:tc>
        <w:tc>
          <w:tcPr>
            <w:tcW w:w="656" w:type="dxa"/>
            <w:tcBorders>
              <w:bottom w:val="single" w:sz="4" w:space="0" w:color="auto"/>
            </w:tcBorders>
            <w:shd w:val="clear" w:color="auto" w:fill="auto"/>
            <w:vAlign w:val="bottom"/>
          </w:tcPr>
          <w:p w:rsidR="00DF61E7" w:rsidRPr="003E7656" w:rsidRDefault="00DF61E7" w:rsidP="003E7656">
            <w:pPr>
              <w:pStyle w:val="TableBodyText"/>
              <w:rPr>
                <w:b/>
              </w:rPr>
            </w:pPr>
            <w:r w:rsidRPr="003E7656">
              <w:rPr>
                <w:b/>
              </w:rPr>
              <w:t xml:space="preserve">  22.0</w:t>
            </w:r>
          </w:p>
        </w:tc>
        <w:tc>
          <w:tcPr>
            <w:tcW w:w="656" w:type="dxa"/>
            <w:tcBorders>
              <w:bottom w:val="single" w:sz="4" w:space="0" w:color="auto"/>
            </w:tcBorders>
            <w:shd w:val="clear" w:color="auto" w:fill="auto"/>
            <w:vAlign w:val="bottom"/>
          </w:tcPr>
          <w:p w:rsidR="00DF61E7" w:rsidRPr="003E7656" w:rsidRDefault="00DF61E7" w:rsidP="003E7656">
            <w:pPr>
              <w:pStyle w:val="TableBodyText"/>
              <w:rPr>
                <w:b/>
              </w:rPr>
            </w:pPr>
            <w:r w:rsidRPr="003E7656">
              <w:rPr>
                <w:b/>
              </w:rPr>
              <w:t xml:space="preserve">  24.6</w:t>
            </w:r>
          </w:p>
        </w:tc>
        <w:tc>
          <w:tcPr>
            <w:tcW w:w="657" w:type="dxa"/>
            <w:tcBorders>
              <w:bottom w:val="single" w:sz="4" w:space="0" w:color="auto"/>
            </w:tcBorders>
            <w:shd w:val="clear" w:color="auto" w:fill="auto"/>
            <w:vAlign w:val="bottom"/>
          </w:tcPr>
          <w:p w:rsidR="00DF61E7" w:rsidRPr="003E7656" w:rsidRDefault="00DF61E7" w:rsidP="003E7656">
            <w:pPr>
              <w:pStyle w:val="TableBodyText"/>
              <w:rPr>
                <w:b/>
              </w:rPr>
            </w:pPr>
            <w:r w:rsidRPr="003E7656">
              <w:rPr>
                <w:b/>
              </w:rPr>
              <w:t xml:space="preserve">  26.0</w:t>
            </w:r>
          </w:p>
        </w:tc>
        <w:tc>
          <w:tcPr>
            <w:tcW w:w="656" w:type="dxa"/>
            <w:tcBorders>
              <w:bottom w:val="single" w:sz="4" w:space="0" w:color="auto"/>
            </w:tcBorders>
            <w:shd w:val="clear" w:color="auto" w:fill="auto"/>
            <w:vAlign w:val="bottom"/>
          </w:tcPr>
          <w:p w:rsidR="00DF61E7" w:rsidRPr="00DF61E7" w:rsidRDefault="00DF61E7" w:rsidP="00DF61E7">
            <w:pPr>
              <w:pStyle w:val="TableBodyText"/>
              <w:rPr>
                <w:b/>
              </w:rPr>
            </w:pPr>
            <w:r w:rsidRPr="00DF61E7">
              <w:rPr>
                <w:b/>
              </w:rPr>
              <w:t xml:space="preserve">  24.9</w:t>
            </w:r>
          </w:p>
        </w:tc>
        <w:tc>
          <w:tcPr>
            <w:tcW w:w="657" w:type="dxa"/>
            <w:tcBorders>
              <w:bottom w:val="single" w:sz="4" w:space="0" w:color="auto"/>
            </w:tcBorders>
            <w:shd w:val="clear" w:color="auto" w:fill="auto"/>
            <w:vAlign w:val="bottom"/>
          </w:tcPr>
          <w:p w:rsidR="00DF61E7" w:rsidRPr="00DF61E7" w:rsidRDefault="00DF61E7" w:rsidP="00DF61E7">
            <w:pPr>
              <w:pStyle w:val="TableBodyText"/>
              <w:rPr>
                <w:b/>
              </w:rPr>
            </w:pPr>
            <w:r w:rsidRPr="00DF61E7">
              <w:rPr>
                <w:b/>
              </w:rPr>
              <w:t xml:space="preserve">  25.0</w:t>
            </w:r>
          </w:p>
        </w:tc>
        <w:tc>
          <w:tcPr>
            <w:tcW w:w="656" w:type="dxa"/>
            <w:tcBorders>
              <w:bottom w:val="single" w:sz="4" w:space="0" w:color="auto"/>
            </w:tcBorders>
            <w:shd w:val="clear" w:color="auto" w:fill="auto"/>
            <w:vAlign w:val="bottom"/>
          </w:tcPr>
          <w:p w:rsidR="00DF61E7" w:rsidRPr="00DF61E7" w:rsidRDefault="00DF61E7" w:rsidP="00DF61E7">
            <w:pPr>
              <w:pStyle w:val="TableBodyText"/>
              <w:rPr>
                <w:b/>
              </w:rPr>
            </w:pPr>
            <w:r w:rsidRPr="00DF61E7">
              <w:rPr>
                <w:b/>
              </w:rPr>
              <w:t xml:space="preserve">  18.0</w:t>
            </w:r>
          </w:p>
        </w:tc>
        <w:tc>
          <w:tcPr>
            <w:tcW w:w="657" w:type="dxa"/>
            <w:tcBorders>
              <w:bottom w:val="single" w:sz="4" w:space="0" w:color="auto"/>
            </w:tcBorders>
            <w:shd w:val="clear" w:color="auto" w:fill="auto"/>
            <w:vAlign w:val="bottom"/>
          </w:tcPr>
          <w:p w:rsidR="00DF61E7" w:rsidRPr="00DF61E7" w:rsidRDefault="00DF61E7" w:rsidP="00DF61E7">
            <w:pPr>
              <w:pStyle w:val="TableBodyText"/>
              <w:rPr>
                <w:b/>
              </w:rPr>
            </w:pPr>
            <w:r w:rsidRPr="00DF61E7">
              <w:rPr>
                <w:b/>
              </w:rPr>
              <w:t xml:space="preserve">  18.7</w:t>
            </w:r>
          </w:p>
        </w:tc>
        <w:tc>
          <w:tcPr>
            <w:tcW w:w="656" w:type="dxa"/>
            <w:tcBorders>
              <w:bottom w:val="single" w:sz="4" w:space="0" w:color="auto"/>
            </w:tcBorders>
            <w:shd w:val="clear" w:color="auto" w:fill="auto"/>
            <w:vAlign w:val="bottom"/>
          </w:tcPr>
          <w:p w:rsidR="00DF61E7" w:rsidRPr="00DF61E7" w:rsidRDefault="00DF61E7" w:rsidP="00DF61E7">
            <w:pPr>
              <w:pStyle w:val="TableBodyText"/>
              <w:rPr>
                <w:b/>
              </w:rPr>
            </w:pPr>
            <w:r w:rsidRPr="00DF61E7">
              <w:rPr>
                <w:b/>
              </w:rPr>
              <w:t xml:space="preserve">  43.5</w:t>
            </w:r>
          </w:p>
        </w:tc>
        <w:tc>
          <w:tcPr>
            <w:tcW w:w="657" w:type="dxa"/>
            <w:tcBorders>
              <w:bottom w:val="single" w:sz="4" w:space="0" w:color="auto"/>
            </w:tcBorders>
            <w:shd w:val="clear" w:color="auto" w:fill="auto"/>
            <w:vAlign w:val="bottom"/>
          </w:tcPr>
          <w:p w:rsidR="00DF61E7" w:rsidRPr="003E7656" w:rsidRDefault="00DF61E7" w:rsidP="003E7656">
            <w:pPr>
              <w:pStyle w:val="TableBodyText"/>
              <w:rPr>
                <w:b/>
              </w:rPr>
            </w:pPr>
            <w:r w:rsidRPr="003E7656">
              <w:rPr>
                <w:b/>
              </w:rPr>
              <w:t xml:space="preserve">  24.0</w:t>
            </w:r>
          </w:p>
        </w:tc>
      </w:tr>
    </w:tbl>
    <w:p w:rsidR="00DF3F57" w:rsidRPr="00944E91" w:rsidRDefault="00DF3F57" w:rsidP="001627AE">
      <w:pPr>
        <w:pStyle w:val="Note"/>
      </w:pPr>
      <w:r w:rsidRPr="00816B58">
        <w:rPr>
          <w:rStyle w:val="NoteLabel"/>
        </w:rPr>
        <w:t>a</w:t>
      </w:r>
      <w:r w:rsidRPr="00816B58">
        <w:rPr>
          <w:rFonts w:cs="Arial"/>
        </w:rPr>
        <w:t xml:space="preserve"> </w:t>
      </w:r>
      <w:r w:rsidRPr="00816B58">
        <w:t>Separation rates are directly age</w:t>
      </w:r>
      <w:r w:rsidR="00696EBD">
        <w:t>-</w:t>
      </w:r>
      <w:r w:rsidRPr="00816B58">
        <w:t xml:space="preserve">standardised to the Australian population at 30 June 2001. </w:t>
      </w:r>
      <w:r w:rsidRPr="00816B58">
        <w:rPr>
          <w:rStyle w:val="NoteLabel"/>
        </w:rPr>
        <w:t>b </w:t>
      </w:r>
      <w:r w:rsidRPr="00816B58">
        <w:t xml:space="preserve">Rates are based on </w:t>
      </w:r>
      <w:r>
        <w:t>State/Territory</w:t>
      </w:r>
      <w:r w:rsidRPr="00816B58">
        <w:t xml:space="preserve"> of usual residence. </w:t>
      </w:r>
      <w:r w:rsidRPr="00816B58">
        <w:rPr>
          <w:rStyle w:val="NoteLabel"/>
        </w:rPr>
        <w:t>c</w:t>
      </w:r>
      <w:r w:rsidRPr="00816B58">
        <w:t xml:space="preserve"> Includes other territories. Excludes overseas residents and unknown state of residence. </w:t>
      </w:r>
      <w:r w:rsidR="000B202B">
        <w:rPr>
          <w:rStyle w:val="NoteLabel"/>
        </w:rPr>
        <w:t>d</w:t>
      </w:r>
      <w:r w:rsidR="000B202B" w:rsidRPr="00816B58">
        <w:t> </w:t>
      </w:r>
      <w:r w:rsidR="00270978">
        <w:t>Selected a</w:t>
      </w:r>
      <w:r w:rsidR="00270978" w:rsidRPr="00270978">
        <w:t xml:space="preserve">cute </w:t>
      </w:r>
      <w:r w:rsidR="00270978" w:rsidRPr="006841F8">
        <w:t>conditions excluding dehydration and gastroenteritis</w:t>
      </w:r>
      <w:r w:rsidR="00270978">
        <w:rPr>
          <w:i/>
        </w:rPr>
        <w:t xml:space="preserve">. </w:t>
      </w:r>
      <w:r w:rsidR="00270978">
        <w:rPr>
          <w:rStyle w:val="NoteLabel"/>
        </w:rPr>
        <w:t>e</w:t>
      </w:r>
      <w:r w:rsidR="00270978" w:rsidRPr="00816B58">
        <w:t> </w:t>
      </w:r>
      <w:r w:rsidR="00270978">
        <w:t>Selected chronic</w:t>
      </w:r>
      <w:r w:rsidR="00270978" w:rsidRPr="00270978">
        <w:t xml:space="preserve"> conditions </w:t>
      </w:r>
      <w:r w:rsidR="00270978" w:rsidRPr="006841F8">
        <w:t>excluding diabetes complications (additional diagnoses only).</w:t>
      </w:r>
      <w:r w:rsidR="00270978">
        <w:rPr>
          <w:i/>
        </w:rPr>
        <w:t xml:space="preserve"> </w:t>
      </w:r>
      <w:r w:rsidR="00270978">
        <w:rPr>
          <w:rStyle w:val="NoteLabel"/>
        </w:rPr>
        <w:t>f</w:t>
      </w:r>
      <w:r w:rsidR="00270978" w:rsidRPr="00816B58">
        <w:t xml:space="preserve"> </w:t>
      </w:r>
      <w:r w:rsidR="00270978">
        <w:t>Total is a</w:t>
      </w:r>
      <w:r w:rsidR="00270978" w:rsidRPr="00270978">
        <w:t xml:space="preserve">ll potentially preventable hospitalisations </w:t>
      </w:r>
      <w:r w:rsidR="00270978" w:rsidRPr="006841F8">
        <w:t>excluding dehydration and gastroenteritis and diabetes complications (additional diagnoses only)</w:t>
      </w:r>
      <w:r w:rsidR="008B4A5C" w:rsidRPr="006841F8">
        <w:t>.</w:t>
      </w:r>
      <w:r w:rsidR="00270978" w:rsidRPr="006841F8">
        <w:t xml:space="preserve"> </w:t>
      </w:r>
      <w:r w:rsidR="00BB5FFB">
        <w:rPr>
          <w:rStyle w:val="NoteLabel"/>
        </w:rPr>
        <w:t>g</w:t>
      </w:r>
      <w:r w:rsidR="00BB5FFB" w:rsidRPr="00816B58">
        <w:t xml:space="preserve"> </w:t>
      </w:r>
      <w:r w:rsidRPr="00816B58">
        <w:t>Totals may not add as more than one condition may be reported for a separation.</w:t>
      </w:r>
    </w:p>
    <w:p w:rsidR="00DF3F57" w:rsidRPr="00C14146" w:rsidRDefault="00DF3F57" w:rsidP="001627AE">
      <w:pPr>
        <w:pStyle w:val="Note"/>
      </w:pPr>
      <w:r w:rsidRPr="002C4939">
        <w:rPr>
          <w:i/>
        </w:rPr>
        <w:t>Source</w:t>
      </w:r>
      <w:r w:rsidRPr="002C4939">
        <w:t>: AIHW</w:t>
      </w:r>
      <w:r w:rsidR="00412D52">
        <w:t xml:space="preserve"> </w:t>
      </w:r>
      <w:r w:rsidRPr="002C4939">
        <w:t>(</w:t>
      </w:r>
      <w:r w:rsidR="00A36A1F" w:rsidRPr="00443674">
        <w:t>201</w:t>
      </w:r>
      <w:r w:rsidR="00443674" w:rsidRPr="00443674">
        <w:t>3</w:t>
      </w:r>
      <w:r w:rsidR="00A36A1F" w:rsidRPr="00E3200C">
        <w:t>b</w:t>
      </w:r>
      <w:r w:rsidRPr="002C4939">
        <w:t xml:space="preserve">) </w:t>
      </w:r>
      <w:smartTag w:uri="urn:schemas-microsoft-com:office:smarttags" w:element="place">
        <w:smartTag w:uri="urn:schemas-microsoft-com:office:smarttags" w:element="PlaceName">
          <w:r w:rsidRPr="002C4939">
            <w:rPr>
              <w:i/>
            </w:rPr>
            <w:t>Australian</w:t>
          </w:r>
        </w:smartTag>
        <w:r w:rsidRPr="002C4939">
          <w:rPr>
            <w:i/>
          </w:rPr>
          <w:t xml:space="preserve"> </w:t>
        </w:r>
        <w:smartTag w:uri="urn:schemas-microsoft-com:office:smarttags" w:element="PlaceType">
          <w:r w:rsidRPr="002C4939">
            <w:rPr>
              <w:i/>
            </w:rPr>
            <w:t>Hospital</w:t>
          </w:r>
        </w:smartTag>
      </w:smartTag>
      <w:r w:rsidRPr="002C4939">
        <w:rPr>
          <w:i/>
        </w:rPr>
        <w:t xml:space="preserve"> Statistics 20</w:t>
      </w:r>
      <w:r w:rsidR="002C4939" w:rsidRPr="002C4939">
        <w:rPr>
          <w:i/>
        </w:rPr>
        <w:t>1</w:t>
      </w:r>
      <w:r w:rsidR="00412D52">
        <w:rPr>
          <w:i/>
        </w:rPr>
        <w:t>1</w:t>
      </w:r>
      <w:r w:rsidRPr="002C4939">
        <w:rPr>
          <w:i/>
        </w:rPr>
        <w:t>-</w:t>
      </w:r>
      <w:r w:rsidR="00FF0D1A" w:rsidRPr="002C4939">
        <w:rPr>
          <w:i/>
        </w:rPr>
        <w:t>1</w:t>
      </w:r>
      <w:r w:rsidR="00412D52">
        <w:rPr>
          <w:i/>
        </w:rPr>
        <w:t>2</w:t>
      </w:r>
      <w:r w:rsidRPr="002C4939">
        <w:t>, Cat. no. HSE</w:t>
      </w:r>
      <w:r w:rsidR="00FF0D1A" w:rsidRPr="002C4939">
        <w:t xml:space="preserve"> </w:t>
      </w:r>
      <w:r w:rsidR="002C4939" w:rsidRPr="002C4939">
        <w:t>1</w:t>
      </w:r>
      <w:r w:rsidR="00E3200C">
        <w:t>34</w:t>
      </w:r>
      <w:r w:rsidRPr="002C4939">
        <w:t xml:space="preserve">; </w:t>
      </w:r>
      <w:r w:rsidR="003E7656" w:rsidRPr="002C4939">
        <w:t xml:space="preserve">AIHW </w:t>
      </w:r>
      <w:r w:rsidR="003E7656">
        <w:t xml:space="preserve">(unpublished); </w:t>
      </w:r>
      <w:r w:rsidRPr="002C4939">
        <w:t>table </w:t>
      </w:r>
      <w:r w:rsidR="00D016FB">
        <w:t>11A.9</w:t>
      </w:r>
      <w:r w:rsidR="00CD3151">
        <w:t>3</w:t>
      </w:r>
      <w:r w:rsidRPr="002C4939">
        <w:t>.</w:t>
      </w:r>
    </w:p>
    <w:p w:rsidR="000E71B4" w:rsidRPr="00C14146" w:rsidRDefault="00DF3F57" w:rsidP="00C14146">
      <w:pPr>
        <w:pStyle w:val="BodyText"/>
      </w:pPr>
      <w:r w:rsidRPr="00913654">
        <w:lastRenderedPageBreak/>
        <w:t>Nationally, the age standardised hospital separation rate for all vaccin</w:t>
      </w:r>
      <w:r w:rsidR="00D83F9A">
        <w:t xml:space="preserve">e preventable </w:t>
      </w:r>
      <w:r w:rsidR="00D83F9A" w:rsidRPr="00500B27">
        <w:t xml:space="preserve">conditions was </w:t>
      </w:r>
      <w:r w:rsidR="00D7181C" w:rsidRPr="00500B27">
        <w:t>0.8</w:t>
      </w:r>
      <w:r w:rsidRPr="00931CC9">
        <w:t> per 1000 people</w:t>
      </w:r>
      <w:r w:rsidRPr="00913654">
        <w:t xml:space="preserve"> in</w:t>
      </w:r>
      <w:r w:rsidR="00500B27">
        <w:t xml:space="preserve"> 2011-12 </w:t>
      </w:r>
      <w:r w:rsidR="002C4A40" w:rsidRPr="00913654">
        <w:t>(table 11.1</w:t>
      </w:r>
      <w:r w:rsidR="009821C3">
        <w:t>0</w:t>
      </w:r>
      <w:r w:rsidR="002C4A40" w:rsidRPr="00913654">
        <w:t>)</w:t>
      </w:r>
      <w:r w:rsidRPr="00913654">
        <w:t>. Nationally, influenza and pneumonia accounted for</w:t>
      </w:r>
      <w:r w:rsidR="00500B27">
        <w:t xml:space="preserve"> 79.0</w:t>
      </w:r>
      <w:r w:rsidRPr="00931CC9">
        <w:t> per cent of</w:t>
      </w:r>
      <w:r w:rsidRPr="00913654">
        <w:t xml:space="preserve"> hospital separations for vaccine preventable conditions in</w:t>
      </w:r>
      <w:r w:rsidR="00500B27">
        <w:t xml:space="preserve"> 2011-12 </w:t>
      </w:r>
      <w:r w:rsidRPr="00913654">
        <w:t>(</w:t>
      </w:r>
      <w:r w:rsidR="002C4A40">
        <w:t>AIHW 201</w:t>
      </w:r>
      <w:r w:rsidR="00500B27">
        <w:t>3</w:t>
      </w:r>
      <w:r w:rsidR="00F14235">
        <w:t>b</w:t>
      </w:r>
      <w:r w:rsidRPr="00913654">
        <w:t>).</w:t>
      </w:r>
    </w:p>
    <w:p w:rsidR="00DF3F57" w:rsidRPr="00913654" w:rsidRDefault="00DF3F57" w:rsidP="00EE6859">
      <w:pPr>
        <w:pStyle w:val="TableTitle"/>
      </w:pPr>
      <w:r w:rsidRPr="00913654">
        <w:rPr>
          <w:b w:val="0"/>
        </w:rPr>
        <w:t xml:space="preserve">Table </w:t>
      </w:r>
      <w:bookmarkStart w:id="68" w:name="OLE_LINK5"/>
      <w:r w:rsidRPr="00913654">
        <w:rPr>
          <w:b w:val="0"/>
        </w:rPr>
        <w:t>11.</w:t>
      </w:r>
      <w:r w:rsidR="00C44281">
        <w:rPr>
          <w:b w:val="0"/>
          <w:noProof/>
        </w:rPr>
        <w:t>1</w:t>
      </w:r>
      <w:bookmarkEnd w:id="68"/>
      <w:r w:rsidR="009821C3">
        <w:rPr>
          <w:b w:val="0"/>
          <w:noProof/>
        </w:rPr>
        <w:t>0</w:t>
      </w:r>
      <w:r w:rsidRPr="00913654">
        <w:rPr>
          <w:b w:val="0"/>
        </w:rPr>
        <w:tab/>
      </w:r>
      <w:r w:rsidRPr="00913654">
        <w:t>Separations for vaccine preventable conditions per 1000 people,</w:t>
      </w:r>
      <w:r w:rsidR="0055594E">
        <w:t xml:space="preserve"> 2011-12</w:t>
      </w:r>
      <w:r w:rsidRPr="0055594E">
        <w:rPr>
          <w:rStyle w:val="NoteLabel"/>
          <w:b/>
        </w:rPr>
        <w:t>a</w:t>
      </w:r>
      <w:r w:rsidRPr="00913654">
        <w:rPr>
          <w:rStyle w:val="NoteLabel"/>
          <w:b/>
        </w:rPr>
        <w:t>, b</w:t>
      </w:r>
    </w:p>
    <w:tbl>
      <w:tblPr>
        <w:tblW w:w="8789" w:type="dxa"/>
        <w:tblCellMar>
          <w:left w:w="0" w:type="dxa"/>
          <w:right w:w="0" w:type="dxa"/>
        </w:tblCellMar>
        <w:tblLook w:val="0000" w:firstRow="0" w:lastRow="0" w:firstColumn="0" w:lastColumn="0" w:noHBand="0" w:noVBand="0"/>
      </w:tblPr>
      <w:tblGrid>
        <w:gridCol w:w="2552"/>
        <w:gridCol w:w="693"/>
        <w:gridCol w:w="693"/>
        <w:gridCol w:w="693"/>
        <w:gridCol w:w="693"/>
        <w:gridCol w:w="693"/>
        <w:gridCol w:w="693"/>
        <w:gridCol w:w="693"/>
        <w:gridCol w:w="693"/>
        <w:gridCol w:w="693"/>
      </w:tblGrid>
      <w:tr w:rsidR="00A454AA" w:rsidRPr="00A537F0" w:rsidTr="00A454AA">
        <w:tc>
          <w:tcPr>
            <w:tcW w:w="2552" w:type="dxa"/>
            <w:tcBorders>
              <w:top w:val="single" w:sz="6" w:space="0" w:color="auto"/>
              <w:bottom w:val="single" w:sz="6" w:space="0" w:color="auto"/>
            </w:tcBorders>
            <w:shd w:val="clear" w:color="auto" w:fill="auto"/>
          </w:tcPr>
          <w:p w:rsidR="00A454AA" w:rsidRPr="00913654" w:rsidRDefault="00A454AA" w:rsidP="00714878">
            <w:pPr>
              <w:pStyle w:val="TableColumnHeading"/>
              <w:ind w:right="57"/>
              <w:jc w:val="left"/>
            </w:pP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NSW</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Vic</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Qld</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WA</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SA</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Tas</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ACT</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40" w:before="96" w:afterLines="40" w:after="96" w:line="0" w:lineRule="atLeast"/>
            </w:pPr>
            <w:r w:rsidRPr="0039348A">
              <w:t>NT</w:t>
            </w:r>
          </w:p>
        </w:tc>
        <w:tc>
          <w:tcPr>
            <w:tcW w:w="693" w:type="dxa"/>
            <w:tcBorders>
              <w:top w:val="single" w:sz="6" w:space="0" w:color="auto"/>
              <w:bottom w:val="single" w:sz="6" w:space="0" w:color="auto"/>
            </w:tcBorders>
            <w:shd w:val="clear" w:color="auto" w:fill="auto"/>
          </w:tcPr>
          <w:p w:rsidR="00A454AA" w:rsidRPr="0039348A" w:rsidRDefault="00A454AA" w:rsidP="00A537F0">
            <w:pPr>
              <w:pStyle w:val="TableColumnHeading"/>
              <w:spacing w:beforeLines="20" w:before="48" w:afterLines="40" w:after="96" w:line="0" w:lineRule="atLeast"/>
            </w:pPr>
            <w:r w:rsidRPr="0039348A">
              <w:t>Aust</w:t>
            </w:r>
            <w:r w:rsidRPr="002C2461">
              <w:rPr>
                <w:rStyle w:val="NoteLabel"/>
                <w:i w:val="0"/>
              </w:rPr>
              <w:t>c</w:t>
            </w:r>
          </w:p>
        </w:tc>
      </w:tr>
      <w:tr w:rsidR="0055594E" w:rsidRPr="00913654" w:rsidTr="00CD2B11">
        <w:trPr>
          <w:trHeight w:val="215"/>
        </w:trPr>
        <w:tc>
          <w:tcPr>
            <w:tcW w:w="2552" w:type="dxa"/>
            <w:tcBorders>
              <w:top w:val="single" w:sz="6" w:space="0" w:color="auto"/>
            </w:tcBorders>
          </w:tcPr>
          <w:p w:rsidR="0055594E" w:rsidRPr="00913654" w:rsidRDefault="0055594E" w:rsidP="00714878">
            <w:pPr>
              <w:pStyle w:val="TableBodyText"/>
              <w:spacing w:before="40" w:afterLines="40" w:after="96"/>
              <w:ind w:right="57"/>
              <w:jc w:val="left"/>
            </w:pPr>
            <w:r w:rsidRPr="00913654">
              <w:t>Influenza and pneumonia</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0.6</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0.5</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0.7</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0.6</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0.8</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0.4</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0.6</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2.5</w:t>
            </w:r>
          </w:p>
        </w:tc>
        <w:tc>
          <w:tcPr>
            <w:tcW w:w="693" w:type="dxa"/>
            <w:tcBorders>
              <w:top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0.6</w:t>
            </w:r>
          </w:p>
        </w:tc>
      </w:tr>
      <w:tr w:rsidR="0055594E" w:rsidRPr="00913654" w:rsidTr="00CD2B11">
        <w:tc>
          <w:tcPr>
            <w:tcW w:w="2552" w:type="dxa"/>
          </w:tcPr>
          <w:p w:rsidR="0055594E" w:rsidRPr="00913654" w:rsidRDefault="0055594E" w:rsidP="00714878">
            <w:pPr>
              <w:pStyle w:val="TableBodyText"/>
              <w:spacing w:afterLines="40" w:after="96"/>
              <w:ind w:right="57"/>
              <w:jc w:val="left"/>
            </w:pPr>
            <w:r w:rsidRPr="00913654">
              <w:t>Other conditions</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0.1</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0.2</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0.2</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0.2</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0.1</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0.1</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0.1</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0.6</w:t>
            </w:r>
          </w:p>
        </w:tc>
        <w:tc>
          <w:tcPr>
            <w:tcW w:w="693" w:type="dxa"/>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sz w:val="20"/>
                <w:szCs w:val="20"/>
              </w:rPr>
            </w:pPr>
            <w:r w:rsidRPr="0055594E">
              <w:rPr>
                <w:rFonts w:ascii="Arial" w:hAnsi="Arial" w:cs="Arial"/>
                <w:sz w:val="20"/>
                <w:szCs w:val="20"/>
              </w:rPr>
              <w:t xml:space="preserve">  0.2</w:t>
            </w:r>
          </w:p>
        </w:tc>
      </w:tr>
      <w:tr w:rsidR="0055594E" w:rsidRPr="0055594E" w:rsidTr="00CD2B11">
        <w:tc>
          <w:tcPr>
            <w:tcW w:w="2552" w:type="dxa"/>
            <w:tcBorders>
              <w:bottom w:val="single" w:sz="6" w:space="0" w:color="auto"/>
            </w:tcBorders>
            <w:shd w:val="clear" w:color="auto" w:fill="auto"/>
          </w:tcPr>
          <w:p w:rsidR="0055594E" w:rsidRPr="0055594E" w:rsidRDefault="0055594E" w:rsidP="00714878">
            <w:pPr>
              <w:pStyle w:val="TableBodyText"/>
              <w:spacing w:afterLines="40" w:after="96"/>
              <w:ind w:right="57"/>
              <w:jc w:val="left"/>
              <w:rPr>
                <w:b/>
              </w:rPr>
            </w:pPr>
            <w:r w:rsidRPr="0055594E">
              <w:rPr>
                <w:b/>
              </w:rPr>
              <w:t>Total</w:t>
            </w:r>
            <w:r w:rsidRPr="003A5DDA">
              <w:rPr>
                <w:rStyle w:val="NoteLabel"/>
              </w:rPr>
              <w:t>d</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0.8</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0.8</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0.9</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0.8</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0.9</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0.5</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0.7</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3.1</w:t>
            </w:r>
          </w:p>
        </w:tc>
        <w:tc>
          <w:tcPr>
            <w:tcW w:w="693" w:type="dxa"/>
            <w:tcBorders>
              <w:bottom w:val="single" w:sz="6" w:space="0" w:color="auto"/>
            </w:tcBorders>
            <w:shd w:val="clear" w:color="auto" w:fill="auto"/>
            <w:vAlign w:val="bottom"/>
          </w:tcPr>
          <w:p w:rsidR="0055594E" w:rsidRPr="0055594E" w:rsidRDefault="0055594E" w:rsidP="0055594E">
            <w:pPr>
              <w:spacing w:afterLines="40" w:after="96" w:line="220" w:lineRule="atLeast"/>
              <w:ind w:left="6" w:right="113"/>
              <w:jc w:val="right"/>
              <w:rPr>
                <w:rFonts w:ascii="Arial" w:hAnsi="Arial" w:cs="Arial"/>
                <w:b/>
                <w:sz w:val="20"/>
                <w:szCs w:val="20"/>
              </w:rPr>
            </w:pPr>
            <w:r w:rsidRPr="0055594E">
              <w:rPr>
                <w:rFonts w:ascii="Arial" w:hAnsi="Arial" w:cs="Arial"/>
                <w:b/>
                <w:sz w:val="20"/>
                <w:szCs w:val="20"/>
              </w:rPr>
              <w:t xml:space="preserve">  0.8</w:t>
            </w:r>
          </w:p>
        </w:tc>
      </w:tr>
    </w:tbl>
    <w:p w:rsidR="00DF3F57" w:rsidRPr="00F459BD" w:rsidRDefault="00DF3F57" w:rsidP="00EE6859">
      <w:pPr>
        <w:pStyle w:val="Note"/>
      </w:pPr>
      <w:r w:rsidRPr="003F25CC">
        <w:rPr>
          <w:rStyle w:val="NoteLabel"/>
        </w:rPr>
        <w:t>a</w:t>
      </w:r>
      <w:r w:rsidRPr="00F459BD">
        <w:t xml:space="preserve"> Separation rates are directly age standardised to the Australian population at 30 June 2001. </w:t>
      </w:r>
      <w:r w:rsidRPr="003F25CC">
        <w:rPr>
          <w:rStyle w:val="NoteLabel"/>
        </w:rPr>
        <w:t>b</w:t>
      </w:r>
      <w:r w:rsidRPr="00F459BD">
        <w:t xml:space="preserve"> Rates are based on State/Territory of usual residence. </w:t>
      </w:r>
      <w:r w:rsidRPr="003F25CC">
        <w:rPr>
          <w:rStyle w:val="NoteLabel"/>
        </w:rPr>
        <w:t>c</w:t>
      </w:r>
      <w:r w:rsidRPr="00F459BD">
        <w:t xml:space="preserve"> Includes other territories and excludes overseas residents and unknown State of residence. </w:t>
      </w:r>
      <w:r w:rsidRPr="003F25CC">
        <w:rPr>
          <w:rStyle w:val="NoteLabel"/>
        </w:rPr>
        <w:t>d</w:t>
      </w:r>
      <w:r w:rsidRPr="00F459BD">
        <w:t> Totals may not add due to rounding.</w:t>
      </w:r>
    </w:p>
    <w:p w:rsidR="00DF3F57" w:rsidRPr="00913654" w:rsidRDefault="00DF3F57" w:rsidP="00EE6859">
      <w:pPr>
        <w:pStyle w:val="Source"/>
      </w:pPr>
      <w:r w:rsidRPr="00913654">
        <w:rPr>
          <w:i/>
        </w:rPr>
        <w:t>Source</w:t>
      </w:r>
      <w:r w:rsidR="00A36A1F">
        <w:t>: AIHW (</w:t>
      </w:r>
      <w:r w:rsidR="00A36A1F" w:rsidRPr="00500B27">
        <w:t>201</w:t>
      </w:r>
      <w:r w:rsidR="00500B27" w:rsidRPr="00500B27">
        <w:t>3</w:t>
      </w:r>
      <w:r w:rsidR="00A36A1F" w:rsidRPr="00E3200C">
        <w:t>b</w:t>
      </w:r>
      <w:r w:rsidRPr="00913654">
        <w:t xml:space="preserve">) </w:t>
      </w:r>
      <w:smartTag w:uri="urn:schemas-microsoft-com:office:smarttags" w:element="place">
        <w:smartTag w:uri="urn:schemas-microsoft-com:office:smarttags" w:element="PlaceName">
          <w:r w:rsidRPr="00913654">
            <w:rPr>
              <w:i/>
            </w:rPr>
            <w:t>Australian</w:t>
          </w:r>
        </w:smartTag>
        <w:r w:rsidRPr="00913654">
          <w:rPr>
            <w:i/>
          </w:rPr>
          <w:t xml:space="preserve"> </w:t>
        </w:r>
        <w:smartTag w:uri="urn:schemas-microsoft-com:office:smarttags" w:element="PlaceType">
          <w:r w:rsidRPr="00913654">
            <w:rPr>
              <w:i/>
            </w:rPr>
            <w:t>Hospital</w:t>
          </w:r>
        </w:smartTag>
      </w:smartTag>
      <w:r w:rsidRPr="00913654">
        <w:rPr>
          <w:i/>
        </w:rPr>
        <w:t xml:space="preserve"> Statistics 20</w:t>
      </w:r>
      <w:r w:rsidR="00A36A1F">
        <w:rPr>
          <w:i/>
        </w:rPr>
        <w:t>1</w:t>
      </w:r>
      <w:r w:rsidR="00820A5B">
        <w:rPr>
          <w:i/>
        </w:rPr>
        <w:t>1</w:t>
      </w:r>
      <w:r w:rsidRPr="00913654">
        <w:rPr>
          <w:i/>
        </w:rPr>
        <w:t>-1</w:t>
      </w:r>
      <w:r w:rsidR="00820A5B">
        <w:rPr>
          <w:i/>
        </w:rPr>
        <w:t>2</w:t>
      </w:r>
      <w:r w:rsidR="00820A5B">
        <w:t>, Cat. no. HSE 134</w:t>
      </w:r>
      <w:r w:rsidRPr="00913654">
        <w:t>; table </w:t>
      </w:r>
      <w:r w:rsidR="008A25EA">
        <w:t>11A.9</w:t>
      </w:r>
      <w:r w:rsidR="003B3CD1">
        <w:t>7</w:t>
      </w:r>
      <w:r w:rsidRPr="00913654">
        <w:t>.</w:t>
      </w:r>
    </w:p>
    <w:p w:rsidR="00412B2C" w:rsidRPr="00C14146" w:rsidRDefault="00DF3F57" w:rsidP="00C14146">
      <w:pPr>
        <w:pStyle w:val="BodyText"/>
        <w:rPr>
          <w:rStyle w:val="DraftingNote"/>
          <w:b w:val="0"/>
          <w:color w:val="auto"/>
          <w:sz w:val="26"/>
          <w:u w:val="none"/>
        </w:rPr>
      </w:pPr>
      <w:r w:rsidRPr="00913654">
        <w:t xml:space="preserve">The age standardised hospital separation rate for vaccine preventable conditions </w:t>
      </w:r>
      <w:r w:rsidRPr="00443674">
        <w:t xml:space="preserve">was </w:t>
      </w:r>
      <w:r w:rsidR="003A598C" w:rsidRPr="00443674">
        <w:t xml:space="preserve">higher </w:t>
      </w:r>
      <w:r w:rsidRPr="00443674">
        <w:t xml:space="preserve">for </w:t>
      </w:r>
      <w:r w:rsidR="006E4E2B" w:rsidRPr="00443674">
        <w:t>Indigenous Australians</w:t>
      </w:r>
      <w:r w:rsidRPr="00443674">
        <w:t xml:space="preserve"> than for non</w:t>
      </w:r>
      <w:r w:rsidRPr="00443674">
        <w:noBreakHyphen/>
      </w:r>
      <w:r w:rsidR="006E4E2B" w:rsidRPr="00443674">
        <w:t>Indigenous Australians</w:t>
      </w:r>
      <w:r w:rsidRPr="00443674">
        <w:t xml:space="preserve"> in </w:t>
      </w:r>
      <w:r w:rsidR="00D83F9A" w:rsidRPr="00443674">
        <w:t>201</w:t>
      </w:r>
      <w:r w:rsidR="00443674">
        <w:t>1</w:t>
      </w:r>
      <w:r w:rsidR="00D83F9A" w:rsidRPr="00443674">
        <w:noBreakHyphen/>
        <w:t>1</w:t>
      </w:r>
      <w:r w:rsidR="00443674">
        <w:t>2</w:t>
      </w:r>
      <w:r w:rsidR="00577D49" w:rsidRPr="00443674">
        <w:t>,</w:t>
      </w:r>
      <w:r w:rsidRPr="00443674">
        <w:t xml:space="preserve"> in most</w:t>
      </w:r>
      <w:r w:rsidRPr="00913654">
        <w:t xml:space="preserve"> jurisdictions (figure 11.4</w:t>
      </w:r>
      <w:r w:rsidR="00CA25A8">
        <w:t>8</w:t>
      </w:r>
      <w:r w:rsidRPr="00913654">
        <w:t>).</w:t>
      </w:r>
    </w:p>
    <w:p w:rsidR="00DF3F57" w:rsidRPr="00F459BD" w:rsidRDefault="00DF3F57" w:rsidP="00EE6859">
      <w:pPr>
        <w:pStyle w:val="FigureTitle"/>
        <w:ind w:left="1560" w:hanging="1560"/>
      </w:pPr>
      <w:r w:rsidRPr="00913654">
        <w:rPr>
          <w:b w:val="0"/>
        </w:rPr>
        <w:lastRenderedPageBreak/>
        <w:t xml:space="preserve">Figure </w:t>
      </w:r>
      <w:bookmarkStart w:id="69" w:name="OLE_LINK52"/>
      <w:r w:rsidRPr="00913654">
        <w:rPr>
          <w:b w:val="0"/>
        </w:rPr>
        <w:t>11.</w:t>
      </w:r>
      <w:r w:rsidR="00C44281">
        <w:rPr>
          <w:b w:val="0"/>
          <w:noProof/>
        </w:rPr>
        <w:t>4</w:t>
      </w:r>
      <w:bookmarkEnd w:id="69"/>
      <w:r w:rsidR="00CA25A8">
        <w:rPr>
          <w:b w:val="0"/>
          <w:noProof/>
        </w:rPr>
        <w:t>8</w:t>
      </w:r>
      <w:r w:rsidRPr="00913654">
        <w:tab/>
        <w:t>Separations for vaccine preventable conditions by Indigenous status</w:t>
      </w:r>
      <w:r w:rsidRPr="00913654">
        <w:rPr>
          <w:rStyle w:val="NoteLabel"/>
          <w:b/>
        </w:rPr>
        <w:t>a, b, c, d, e</w:t>
      </w:r>
    </w:p>
    <w:tbl>
      <w:tblPr>
        <w:tblW w:w="8777" w:type="dxa"/>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F3F57" w:rsidRPr="00F459BD" w:rsidTr="00EC63A7">
        <w:tc>
          <w:tcPr>
            <w:tcW w:w="8777" w:type="dxa"/>
            <w:tcBorders>
              <w:top w:val="single" w:sz="6" w:space="0" w:color="auto"/>
              <w:bottom w:val="single" w:sz="6" w:space="0" w:color="auto"/>
              <w:right w:val="nil"/>
            </w:tcBorders>
          </w:tcPr>
          <w:p w:rsidR="0067706F" w:rsidRDefault="006542C2" w:rsidP="00EE6859">
            <w:pPr>
              <w:pStyle w:val="Figure"/>
            </w:pPr>
            <w:r>
              <w:rPr>
                <w:noProof/>
              </w:rPr>
              <w:drawing>
                <wp:inline distT="0" distB="0" distL="0" distR="0" wp14:anchorId="199450FC" wp14:editId="69F39435">
                  <wp:extent cx="5381625" cy="2876550"/>
                  <wp:effectExtent l="0" t="0" r="9525" b="0"/>
                  <wp:docPr id="7" name="Picture 7" descr="Figure 11.48 Separations for vaccine preventable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p w:rsidR="003C2EE0" w:rsidRPr="00F459BD" w:rsidRDefault="004D02E3" w:rsidP="00EE6859">
            <w:pPr>
              <w:pStyle w:val="Figure"/>
            </w:pPr>
            <w:r>
              <w:rPr>
                <w:noProof/>
              </w:rPr>
              <w:drawing>
                <wp:inline distT="0" distB="0" distL="0" distR="0" wp14:anchorId="4089AC17" wp14:editId="7C9BCB57">
                  <wp:extent cx="5398926" cy="2676525"/>
                  <wp:effectExtent l="0" t="0" r="0" b="0"/>
                  <wp:docPr id="5" name="Picture 5" descr="Figure 11.48 Separations for vaccine preventable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58">
                            <a:extLst>
                              <a:ext uri="{28A0092B-C50C-407E-A947-70E740481C1C}">
                                <a14:useLocalDpi xmlns:a14="http://schemas.microsoft.com/office/drawing/2010/main" val="0"/>
                              </a:ext>
                            </a:extLst>
                          </a:blip>
                          <a:srcRect t="6954"/>
                          <a:stretch/>
                        </pic:blipFill>
                        <pic:spPr bwMode="auto">
                          <a:xfrm>
                            <a:off x="0" y="0"/>
                            <a:ext cx="5401310" cy="267770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8E755A" w:rsidRPr="00913654" w:rsidRDefault="00DF3F57" w:rsidP="005E5AA0">
      <w:pPr>
        <w:pStyle w:val="Note"/>
        <w:keepNext/>
      </w:pPr>
      <w:r w:rsidRPr="00A6454B">
        <w:rPr>
          <w:rStyle w:val="NoteLabel"/>
        </w:rPr>
        <w:t xml:space="preserve">a </w:t>
      </w:r>
      <w:r w:rsidRPr="00F459BD">
        <w:t>Separation rates are directly age standardised to the Australian population at 30 June 2001.</w:t>
      </w:r>
      <w:r w:rsidRPr="00A6454B">
        <w:rPr>
          <w:rStyle w:val="NoteLabel"/>
        </w:rPr>
        <w:t xml:space="preserve"> b</w:t>
      </w:r>
      <w:r w:rsidRPr="00F459BD">
        <w:t xml:space="preserve"> Caution should be used in the interpretation of these data because of jurisdictional differences in data quality. </w:t>
      </w:r>
      <w:r w:rsidRPr="00A6454B">
        <w:rPr>
          <w:rStyle w:val="NoteLabel"/>
        </w:rPr>
        <w:t>c </w:t>
      </w:r>
      <w:r w:rsidRPr="00F459BD">
        <w:t xml:space="preserve">Separation rates are based on State/Territory of usual residence. </w:t>
      </w:r>
      <w:r w:rsidRPr="00A6454B">
        <w:rPr>
          <w:rStyle w:val="NoteLabel"/>
        </w:rPr>
        <w:t>d</w:t>
      </w:r>
      <w:r w:rsidRPr="00F459BD">
        <w:t> </w:t>
      </w:r>
      <w:r w:rsidRPr="005E5AA0">
        <w:t xml:space="preserve">NT data </w:t>
      </w:r>
      <w:r w:rsidR="00E13AA6" w:rsidRPr="005E5AA0">
        <w:t xml:space="preserve">for 2011-12 are for public and private hospitals. For previous years, NT data </w:t>
      </w:r>
      <w:r w:rsidRPr="005E5AA0">
        <w:t>are for public hospit</w:t>
      </w:r>
      <w:r w:rsidR="00443674" w:rsidRPr="005E5AA0">
        <w:t>als only.</w:t>
      </w:r>
      <w:r w:rsidR="00101503" w:rsidRPr="00101503">
        <w:rPr>
          <w:color w:val="FF0000"/>
        </w:rPr>
        <w:t xml:space="preserve"> </w:t>
      </w:r>
      <w:r w:rsidR="008070E9">
        <w:rPr>
          <w:rStyle w:val="NoteLabel"/>
        </w:rPr>
        <w:t>e</w:t>
      </w:r>
      <w:r w:rsidR="00ED3D24">
        <w:t> F</w:t>
      </w:r>
      <w:r w:rsidR="003F5684">
        <w:t>o</w:t>
      </w:r>
      <w:r w:rsidR="00ED3D24">
        <w:t>r</w:t>
      </w:r>
      <w:r w:rsidR="003F5684">
        <w:t xml:space="preserve"> 2011-12, </w:t>
      </w:r>
      <w:r w:rsidR="003F5684" w:rsidRPr="003F5684">
        <w:t>Indigenous status data are of sufficient quality for statistical reporting purposes</w:t>
      </w:r>
      <w:r w:rsidR="003F5684">
        <w:t xml:space="preserve"> for all states and territories</w:t>
      </w:r>
      <w:r w:rsidR="003F5684" w:rsidRPr="003F5684">
        <w:t>.</w:t>
      </w:r>
      <w:r w:rsidR="003F5684">
        <w:t xml:space="preserve"> Data for </w:t>
      </w:r>
      <w:r w:rsidR="003F5684" w:rsidRPr="003F5684">
        <w:t xml:space="preserve">Tasmania and the ACT </w:t>
      </w:r>
      <w:r w:rsidR="003F5684">
        <w:t>were not included in national totals in previous years, and were not published for 2007-08.</w:t>
      </w:r>
    </w:p>
    <w:p w:rsidR="00DF3F57" w:rsidRPr="00913654" w:rsidRDefault="00DF3F57" w:rsidP="00EE6859">
      <w:pPr>
        <w:pStyle w:val="Source"/>
      </w:pPr>
      <w:r w:rsidRPr="00913654">
        <w:rPr>
          <w:i/>
        </w:rPr>
        <w:t>Source</w:t>
      </w:r>
      <w:r w:rsidRPr="00913654">
        <w:t>: AIHW (unpublished) National Hospital Morbidity Database</w:t>
      </w:r>
      <w:r w:rsidRPr="00931CC9">
        <w:t>; table </w:t>
      </w:r>
      <w:r w:rsidR="007A321A" w:rsidRPr="00931CC9">
        <w:t>11A.</w:t>
      </w:r>
      <w:r w:rsidR="00BE6366">
        <w:t>9</w:t>
      </w:r>
      <w:r w:rsidR="003B3CD1">
        <w:t>7</w:t>
      </w:r>
      <w:r w:rsidRPr="00931CC9">
        <w:t>.</w:t>
      </w:r>
    </w:p>
    <w:p w:rsidR="00DF3F57" w:rsidRPr="00F459BD" w:rsidRDefault="00DF3F57" w:rsidP="00EE6859">
      <w:pPr>
        <w:pStyle w:val="BodyText"/>
      </w:pPr>
      <w:r w:rsidRPr="00913654">
        <w:t>Of the selected acute conditions, dental conditions</w:t>
      </w:r>
      <w:r w:rsidR="003A598C">
        <w:t>,</w:t>
      </w:r>
      <w:r w:rsidRPr="00913654">
        <w:t xml:space="preserve"> dehydration and gastroenteritis</w:t>
      </w:r>
      <w:r w:rsidR="003A598C">
        <w:t>,</w:t>
      </w:r>
      <w:r w:rsidRPr="00913654">
        <w:t xml:space="preserve"> </w:t>
      </w:r>
      <w:r w:rsidR="003A598C">
        <w:t xml:space="preserve">and pyelonephritis </w:t>
      </w:r>
      <w:r w:rsidRPr="00913654">
        <w:t xml:space="preserve">recorded the </w:t>
      </w:r>
      <w:r w:rsidR="003A598C" w:rsidRPr="00932F0A">
        <w:t>highest</w:t>
      </w:r>
      <w:r w:rsidR="003A598C">
        <w:t xml:space="preserve"> </w:t>
      </w:r>
      <w:r w:rsidRPr="00913654">
        <w:t xml:space="preserve">rates of hospitalisation nationally in </w:t>
      </w:r>
      <w:r w:rsidR="00932F0A">
        <w:t>2011</w:t>
      </w:r>
      <w:r w:rsidR="00932F0A">
        <w:noBreakHyphen/>
        <w:t>12</w:t>
      </w:r>
      <w:r w:rsidR="00222AFA" w:rsidRPr="00913654">
        <w:t xml:space="preserve"> </w:t>
      </w:r>
      <w:r w:rsidRPr="00913654">
        <w:t>(table 11.1</w:t>
      </w:r>
      <w:r w:rsidR="009821C3">
        <w:t>1</w:t>
      </w:r>
      <w:r w:rsidRPr="00913654">
        <w:t>)</w:t>
      </w:r>
      <w:r w:rsidR="008F393C" w:rsidRPr="00913654">
        <w:t>.</w:t>
      </w:r>
    </w:p>
    <w:p w:rsidR="00DF3F57" w:rsidRPr="00913654" w:rsidRDefault="00DF3F57" w:rsidP="00EE6859">
      <w:pPr>
        <w:pStyle w:val="TableTitle"/>
      </w:pPr>
      <w:r w:rsidRPr="00913654">
        <w:rPr>
          <w:b w:val="0"/>
        </w:rPr>
        <w:lastRenderedPageBreak/>
        <w:t xml:space="preserve">Table </w:t>
      </w:r>
      <w:bookmarkStart w:id="70" w:name="OLE_LINK53"/>
      <w:r w:rsidRPr="00913654">
        <w:rPr>
          <w:b w:val="0"/>
        </w:rPr>
        <w:t>11.</w:t>
      </w:r>
      <w:r w:rsidR="00C44281">
        <w:rPr>
          <w:b w:val="0"/>
          <w:noProof/>
        </w:rPr>
        <w:t>1</w:t>
      </w:r>
      <w:bookmarkEnd w:id="70"/>
      <w:r w:rsidR="009821C3">
        <w:rPr>
          <w:b w:val="0"/>
          <w:noProof/>
        </w:rPr>
        <w:t>1</w:t>
      </w:r>
      <w:r w:rsidRPr="00913654">
        <w:tab/>
        <w:t xml:space="preserve">Separations for selected acute conditions per 1000 people, </w:t>
      </w:r>
      <w:r w:rsidR="0005559F">
        <w:t>2011</w:t>
      </w:r>
      <w:r w:rsidR="0005559F">
        <w:noBreakHyphen/>
        <w:t>12</w:t>
      </w:r>
      <w:r w:rsidRPr="00913654">
        <w:rPr>
          <w:rStyle w:val="NoteLabel"/>
          <w:b/>
        </w:rPr>
        <w:t>a, b</w:t>
      </w:r>
    </w:p>
    <w:tbl>
      <w:tblPr>
        <w:tblW w:w="8789" w:type="dxa"/>
        <w:tblLayout w:type="fixed"/>
        <w:tblCellMar>
          <w:left w:w="0" w:type="dxa"/>
          <w:right w:w="0" w:type="dxa"/>
        </w:tblCellMar>
        <w:tblLook w:val="0000" w:firstRow="0" w:lastRow="0" w:firstColumn="0" w:lastColumn="0" w:noHBand="0" w:noVBand="0"/>
      </w:tblPr>
      <w:tblGrid>
        <w:gridCol w:w="2835"/>
        <w:gridCol w:w="661"/>
        <w:gridCol w:w="662"/>
        <w:gridCol w:w="661"/>
        <w:gridCol w:w="662"/>
        <w:gridCol w:w="661"/>
        <w:gridCol w:w="662"/>
        <w:gridCol w:w="661"/>
        <w:gridCol w:w="662"/>
        <w:gridCol w:w="662"/>
      </w:tblGrid>
      <w:tr w:rsidR="00DF3F57" w:rsidRPr="00913654" w:rsidTr="00DF3F57">
        <w:tc>
          <w:tcPr>
            <w:tcW w:w="2835" w:type="dxa"/>
            <w:tcBorders>
              <w:top w:val="single" w:sz="6" w:space="0" w:color="auto"/>
              <w:bottom w:val="single" w:sz="6" w:space="0" w:color="auto"/>
            </w:tcBorders>
            <w:shd w:val="clear" w:color="auto" w:fill="auto"/>
          </w:tcPr>
          <w:p w:rsidR="00DF3F57" w:rsidRPr="00913654" w:rsidRDefault="00DF3F57" w:rsidP="0095224C">
            <w:pPr>
              <w:pStyle w:val="TableColumnHeading"/>
              <w:ind w:right="57"/>
              <w:jc w:val="left"/>
            </w:pPr>
            <w:r w:rsidRPr="00913654">
              <w:t> </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NSW</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Vic</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Qld</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WA</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SA</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line="0" w:lineRule="atLeast"/>
            </w:pPr>
            <w:r w:rsidRPr="00913654">
              <w:t>Tas</w:t>
            </w:r>
          </w:p>
        </w:tc>
        <w:tc>
          <w:tcPr>
            <w:tcW w:w="661" w:type="dxa"/>
            <w:tcBorders>
              <w:top w:val="single" w:sz="6" w:space="0" w:color="auto"/>
              <w:bottom w:val="single" w:sz="6" w:space="0" w:color="auto"/>
            </w:tcBorders>
            <w:shd w:val="clear" w:color="auto" w:fill="auto"/>
          </w:tcPr>
          <w:p w:rsidR="00DF3F57" w:rsidRPr="00913654" w:rsidRDefault="00DF3F57" w:rsidP="00A537F0">
            <w:pPr>
              <w:pStyle w:val="TableColumnHeading"/>
              <w:spacing w:beforeLines="40" w:before="96" w:afterLines="40" w:after="96"/>
            </w:pPr>
            <w:r w:rsidRPr="00913654">
              <w:t>ACT</w:t>
            </w:r>
          </w:p>
        </w:tc>
        <w:tc>
          <w:tcPr>
            <w:tcW w:w="662" w:type="dxa"/>
            <w:tcBorders>
              <w:top w:val="single" w:sz="6" w:space="0" w:color="auto"/>
              <w:bottom w:val="single" w:sz="6" w:space="0" w:color="auto"/>
            </w:tcBorders>
            <w:shd w:val="clear" w:color="auto" w:fill="auto"/>
          </w:tcPr>
          <w:p w:rsidR="00DF3F57" w:rsidRPr="00913654" w:rsidRDefault="00DF3F57" w:rsidP="00A537F0">
            <w:pPr>
              <w:pStyle w:val="TableColumnHeading"/>
              <w:spacing w:beforeLines="40" w:before="96" w:afterLines="40" w:after="96"/>
            </w:pPr>
            <w:r w:rsidRPr="00913654">
              <w:t>NT</w:t>
            </w:r>
          </w:p>
        </w:tc>
        <w:tc>
          <w:tcPr>
            <w:tcW w:w="662" w:type="dxa"/>
            <w:tcBorders>
              <w:top w:val="single" w:sz="6" w:space="0" w:color="auto"/>
              <w:bottom w:val="single" w:sz="6" w:space="0" w:color="auto"/>
            </w:tcBorders>
            <w:shd w:val="clear" w:color="auto" w:fill="auto"/>
          </w:tcPr>
          <w:p w:rsidR="00DF3F57" w:rsidRPr="00913654" w:rsidRDefault="00DF3F57" w:rsidP="00A537F0">
            <w:pPr>
              <w:pStyle w:val="TableColumnHeading"/>
              <w:spacing w:before="40" w:after="40"/>
            </w:pPr>
            <w:r w:rsidRPr="00913654">
              <w:t>Aust</w:t>
            </w:r>
            <w:r w:rsidRPr="00A537F0">
              <w:rPr>
                <w:rStyle w:val="NoteLabel"/>
                <w:i w:val="0"/>
              </w:rPr>
              <w:t>c</w:t>
            </w:r>
          </w:p>
        </w:tc>
      </w:tr>
      <w:tr w:rsidR="0005559F" w:rsidRPr="00913654" w:rsidTr="0005559F">
        <w:tc>
          <w:tcPr>
            <w:tcW w:w="2835" w:type="dxa"/>
            <w:tcBorders>
              <w:top w:val="single" w:sz="6" w:space="0" w:color="auto"/>
            </w:tcBorders>
          </w:tcPr>
          <w:p w:rsidR="0005559F" w:rsidRPr="00913654" w:rsidRDefault="0005559F" w:rsidP="00277ACD">
            <w:pPr>
              <w:pStyle w:val="TableBodyText"/>
              <w:spacing w:before="40"/>
              <w:ind w:right="57"/>
              <w:jc w:val="left"/>
            </w:pPr>
            <w:r w:rsidRPr="00913654">
              <w:t>Appendicitis</w:t>
            </w:r>
          </w:p>
        </w:tc>
        <w:tc>
          <w:tcPr>
            <w:tcW w:w="661"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2"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0.3</w:t>
            </w:r>
          </w:p>
        </w:tc>
        <w:tc>
          <w:tcPr>
            <w:tcW w:w="661"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2"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1"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2"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0.3</w:t>
            </w:r>
          </w:p>
        </w:tc>
        <w:tc>
          <w:tcPr>
            <w:tcW w:w="661"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0.5</w:t>
            </w:r>
          </w:p>
        </w:tc>
        <w:tc>
          <w:tcPr>
            <w:tcW w:w="662" w:type="dxa"/>
            <w:tcBorders>
              <w:top w:val="single" w:sz="6" w:space="0" w:color="auto"/>
            </w:tcBorders>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r>
      <w:tr w:rsidR="0005559F" w:rsidRPr="00913654" w:rsidTr="0005559F">
        <w:tc>
          <w:tcPr>
            <w:tcW w:w="2835" w:type="dxa"/>
          </w:tcPr>
          <w:p w:rsidR="0005559F" w:rsidRPr="00913654" w:rsidRDefault="0005559F" w:rsidP="0095224C">
            <w:pPr>
              <w:pStyle w:val="TableBodyText"/>
              <w:ind w:right="57"/>
              <w:jc w:val="left"/>
            </w:pPr>
            <w:r w:rsidRPr="00913654">
              <w:t>Cellulitis</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1.9</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1.8</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1.9</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1.7</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1.3</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1.4</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4.1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1.9</w:t>
            </w:r>
          </w:p>
        </w:tc>
      </w:tr>
      <w:tr w:rsidR="0005559F" w:rsidRPr="00913654" w:rsidTr="0005559F">
        <w:tc>
          <w:tcPr>
            <w:tcW w:w="2835" w:type="dxa"/>
          </w:tcPr>
          <w:p w:rsidR="0005559F" w:rsidRPr="00913654" w:rsidRDefault="0005559F" w:rsidP="0095224C">
            <w:pPr>
              <w:pStyle w:val="TableBodyText"/>
              <w:ind w:right="57"/>
              <w:jc w:val="left"/>
            </w:pPr>
            <w:r w:rsidRPr="00913654">
              <w:t>Convulsions and epilepsy</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1.5</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1.7</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1.5</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1.7</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1.4</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3.4</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1.6</w:t>
            </w:r>
          </w:p>
        </w:tc>
      </w:tr>
      <w:tr w:rsidR="0005559F" w:rsidRPr="00913654" w:rsidTr="0005559F">
        <w:tc>
          <w:tcPr>
            <w:tcW w:w="2835" w:type="dxa"/>
          </w:tcPr>
          <w:p w:rsidR="0005559F" w:rsidRPr="00913654" w:rsidRDefault="0005559F" w:rsidP="0095224C">
            <w:pPr>
              <w:pStyle w:val="TableBodyText"/>
              <w:ind w:right="57"/>
              <w:jc w:val="left"/>
            </w:pPr>
            <w:r w:rsidRPr="00913654">
              <w:t>Dehydration and gastroenteritis</w:t>
            </w:r>
            <w:r w:rsidR="009D0842" w:rsidRPr="00913654">
              <w:rPr>
                <w:rStyle w:val="NoteLabel"/>
              </w:rPr>
              <w:t>d</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3.5</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2.7</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2.7</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2.0</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1.8</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2.9</w:t>
            </w:r>
          </w:p>
        </w:tc>
      </w:tr>
      <w:tr w:rsidR="0005559F" w:rsidRPr="00913654" w:rsidTr="0005559F">
        <w:tc>
          <w:tcPr>
            <w:tcW w:w="2835" w:type="dxa"/>
          </w:tcPr>
          <w:p w:rsidR="0005559F" w:rsidRPr="00913654" w:rsidRDefault="0005559F" w:rsidP="0095224C">
            <w:pPr>
              <w:pStyle w:val="TableBodyText"/>
              <w:ind w:right="57"/>
              <w:jc w:val="left"/>
            </w:pPr>
            <w:r w:rsidRPr="00913654">
              <w:t>Dental conditions</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2.3</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3.1</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2.9</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3.9</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2.3</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2.9</w:t>
            </w:r>
          </w:p>
        </w:tc>
      </w:tr>
      <w:tr w:rsidR="0005559F" w:rsidRPr="00913654" w:rsidTr="0005559F">
        <w:tc>
          <w:tcPr>
            <w:tcW w:w="2835" w:type="dxa"/>
          </w:tcPr>
          <w:p w:rsidR="0005559F" w:rsidRPr="00913654" w:rsidRDefault="0005559F" w:rsidP="0095224C">
            <w:pPr>
              <w:pStyle w:val="TableBodyText"/>
              <w:ind w:right="57"/>
              <w:jc w:val="left"/>
            </w:pPr>
            <w:r w:rsidRPr="00913654">
              <w:t>Ear, nose and throat infections</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1.8</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1.9</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2.1</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2.3</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1.1</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2.8</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1.8</w:t>
            </w:r>
          </w:p>
        </w:tc>
      </w:tr>
      <w:tr w:rsidR="0005559F" w:rsidRPr="00913654" w:rsidTr="0005559F">
        <w:tc>
          <w:tcPr>
            <w:tcW w:w="2835" w:type="dxa"/>
          </w:tcPr>
          <w:p w:rsidR="0005559F" w:rsidRPr="00913654" w:rsidRDefault="0005559F" w:rsidP="0095224C">
            <w:pPr>
              <w:pStyle w:val="TableBodyText"/>
              <w:ind w:right="57"/>
              <w:jc w:val="left"/>
            </w:pPr>
            <w:r w:rsidRPr="00913654">
              <w:t>Gangrene</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0.3</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0.4</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0.1</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0.8</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0.3</w:t>
            </w:r>
          </w:p>
        </w:tc>
      </w:tr>
      <w:tr w:rsidR="0005559F" w:rsidRPr="00913654" w:rsidTr="0005559F">
        <w:tc>
          <w:tcPr>
            <w:tcW w:w="2835" w:type="dxa"/>
          </w:tcPr>
          <w:p w:rsidR="0005559F" w:rsidRPr="00913654" w:rsidRDefault="0005559F" w:rsidP="0095224C">
            <w:pPr>
              <w:pStyle w:val="TableBodyText"/>
              <w:ind w:right="57"/>
              <w:jc w:val="left"/>
            </w:pPr>
            <w:r w:rsidRPr="00913654">
              <w:t>Pelvic inflammatory disease</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0.3</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r>
      <w:tr w:rsidR="0005559F" w:rsidRPr="00913654" w:rsidTr="0005559F">
        <w:tc>
          <w:tcPr>
            <w:tcW w:w="2835" w:type="dxa"/>
          </w:tcPr>
          <w:p w:rsidR="0005559F" w:rsidRPr="00913654" w:rsidRDefault="0005559F" w:rsidP="0095224C">
            <w:pPr>
              <w:pStyle w:val="TableBodyText"/>
              <w:ind w:right="57"/>
              <w:jc w:val="left"/>
            </w:pPr>
            <w:r w:rsidRPr="00913654">
              <w:t>Perforated/bleeding ulcer</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0.2</w:t>
            </w:r>
          </w:p>
        </w:tc>
      </w:tr>
      <w:tr w:rsidR="0005559F" w:rsidRPr="00913654" w:rsidTr="0005559F">
        <w:tc>
          <w:tcPr>
            <w:tcW w:w="2835" w:type="dxa"/>
          </w:tcPr>
          <w:p w:rsidR="0005559F" w:rsidRPr="00913654" w:rsidRDefault="0005559F" w:rsidP="0095224C">
            <w:pPr>
              <w:pStyle w:val="TableBodyText"/>
              <w:ind w:right="57"/>
              <w:jc w:val="left"/>
            </w:pPr>
            <w:r w:rsidRPr="00913654">
              <w:t>Pyelonephritis</w:t>
            </w:r>
            <w:r w:rsidR="00456631">
              <w:rPr>
                <w:rStyle w:val="NoteLabel"/>
              </w:rPr>
              <w:t>e</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2.8</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3.0</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3.0</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2.5</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1.6</w:t>
            </w:r>
          </w:p>
        </w:tc>
        <w:tc>
          <w:tcPr>
            <w:tcW w:w="661"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2.6</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4.4</w:t>
            </w:r>
          </w:p>
        </w:tc>
        <w:tc>
          <w:tcPr>
            <w:tcW w:w="662" w:type="dxa"/>
            <w:shd w:val="clear" w:color="auto" w:fill="auto"/>
            <w:vAlign w:val="bottom"/>
          </w:tcPr>
          <w:p w:rsidR="0005559F" w:rsidRPr="0005559F" w:rsidRDefault="0005559F" w:rsidP="0005559F">
            <w:pPr>
              <w:spacing w:afterLines="40" w:after="96" w:line="220" w:lineRule="atLeast"/>
              <w:ind w:left="6" w:right="113"/>
              <w:jc w:val="right"/>
              <w:rPr>
                <w:rFonts w:ascii="Arial" w:hAnsi="Arial" w:cs="Arial"/>
                <w:sz w:val="20"/>
                <w:szCs w:val="20"/>
              </w:rPr>
            </w:pPr>
            <w:r w:rsidRPr="0005559F">
              <w:rPr>
                <w:rFonts w:ascii="Arial" w:hAnsi="Arial" w:cs="Arial"/>
                <w:sz w:val="20"/>
                <w:szCs w:val="20"/>
              </w:rPr>
              <w:t xml:space="preserve">  2.7</w:t>
            </w:r>
          </w:p>
        </w:tc>
      </w:tr>
      <w:tr w:rsidR="0005559F" w:rsidRPr="00B12B1C" w:rsidTr="0005559F">
        <w:tc>
          <w:tcPr>
            <w:tcW w:w="2835" w:type="dxa"/>
          </w:tcPr>
          <w:p w:rsidR="0005559F" w:rsidRPr="00B12B1C" w:rsidRDefault="0005559F" w:rsidP="0095224C">
            <w:pPr>
              <w:pStyle w:val="TableBodyText"/>
              <w:ind w:right="57"/>
              <w:jc w:val="left"/>
              <w:rPr>
                <w:b/>
              </w:rPr>
            </w:pPr>
            <w:r w:rsidRPr="00B12B1C">
              <w:rPr>
                <w:b/>
              </w:rPr>
              <w:t>Total</w:t>
            </w:r>
            <w:r w:rsidR="00456631">
              <w:rPr>
                <w:rStyle w:val="NoteLabel"/>
              </w:rPr>
              <w:t>d</w:t>
            </w:r>
            <w:r w:rsidR="007D68D4">
              <w:rPr>
                <w:rStyle w:val="NoteLabel"/>
              </w:rPr>
              <w:t>, f</w:t>
            </w:r>
          </w:p>
        </w:tc>
        <w:tc>
          <w:tcPr>
            <w:tcW w:w="661"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13.5</w:t>
            </w:r>
          </w:p>
        </w:tc>
        <w:tc>
          <w:tcPr>
            <w:tcW w:w="662"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15.6</w:t>
            </w:r>
          </w:p>
        </w:tc>
        <w:tc>
          <w:tcPr>
            <w:tcW w:w="661"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15.8</w:t>
            </w:r>
          </w:p>
        </w:tc>
        <w:tc>
          <w:tcPr>
            <w:tcW w:w="662"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16.2</w:t>
            </w:r>
          </w:p>
        </w:tc>
        <w:tc>
          <w:tcPr>
            <w:tcW w:w="661"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15.6</w:t>
            </w:r>
          </w:p>
        </w:tc>
        <w:tc>
          <w:tcPr>
            <w:tcW w:w="662"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10.4</w:t>
            </w:r>
          </w:p>
        </w:tc>
        <w:tc>
          <w:tcPr>
            <w:tcW w:w="661"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11.3</w:t>
            </w:r>
          </w:p>
        </w:tc>
        <w:tc>
          <w:tcPr>
            <w:tcW w:w="662"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23.0</w:t>
            </w:r>
          </w:p>
        </w:tc>
        <w:tc>
          <w:tcPr>
            <w:tcW w:w="662" w:type="dxa"/>
            <w:shd w:val="clear" w:color="auto" w:fill="auto"/>
            <w:vAlign w:val="bottom"/>
          </w:tcPr>
          <w:p w:rsidR="0005559F" w:rsidRPr="00F01806" w:rsidRDefault="0005559F" w:rsidP="0005559F">
            <w:pPr>
              <w:spacing w:afterLines="40" w:after="96" w:line="220" w:lineRule="atLeast"/>
              <w:ind w:left="6" w:right="113"/>
              <w:jc w:val="right"/>
              <w:rPr>
                <w:rFonts w:ascii="Arial" w:hAnsi="Arial" w:cs="Arial"/>
                <w:b/>
                <w:sz w:val="20"/>
                <w:szCs w:val="20"/>
              </w:rPr>
            </w:pPr>
            <w:r w:rsidRPr="00F01806">
              <w:rPr>
                <w:rFonts w:ascii="Arial" w:hAnsi="Arial" w:cs="Arial"/>
                <w:b/>
                <w:sz w:val="20"/>
                <w:szCs w:val="20"/>
              </w:rPr>
              <w:t xml:space="preserve">  14.9</w:t>
            </w:r>
          </w:p>
        </w:tc>
      </w:tr>
      <w:tr w:rsidR="00580265" w:rsidRPr="009D0842" w:rsidTr="00A90819">
        <w:tc>
          <w:tcPr>
            <w:tcW w:w="2835" w:type="dxa"/>
            <w:tcBorders>
              <w:bottom w:val="single" w:sz="6" w:space="0" w:color="auto"/>
            </w:tcBorders>
            <w:shd w:val="clear" w:color="auto" w:fill="auto"/>
          </w:tcPr>
          <w:p w:rsidR="00580265" w:rsidRPr="009D0842" w:rsidRDefault="00580265" w:rsidP="003366B5">
            <w:pPr>
              <w:pStyle w:val="TableBodyText"/>
              <w:ind w:right="57"/>
              <w:jc w:val="left"/>
              <w:rPr>
                <w:b/>
              </w:rPr>
            </w:pPr>
            <w:r w:rsidRPr="009D0842">
              <w:rPr>
                <w:b/>
              </w:rPr>
              <w:t xml:space="preserve">Total </w:t>
            </w:r>
            <w:r w:rsidRPr="00E355E9">
              <w:rPr>
                <w:b/>
              </w:rPr>
              <w:t>excluding dehydration and gastroenteritis</w:t>
            </w:r>
            <w:r w:rsidR="00456631" w:rsidRPr="00E355E9">
              <w:rPr>
                <w:rStyle w:val="NoteLabel"/>
              </w:rPr>
              <w:t>f</w:t>
            </w:r>
          </w:p>
        </w:tc>
        <w:tc>
          <w:tcPr>
            <w:tcW w:w="661"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10.9</w:t>
            </w:r>
          </w:p>
        </w:tc>
        <w:tc>
          <w:tcPr>
            <w:tcW w:w="662"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12.0</w:t>
            </w:r>
          </w:p>
        </w:tc>
        <w:tc>
          <w:tcPr>
            <w:tcW w:w="661"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12.7</w:t>
            </w:r>
          </w:p>
        </w:tc>
        <w:tc>
          <w:tcPr>
            <w:tcW w:w="662"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13.6</w:t>
            </w:r>
          </w:p>
        </w:tc>
        <w:tc>
          <w:tcPr>
            <w:tcW w:w="661"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12.8</w:t>
            </w:r>
          </w:p>
        </w:tc>
        <w:tc>
          <w:tcPr>
            <w:tcW w:w="662"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8.5</w:t>
            </w:r>
          </w:p>
        </w:tc>
        <w:tc>
          <w:tcPr>
            <w:tcW w:w="661"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9.5</w:t>
            </w:r>
          </w:p>
        </w:tc>
        <w:tc>
          <w:tcPr>
            <w:tcW w:w="662"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19.8</w:t>
            </w:r>
          </w:p>
        </w:tc>
        <w:tc>
          <w:tcPr>
            <w:tcW w:w="662" w:type="dxa"/>
            <w:tcBorders>
              <w:bottom w:val="single" w:sz="6" w:space="0" w:color="auto"/>
            </w:tcBorders>
            <w:shd w:val="clear" w:color="auto" w:fill="auto"/>
            <w:vAlign w:val="bottom"/>
          </w:tcPr>
          <w:p w:rsidR="00580265" w:rsidRPr="009D0842" w:rsidRDefault="00580265" w:rsidP="00A90819">
            <w:pPr>
              <w:spacing w:afterLines="40" w:after="96" w:line="220" w:lineRule="atLeast"/>
              <w:ind w:left="6" w:right="113"/>
              <w:jc w:val="right"/>
              <w:rPr>
                <w:rFonts w:ascii="Arial" w:hAnsi="Arial" w:cs="Arial"/>
                <w:b/>
                <w:sz w:val="20"/>
                <w:szCs w:val="20"/>
              </w:rPr>
            </w:pPr>
            <w:r w:rsidRPr="009D0842">
              <w:rPr>
                <w:rFonts w:ascii="Arial" w:hAnsi="Arial" w:cs="Arial"/>
                <w:b/>
                <w:sz w:val="20"/>
                <w:szCs w:val="20"/>
              </w:rPr>
              <w:t xml:space="preserve">  12.0</w:t>
            </w:r>
          </w:p>
        </w:tc>
      </w:tr>
    </w:tbl>
    <w:p w:rsidR="00DF3F57" w:rsidRPr="00C14146" w:rsidRDefault="00DF3F57" w:rsidP="00C14146">
      <w:pPr>
        <w:pStyle w:val="Note"/>
        <w:rPr>
          <w:rStyle w:val="DraftingNote"/>
          <w:b w:val="0"/>
          <w:color w:val="auto"/>
          <w:sz w:val="18"/>
          <w:u w:val="none"/>
        </w:rPr>
      </w:pPr>
      <w:r w:rsidRPr="00913654">
        <w:rPr>
          <w:rStyle w:val="NoteLabel"/>
        </w:rPr>
        <w:t xml:space="preserve">a </w:t>
      </w:r>
      <w:r w:rsidRPr="00913654">
        <w:t>Separation rates are directly age standardised to the Australian population at 30 June 2001.</w:t>
      </w:r>
      <w:r w:rsidRPr="00913654">
        <w:rPr>
          <w:rStyle w:val="NoteLabel"/>
        </w:rPr>
        <w:t xml:space="preserve"> b</w:t>
      </w:r>
      <w:r w:rsidRPr="00913654">
        <w:t xml:space="preserve"> Rates are based on State/Territory of usual residence. </w:t>
      </w:r>
      <w:r w:rsidRPr="00913654">
        <w:rPr>
          <w:rStyle w:val="NoteLabel"/>
        </w:rPr>
        <w:t>c</w:t>
      </w:r>
      <w:r w:rsidRPr="00913654">
        <w:t xml:space="preserve"> Includes other territories and excludes overseas residents and unknown State of </w:t>
      </w:r>
      <w:r w:rsidRPr="005E5AA0">
        <w:t xml:space="preserve">residence. </w:t>
      </w:r>
      <w:r w:rsidRPr="005E5AA0">
        <w:rPr>
          <w:rStyle w:val="NoteLabel"/>
        </w:rPr>
        <w:t>d</w:t>
      </w:r>
      <w:r w:rsidRPr="005E5AA0">
        <w:t> </w:t>
      </w:r>
      <w:r w:rsidR="009D0842" w:rsidRPr="005E5AA0">
        <w:t xml:space="preserve">Data for dehydration and gastroenteritis, and </w:t>
      </w:r>
      <w:r w:rsidR="00E355E9" w:rsidRPr="005E5AA0">
        <w:t xml:space="preserve">therefore </w:t>
      </w:r>
      <w:r w:rsidR="009D0842" w:rsidRPr="005E5AA0">
        <w:t xml:space="preserve">for total selected acute conditions, are not comparable across jurisdictions due to differences in clinical coding and admission protocols. </w:t>
      </w:r>
      <w:r w:rsidR="009D0842" w:rsidRPr="00A73D31">
        <w:rPr>
          <w:rStyle w:val="NoteLabel"/>
        </w:rPr>
        <w:t>e</w:t>
      </w:r>
      <w:r w:rsidR="009D0842" w:rsidRPr="00A73D31">
        <w:t xml:space="preserve"> </w:t>
      </w:r>
      <w:r w:rsidRPr="00A73D31">
        <w:t xml:space="preserve">Kidney inflammation caused by bacterial infection. </w:t>
      </w:r>
      <w:r w:rsidR="009D0842" w:rsidRPr="00A73D31">
        <w:rPr>
          <w:rStyle w:val="NoteLabel"/>
        </w:rPr>
        <w:t>f</w:t>
      </w:r>
      <w:r w:rsidR="009D0842" w:rsidRPr="00A73D31">
        <w:t xml:space="preserve"> </w:t>
      </w:r>
      <w:r w:rsidRPr="00A73D31">
        <w:t>Totals may not add as more than one acute condition may be reporte</w:t>
      </w:r>
      <w:r w:rsidRPr="00913654">
        <w:t>d for a separation.</w:t>
      </w:r>
    </w:p>
    <w:p w:rsidR="00DF3F57" w:rsidRPr="00913654" w:rsidRDefault="00DF3F57" w:rsidP="00EE6859">
      <w:pPr>
        <w:pStyle w:val="Source"/>
      </w:pPr>
      <w:r w:rsidRPr="00913654">
        <w:rPr>
          <w:i/>
        </w:rPr>
        <w:t>Source</w:t>
      </w:r>
      <w:r w:rsidRPr="00913654">
        <w:t>: A</w:t>
      </w:r>
      <w:r w:rsidR="00A36A1F">
        <w:t>IHW (201</w:t>
      </w:r>
      <w:r w:rsidR="00820A5B">
        <w:t>3</w:t>
      </w:r>
      <w:r w:rsidR="00A36A1F" w:rsidRPr="00E3200C">
        <w:t>b</w:t>
      </w:r>
      <w:r w:rsidRPr="00913654">
        <w:t xml:space="preserve">) </w:t>
      </w:r>
      <w:smartTag w:uri="urn:schemas-microsoft-com:office:smarttags" w:element="place">
        <w:smartTag w:uri="urn:schemas-microsoft-com:office:smarttags" w:element="PlaceName">
          <w:r w:rsidRPr="00913654">
            <w:rPr>
              <w:i/>
            </w:rPr>
            <w:t>Australian</w:t>
          </w:r>
        </w:smartTag>
        <w:r w:rsidRPr="00913654">
          <w:rPr>
            <w:i/>
          </w:rPr>
          <w:t xml:space="preserve"> </w:t>
        </w:r>
        <w:smartTag w:uri="urn:schemas-microsoft-com:office:smarttags" w:element="PlaceType">
          <w:r w:rsidRPr="00913654">
            <w:rPr>
              <w:i/>
            </w:rPr>
            <w:t>Hospital</w:t>
          </w:r>
        </w:smartTag>
      </w:smartTag>
      <w:r w:rsidRPr="00913654">
        <w:rPr>
          <w:i/>
        </w:rPr>
        <w:t xml:space="preserve"> Statistics 20</w:t>
      </w:r>
      <w:r w:rsidR="00A36A1F">
        <w:rPr>
          <w:i/>
        </w:rPr>
        <w:t>1</w:t>
      </w:r>
      <w:r w:rsidR="00820A5B">
        <w:rPr>
          <w:i/>
        </w:rPr>
        <w:t>1</w:t>
      </w:r>
      <w:r w:rsidRPr="00913654">
        <w:rPr>
          <w:i/>
        </w:rPr>
        <w:t>-1</w:t>
      </w:r>
      <w:r w:rsidR="00820A5B">
        <w:rPr>
          <w:i/>
        </w:rPr>
        <w:t>2</w:t>
      </w:r>
      <w:r w:rsidR="00820A5B">
        <w:t>, Cat. no. HSE 134</w:t>
      </w:r>
      <w:r w:rsidRPr="00913654">
        <w:t xml:space="preserve">; </w:t>
      </w:r>
      <w:r w:rsidR="00820A5B" w:rsidRPr="00913654">
        <w:t>AIHW (unpublished) National Hospital Morbidity Database</w:t>
      </w:r>
      <w:r w:rsidR="00820A5B">
        <w:t>;</w:t>
      </w:r>
      <w:r w:rsidR="00820A5B" w:rsidRPr="00913654">
        <w:t xml:space="preserve"> </w:t>
      </w:r>
      <w:r w:rsidRPr="00913654">
        <w:t>table </w:t>
      </w:r>
      <w:r w:rsidR="008A25EA">
        <w:t>11A.9</w:t>
      </w:r>
      <w:r w:rsidR="003B3CD1">
        <w:t>8</w:t>
      </w:r>
      <w:r w:rsidRPr="00913654">
        <w:t>.</w:t>
      </w:r>
    </w:p>
    <w:p w:rsidR="00DF3F57" w:rsidRDefault="00DF3F57" w:rsidP="00EE6859">
      <w:pPr>
        <w:pStyle w:val="BodyText"/>
      </w:pPr>
      <w:r w:rsidRPr="00913654">
        <w:t>The age standardised hospital separation rate for the sele</w:t>
      </w:r>
      <w:r w:rsidR="00DE5069">
        <w:t xml:space="preserve">cted acute conditions was </w:t>
      </w:r>
      <w:r w:rsidR="00DE5069" w:rsidRPr="00424A19">
        <w:t>higher</w:t>
      </w:r>
      <w:r w:rsidR="00DE5069">
        <w:t xml:space="preserve"> </w:t>
      </w:r>
      <w:r w:rsidRPr="00913654">
        <w:t xml:space="preserve">for </w:t>
      </w:r>
      <w:r w:rsidR="006E4E2B">
        <w:t>Indigenous Australians</w:t>
      </w:r>
      <w:r w:rsidRPr="00913654">
        <w:t xml:space="preserve"> than for non</w:t>
      </w:r>
      <w:r w:rsidRPr="00913654">
        <w:noBreakHyphen/>
      </w:r>
      <w:r w:rsidR="006E4E2B">
        <w:t>Indigenous Australians</w:t>
      </w:r>
      <w:r w:rsidR="00352C2A" w:rsidRPr="00352C2A">
        <w:t xml:space="preserve"> </w:t>
      </w:r>
      <w:r w:rsidR="00352C2A" w:rsidRPr="00913654">
        <w:t xml:space="preserve">in </w:t>
      </w:r>
      <w:r w:rsidR="00352C2A">
        <w:t>all</w:t>
      </w:r>
      <w:r w:rsidR="00352C2A" w:rsidRPr="00913654">
        <w:t xml:space="preserve"> jurisdictions</w:t>
      </w:r>
      <w:r w:rsidR="00352C2A">
        <w:t xml:space="preserve"> </w:t>
      </w:r>
      <w:r w:rsidRPr="00424A19">
        <w:t xml:space="preserve">in </w:t>
      </w:r>
      <w:r w:rsidR="00222AFA" w:rsidRPr="00424A19">
        <w:t>201</w:t>
      </w:r>
      <w:r w:rsidR="00424A19" w:rsidRPr="00424A19">
        <w:t>1</w:t>
      </w:r>
      <w:r w:rsidR="00424A19" w:rsidRPr="00424A19">
        <w:noBreakHyphen/>
        <w:t>12</w:t>
      </w:r>
      <w:r w:rsidRPr="00913654">
        <w:t xml:space="preserve"> (figure 11.4</w:t>
      </w:r>
      <w:r w:rsidR="00CA25A8">
        <w:t>9</w:t>
      </w:r>
      <w:r w:rsidRPr="00913654">
        <w:t>).</w:t>
      </w:r>
    </w:p>
    <w:p w:rsidR="00DF3F57" w:rsidRPr="00F459BD" w:rsidRDefault="00DF3F57" w:rsidP="00EE6859">
      <w:pPr>
        <w:pStyle w:val="FigureTitle"/>
        <w:ind w:left="1560" w:hanging="1560"/>
      </w:pPr>
      <w:r w:rsidRPr="00913654">
        <w:rPr>
          <w:b w:val="0"/>
        </w:rPr>
        <w:lastRenderedPageBreak/>
        <w:t xml:space="preserve">Figure </w:t>
      </w:r>
      <w:bookmarkStart w:id="71" w:name="OLE_LINK54"/>
      <w:r w:rsidRPr="00913654">
        <w:rPr>
          <w:b w:val="0"/>
        </w:rPr>
        <w:t>11.</w:t>
      </w:r>
      <w:r w:rsidR="00C44281">
        <w:rPr>
          <w:b w:val="0"/>
          <w:noProof/>
        </w:rPr>
        <w:t>4</w:t>
      </w:r>
      <w:bookmarkEnd w:id="71"/>
      <w:r w:rsidR="00CA25A8">
        <w:rPr>
          <w:b w:val="0"/>
          <w:noProof/>
        </w:rPr>
        <w:t>9</w:t>
      </w:r>
      <w:r w:rsidRPr="00913654">
        <w:rPr>
          <w:b w:val="0"/>
        </w:rPr>
        <w:tab/>
      </w:r>
      <w:r w:rsidRPr="00913654">
        <w:t>Separations for selected acute conditions by Indigenous status</w:t>
      </w:r>
      <w:r w:rsidRPr="00913654">
        <w:rPr>
          <w:rStyle w:val="NoteLabel"/>
          <w:b/>
        </w:rPr>
        <w:t>a, b, c, d, e</w:t>
      </w:r>
      <w:r w:rsidR="00FF4A1D">
        <w:rPr>
          <w:rStyle w:val="NoteLabel"/>
          <w:b/>
        </w:rPr>
        <w:t>,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F3F57" w:rsidRPr="00F459BD" w:rsidTr="00755E53">
        <w:tc>
          <w:tcPr>
            <w:tcW w:w="8777" w:type="dxa"/>
            <w:tcBorders>
              <w:top w:val="single" w:sz="6" w:space="0" w:color="auto"/>
              <w:bottom w:val="single" w:sz="6" w:space="0" w:color="auto"/>
              <w:right w:val="nil"/>
            </w:tcBorders>
          </w:tcPr>
          <w:p w:rsidR="00DF3F57" w:rsidRDefault="006542C2" w:rsidP="00EE6859">
            <w:pPr>
              <w:pStyle w:val="Figure"/>
            </w:pPr>
            <w:r>
              <w:rPr>
                <w:noProof/>
              </w:rPr>
              <w:drawing>
                <wp:inline distT="0" distB="0" distL="0" distR="0" wp14:anchorId="7FD4B267" wp14:editId="1DCD058B">
                  <wp:extent cx="5391150" cy="2876550"/>
                  <wp:effectExtent l="0" t="0" r="0" b="0"/>
                  <wp:docPr id="3" name="Picture 3" descr="Figure 11.49 Separations for selected acute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D24C56" w:rsidRPr="00F459BD" w:rsidRDefault="0085640B" w:rsidP="00EE6859">
            <w:pPr>
              <w:pStyle w:val="Figure"/>
            </w:pPr>
            <w:r>
              <w:rPr>
                <w:noProof/>
              </w:rPr>
              <w:drawing>
                <wp:inline distT="0" distB="0" distL="0" distR="0" wp14:anchorId="5D5A5D2B" wp14:editId="6EB512E2">
                  <wp:extent cx="5398926" cy="2714625"/>
                  <wp:effectExtent l="0" t="0" r="0" b="0"/>
                  <wp:docPr id="4" name="Picture 4" descr="Figure 11.49 Separations for selected acute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r:embed="rId60">
                            <a:extLst>
                              <a:ext uri="{28A0092B-C50C-407E-A947-70E740481C1C}">
                                <a14:useLocalDpi xmlns:a14="http://schemas.microsoft.com/office/drawing/2010/main" val="0"/>
                              </a:ext>
                            </a:extLst>
                          </a:blip>
                          <a:srcRect t="5629"/>
                          <a:stretch/>
                        </pic:blipFill>
                        <pic:spPr bwMode="auto">
                          <a:xfrm>
                            <a:off x="0" y="0"/>
                            <a:ext cx="5401310" cy="271582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F3F57" w:rsidRPr="00F459BD" w:rsidRDefault="00DF3F57" w:rsidP="00522267">
      <w:pPr>
        <w:pStyle w:val="Note"/>
        <w:keepNext/>
        <w:spacing w:before="60"/>
      </w:pPr>
      <w:r w:rsidRPr="00ED7DFB">
        <w:rPr>
          <w:rStyle w:val="NoteLabel"/>
        </w:rPr>
        <w:t xml:space="preserve">a </w:t>
      </w:r>
      <w:r w:rsidR="00FF4A1D" w:rsidRPr="00ED7DFB">
        <w:t xml:space="preserve">Excludes separations for dehydration and gastroenteritis. </w:t>
      </w:r>
      <w:r w:rsidR="00FF4A1D" w:rsidRPr="00ED7DFB">
        <w:rPr>
          <w:rStyle w:val="NoteLabel"/>
        </w:rPr>
        <w:t>b</w:t>
      </w:r>
      <w:r w:rsidR="00FF4A1D" w:rsidRPr="00ED7DFB">
        <w:t xml:space="preserve"> </w:t>
      </w:r>
      <w:r w:rsidRPr="00ED7DFB">
        <w:t>Separation rates are directly age standardised to</w:t>
      </w:r>
      <w:r w:rsidRPr="00F459BD">
        <w:t xml:space="preserve"> the Australian population at 30 June 2001. </w:t>
      </w:r>
      <w:r w:rsidR="00FF4A1D">
        <w:rPr>
          <w:rStyle w:val="NoteLabel"/>
        </w:rPr>
        <w:t>c</w:t>
      </w:r>
      <w:r w:rsidRPr="00F459BD">
        <w:t xml:space="preserve"> Caution should be used in the interpretation of these data because of jurisdictional differences in data quality. </w:t>
      </w:r>
      <w:r w:rsidR="00FF4A1D">
        <w:rPr>
          <w:rStyle w:val="NoteLabel"/>
        </w:rPr>
        <w:t>d</w:t>
      </w:r>
      <w:r w:rsidRPr="00F459BD">
        <w:t> Separation rates are based on State/Territory of usual residence.</w:t>
      </w:r>
      <w:r w:rsidR="00FF4A1D" w:rsidRPr="00FF4A1D">
        <w:t xml:space="preserve"> </w:t>
      </w:r>
      <w:r w:rsidR="00FF4A1D">
        <w:rPr>
          <w:rStyle w:val="NoteLabel"/>
        </w:rPr>
        <w:t>e</w:t>
      </w:r>
      <w:r w:rsidRPr="00F459BD">
        <w:t xml:space="preserve"> </w:t>
      </w:r>
      <w:r w:rsidR="00E13AA6" w:rsidRPr="00522267">
        <w:t>NT data for 2011-12 are for public and private hospitals. For previous years, NT data are for public hospitals only.</w:t>
      </w:r>
      <w:r w:rsidR="008972B6" w:rsidRPr="00522267">
        <w:rPr>
          <w:color w:val="FF0000"/>
        </w:rPr>
        <w:t xml:space="preserve"> </w:t>
      </w:r>
      <w:r w:rsidR="003F5684">
        <w:rPr>
          <w:rStyle w:val="NoteLabel"/>
        </w:rPr>
        <w:t>f</w:t>
      </w:r>
      <w:r w:rsidR="003F5684" w:rsidRPr="00F459BD">
        <w:t xml:space="preserve"> </w:t>
      </w:r>
      <w:r w:rsidR="00676E47">
        <w:t>For</w:t>
      </w:r>
      <w:r w:rsidR="003F5684">
        <w:t xml:space="preserve"> 2011-12, </w:t>
      </w:r>
      <w:r w:rsidR="003F5684" w:rsidRPr="003F5684">
        <w:t>Indigenous status data are of sufficient quality for statistical reporting purposes</w:t>
      </w:r>
      <w:r w:rsidR="003F5684">
        <w:t xml:space="preserve"> for all states and territories</w:t>
      </w:r>
      <w:r w:rsidR="003F5684" w:rsidRPr="003F5684">
        <w:t>.</w:t>
      </w:r>
      <w:r w:rsidR="003F5684">
        <w:t xml:space="preserve"> Data for </w:t>
      </w:r>
      <w:r w:rsidR="003F5684" w:rsidRPr="003F5684">
        <w:t xml:space="preserve">Tasmania and the ACT </w:t>
      </w:r>
      <w:r w:rsidR="003F5684">
        <w:t>were not included in national totals in previous years, and were not published for 2007-08.</w:t>
      </w:r>
    </w:p>
    <w:p w:rsidR="00DF3F57" w:rsidRPr="00913654" w:rsidRDefault="00DF3F57" w:rsidP="00EE6859">
      <w:pPr>
        <w:pStyle w:val="Source"/>
        <w:spacing w:before="60" w:after="0"/>
      </w:pPr>
      <w:r w:rsidRPr="00913654">
        <w:rPr>
          <w:i/>
        </w:rPr>
        <w:t>Source</w:t>
      </w:r>
      <w:r w:rsidRPr="00913654">
        <w:t xml:space="preserve">: AIHW (unpublished) National Hospital Morbidity Database; </w:t>
      </w:r>
      <w:r w:rsidRPr="00931CC9">
        <w:t>table </w:t>
      </w:r>
      <w:r w:rsidR="00BE6366">
        <w:t>11A.9</w:t>
      </w:r>
      <w:r w:rsidR="003B3CD1">
        <w:t>8</w:t>
      </w:r>
      <w:r w:rsidRPr="00931CC9">
        <w:t>.</w:t>
      </w:r>
    </w:p>
    <w:p w:rsidR="00FE262E" w:rsidRPr="00F459BD" w:rsidRDefault="00DF3F57" w:rsidP="00A73D31">
      <w:pPr>
        <w:pStyle w:val="BodyText"/>
      </w:pPr>
      <w:r w:rsidRPr="00E52EFB">
        <w:t>Of the selected chronic conditions</w:t>
      </w:r>
      <w:r w:rsidRPr="00A73D31">
        <w:t xml:space="preserve">, </w:t>
      </w:r>
      <w:r w:rsidR="00F60958" w:rsidRPr="00A73D31">
        <w:t xml:space="preserve">chronic obstructive pulmonary disease, </w:t>
      </w:r>
      <w:r w:rsidR="00EE6859" w:rsidRPr="00A73D31">
        <w:t>congestive cardiac failure</w:t>
      </w:r>
      <w:r w:rsidR="00B37799" w:rsidRPr="00A73D31">
        <w:t>,</w:t>
      </w:r>
      <w:r w:rsidR="00F60958" w:rsidRPr="00A73D31">
        <w:t xml:space="preserve"> asthma </w:t>
      </w:r>
      <w:r w:rsidR="00B37799" w:rsidRPr="00A73D31">
        <w:t>and diabetes complications (</w:t>
      </w:r>
      <w:r w:rsidR="00E355E9" w:rsidRPr="00A73D31">
        <w:t xml:space="preserve">as well as diabetes complications </w:t>
      </w:r>
      <w:r w:rsidR="00B37799" w:rsidRPr="00A73D31">
        <w:t xml:space="preserve">as </w:t>
      </w:r>
      <w:r w:rsidR="00E355E9" w:rsidRPr="00A73D31">
        <w:t>principal</w:t>
      </w:r>
      <w:r w:rsidR="00B37799" w:rsidRPr="00A73D31">
        <w:t xml:space="preserve"> diagnosis</w:t>
      </w:r>
      <w:r w:rsidR="00E355E9" w:rsidRPr="00A73D31">
        <w:t xml:space="preserve"> only</w:t>
      </w:r>
      <w:r w:rsidR="00B37799" w:rsidRPr="00A73D31">
        <w:t>),</w:t>
      </w:r>
      <w:r w:rsidR="00B37799" w:rsidRPr="00E52EFB">
        <w:t xml:space="preserve"> </w:t>
      </w:r>
      <w:r w:rsidRPr="00E52EFB">
        <w:t>recorded the hi</w:t>
      </w:r>
      <w:r w:rsidR="00F60958" w:rsidRPr="00E52EFB">
        <w:t xml:space="preserve">ghest rates </w:t>
      </w:r>
      <w:r w:rsidRPr="00E52EFB">
        <w:t xml:space="preserve">of hospitalisation nationally in </w:t>
      </w:r>
      <w:r w:rsidR="0098360D" w:rsidRPr="00E52EFB">
        <w:t>201</w:t>
      </w:r>
      <w:r w:rsidR="00EA55EA" w:rsidRPr="00E52EFB">
        <w:t>1</w:t>
      </w:r>
      <w:r w:rsidR="0098360D" w:rsidRPr="00E52EFB">
        <w:t>-1</w:t>
      </w:r>
      <w:r w:rsidR="00EA55EA" w:rsidRPr="00E52EFB">
        <w:t>2</w:t>
      </w:r>
      <w:r w:rsidRPr="00E52EFB">
        <w:t xml:space="preserve"> (table 11.1</w:t>
      </w:r>
      <w:r w:rsidR="009821C3">
        <w:t>2</w:t>
      </w:r>
      <w:r w:rsidR="001854D5" w:rsidRPr="00E52EFB">
        <w:t>).</w:t>
      </w:r>
    </w:p>
    <w:p w:rsidR="00DF3F57" w:rsidRPr="00913654" w:rsidRDefault="00DF3F57" w:rsidP="00EE6859">
      <w:pPr>
        <w:pStyle w:val="TableTitle"/>
      </w:pPr>
      <w:r w:rsidRPr="00913654">
        <w:rPr>
          <w:b w:val="0"/>
        </w:rPr>
        <w:lastRenderedPageBreak/>
        <w:t>Table 11.</w:t>
      </w:r>
      <w:r w:rsidR="00C44281">
        <w:rPr>
          <w:b w:val="0"/>
          <w:noProof/>
        </w:rPr>
        <w:t>1</w:t>
      </w:r>
      <w:r w:rsidR="009821C3">
        <w:rPr>
          <w:b w:val="0"/>
          <w:noProof/>
        </w:rPr>
        <w:t>2</w:t>
      </w:r>
      <w:r w:rsidRPr="00913654">
        <w:rPr>
          <w:b w:val="0"/>
        </w:rPr>
        <w:tab/>
      </w:r>
      <w:r w:rsidRPr="00913654">
        <w:t xml:space="preserve">Separations for selected chronic conditions per 1000 people, </w:t>
      </w:r>
      <w:r w:rsidR="00546119">
        <w:t>2011-12</w:t>
      </w:r>
      <w:r w:rsidRPr="00546119">
        <w:rPr>
          <w:rStyle w:val="NoteLabel"/>
          <w:b/>
        </w:rPr>
        <w:t>a</w:t>
      </w:r>
      <w:r w:rsidRPr="00913654">
        <w:rPr>
          <w:rStyle w:val="NoteLabel"/>
          <w:b/>
        </w:rPr>
        <w:t>, b</w:t>
      </w:r>
    </w:p>
    <w:tbl>
      <w:tblPr>
        <w:tblW w:w="8789" w:type="dxa"/>
        <w:tblLayout w:type="fixed"/>
        <w:tblCellMar>
          <w:left w:w="0" w:type="dxa"/>
          <w:right w:w="0" w:type="dxa"/>
        </w:tblCellMar>
        <w:tblLook w:val="0000" w:firstRow="0" w:lastRow="0" w:firstColumn="0" w:lastColumn="0" w:noHBand="0" w:noVBand="0"/>
      </w:tblPr>
      <w:tblGrid>
        <w:gridCol w:w="2835"/>
        <w:gridCol w:w="661"/>
        <w:gridCol w:w="662"/>
        <w:gridCol w:w="661"/>
        <w:gridCol w:w="662"/>
        <w:gridCol w:w="661"/>
        <w:gridCol w:w="662"/>
        <w:gridCol w:w="661"/>
        <w:gridCol w:w="662"/>
        <w:gridCol w:w="662"/>
      </w:tblGrid>
      <w:tr w:rsidR="00DF3F57" w:rsidRPr="00913654" w:rsidTr="00DF3F57">
        <w:tc>
          <w:tcPr>
            <w:tcW w:w="2835" w:type="dxa"/>
            <w:tcBorders>
              <w:top w:val="single" w:sz="6" w:space="0" w:color="auto"/>
              <w:bottom w:val="single" w:sz="6" w:space="0" w:color="auto"/>
            </w:tcBorders>
            <w:shd w:val="clear" w:color="auto" w:fill="auto"/>
          </w:tcPr>
          <w:p w:rsidR="00DF3F57" w:rsidRPr="00913654" w:rsidRDefault="00DF3F57" w:rsidP="00906A7B">
            <w:pPr>
              <w:pStyle w:val="TableColumnHeading"/>
              <w:spacing w:beforeLines="40" w:before="96" w:afterLines="40" w:after="96"/>
              <w:ind w:right="57"/>
              <w:jc w:val="left"/>
            </w:pPr>
            <w:r w:rsidRPr="00913654">
              <w:t> </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NSW</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Vic</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Qld</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WA</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SA</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Tas</w:t>
            </w:r>
          </w:p>
        </w:tc>
        <w:tc>
          <w:tcPr>
            <w:tcW w:w="661"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ACT</w:t>
            </w:r>
          </w:p>
        </w:tc>
        <w:tc>
          <w:tcPr>
            <w:tcW w:w="662" w:type="dxa"/>
            <w:tcBorders>
              <w:top w:val="single" w:sz="6" w:space="0" w:color="auto"/>
              <w:bottom w:val="single" w:sz="6" w:space="0" w:color="auto"/>
            </w:tcBorders>
            <w:shd w:val="clear" w:color="auto" w:fill="auto"/>
          </w:tcPr>
          <w:p w:rsidR="00DF3F57" w:rsidRPr="00913654" w:rsidRDefault="00DF3F57" w:rsidP="00E96AA7">
            <w:pPr>
              <w:pStyle w:val="TableColumnHeading"/>
              <w:spacing w:beforeLines="40" w:before="96" w:afterLines="40" w:after="96"/>
            </w:pPr>
            <w:r w:rsidRPr="00913654">
              <w:t>NT</w:t>
            </w:r>
          </w:p>
        </w:tc>
        <w:tc>
          <w:tcPr>
            <w:tcW w:w="662" w:type="dxa"/>
            <w:tcBorders>
              <w:top w:val="single" w:sz="6" w:space="0" w:color="auto"/>
              <w:bottom w:val="single" w:sz="6" w:space="0" w:color="auto"/>
            </w:tcBorders>
            <w:shd w:val="clear" w:color="auto" w:fill="auto"/>
          </w:tcPr>
          <w:p w:rsidR="000002A7" w:rsidRPr="00913654" w:rsidRDefault="00DF3F57" w:rsidP="00E96AA7">
            <w:pPr>
              <w:pStyle w:val="TableColumnHeading"/>
              <w:spacing w:beforeLines="20" w:before="48" w:afterLines="40" w:after="96"/>
              <w:rPr>
                <w:b/>
                <w:i w:val="0"/>
                <w:position w:val="6"/>
                <w:sz w:val="18"/>
              </w:rPr>
            </w:pPr>
            <w:r w:rsidRPr="00913654">
              <w:t>Aust</w:t>
            </w:r>
            <w:r w:rsidRPr="00913654">
              <w:rPr>
                <w:rStyle w:val="NoteLabel"/>
                <w:i w:val="0"/>
              </w:rPr>
              <w:t>c</w:t>
            </w:r>
          </w:p>
        </w:tc>
      </w:tr>
      <w:tr w:rsidR="00546119" w:rsidRPr="00913654" w:rsidTr="00546119">
        <w:tc>
          <w:tcPr>
            <w:tcW w:w="2835" w:type="dxa"/>
            <w:tcBorders>
              <w:top w:val="single" w:sz="6" w:space="0" w:color="auto"/>
            </w:tcBorders>
            <w:shd w:val="clear" w:color="auto" w:fill="auto"/>
            <w:vAlign w:val="bottom"/>
          </w:tcPr>
          <w:p w:rsidR="00546119" w:rsidRPr="00913654" w:rsidRDefault="00546119" w:rsidP="007A6F35">
            <w:pPr>
              <w:pStyle w:val="TableBodyText"/>
              <w:ind w:right="57"/>
              <w:jc w:val="left"/>
            </w:pPr>
            <w:r w:rsidRPr="00913654">
              <w:t>Angina</w:t>
            </w:r>
          </w:p>
        </w:tc>
        <w:tc>
          <w:tcPr>
            <w:tcW w:w="661"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1.0</w:t>
            </w:r>
          </w:p>
        </w:tc>
        <w:tc>
          <w:tcPr>
            <w:tcW w:w="662"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1.2</w:t>
            </w:r>
          </w:p>
        </w:tc>
        <w:tc>
          <w:tcPr>
            <w:tcW w:w="661"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2"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1.3</w:t>
            </w:r>
          </w:p>
        </w:tc>
        <w:tc>
          <w:tcPr>
            <w:tcW w:w="661"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1.3</w:t>
            </w:r>
          </w:p>
        </w:tc>
        <w:tc>
          <w:tcPr>
            <w:tcW w:w="662"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0.9</w:t>
            </w:r>
          </w:p>
        </w:tc>
        <w:tc>
          <w:tcPr>
            <w:tcW w:w="661"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0.7</w:t>
            </w:r>
          </w:p>
        </w:tc>
        <w:tc>
          <w:tcPr>
            <w:tcW w:w="662"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2.4</w:t>
            </w:r>
          </w:p>
        </w:tc>
        <w:tc>
          <w:tcPr>
            <w:tcW w:w="662" w:type="dxa"/>
            <w:tcBorders>
              <w:top w:val="single" w:sz="6" w:space="0" w:color="auto"/>
            </w:tcBorders>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1.3</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Asthma</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1.8</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2.0</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1.7</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1.4</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1.0</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1.2</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1.8</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Chronic obstructive pulmonary disease</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2.7</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2.6</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2.4</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2.7</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2.4</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7.1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2.8</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Congestive cardiac failure</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2.2</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1.8</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1.4</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1.6</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3.5</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2.0</w:t>
            </w:r>
          </w:p>
        </w:tc>
      </w:tr>
      <w:tr w:rsidR="00546119" w:rsidRPr="00913654" w:rsidTr="00522267">
        <w:tc>
          <w:tcPr>
            <w:tcW w:w="2835" w:type="dxa"/>
            <w:shd w:val="clear" w:color="auto" w:fill="auto"/>
            <w:vAlign w:val="bottom"/>
          </w:tcPr>
          <w:p w:rsidR="00546119" w:rsidRPr="00913654" w:rsidRDefault="00546119" w:rsidP="00C14146">
            <w:pPr>
              <w:pStyle w:val="TableBodyText"/>
              <w:ind w:right="57"/>
              <w:jc w:val="left"/>
            </w:pPr>
            <w:r w:rsidRPr="00913654">
              <w:t>Diabetes complications</w:t>
            </w:r>
            <w:r w:rsidR="00E355E9">
              <w:t xml:space="preserve"> (as principal or additional diagnosis)</w:t>
            </w:r>
            <w:r w:rsidR="00E355E9">
              <w:rPr>
                <w:rStyle w:val="NoteLabel"/>
              </w:rPr>
              <w:t>d</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2.5</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4.3</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8.0</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2.9</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2.0</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6.8</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3.6</w:t>
            </w:r>
          </w:p>
        </w:tc>
      </w:tr>
      <w:tr w:rsidR="00546119" w:rsidRPr="00913654" w:rsidTr="00522267">
        <w:tc>
          <w:tcPr>
            <w:tcW w:w="2835" w:type="dxa"/>
            <w:shd w:val="clear" w:color="auto" w:fill="auto"/>
            <w:vAlign w:val="bottom"/>
          </w:tcPr>
          <w:p w:rsidR="00546119" w:rsidRPr="00183B88" w:rsidRDefault="00546119" w:rsidP="00E355E9">
            <w:pPr>
              <w:pStyle w:val="TableBodyText"/>
              <w:ind w:right="57"/>
              <w:jc w:val="left"/>
              <w:rPr>
                <w:i/>
              </w:rPr>
            </w:pPr>
            <w:r>
              <w:t>D</w:t>
            </w:r>
            <w:r w:rsidRPr="00913654">
              <w:t xml:space="preserve">iabetes </w:t>
            </w:r>
            <w:r w:rsidRPr="00E355E9">
              <w:t xml:space="preserve">complications (as </w:t>
            </w:r>
            <w:r w:rsidR="00E355E9" w:rsidRPr="00E355E9">
              <w:t>principal</w:t>
            </w:r>
            <w:r w:rsidRPr="00E355E9">
              <w:t xml:space="preserve"> diagnosis</w:t>
            </w:r>
            <w:r w:rsidR="00E355E9" w:rsidRPr="00E355E9">
              <w:t xml:space="preserve"> only</w:t>
            </w:r>
            <w:r w:rsidRPr="00E355E9">
              <w:t>)</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1.4</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1.7</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1.8</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1.6</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1.8</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1.2</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3.3</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1.6</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Hypertension</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0.3</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0.3</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0.5</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0.3</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0.3</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0.2</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0.2</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0.2</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0.3</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Iron deficiency anaemia</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1.9</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1.3</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1.6</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1.4</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1.6</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1.5</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1.4</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Nutritional deficiencies</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2" w:type="dxa"/>
            <w:shd w:val="clear" w:color="auto" w:fill="auto"/>
            <w:vAlign w:val="bottom"/>
          </w:tcPr>
          <w:p w:rsidR="00546119" w:rsidRPr="00546119" w:rsidRDefault="00060C7B" w:rsidP="00546119">
            <w:pPr>
              <w:spacing w:afterLines="40" w:after="96" w:line="220" w:lineRule="atLeast"/>
              <w:ind w:left="6" w:right="113"/>
              <w:jc w:val="right"/>
              <w:rPr>
                <w:rFonts w:ascii="Arial" w:hAnsi="Arial" w:cs="Arial"/>
                <w:sz w:val="20"/>
                <w:szCs w:val="20"/>
              </w:rPr>
            </w:pPr>
            <w:r>
              <w:rPr>
                <w:rFonts w:ascii="Arial" w:hAnsi="Arial" w:cs="Arial"/>
                <w:sz w:val="20"/>
                <w:szCs w:val="20"/>
              </w:rPr>
              <w:t>–</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&lt;0.1</w:t>
            </w:r>
          </w:p>
        </w:tc>
      </w:tr>
      <w:tr w:rsidR="00546119" w:rsidRPr="00913654" w:rsidTr="00546119">
        <w:tc>
          <w:tcPr>
            <w:tcW w:w="2835" w:type="dxa"/>
            <w:shd w:val="clear" w:color="auto" w:fill="auto"/>
            <w:vAlign w:val="bottom"/>
          </w:tcPr>
          <w:p w:rsidR="00546119" w:rsidRPr="00913654" w:rsidRDefault="00546119" w:rsidP="007A6F35">
            <w:pPr>
              <w:pStyle w:val="TableBodyText"/>
              <w:ind w:right="57"/>
              <w:jc w:val="left"/>
            </w:pPr>
            <w:r w:rsidRPr="00913654">
              <w:t>Rheumatic heart disease</w:t>
            </w:r>
            <w:r w:rsidR="00EB5210">
              <w:rPr>
                <w:rStyle w:val="NoteLabel"/>
              </w:rPr>
              <w:t xml:space="preserve"> e</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0.2</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1"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0.9</w:t>
            </w:r>
          </w:p>
        </w:tc>
        <w:tc>
          <w:tcPr>
            <w:tcW w:w="662" w:type="dxa"/>
            <w:shd w:val="clear" w:color="auto" w:fill="auto"/>
            <w:vAlign w:val="bottom"/>
          </w:tcPr>
          <w:p w:rsidR="00546119" w:rsidRPr="00546119" w:rsidRDefault="00546119" w:rsidP="00546119">
            <w:pPr>
              <w:spacing w:afterLines="40" w:after="96" w:line="220" w:lineRule="atLeast"/>
              <w:ind w:left="6" w:right="113"/>
              <w:jc w:val="right"/>
              <w:rPr>
                <w:rFonts w:ascii="Arial" w:hAnsi="Arial" w:cs="Arial"/>
                <w:sz w:val="20"/>
                <w:szCs w:val="20"/>
              </w:rPr>
            </w:pPr>
            <w:r w:rsidRPr="00546119">
              <w:rPr>
                <w:rFonts w:ascii="Arial" w:hAnsi="Arial" w:cs="Arial"/>
                <w:sz w:val="20"/>
                <w:szCs w:val="20"/>
              </w:rPr>
              <w:t xml:space="preserve">  0.1</w:t>
            </w:r>
          </w:p>
        </w:tc>
      </w:tr>
      <w:tr w:rsidR="00546119" w:rsidRPr="00FE262E" w:rsidTr="00546119">
        <w:tc>
          <w:tcPr>
            <w:tcW w:w="2835" w:type="dxa"/>
            <w:shd w:val="clear" w:color="auto" w:fill="auto"/>
            <w:vAlign w:val="bottom"/>
          </w:tcPr>
          <w:p w:rsidR="00546119" w:rsidRPr="00CB6C4F" w:rsidRDefault="00546119" w:rsidP="00C14146">
            <w:pPr>
              <w:pStyle w:val="TableBodyText"/>
              <w:ind w:right="57"/>
              <w:jc w:val="left"/>
              <w:rPr>
                <w:b/>
              </w:rPr>
            </w:pPr>
            <w:r w:rsidRPr="00CB6C4F">
              <w:rPr>
                <w:b/>
              </w:rPr>
              <w:t>Total</w:t>
            </w:r>
            <w:r w:rsidR="00E355E9">
              <w:rPr>
                <w:rStyle w:val="NoteLabel"/>
              </w:rPr>
              <w:t xml:space="preserve">d, </w:t>
            </w:r>
            <w:r w:rsidR="00EB5210">
              <w:rPr>
                <w:rStyle w:val="NoteLabel"/>
              </w:rPr>
              <w:t>f</w:t>
            </w:r>
          </w:p>
        </w:tc>
        <w:tc>
          <w:tcPr>
            <w:tcW w:w="661"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11.3</w:t>
            </w:r>
          </w:p>
        </w:tc>
        <w:tc>
          <w:tcPr>
            <w:tcW w:w="662"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13.0</w:t>
            </w:r>
          </w:p>
        </w:tc>
        <w:tc>
          <w:tcPr>
            <w:tcW w:w="661"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14.5</w:t>
            </w:r>
          </w:p>
        </w:tc>
        <w:tc>
          <w:tcPr>
            <w:tcW w:w="662"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16.8</w:t>
            </w:r>
          </w:p>
        </w:tc>
        <w:tc>
          <w:tcPr>
            <w:tcW w:w="661"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12.3</w:t>
            </w:r>
          </w:p>
        </w:tc>
        <w:tc>
          <w:tcPr>
            <w:tcW w:w="662"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9.9</w:t>
            </w:r>
          </w:p>
        </w:tc>
        <w:tc>
          <w:tcPr>
            <w:tcW w:w="661"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9.1</w:t>
            </w:r>
          </w:p>
        </w:tc>
        <w:tc>
          <w:tcPr>
            <w:tcW w:w="662"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23.4</w:t>
            </w:r>
          </w:p>
        </w:tc>
        <w:tc>
          <w:tcPr>
            <w:tcW w:w="662" w:type="dxa"/>
            <w:shd w:val="clear" w:color="auto" w:fill="auto"/>
            <w:vAlign w:val="bottom"/>
          </w:tcPr>
          <w:p w:rsidR="00546119" w:rsidRPr="00FE262E" w:rsidRDefault="00546119" w:rsidP="00546119">
            <w:pPr>
              <w:spacing w:afterLines="40" w:after="96" w:line="220" w:lineRule="atLeast"/>
              <w:ind w:left="6" w:right="113"/>
              <w:jc w:val="right"/>
              <w:rPr>
                <w:rFonts w:ascii="Arial" w:hAnsi="Arial" w:cs="Arial"/>
                <w:b/>
                <w:sz w:val="20"/>
                <w:szCs w:val="20"/>
              </w:rPr>
            </w:pPr>
            <w:r w:rsidRPr="00FE262E">
              <w:rPr>
                <w:rFonts w:ascii="Arial" w:hAnsi="Arial" w:cs="Arial"/>
                <w:b/>
                <w:sz w:val="20"/>
                <w:szCs w:val="20"/>
              </w:rPr>
              <w:t xml:space="preserve">  13.0</w:t>
            </w:r>
          </w:p>
        </w:tc>
      </w:tr>
      <w:tr w:rsidR="006D3D44" w:rsidRPr="00E355E9" w:rsidTr="006D3D44">
        <w:tc>
          <w:tcPr>
            <w:tcW w:w="2835" w:type="dxa"/>
            <w:tcBorders>
              <w:bottom w:val="single" w:sz="4" w:space="0" w:color="auto"/>
            </w:tcBorders>
            <w:shd w:val="clear" w:color="auto" w:fill="auto"/>
            <w:vAlign w:val="bottom"/>
          </w:tcPr>
          <w:p w:rsidR="006D3D44" w:rsidRPr="00E355E9" w:rsidRDefault="006D3D44" w:rsidP="00FE262E">
            <w:pPr>
              <w:pStyle w:val="TableBodyText"/>
              <w:ind w:right="57"/>
              <w:jc w:val="left"/>
              <w:rPr>
                <w:b/>
              </w:rPr>
            </w:pPr>
            <w:r w:rsidRPr="00E355E9">
              <w:rPr>
                <w:b/>
              </w:rPr>
              <w:t>Total excluding diabetes complications as</w:t>
            </w:r>
            <w:r w:rsidRPr="00E355E9">
              <w:rPr>
                <w:b/>
              </w:rPr>
              <w:br/>
              <w:t>additional diagnosis</w:t>
            </w:r>
            <w:r w:rsidR="00EB5210">
              <w:rPr>
                <w:rStyle w:val="NoteLabel"/>
              </w:rPr>
              <w:t>f</w:t>
            </w:r>
          </w:p>
        </w:tc>
        <w:tc>
          <w:tcPr>
            <w:tcW w:w="661"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10.4</w:t>
            </w:r>
          </w:p>
        </w:tc>
        <w:tc>
          <w:tcPr>
            <w:tcW w:w="662"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11.9</w:t>
            </w:r>
          </w:p>
        </w:tc>
        <w:tc>
          <w:tcPr>
            <w:tcW w:w="661"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12.5</w:t>
            </w:r>
          </w:p>
        </w:tc>
        <w:tc>
          <w:tcPr>
            <w:tcW w:w="662"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10.7</w:t>
            </w:r>
          </w:p>
        </w:tc>
        <w:tc>
          <w:tcPr>
            <w:tcW w:w="661"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11.4</w:t>
            </w:r>
          </w:p>
        </w:tc>
        <w:tc>
          <w:tcPr>
            <w:tcW w:w="662"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9.1</w:t>
            </w:r>
          </w:p>
        </w:tc>
        <w:tc>
          <w:tcPr>
            <w:tcW w:w="661"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8.5</w:t>
            </w:r>
          </w:p>
        </w:tc>
        <w:tc>
          <w:tcPr>
            <w:tcW w:w="662"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21.0</w:t>
            </w:r>
          </w:p>
        </w:tc>
        <w:tc>
          <w:tcPr>
            <w:tcW w:w="662" w:type="dxa"/>
            <w:tcBorders>
              <w:bottom w:val="single" w:sz="4" w:space="0" w:color="auto"/>
            </w:tcBorders>
            <w:shd w:val="clear" w:color="auto" w:fill="auto"/>
            <w:vAlign w:val="bottom"/>
          </w:tcPr>
          <w:p w:rsidR="006D3D44" w:rsidRPr="00E355E9" w:rsidRDefault="006D3D44" w:rsidP="006D3D44">
            <w:pPr>
              <w:spacing w:afterLines="40" w:after="96" w:line="220" w:lineRule="atLeast"/>
              <w:ind w:left="6" w:right="113"/>
              <w:jc w:val="right"/>
              <w:rPr>
                <w:rFonts w:ascii="Arial" w:hAnsi="Arial" w:cs="Arial"/>
                <w:b/>
                <w:sz w:val="20"/>
                <w:szCs w:val="20"/>
              </w:rPr>
            </w:pPr>
            <w:r w:rsidRPr="00E355E9">
              <w:rPr>
                <w:rFonts w:ascii="Arial" w:hAnsi="Arial" w:cs="Arial"/>
                <w:b/>
                <w:sz w:val="20"/>
                <w:szCs w:val="20"/>
              </w:rPr>
              <w:t xml:space="preserve">  11.3</w:t>
            </w:r>
          </w:p>
        </w:tc>
      </w:tr>
    </w:tbl>
    <w:p w:rsidR="00DF3F57" w:rsidRPr="00C14146" w:rsidRDefault="00DF3F57" w:rsidP="00C14146">
      <w:pPr>
        <w:pStyle w:val="Note"/>
        <w:rPr>
          <w:rStyle w:val="DraftingNote"/>
          <w:b w:val="0"/>
          <w:color w:val="auto"/>
          <w:sz w:val="18"/>
          <w:u w:val="none"/>
        </w:rPr>
      </w:pPr>
      <w:r w:rsidRPr="00913654">
        <w:rPr>
          <w:rStyle w:val="NoteLabel"/>
        </w:rPr>
        <w:t>a</w:t>
      </w:r>
      <w:r w:rsidRPr="00913654">
        <w:t xml:space="preserve"> Separation rates are directly age standardised to the Australian population at 30 June 2001. </w:t>
      </w:r>
      <w:r w:rsidRPr="00913654">
        <w:rPr>
          <w:rStyle w:val="NoteLabel"/>
        </w:rPr>
        <w:t>b</w:t>
      </w:r>
      <w:r w:rsidRPr="00913654">
        <w:t xml:space="preserve"> Rates are based on State/Territory of usual residence. </w:t>
      </w:r>
      <w:r w:rsidRPr="00913654">
        <w:rPr>
          <w:rStyle w:val="NoteLabel"/>
        </w:rPr>
        <w:t>c</w:t>
      </w:r>
      <w:r w:rsidRPr="00913654">
        <w:t xml:space="preserve"> Includes other territories. Excludes overseas residents and unknown State of residence. </w:t>
      </w:r>
      <w:r w:rsidR="00EB5210" w:rsidRPr="00913654">
        <w:rPr>
          <w:rStyle w:val="NoteLabel"/>
        </w:rPr>
        <w:t>d</w:t>
      </w:r>
      <w:r w:rsidR="00EB5210" w:rsidRPr="00913654">
        <w:t> </w:t>
      </w:r>
      <w:r w:rsidR="00EB5210" w:rsidRPr="00A73D31">
        <w:t xml:space="preserve">Data for diabetes complications, and therefore for total selected chronic conditions, are not comparable across jurisdictions due to differences in clinical coding and admission protocols. </w:t>
      </w:r>
      <w:r w:rsidR="00EB5210" w:rsidRPr="00A73D31">
        <w:rPr>
          <w:rStyle w:val="NoteLabel"/>
        </w:rPr>
        <w:t>e</w:t>
      </w:r>
      <w:r w:rsidR="00EB5210" w:rsidRPr="00A73D31">
        <w:t> </w:t>
      </w:r>
      <w:r w:rsidR="00183B88" w:rsidRPr="00A73D31">
        <w:t xml:space="preserve">Includes </w:t>
      </w:r>
      <w:r w:rsidRPr="00A73D31">
        <w:t>acute rheu</w:t>
      </w:r>
      <w:r w:rsidRPr="00913654">
        <w:t xml:space="preserve">matic fever as well as the chronic disease. </w:t>
      </w:r>
      <w:r w:rsidR="00F83DE3">
        <w:rPr>
          <w:rStyle w:val="NoteLabel"/>
        </w:rPr>
        <w:t>f</w:t>
      </w:r>
      <w:r w:rsidR="00F83DE3" w:rsidRPr="00913654">
        <w:t xml:space="preserve"> </w:t>
      </w:r>
      <w:r w:rsidR="00EB5210" w:rsidRPr="00913654">
        <w:t xml:space="preserve">Totals may not add as more than one chronic condition may be reported for a </w:t>
      </w:r>
      <w:r w:rsidR="00EB5210" w:rsidRPr="00060C7B">
        <w:t>separation.</w:t>
      </w:r>
      <w:r w:rsidR="00E355E9">
        <w:t xml:space="preserve"> </w:t>
      </w:r>
      <w:r w:rsidR="009120A3">
        <w:rPr>
          <w:rFonts w:cs="Arial"/>
          <w:sz w:val="20"/>
        </w:rPr>
        <w:t>–</w:t>
      </w:r>
      <w:r w:rsidR="00060C7B" w:rsidRPr="00060C7B">
        <w:t xml:space="preserve"> </w:t>
      </w:r>
      <w:r w:rsidR="009120A3">
        <w:t>Nil or rounded to zero</w:t>
      </w:r>
      <w:r w:rsidR="00060C7B" w:rsidRPr="00060C7B">
        <w:t>.</w:t>
      </w:r>
    </w:p>
    <w:p w:rsidR="00DF3F57" w:rsidRPr="00913654" w:rsidRDefault="00DF3F57" w:rsidP="00EE6859">
      <w:pPr>
        <w:pStyle w:val="Source"/>
      </w:pPr>
      <w:r w:rsidRPr="00913654">
        <w:rPr>
          <w:i/>
        </w:rPr>
        <w:t>Source</w:t>
      </w:r>
      <w:r w:rsidRPr="00913654">
        <w:t>: AIHW (</w:t>
      </w:r>
      <w:r w:rsidR="00DC7EB8" w:rsidRPr="00DC7EB8">
        <w:t>2013</w:t>
      </w:r>
      <w:r w:rsidR="00A36A1F" w:rsidRPr="00E3200C">
        <w:t>b</w:t>
      </w:r>
      <w:r w:rsidRPr="00913654">
        <w:t xml:space="preserve">) </w:t>
      </w:r>
      <w:smartTag w:uri="urn:schemas-microsoft-com:office:smarttags" w:element="place">
        <w:smartTag w:uri="urn:schemas-microsoft-com:office:smarttags" w:element="PlaceName">
          <w:r w:rsidRPr="00913654">
            <w:rPr>
              <w:i/>
            </w:rPr>
            <w:t>Australian</w:t>
          </w:r>
        </w:smartTag>
        <w:r w:rsidRPr="00913654">
          <w:rPr>
            <w:i/>
          </w:rPr>
          <w:t xml:space="preserve"> </w:t>
        </w:r>
        <w:smartTag w:uri="urn:schemas-microsoft-com:office:smarttags" w:element="PlaceType">
          <w:r w:rsidRPr="00913654">
            <w:rPr>
              <w:i/>
            </w:rPr>
            <w:t>Hospital</w:t>
          </w:r>
        </w:smartTag>
      </w:smartTag>
      <w:r w:rsidRPr="00913654">
        <w:rPr>
          <w:i/>
        </w:rPr>
        <w:t xml:space="preserve"> Statistics 20</w:t>
      </w:r>
      <w:r w:rsidR="00A36A1F">
        <w:rPr>
          <w:i/>
        </w:rPr>
        <w:t>1</w:t>
      </w:r>
      <w:r w:rsidR="00820A5B">
        <w:rPr>
          <w:i/>
        </w:rPr>
        <w:t>1</w:t>
      </w:r>
      <w:r w:rsidRPr="00913654">
        <w:rPr>
          <w:i/>
        </w:rPr>
        <w:t>-1</w:t>
      </w:r>
      <w:r w:rsidR="00820A5B">
        <w:rPr>
          <w:i/>
        </w:rPr>
        <w:t>2</w:t>
      </w:r>
      <w:r w:rsidR="00820A5B">
        <w:t>, Cat. no. HSE 134</w:t>
      </w:r>
      <w:r w:rsidRPr="00913654">
        <w:t xml:space="preserve">; </w:t>
      </w:r>
      <w:r w:rsidR="00820A5B" w:rsidRPr="00913654">
        <w:t>AIHW (unpublished) National Hospital Morbidity Database</w:t>
      </w:r>
      <w:r w:rsidR="00820A5B">
        <w:t>;</w:t>
      </w:r>
      <w:r w:rsidR="00820A5B" w:rsidRPr="00913654">
        <w:t xml:space="preserve"> </w:t>
      </w:r>
      <w:r w:rsidRPr="00913654">
        <w:t>table </w:t>
      </w:r>
      <w:r w:rsidR="00512F00">
        <w:t>11A.9</w:t>
      </w:r>
      <w:r w:rsidR="003B3CD1">
        <w:t>9</w:t>
      </w:r>
      <w:r w:rsidRPr="00913654">
        <w:t>.</w:t>
      </w:r>
    </w:p>
    <w:p w:rsidR="00DF3F57" w:rsidRDefault="00DF3F57" w:rsidP="003B5421">
      <w:pPr>
        <w:pStyle w:val="BodyText"/>
      </w:pPr>
      <w:r w:rsidRPr="00913654">
        <w:t xml:space="preserve">The age standardised hospital separation rate for the selected chronic conditions was higher for </w:t>
      </w:r>
      <w:r w:rsidR="006E4E2B">
        <w:t>Indigenous Australians</w:t>
      </w:r>
      <w:r w:rsidRPr="00913654">
        <w:t xml:space="preserve"> than for non</w:t>
      </w:r>
      <w:r w:rsidRPr="00913654">
        <w:noBreakHyphen/>
      </w:r>
      <w:r w:rsidR="006E4E2B">
        <w:t>Indigenous Australians</w:t>
      </w:r>
      <w:r w:rsidR="009C2916">
        <w:t xml:space="preserve"> </w:t>
      </w:r>
      <w:r w:rsidR="009C2916" w:rsidRPr="00913654">
        <w:t>in all jurisdictions</w:t>
      </w:r>
      <w:r w:rsidRPr="00913654">
        <w:t xml:space="preserve"> in </w:t>
      </w:r>
      <w:r w:rsidR="00025443" w:rsidRPr="00913654">
        <w:t>20</w:t>
      </w:r>
      <w:r w:rsidR="00025443">
        <w:t>1</w:t>
      </w:r>
      <w:r w:rsidR="00820A5B">
        <w:t>1</w:t>
      </w:r>
      <w:r w:rsidR="00025443">
        <w:noBreakHyphen/>
      </w:r>
      <w:r w:rsidR="00025443" w:rsidRPr="00913654">
        <w:t>1</w:t>
      </w:r>
      <w:r w:rsidR="00820A5B">
        <w:t>2</w:t>
      </w:r>
      <w:r w:rsidRPr="00913654">
        <w:t xml:space="preserve"> (figure 11.</w:t>
      </w:r>
      <w:r w:rsidR="00CA25A8">
        <w:t>50</w:t>
      </w:r>
      <w:r w:rsidRPr="00913654">
        <w:t>).</w:t>
      </w:r>
    </w:p>
    <w:p w:rsidR="00DF3F57" w:rsidRPr="00F459BD" w:rsidRDefault="00DF3F57" w:rsidP="003B5421">
      <w:pPr>
        <w:pStyle w:val="FigureTitle"/>
        <w:ind w:left="1560" w:hanging="1560"/>
      </w:pPr>
      <w:r w:rsidRPr="00913654">
        <w:rPr>
          <w:b w:val="0"/>
        </w:rPr>
        <w:lastRenderedPageBreak/>
        <w:t>Figure 11.</w:t>
      </w:r>
      <w:r w:rsidR="00CA25A8">
        <w:rPr>
          <w:b w:val="0"/>
        </w:rPr>
        <w:t>50</w:t>
      </w:r>
      <w:r w:rsidRPr="00913654">
        <w:tab/>
        <w:t>Separations for selected chronic conditions by Indigenous status</w:t>
      </w:r>
      <w:r w:rsidRPr="00913654">
        <w:rPr>
          <w:rStyle w:val="NoteLabel"/>
          <w:b/>
        </w:rPr>
        <w:t>a, b, c, d, e</w:t>
      </w:r>
      <w:r w:rsidR="009B76C4" w:rsidRPr="00913654">
        <w:rPr>
          <w:rStyle w:val="NoteLabel"/>
          <w:b/>
        </w:rPr>
        <w:t>,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F3F57" w:rsidRPr="00F459BD" w:rsidTr="00DF3F57">
        <w:tc>
          <w:tcPr>
            <w:tcW w:w="8777" w:type="dxa"/>
          </w:tcPr>
          <w:p w:rsidR="00DF3F57" w:rsidRDefault="006542C2" w:rsidP="003B5421">
            <w:pPr>
              <w:pStyle w:val="Figure"/>
            </w:pPr>
            <w:r>
              <w:rPr>
                <w:noProof/>
              </w:rPr>
              <w:drawing>
                <wp:inline distT="0" distB="0" distL="0" distR="0" wp14:anchorId="33A26742" wp14:editId="78600BE4">
                  <wp:extent cx="5391150" cy="2876550"/>
                  <wp:effectExtent l="0" t="0" r="0" b="0"/>
                  <wp:docPr id="2" name="Picture 2" descr="Figure 11.50 Separations for selected chronic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5856F8" w:rsidRPr="00F459BD" w:rsidRDefault="002D2706" w:rsidP="003B5421">
            <w:pPr>
              <w:pStyle w:val="Figure"/>
            </w:pPr>
            <w:r>
              <w:rPr>
                <w:noProof/>
              </w:rPr>
              <w:drawing>
                <wp:inline distT="0" distB="0" distL="0" distR="0" wp14:anchorId="17B51D85" wp14:editId="1A3A3C2E">
                  <wp:extent cx="5391150" cy="2709709"/>
                  <wp:effectExtent l="0" t="0" r="0" b="0"/>
                  <wp:docPr id="6" name="Picture 6" descr="Figure 11.50 Separations for selected chronic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62">
                            <a:extLst>
                              <a:ext uri="{28A0092B-C50C-407E-A947-70E740481C1C}">
                                <a14:useLocalDpi xmlns:a14="http://schemas.microsoft.com/office/drawing/2010/main" val="0"/>
                              </a:ext>
                            </a:extLst>
                          </a:blip>
                          <a:srcRect t="5951"/>
                          <a:stretch/>
                        </pic:blipFill>
                        <pic:spPr bwMode="auto">
                          <a:xfrm>
                            <a:off x="0" y="0"/>
                            <a:ext cx="5395595" cy="27119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3F5684" w:rsidRDefault="00DF3F57" w:rsidP="00522267">
      <w:pPr>
        <w:pStyle w:val="Note"/>
        <w:keepNext/>
      </w:pPr>
      <w:r w:rsidRPr="009C1A73">
        <w:rPr>
          <w:rStyle w:val="NoteLabel"/>
        </w:rPr>
        <w:t>a</w:t>
      </w:r>
      <w:r w:rsidRPr="009C1A73">
        <w:t xml:space="preserve"> </w:t>
      </w:r>
      <w:r w:rsidR="009B76C4" w:rsidRPr="009C1A73">
        <w:t xml:space="preserve">Excludes separations </w:t>
      </w:r>
      <w:r w:rsidR="003D1E12" w:rsidRPr="009C1A73">
        <w:t>for</w:t>
      </w:r>
      <w:r w:rsidR="009B76C4" w:rsidRPr="009C1A73">
        <w:t xml:space="preserve"> diabetes complications </w:t>
      </w:r>
      <w:r w:rsidR="008972B6">
        <w:t xml:space="preserve">as additional </w:t>
      </w:r>
      <w:r w:rsidR="003D1E12" w:rsidRPr="009C1A73">
        <w:t>diagnos</w:t>
      </w:r>
      <w:r w:rsidR="008972B6">
        <w:t>i</w:t>
      </w:r>
      <w:r w:rsidR="003D1E12" w:rsidRPr="009C1A73">
        <w:t>s</w:t>
      </w:r>
      <w:r w:rsidR="009B76C4" w:rsidRPr="009C1A73">
        <w:t xml:space="preserve">. </w:t>
      </w:r>
      <w:r w:rsidR="009B76C4" w:rsidRPr="009C1A73">
        <w:rPr>
          <w:rStyle w:val="NoteLabel"/>
        </w:rPr>
        <w:t>b</w:t>
      </w:r>
      <w:r w:rsidR="009B76C4" w:rsidRPr="009C1A73">
        <w:t xml:space="preserve"> </w:t>
      </w:r>
      <w:r w:rsidRPr="009C1A73">
        <w:t>Separation rates are directly age</w:t>
      </w:r>
      <w:r w:rsidRPr="00F459BD">
        <w:t xml:space="preserve"> standardised to the Australian population at 30 June 2001. </w:t>
      </w:r>
      <w:r w:rsidR="009B76C4" w:rsidRPr="004B0818">
        <w:rPr>
          <w:rStyle w:val="NoteLabel"/>
        </w:rPr>
        <w:t>c </w:t>
      </w:r>
      <w:r w:rsidRPr="00F459BD">
        <w:t xml:space="preserve">Caution should be used in the interpretation of these data because of jurisdictional differences in data quality. </w:t>
      </w:r>
      <w:r w:rsidR="009B76C4">
        <w:rPr>
          <w:rStyle w:val="NoteLabel"/>
        </w:rPr>
        <w:t>d</w:t>
      </w:r>
      <w:r w:rsidR="009B76C4" w:rsidRPr="004B0818">
        <w:rPr>
          <w:rStyle w:val="NoteLabel"/>
        </w:rPr>
        <w:t> </w:t>
      </w:r>
      <w:r w:rsidRPr="00F459BD">
        <w:t xml:space="preserve">Separation rates are based on State/Territory of usual residence. </w:t>
      </w:r>
      <w:r w:rsidR="004B0818" w:rsidRPr="00522267">
        <w:rPr>
          <w:rStyle w:val="NoteLabel"/>
        </w:rPr>
        <w:t>e</w:t>
      </w:r>
      <w:r w:rsidRPr="00522267">
        <w:t xml:space="preserve"> </w:t>
      </w:r>
      <w:r w:rsidR="00E13AA6" w:rsidRPr="00522267">
        <w:t>NT data for 2011-12 are for public and private hospitals. For previous years, NT data are for public hospitals only.</w:t>
      </w:r>
      <w:r w:rsidR="00E13AA6" w:rsidRPr="00101503">
        <w:rPr>
          <w:color w:val="FF0000"/>
        </w:rPr>
        <w:t xml:space="preserve"> </w:t>
      </w:r>
      <w:r w:rsidR="003F5684">
        <w:rPr>
          <w:rStyle w:val="NoteLabel"/>
        </w:rPr>
        <w:t>f</w:t>
      </w:r>
      <w:r w:rsidR="003F5684" w:rsidRPr="00F459BD">
        <w:t xml:space="preserve"> </w:t>
      </w:r>
      <w:r w:rsidR="003F5684">
        <w:t xml:space="preserve">From 2011-12, </w:t>
      </w:r>
      <w:r w:rsidR="003F5684" w:rsidRPr="003F5684">
        <w:t>Indigenous status data are of sufficient quality for statistical reporting purposes</w:t>
      </w:r>
      <w:r w:rsidR="003F5684">
        <w:t xml:space="preserve"> for all states and territories</w:t>
      </w:r>
      <w:r w:rsidR="003F5684" w:rsidRPr="003F5684">
        <w:t>.</w:t>
      </w:r>
      <w:r w:rsidR="003F5684">
        <w:t xml:space="preserve"> Data for </w:t>
      </w:r>
      <w:r w:rsidR="003F5684" w:rsidRPr="003F5684">
        <w:t xml:space="preserve">Tasmania and the ACT </w:t>
      </w:r>
      <w:r w:rsidR="003F5684">
        <w:t>were not included in national totals in previous years, and were not published for 2007-08.</w:t>
      </w:r>
    </w:p>
    <w:p w:rsidR="00DF3F57" w:rsidRPr="00F459BD" w:rsidRDefault="00DF3F57" w:rsidP="003B5421">
      <w:pPr>
        <w:pStyle w:val="Source"/>
      </w:pPr>
      <w:r w:rsidRPr="00913654">
        <w:rPr>
          <w:i/>
        </w:rPr>
        <w:t>Source</w:t>
      </w:r>
      <w:r w:rsidRPr="00913654">
        <w:t>: AIHW (unpublished) National Hospital Morbidity Database; table </w:t>
      </w:r>
      <w:r w:rsidR="007A321A" w:rsidRPr="00931CC9">
        <w:t>11A.</w:t>
      </w:r>
      <w:r w:rsidR="00BE6366">
        <w:t>9</w:t>
      </w:r>
      <w:r w:rsidR="003B3CD1">
        <w:t>9</w:t>
      </w:r>
      <w:r w:rsidRPr="00931CC9">
        <w:t>.</w:t>
      </w:r>
    </w:p>
    <w:p w:rsidR="003E2B93" w:rsidRPr="00F459BD" w:rsidRDefault="0095555A" w:rsidP="005321E7">
      <w:pPr>
        <w:pStyle w:val="Heading5"/>
      </w:pPr>
      <w:r w:rsidRPr="00F459BD">
        <w:lastRenderedPageBreak/>
        <w:t>Potentially preventable h</w:t>
      </w:r>
      <w:r w:rsidR="003E2B93" w:rsidRPr="00F459BD">
        <w:t>ospitalisations for diabetes</w:t>
      </w:r>
    </w:p>
    <w:p w:rsidR="005321E7" w:rsidRPr="00F459BD" w:rsidRDefault="005321E7" w:rsidP="005321E7">
      <w:pPr>
        <w:pStyle w:val="BodyText"/>
      </w:pPr>
      <w:r w:rsidRPr="00F459BD">
        <w:t xml:space="preserve">Diabetes is a chronic disease of increasing prevalence, and is an identified National Health Priority Area for </w:t>
      </w:r>
      <w:smartTag w:uri="urn:schemas-microsoft-com:office:smarttags" w:element="place">
        <w:smartTag w:uri="urn:schemas-microsoft-com:office:smarttags" w:element="country-region">
          <w:r w:rsidRPr="00F459BD">
            <w:t>Australia</w:t>
          </w:r>
        </w:smartTag>
      </w:smartTag>
      <w:r w:rsidRPr="00F459BD">
        <w:t>. People with diabetes are at high risk of serious complications such as cardiovascular, eye and kidney disease. Type 2 diabetes is the most common form of diabetes and is largely preventable.</w:t>
      </w:r>
    </w:p>
    <w:p w:rsidR="003E2B93" w:rsidRPr="00913654" w:rsidRDefault="005321E7" w:rsidP="005321E7">
      <w:pPr>
        <w:pStyle w:val="BodyText"/>
      </w:pPr>
      <w:r w:rsidRPr="00913654">
        <w:t xml:space="preserve">The provision of high quality, appropriate and effective management of diabetes in the primary and community health sector can </w:t>
      </w:r>
      <w:r w:rsidR="00592818" w:rsidRPr="00913654">
        <w:t xml:space="preserve">prevent or minimise the severity of diabetes complications, thereby reducing demand for </w:t>
      </w:r>
      <w:r w:rsidR="00ED1744" w:rsidRPr="00913654">
        <w:t>hospitalisation</w:t>
      </w:r>
      <w:r w:rsidR="00592818" w:rsidRPr="00913654">
        <w:t xml:space="preserve"> </w:t>
      </w:r>
      <w:r w:rsidR="00D4454B" w:rsidRPr="00913654">
        <w:t>(AIHW </w:t>
      </w:r>
      <w:r w:rsidR="0088243E">
        <w:t>2008c</w:t>
      </w:r>
      <w:r w:rsidRPr="00913654">
        <w:t>). Patient compliance with management measures is also a critical determinant of the occurrence and severity of complications.</w:t>
      </w:r>
    </w:p>
    <w:p w:rsidR="003E2B93" w:rsidRPr="00F459BD" w:rsidRDefault="00FD7D4E" w:rsidP="00931CC9">
      <w:pPr>
        <w:pStyle w:val="BodyText"/>
      </w:pPr>
      <w:r w:rsidRPr="00913654">
        <w:t>Nationally</w:t>
      </w:r>
      <w:r w:rsidR="003E2B93" w:rsidRPr="00913654">
        <w:t xml:space="preserve">, the age standardised hospital separation rate </w:t>
      </w:r>
      <w:r w:rsidR="00592818" w:rsidRPr="00913654">
        <w:t>for</w:t>
      </w:r>
      <w:r w:rsidR="003E2B93" w:rsidRPr="00913654">
        <w:t xml:space="preserve"> </w:t>
      </w:r>
      <w:r w:rsidR="00592818" w:rsidRPr="00913654">
        <w:t xml:space="preserve">Type 2 diabetes mellitus as </w:t>
      </w:r>
      <w:r w:rsidR="003E2B93" w:rsidRPr="00913654">
        <w:t>principal diagnosis was</w:t>
      </w:r>
      <w:r w:rsidR="000A4BEF">
        <w:t xml:space="preserve"> 93.8</w:t>
      </w:r>
      <w:r w:rsidR="003E2B93" w:rsidRPr="00931CC9">
        <w:t xml:space="preserve"> separations</w:t>
      </w:r>
      <w:r w:rsidR="00EC1685" w:rsidRPr="00931CC9">
        <w:t xml:space="preserve"> per 100 000 </w:t>
      </w:r>
      <w:r w:rsidR="003E2B93" w:rsidRPr="00931CC9">
        <w:t>people</w:t>
      </w:r>
      <w:r w:rsidR="003E2B93" w:rsidRPr="00913654">
        <w:t xml:space="preserve"> </w:t>
      </w:r>
      <w:r w:rsidR="00592818" w:rsidRPr="00913654">
        <w:t xml:space="preserve">in </w:t>
      </w:r>
      <w:r w:rsidR="00025443" w:rsidRPr="000A4BEF">
        <w:t>201</w:t>
      </w:r>
      <w:r w:rsidR="000A4BEF" w:rsidRPr="000A4BEF">
        <w:t>1</w:t>
      </w:r>
      <w:r w:rsidR="000A4BEF" w:rsidRPr="000A4BEF">
        <w:noBreakHyphen/>
        <w:t>12</w:t>
      </w:r>
      <w:r w:rsidR="00025443" w:rsidRPr="000A4BEF">
        <w:t xml:space="preserve"> </w:t>
      </w:r>
      <w:r w:rsidR="003E2B93" w:rsidRPr="00913654">
        <w:t>(figure</w:t>
      </w:r>
      <w:r w:rsidR="00AE4837" w:rsidRPr="00913654">
        <w:t> </w:t>
      </w:r>
      <w:r w:rsidR="00CA25A8">
        <w:t>11.51</w:t>
      </w:r>
      <w:r w:rsidR="002A346C" w:rsidRPr="00913654">
        <w:t>).</w:t>
      </w:r>
    </w:p>
    <w:p w:rsidR="003E2B93" w:rsidRPr="00913654" w:rsidRDefault="003E2B93" w:rsidP="00422382">
      <w:pPr>
        <w:pStyle w:val="FigureTitle"/>
        <w:spacing w:before="340"/>
        <w:ind w:left="1560" w:hanging="1560"/>
      </w:pPr>
      <w:r w:rsidRPr="00913654">
        <w:rPr>
          <w:b w:val="0"/>
        </w:rPr>
        <w:t xml:space="preserve">Figure </w:t>
      </w:r>
      <w:bookmarkStart w:id="72" w:name="OLE_LINK58"/>
      <w:r w:rsidR="00EC42DB" w:rsidRPr="00913654">
        <w:rPr>
          <w:b w:val="0"/>
        </w:rPr>
        <w:t>11.</w:t>
      </w:r>
      <w:bookmarkEnd w:id="72"/>
      <w:r w:rsidR="00CA25A8">
        <w:rPr>
          <w:b w:val="0"/>
        </w:rPr>
        <w:t>51</w:t>
      </w:r>
      <w:r w:rsidRPr="00913654">
        <w:tab/>
        <w:t xml:space="preserve">Separations for Type 2 diabetes mellitus as principal diagnosis, all </w:t>
      </w:r>
      <w:r w:rsidRPr="009F16DC">
        <w:t xml:space="preserve">hospitals, </w:t>
      </w:r>
      <w:r w:rsidR="00025443" w:rsidRPr="009F16DC">
        <w:t>201</w:t>
      </w:r>
      <w:r w:rsidR="009F16DC" w:rsidRPr="009F16DC">
        <w:t>1</w:t>
      </w:r>
      <w:r w:rsidR="00025443" w:rsidRPr="009F16DC">
        <w:t>-1</w:t>
      </w:r>
      <w:r w:rsidR="009F16DC" w:rsidRPr="009F16DC">
        <w:t>2</w:t>
      </w:r>
      <w:r w:rsidR="00C12822" w:rsidRPr="009F16DC">
        <w:rPr>
          <w:rStyle w:val="NoteLabel"/>
          <w:b/>
        </w:rPr>
        <w:t>a, b</w:t>
      </w:r>
      <w:r w:rsidR="00C12822" w:rsidRPr="00913654">
        <w:rPr>
          <w:rStyle w:val="NoteLabel"/>
          <w:b/>
        </w:rPr>
        <w:t>, c</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2B93" w:rsidRPr="00913654" w:rsidTr="003E2B93">
        <w:tc>
          <w:tcPr>
            <w:tcW w:w="8777" w:type="dxa"/>
          </w:tcPr>
          <w:p w:rsidR="003E2B93" w:rsidRPr="00913654" w:rsidRDefault="00C315E2" w:rsidP="00422382">
            <w:pPr>
              <w:pStyle w:val="Figure"/>
            </w:pPr>
            <w:r>
              <w:rPr>
                <w:noProof/>
              </w:rPr>
              <w:drawing>
                <wp:inline distT="0" distB="0" distL="0" distR="0">
                  <wp:extent cx="5389880" cy="2861310"/>
                  <wp:effectExtent l="0" t="0" r="1270" b="0"/>
                  <wp:docPr id="56" name="Picture 56" descr="Figure 11.51 Separations for Type 2 diabetes mellitus as principal diagnosis, all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3E2B93" w:rsidRPr="00913654" w:rsidRDefault="003E2B93" w:rsidP="00422382">
      <w:pPr>
        <w:pStyle w:val="Note"/>
        <w:keepNext/>
      </w:pPr>
      <w:r w:rsidRPr="00913654">
        <w:rPr>
          <w:rStyle w:val="NoteLabel"/>
        </w:rPr>
        <w:t>a</w:t>
      </w:r>
      <w:r w:rsidRPr="00913654">
        <w:rPr>
          <w:rStyle w:val="NoteLabel"/>
        </w:rPr>
        <w:sym w:font="Symbol" w:char="F020"/>
      </w:r>
      <w:r w:rsidRPr="00913654">
        <w:t>Differences across jurisdictions in policy and practice relating to the admission of patients, the availability of outpatient services and the incentives to admit patients rather than treat them as outpatients will affect estimates of hospital separations.</w:t>
      </w:r>
      <w:r w:rsidR="00C12822" w:rsidRPr="00913654">
        <w:t xml:space="preserve"> </w:t>
      </w:r>
      <w:r w:rsidR="00C12822" w:rsidRPr="00913654">
        <w:rPr>
          <w:rStyle w:val="NoteLabel"/>
        </w:rPr>
        <w:t>b</w:t>
      </w:r>
      <w:r w:rsidRPr="00913654">
        <w:rPr>
          <w:rStyle w:val="NoteLabel"/>
        </w:rPr>
        <w:t xml:space="preserve"> </w:t>
      </w:r>
      <w:r w:rsidRPr="00913654">
        <w:t xml:space="preserve">Morbidity data are coded under coding standards that </w:t>
      </w:r>
      <w:r w:rsidR="00FD7D4E" w:rsidRPr="00913654">
        <w:t>can</w:t>
      </w:r>
      <w:r w:rsidRPr="00913654">
        <w:t xml:space="preserve"> differ over time and across jurisdictions. </w:t>
      </w:r>
      <w:r w:rsidR="00C12822" w:rsidRPr="00913654">
        <w:rPr>
          <w:rStyle w:val="NoteLabel"/>
        </w:rPr>
        <w:t xml:space="preserve">c </w:t>
      </w:r>
      <w:r w:rsidRPr="00913654">
        <w:t xml:space="preserve">Data for </w:t>
      </w:r>
      <w:smartTag w:uri="urn:schemas-microsoft-com:office:smarttags" w:element="State">
        <w:r w:rsidRPr="00913654">
          <w:t>Tasmania</w:t>
        </w:r>
      </w:smartTag>
      <w:r w:rsidRPr="00913654">
        <w:t xml:space="preserve">, the ACT and the NT are not published separately (due to hospital confidentiality arrangements) but are included in the total for </w:t>
      </w:r>
      <w:smartTag w:uri="urn:schemas-microsoft-com:office:smarttags" w:element="place">
        <w:smartTag w:uri="urn:schemas-microsoft-com:office:smarttags" w:element="country-region">
          <w:r w:rsidRPr="00913654">
            <w:t>Australia</w:t>
          </w:r>
        </w:smartTag>
      </w:smartTag>
      <w:r w:rsidRPr="00913654">
        <w:t>.</w:t>
      </w:r>
    </w:p>
    <w:p w:rsidR="003E2B93" w:rsidRPr="00913654" w:rsidRDefault="003E2B93" w:rsidP="00422382">
      <w:pPr>
        <w:pStyle w:val="Source"/>
      </w:pPr>
      <w:r w:rsidRPr="00913654">
        <w:rPr>
          <w:i/>
        </w:rPr>
        <w:t>Source</w:t>
      </w:r>
      <w:r w:rsidRPr="00913654">
        <w:t xml:space="preserve">: AIHW (unpublished) </w:t>
      </w:r>
      <w:r w:rsidR="001317DC" w:rsidRPr="00913654">
        <w:t>National Hospital Morbidity Database</w:t>
      </w:r>
      <w:r w:rsidRPr="00913654">
        <w:t>; table</w:t>
      </w:r>
      <w:r w:rsidR="00AE4837" w:rsidRPr="00913654">
        <w:t> </w:t>
      </w:r>
      <w:r w:rsidR="008A25EA">
        <w:t>11A.</w:t>
      </w:r>
      <w:r w:rsidR="003B3CD1">
        <w:t>101</w:t>
      </w:r>
      <w:r w:rsidRPr="00913654">
        <w:t>.</w:t>
      </w:r>
    </w:p>
    <w:p w:rsidR="003E2B93" w:rsidRPr="00913654" w:rsidRDefault="003E2B93" w:rsidP="00422382">
      <w:pPr>
        <w:pStyle w:val="BodyText"/>
      </w:pPr>
      <w:r w:rsidRPr="00913654">
        <w:t xml:space="preserve">The three </w:t>
      </w:r>
      <w:r w:rsidR="000130CB" w:rsidRPr="00913654">
        <w:t xml:space="preserve">complications of Type 2 diabetes </w:t>
      </w:r>
      <w:r w:rsidRPr="00913654">
        <w:t>most common</w:t>
      </w:r>
      <w:r w:rsidR="000130CB" w:rsidRPr="00913654">
        <w:t>ly</w:t>
      </w:r>
      <w:r w:rsidRPr="00913654">
        <w:t xml:space="preserve"> </w:t>
      </w:r>
      <w:r w:rsidR="000130CB" w:rsidRPr="00913654">
        <w:t>leading to</w:t>
      </w:r>
      <w:r w:rsidRPr="00913654">
        <w:t xml:space="preserve"> hospitalisation in </w:t>
      </w:r>
      <w:r w:rsidR="00025443" w:rsidRPr="00913654">
        <w:t>20</w:t>
      </w:r>
      <w:r w:rsidR="00025443">
        <w:t>1</w:t>
      </w:r>
      <w:r w:rsidR="009D2F73">
        <w:t>1</w:t>
      </w:r>
      <w:r w:rsidR="00025443">
        <w:noBreakHyphen/>
      </w:r>
      <w:r w:rsidR="00025443" w:rsidRPr="00913654">
        <w:t>1</w:t>
      </w:r>
      <w:r w:rsidR="009D2F73">
        <w:t>2</w:t>
      </w:r>
      <w:r w:rsidR="00025443">
        <w:t xml:space="preserve"> </w:t>
      </w:r>
      <w:r w:rsidRPr="00913654">
        <w:t xml:space="preserve">were ophthalmic, renal and circulatory complications. </w:t>
      </w:r>
      <w:r w:rsidRPr="00913654">
        <w:lastRenderedPageBreak/>
        <w:t>Across all jurisdictions for which data were published, the highest hospital separation rates were for ophthalmic complications</w:t>
      </w:r>
      <w:r w:rsidR="00025443" w:rsidRPr="00913654">
        <w:t xml:space="preserve"> </w:t>
      </w:r>
      <w:r w:rsidRPr="00913654">
        <w:t>(figure</w:t>
      </w:r>
      <w:r w:rsidR="00AE4837" w:rsidRPr="00913654">
        <w:t> </w:t>
      </w:r>
      <w:r w:rsidR="00CA25A8">
        <w:t>11.52</w:t>
      </w:r>
      <w:r w:rsidR="004867BC" w:rsidRPr="00913654">
        <w:t>)</w:t>
      </w:r>
      <w:r w:rsidR="000130CB" w:rsidRPr="00913654">
        <w:t>.</w:t>
      </w:r>
    </w:p>
    <w:p w:rsidR="003E2B93" w:rsidRPr="00913654" w:rsidRDefault="003E2B93" w:rsidP="00422382">
      <w:pPr>
        <w:pStyle w:val="FigureTitle"/>
        <w:ind w:left="1560" w:hanging="1560"/>
      </w:pPr>
      <w:r w:rsidRPr="00913654">
        <w:rPr>
          <w:b w:val="0"/>
        </w:rPr>
        <w:t xml:space="preserve">Figure </w:t>
      </w:r>
      <w:bookmarkStart w:id="73" w:name="OLE_LINK59"/>
      <w:r w:rsidR="00EC42DB" w:rsidRPr="00913654">
        <w:rPr>
          <w:b w:val="0"/>
        </w:rPr>
        <w:t>11.</w:t>
      </w:r>
      <w:bookmarkEnd w:id="73"/>
      <w:r w:rsidR="00650110">
        <w:rPr>
          <w:b w:val="0"/>
        </w:rPr>
        <w:t>5</w:t>
      </w:r>
      <w:r w:rsidR="00CA25A8">
        <w:rPr>
          <w:b w:val="0"/>
        </w:rPr>
        <w:t>2</w:t>
      </w:r>
      <w:r w:rsidRPr="00913654">
        <w:tab/>
      </w:r>
      <w:r w:rsidR="0072259D" w:rsidRPr="00913654">
        <w:t>S</w:t>
      </w:r>
      <w:r w:rsidRPr="00913654">
        <w:t>eparations for principal diagnosi</w:t>
      </w:r>
      <w:r w:rsidR="00D9288B" w:rsidRPr="00913654">
        <w:t xml:space="preserve">s of </w:t>
      </w:r>
      <w:r w:rsidR="007214E3" w:rsidRPr="00913654">
        <w:t>Type </w:t>
      </w:r>
      <w:r w:rsidR="00D9288B" w:rsidRPr="00913654">
        <w:t xml:space="preserve">2 diabetes mellitus by </w:t>
      </w:r>
      <w:r w:rsidRPr="00913654">
        <w:t>selected complication, all hospitals,</w:t>
      </w:r>
      <w:r w:rsidR="00FF6460">
        <w:t xml:space="preserve"> </w:t>
      </w:r>
      <w:r w:rsidRPr="009F16DC">
        <w:t>20</w:t>
      </w:r>
      <w:r w:rsidR="00025443" w:rsidRPr="009F16DC">
        <w:t>1</w:t>
      </w:r>
      <w:r w:rsidR="009F16DC" w:rsidRPr="009F16DC">
        <w:t>1</w:t>
      </w:r>
      <w:r w:rsidR="00025443" w:rsidRPr="009F16DC">
        <w:t>-1</w:t>
      </w:r>
      <w:r w:rsidR="009F16DC" w:rsidRPr="009F16DC">
        <w:t>2</w:t>
      </w:r>
      <w:r w:rsidRPr="009F16DC">
        <w:rPr>
          <w:rStyle w:val="NoteLabel"/>
          <w:b/>
        </w:rPr>
        <w:t>a</w:t>
      </w:r>
      <w:r w:rsidRPr="00913654">
        <w:rPr>
          <w:rStyle w:val="NoteLabel"/>
          <w:b/>
        </w:rPr>
        <w:t>, b, c, d</w:t>
      </w:r>
      <w:r w:rsidR="000130CB" w:rsidRPr="00913654">
        <w:rPr>
          <w:rStyle w:val="NoteLabel"/>
          <w:b/>
        </w:rPr>
        <w:t>, e</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2B93" w:rsidRPr="00913654" w:rsidTr="003E2B93">
        <w:tc>
          <w:tcPr>
            <w:tcW w:w="8777" w:type="dxa"/>
          </w:tcPr>
          <w:p w:rsidR="003E2B93" w:rsidRPr="00913654" w:rsidRDefault="00C315E2" w:rsidP="00422382">
            <w:pPr>
              <w:pStyle w:val="Figure"/>
            </w:pPr>
            <w:r>
              <w:rPr>
                <w:noProof/>
              </w:rPr>
              <w:drawing>
                <wp:inline distT="0" distB="0" distL="0" distR="0">
                  <wp:extent cx="5389880" cy="2861310"/>
                  <wp:effectExtent l="0" t="0" r="1270" b="0"/>
                  <wp:docPr id="57" name="Picture 57" descr="Figure 11.52 Separations for principal diagnosis of Type 2 diabetes mellitus by selected complication, all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3E2B93" w:rsidRPr="00913654" w:rsidRDefault="003E2B93" w:rsidP="00422382">
      <w:pPr>
        <w:pStyle w:val="Note"/>
      </w:pPr>
      <w:r w:rsidRPr="00913654">
        <w:rPr>
          <w:rStyle w:val="NoteLabel"/>
        </w:rPr>
        <w:t>a</w:t>
      </w:r>
      <w:r w:rsidRPr="00913654">
        <w:sym w:font="Symbol" w:char="F020"/>
      </w:r>
      <w:r w:rsidRPr="00913654">
        <w:t xml:space="preserve">Results for individual complications </w:t>
      </w:r>
      <w:r w:rsidR="009B1983" w:rsidRPr="00913654">
        <w:t>can</w:t>
      </w:r>
      <w:r w:rsidRPr="00913654">
        <w:t xml:space="preserve"> be affected by small numbers, and need to be interpreted with care. </w:t>
      </w:r>
      <w:r w:rsidRPr="00913654">
        <w:rPr>
          <w:rStyle w:val="NoteLabel"/>
        </w:rPr>
        <w:t>b</w:t>
      </w:r>
      <w:r w:rsidRPr="00913654">
        <w:t xml:space="preserve"> </w:t>
      </w:r>
      <w:r w:rsidR="000130CB" w:rsidRPr="00913654">
        <w:t xml:space="preserve">Patients can have one or more complication(s) for each separation. </w:t>
      </w:r>
      <w:r w:rsidR="000130CB" w:rsidRPr="00913654">
        <w:rPr>
          <w:rStyle w:val="NoteLabel"/>
        </w:rPr>
        <w:t xml:space="preserve">c </w:t>
      </w:r>
      <w:r w:rsidRPr="00913654">
        <w:t>Differences across jurisdictions in policy and practice relating to the admission of patients, the availability of outpatient services and the incentives to admit patients rather than treat them as outpatients will affect estimates of hospital separations.</w:t>
      </w:r>
      <w:r w:rsidR="000130CB" w:rsidRPr="00913654">
        <w:t xml:space="preserve"> </w:t>
      </w:r>
      <w:r w:rsidR="006743ED" w:rsidRPr="00913654">
        <w:rPr>
          <w:rStyle w:val="NoteLabel"/>
        </w:rPr>
        <w:t>d </w:t>
      </w:r>
      <w:r w:rsidRPr="00913654">
        <w:t xml:space="preserve">Morbidity data are coded under coding standards that </w:t>
      </w:r>
      <w:r w:rsidR="009B1983" w:rsidRPr="00913654">
        <w:t>can</w:t>
      </w:r>
      <w:r w:rsidRPr="00913654">
        <w:t xml:space="preserve"> differ over time and across jurisdictions. </w:t>
      </w:r>
      <w:r w:rsidR="000130CB" w:rsidRPr="00913654">
        <w:rPr>
          <w:rStyle w:val="NoteLabel"/>
        </w:rPr>
        <w:t>e</w:t>
      </w:r>
      <w:r w:rsidR="000130CB" w:rsidRPr="00913654">
        <w:t xml:space="preserve"> </w:t>
      </w:r>
      <w:r w:rsidRPr="00913654">
        <w:t xml:space="preserve">Data for </w:t>
      </w:r>
      <w:smartTag w:uri="urn:schemas-microsoft-com:office:smarttags" w:element="State">
        <w:r w:rsidRPr="00913654">
          <w:t>Tasmania</w:t>
        </w:r>
      </w:smartTag>
      <w:r w:rsidRPr="00913654">
        <w:t xml:space="preserve">, the ACT and the NT are not published separately (due to private hospital confidentiality arrangements) but are included in the total for </w:t>
      </w:r>
      <w:smartTag w:uri="urn:schemas-microsoft-com:office:smarttags" w:element="place">
        <w:smartTag w:uri="urn:schemas-microsoft-com:office:smarttags" w:element="country-region">
          <w:r w:rsidRPr="00913654">
            <w:t>Australia</w:t>
          </w:r>
        </w:smartTag>
      </w:smartTag>
      <w:r w:rsidRPr="00913654">
        <w:t>.</w:t>
      </w:r>
    </w:p>
    <w:p w:rsidR="003E2B93" w:rsidRPr="00913654" w:rsidRDefault="003E2B93" w:rsidP="00422382">
      <w:pPr>
        <w:pStyle w:val="Source"/>
      </w:pPr>
      <w:r w:rsidRPr="00913654">
        <w:rPr>
          <w:i/>
        </w:rPr>
        <w:t>Source</w:t>
      </w:r>
      <w:r w:rsidRPr="00913654">
        <w:t xml:space="preserve">: AIHW (unpublished) </w:t>
      </w:r>
      <w:r w:rsidR="001317DC" w:rsidRPr="00913654">
        <w:t>National Hospital Morbidity Database</w:t>
      </w:r>
      <w:r w:rsidR="00AE4837" w:rsidRPr="00913654">
        <w:t>; table </w:t>
      </w:r>
      <w:r w:rsidR="003B3CD1">
        <w:t>11A.101</w:t>
      </w:r>
      <w:r w:rsidRPr="00913654">
        <w:t>.</w:t>
      </w:r>
    </w:p>
    <w:p w:rsidR="00E75746" w:rsidRPr="00913654" w:rsidRDefault="00E75746" w:rsidP="00931CC9">
      <w:pPr>
        <w:pStyle w:val="BodyText"/>
      </w:pPr>
      <w:r w:rsidRPr="00913654">
        <w:t>Treatment for Type 2 diabetes and related conditions is also provided in ambulatory care settings but the</w:t>
      </w:r>
      <w:r w:rsidR="001F4383" w:rsidRPr="00913654">
        <w:t>se data</w:t>
      </w:r>
      <w:r w:rsidRPr="00913654">
        <w:t xml:space="preserve"> </w:t>
      </w:r>
      <w:r w:rsidR="001F4383" w:rsidRPr="00913654">
        <w:t>are</w:t>
      </w:r>
      <w:r w:rsidRPr="00913654">
        <w:t xml:space="preserve"> not included in the hospital separations data. Differences across jurisdictions in policy and practice relating to the admission of patients, the availability of outpatient services and the incentives to admit patients rather than treat them as outpatients affect hospital separation rates. This effect is partly reflected in the variation in the proportion of separations that are ‘same day’ </w:t>
      </w:r>
      <w:r w:rsidR="004556B4" w:rsidRPr="00913654">
        <w:t>across jurisdictions. Nationally,</w:t>
      </w:r>
      <w:r w:rsidR="009D2F73">
        <w:t xml:space="preserve"> 22.4</w:t>
      </w:r>
      <w:r w:rsidRPr="00931CC9">
        <w:t xml:space="preserve"> per cent</w:t>
      </w:r>
      <w:r w:rsidRPr="00913654">
        <w:t xml:space="preserve"> of separations for Type 2 diabetes were same day separations in </w:t>
      </w:r>
      <w:r w:rsidRPr="009D2F73">
        <w:t>20</w:t>
      </w:r>
      <w:r w:rsidR="00025443" w:rsidRPr="009D2F73">
        <w:t>1</w:t>
      </w:r>
      <w:r w:rsidR="009D2F73" w:rsidRPr="009D2F73">
        <w:t>1</w:t>
      </w:r>
      <w:r w:rsidR="003E6C78" w:rsidRPr="009D2F73">
        <w:noBreakHyphen/>
      </w:r>
      <w:r w:rsidR="00695AFD" w:rsidRPr="009D2F73">
        <w:t>1</w:t>
      </w:r>
      <w:r w:rsidR="009D2F73" w:rsidRPr="009D2F73">
        <w:t>2</w:t>
      </w:r>
      <w:r w:rsidRPr="00913654">
        <w:t xml:space="preserve"> (table </w:t>
      </w:r>
      <w:r w:rsidR="003B3CD1">
        <w:t>11A.102</w:t>
      </w:r>
      <w:r w:rsidRPr="00913654">
        <w:t>).</w:t>
      </w:r>
    </w:p>
    <w:p w:rsidR="003E2B93" w:rsidRPr="00F459BD" w:rsidRDefault="00523DBF" w:rsidP="00931CC9">
      <w:pPr>
        <w:pStyle w:val="BodyText"/>
      </w:pPr>
      <w:r w:rsidRPr="00913654">
        <w:t>Serious circulatory complications of diabetes can necessitate a</w:t>
      </w:r>
      <w:r w:rsidR="003E2B93" w:rsidRPr="00913654">
        <w:t xml:space="preserve">mputation of a lower limb. In </w:t>
      </w:r>
      <w:r w:rsidR="009D2F73" w:rsidRPr="009D2F73">
        <w:t>2011</w:t>
      </w:r>
      <w:r w:rsidR="009D2F73" w:rsidRPr="009D2F73">
        <w:noBreakHyphen/>
        <w:t>12</w:t>
      </w:r>
      <w:r w:rsidR="003E2B93" w:rsidRPr="00913654">
        <w:t xml:space="preserve">, there </w:t>
      </w:r>
      <w:r w:rsidR="003E2B93" w:rsidRPr="00931CC9">
        <w:t>wer</w:t>
      </w:r>
      <w:r w:rsidR="00AE4837" w:rsidRPr="00931CC9">
        <w:t xml:space="preserve">e </w:t>
      </w:r>
      <w:r w:rsidR="001D535F" w:rsidRPr="009D2F73">
        <w:t>13.3</w:t>
      </w:r>
      <w:r w:rsidR="00025443" w:rsidRPr="00931CC9">
        <w:t xml:space="preserve"> </w:t>
      </w:r>
      <w:r w:rsidR="00AE4837" w:rsidRPr="00931CC9">
        <w:t>hospital separations per </w:t>
      </w:r>
      <w:r w:rsidR="003E2B93" w:rsidRPr="00931CC9">
        <w:t>100</w:t>
      </w:r>
      <w:r w:rsidR="00AE4837" w:rsidRPr="00931CC9">
        <w:t> </w:t>
      </w:r>
      <w:r w:rsidR="003E2B93" w:rsidRPr="00931CC9">
        <w:t>000 people</w:t>
      </w:r>
      <w:r w:rsidR="003E2B93" w:rsidRPr="00913654">
        <w:t xml:space="preserve"> (age standardised) for lower limb amputations where Type 2 diabetes mellitus was a principal or additional diagnosis (figure</w:t>
      </w:r>
      <w:r w:rsidR="00AE4837" w:rsidRPr="00913654">
        <w:t> </w:t>
      </w:r>
      <w:r w:rsidR="002670E9">
        <w:t>11.5</w:t>
      </w:r>
      <w:r w:rsidR="00CA25A8">
        <w:t>3</w:t>
      </w:r>
      <w:r w:rsidR="003E2B93" w:rsidRPr="00913654">
        <w:t>).</w:t>
      </w:r>
    </w:p>
    <w:p w:rsidR="003E2B93" w:rsidRPr="00913654" w:rsidRDefault="003E2B93" w:rsidP="00422382">
      <w:pPr>
        <w:pStyle w:val="FigureTitle"/>
        <w:ind w:left="1560" w:hanging="1560"/>
      </w:pPr>
      <w:r w:rsidRPr="00913654">
        <w:rPr>
          <w:b w:val="0"/>
        </w:rPr>
        <w:lastRenderedPageBreak/>
        <w:t xml:space="preserve">Figure </w:t>
      </w:r>
      <w:bookmarkStart w:id="74" w:name="OLE_LINK62"/>
      <w:r w:rsidR="00EC42DB" w:rsidRPr="00913654">
        <w:rPr>
          <w:b w:val="0"/>
        </w:rPr>
        <w:t>11.</w:t>
      </w:r>
      <w:r w:rsidR="00C44281">
        <w:rPr>
          <w:b w:val="0"/>
          <w:noProof/>
        </w:rPr>
        <w:t>5</w:t>
      </w:r>
      <w:bookmarkEnd w:id="74"/>
      <w:r w:rsidR="00CA25A8">
        <w:rPr>
          <w:b w:val="0"/>
          <w:noProof/>
        </w:rPr>
        <w:t>3</w:t>
      </w:r>
      <w:r w:rsidRPr="00913654">
        <w:tab/>
        <w:t>Separations for lower limb amputation with principal or additional diagnosis of Type</w:t>
      </w:r>
      <w:r w:rsidR="00703C09" w:rsidRPr="00913654">
        <w:t xml:space="preserve"> 2 diabetes, all hospitals, </w:t>
      </w:r>
      <w:r w:rsidR="00796740" w:rsidRPr="009D2F73">
        <w:t>201</w:t>
      </w:r>
      <w:r w:rsidR="009D2F73" w:rsidRPr="009D2F73">
        <w:t>1</w:t>
      </w:r>
      <w:r w:rsidR="00796740" w:rsidRPr="009D2F73">
        <w:noBreakHyphen/>
        <w:t>1</w:t>
      </w:r>
      <w:r w:rsidR="009D2F73" w:rsidRPr="009D2F73">
        <w:t>2</w:t>
      </w:r>
      <w:r w:rsidR="00AE4837" w:rsidRPr="009D2F73">
        <w:rPr>
          <w:rStyle w:val="NoteLabel"/>
          <w:b/>
        </w:rPr>
        <w:t>a</w:t>
      </w:r>
      <w:r w:rsidR="00AE4837" w:rsidRPr="00913654">
        <w:rPr>
          <w:rStyle w:val="NoteLabel"/>
          <w:b/>
        </w:rPr>
        <w:t>, b, </w:t>
      </w:r>
      <w:r w:rsidRPr="00913654">
        <w:rPr>
          <w:rStyle w:val="NoteLabel"/>
          <w:b/>
        </w:rPr>
        <w:t>c</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2B93" w:rsidRPr="00913654" w:rsidTr="003E2B93">
        <w:tc>
          <w:tcPr>
            <w:tcW w:w="8777" w:type="dxa"/>
          </w:tcPr>
          <w:p w:rsidR="003E2B93" w:rsidRPr="00913654" w:rsidRDefault="00D03CE8" w:rsidP="002C066D">
            <w:pPr>
              <w:pStyle w:val="Figure"/>
              <w:tabs>
                <w:tab w:val="left" w:pos="3675"/>
              </w:tabs>
              <w:jc w:val="left"/>
            </w:pPr>
            <w:r>
              <w:tab/>
            </w:r>
            <w:r w:rsidR="00C315E2">
              <w:rPr>
                <w:noProof/>
              </w:rPr>
              <w:drawing>
                <wp:inline distT="0" distB="0" distL="0" distR="0">
                  <wp:extent cx="5389880" cy="2861310"/>
                  <wp:effectExtent l="0" t="0" r="1270" b="0"/>
                  <wp:docPr id="58" name="Picture 58" descr="Figure 11.53 Separations for lower limb amputation with principal or additional diagnosis of Type 2 diabetes, all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3E2B93" w:rsidRPr="00913654" w:rsidRDefault="003E2B93" w:rsidP="00422382">
      <w:pPr>
        <w:pStyle w:val="Note"/>
      </w:pPr>
      <w:r w:rsidRPr="00913654">
        <w:rPr>
          <w:rStyle w:val="NoteLabel"/>
        </w:rPr>
        <w:t>a</w:t>
      </w:r>
      <w:r w:rsidRPr="00913654">
        <w:rPr>
          <w:rStyle w:val="NoteLabel"/>
        </w:rPr>
        <w:sym w:font="Symbol" w:char="F020"/>
      </w:r>
      <w:r w:rsidRPr="00913654">
        <w:t xml:space="preserve">Separation rates are directly age standardised to the Australian population at 30 June 2001. </w:t>
      </w:r>
      <w:r w:rsidRPr="00913654">
        <w:rPr>
          <w:rStyle w:val="NoteLabel"/>
        </w:rPr>
        <w:t>b</w:t>
      </w:r>
      <w:r w:rsidRPr="00913654">
        <w:t xml:space="preserve"> Includes unspecified diabetes. </w:t>
      </w:r>
      <w:r w:rsidR="008B5B9B">
        <w:t>Data</w:t>
      </w:r>
      <w:r w:rsidRPr="00913654">
        <w:t xml:space="preserve"> are based on the ICD-10-AM classification. The codes used are ICD-10-AM diagnosis codes E11.x for diabetes, and ICD-10-AM procedure block 1533 and procedure codes 44370-00, 44373-00, 44367-00, 44367-01 and 44367-02 for lower limb amputation. </w:t>
      </w:r>
      <w:r w:rsidRPr="00913654">
        <w:rPr>
          <w:rStyle w:val="NoteLabel"/>
        </w:rPr>
        <w:t>c</w:t>
      </w:r>
      <w:r w:rsidRPr="00913654">
        <w:t xml:space="preserve"> Data for </w:t>
      </w:r>
      <w:smartTag w:uri="urn:schemas-microsoft-com:office:smarttags" w:element="State">
        <w:r w:rsidRPr="00913654">
          <w:t>Tasmania</w:t>
        </w:r>
      </w:smartTag>
      <w:r w:rsidRPr="00913654">
        <w:t xml:space="preserve">, the ACT and the NT are not published separately (due to private hospital confidentiality arrangements) but are included in the total for </w:t>
      </w:r>
      <w:smartTag w:uri="urn:schemas-microsoft-com:office:smarttags" w:element="place">
        <w:smartTag w:uri="urn:schemas-microsoft-com:office:smarttags" w:element="country-region">
          <w:r w:rsidRPr="00913654">
            <w:t>Australia</w:t>
          </w:r>
        </w:smartTag>
      </w:smartTag>
      <w:r w:rsidR="00A835CE" w:rsidRPr="00913654">
        <w:t>.</w:t>
      </w:r>
    </w:p>
    <w:p w:rsidR="003E2B93" w:rsidRPr="00913654" w:rsidRDefault="003E2B93" w:rsidP="00422382">
      <w:pPr>
        <w:pStyle w:val="Source"/>
      </w:pPr>
      <w:r w:rsidRPr="00913654">
        <w:rPr>
          <w:i/>
        </w:rPr>
        <w:t>Source</w:t>
      </w:r>
      <w:r w:rsidRPr="00913654">
        <w:t xml:space="preserve">: AIHW (unpublished) </w:t>
      </w:r>
      <w:r w:rsidR="001317DC" w:rsidRPr="00913654">
        <w:t>National Hospital Morbidity Database</w:t>
      </w:r>
      <w:r w:rsidRPr="00913654">
        <w:t>; table</w:t>
      </w:r>
      <w:r w:rsidR="00AE4837" w:rsidRPr="00913654">
        <w:t> </w:t>
      </w:r>
      <w:r w:rsidR="00512F00">
        <w:t>11A.10</w:t>
      </w:r>
      <w:r w:rsidR="003B3CD1">
        <w:t>3</w:t>
      </w:r>
      <w:r w:rsidRPr="00913654">
        <w:t>.</w:t>
      </w:r>
    </w:p>
    <w:p w:rsidR="001F4383" w:rsidRPr="00913654" w:rsidRDefault="003E2B93" w:rsidP="00422382">
      <w:pPr>
        <w:pStyle w:val="BodyText"/>
      </w:pPr>
      <w:r w:rsidRPr="00913654">
        <w:t>Age standardised hospital separation ratios for diabetes</w:t>
      </w:r>
      <w:r w:rsidR="001D3BF1" w:rsidRPr="00913654">
        <w:t xml:space="preserve"> (</w:t>
      </w:r>
      <w:r w:rsidR="00083B97" w:rsidRPr="00913654">
        <w:t xml:space="preserve">excluding separations for </w:t>
      </w:r>
      <w:r w:rsidR="001D3BF1" w:rsidRPr="00913654">
        <w:t>diabetes complications as an additional diagnosis)</w:t>
      </w:r>
      <w:r w:rsidRPr="00913654">
        <w:t xml:space="preserve"> illustrate differences between the rate of hospital admissions for </w:t>
      </w:r>
      <w:r w:rsidR="006E4E2B">
        <w:t>Indigenous Australians</w:t>
      </w:r>
      <w:r w:rsidRPr="00913654">
        <w:t xml:space="preserve"> and that for all Australians, taking into account differences in the age structures of the two populations. </w:t>
      </w:r>
      <w:r w:rsidR="00270557" w:rsidRPr="00913654">
        <w:t xml:space="preserve">Rate ratios close to one indicate that </w:t>
      </w:r>
      <w:r w:rsidR="006E4E2B">
        <w:t>Indigenous Australians</w:t>
      </w:r>
      <w:r w:rsidR="00270557" w:rsidRPr="00913654">
        <w:t xml:space="preserve"> have similar separation rates to all people, while higher rate ratios indicate relative disadvantage. </w:t>
      </w:r>
      <w:r w:rsidR="001F4383" w:rsidRPr="00913654">
        <w:t>A reduction in the gap in hospital separation rates between Indigenous and all people can indicate greater equity of access to primary healthcare services.</w:t>
      </w:r>
    </w:p>
    <w:p w:rsidR="00931CC9" w:rsidRPr="00931CC9" w:rsidRDefault="005C3FC1" w:rsidP="00931CC9">
      <w:pPr>
        <w:pStyle w:val="BodyText"/>
      </w:pPr>
      <w:r w:rsidRPr="00913654">
        <w:t>T</w:t>
      </w:r>
      <w:r w:rsidR="003E2B93" w:rsidRPr="00913654">
        <w:t>here was a marked difference in</w:t>
      </w:r>
      <w:r w:rsidR="00BA4EA7">
        <w:t xml:space="preserve"> 2011-12</w:t>
      </w:r>
      <w:r w:rsidR="00796740">
        <w:t xml:space="preserve"> </w:t>
      </w:r>
      <w:r w:rsidR="003E2B93" w:rsidRPr="00913654">
        <w:t xml:space="preserve">between the separation rates for </w:t>
      </w:r>
      <w:r w:rsidR="006E4E2B">
        <w:t>Indigenous Australians</w:t>
      </w:r>
      <w:r w:rsidR="003E2B93" w:rsidRPr="00913654">
        <w:t xml:space="preserve"> and those for the total po</w:t>
      </w:r>
      <w:r w:rsidR="007C1EA8">
        <w:t>pulation for diabetes diagnoses</w:t>
      </w:r>
      <w:r w:rsidR="003E2B93" w:rsidRPr="00913654">
        <w:t xml:space="preserve"> (figure</w:t>
      </w:r>
      <w:r w:rsidR="00AE4837" w:rsidRPr="00913654">
        <w:t> </w:t>
      </w:r>
      <w:r w:rsidR="004362F1">
        <w:t>11.5</w:t>
      </w:r>
      <w:r w:rsidR="00CA25A8">
        <w:t>4</w:t>
      </w:r>
      <w:r w:rsidR="003E2B93" w:rsidRPr="00913654">
        <w:t>).</w:t>
      </w:r>
    </w:p>
    <w:p w:rsidR="003E2B93" w:rsidRPr="00913654" w:rsidRDefault="003E2B93" w:rsidP="00422382">
      <w:pPr>
        <w:pStyle w:val="FigureTitle"/>
        <w:ind w:left="1560" w:hanging="1560"/>
      </w:pPr>
      <w:r w:rsidRPr="00913654">
        <w:rPr>
          <w:b w:val="0"/>
        </w:rPr>
        <w:lastRenderedPageBreak/>
        <w:t xml:space="preserve">Figure </w:t>
      </w:r>
      <w:bookmarkStart w:id="75" w:name="OLE_LINK65"/>
      <w:r w:rsidR="00EC42DB" w:rsidRPr="00913654">
        <w:rPr>
          <w:b w:val="0"/>
        </w:rPr>
        <w:t>11.</w:t>
      </w:r>
      <w:r w:rsidR="00C44281">
        <w:rPr>
          <w:b w:val="0"/>
          <w:noProof/>
        </w:rPr>
        <w:t>5</w:t>
      </w:r>
      <w:bookmarkEnd w:id="75"/>
      <w:r w:rsidR="00CA25A8">
        <w:rPr>
          <w:b w:val="0"/>
          <w:noProof/>
        </w:rPr>
        <w:t>4</w:t>
      </w:r>
      <w:r w:rsidRPr="00913654">
        <w:rPr>
          <w:b w:val="0"/>
        </w:rPr>
        <w:tab/>
      </w:r>
      <w:r w:rsidRPr="00913654">
        <w:t xml:space="preserve">Ratio of separation rates of </w:t>
      </w:r>
      <w:r w:rsidR="006E4E2B">
        <w:t>Indigenous Australians</w:t>
      </w:r>
      <w:r w:rsidRPr="00913654">
        <w:t xml:space="preserve"> to all people for diabetes,</w:t>
      </w:r>
      <w:r w:rsidRPr="00BA4EA7">
        <w:t xml:space="preserve"> </w:t>
      </w:r>
      <w:r w:rsidR="00796740" w:rsidRPr="00BA4EA7">
        <w:t>201</w:t>
      </w:r>
      <w:r w:rsidR="00BA4EA7" w:rsidRPr="00BA4EA7">
        <w:t>1</w:t>
      </w:r>
      <w:r w:rsidR="00796740" w:rsidRPr="00BA4EA7">
        <w:t>-1</w:t>
      </w:r>
      <w:r w:rsidR="00BA4EA7" w:rsidRPr="00BA4EA7">
        <w:t>2</w:t>
      </w:r>
      <w:r w:rsidRPr="00BA4EA7">
        <w:rPr>
          <w:rStyle w:val="NoteLabel"/>
          <w:b/>
        </w:rPr>
        <w:t>a</w:t>
      </w:r>
      <w:r w:rsidR="00734A8E">
        <w:rPr>
          <w:rStyle w:val="NoteLabel"/>
          <w:b/>
        </w:rPr>
        <w:t>,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2B93" w:rsidRPr="00913654" w:rsidTr="006B1634">
        <w:tc>
          <w:tcPr>
            <w:tcW w:w="8777" w:type="dxa"/>
            <w:tcBorders>
              <w:top w:val="single" w:sz="6" w:space="0" w:color="auto"/>
              <w:bottom w:val="single" w:sz="6" w:space="0" w:color="auto"/>
              <w:right w:val="nil"/>
            </w:tcBorders>
          </w:tcPr>
          <w:p w:rsidR="003E2B93" w:rsidRPr="00913654" w:rsidRDefault="00C315E2" w:rsidP="00422382">
            <w:pPr>
              <w:pStyle w:val="Figure"/>
            </w:pPr>
            <w:r>
              <w:rPr>
                <w:noProof/>
              </w:rPr>
              <w:drawing>
                <wp:inline distT="0" distB="0" distL="0" distR="0">
                  <wp:extent cx="5389880" cy="2861310"/>
                  <wp:effectExtent l="0" t="0" r="1270" b="0"/>
                  <wp:docPr id="59" name="Picture 59" descr="Figure 11.54 Ratio of separation rates of Indigenous Australians to all people for diabet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3E2B93" w:rsidRPr="00913654" w:rsidRDefault="003E2B93" w:rsidP="00FF29F4">
      <w:pPr>
        <w:pStyle w:val="Note"/>
      </w:pPr>
      <w:r w:rsidRPr="00913654">
        <w:rPr>
          <w:rStyle w:val="NoteLabel"/>
        </w:rPr>
        <w:t>a</w:t>
      </w:r>
      <w:r w:rsidRPr="00913654">
        <w:t xml:space="preserve"> </w:t>
      </w:r>
      <w:r w:rsidR="00FF29F4" w:rsidRPr="00913654">
        <w:t xml:space="preserve">Excludes separations with diabetes complications as an additional diagnosis. </w:t>
      </w:r>
      <w:r w:rsidR="00FF29F4" w:rsidRPr="00913654">
        <w:rPr>
          <w:rStyle w:val="NoteLabel"/>
        </w:rPr>
        <w:t>b</w:t>
      </w:r>
      <w:r w:rsidR="00155441" w:rsidRPr="00913654">
        <w:t> </w:t>
      </w:r>
      <w:r w:rsidRPr="00913654">
        <w:t xml:space="preserve">Ratios are directly age standardised to the Australian population at 30 June 2001. </w:t>
      </w:r>
      <w:r w:rsidR="00FF29F4" w:rsidRPr="00913654">
        <w:rPr>
          <w:rStyle w:val="NoteLabel"/>
        </w:rPr>
        <w:t>c</w:t>
      </w:r>
      <w:r w:rsidR="00155441" w:rsidRPr="00913654">
        <w:t> </w:t>
      </w:r>
      <w:r w:rsidR="007341AD">
        <w:t>S</w:t>
      </w:r>
      <w:r w:rsidRPr="00913654">
        <w:t xml:space="preserve">eparation rates are based on state of </w:t>
      </w:r>
      <w:r w:rsidR="00D55708" w:rsidRPr="00913654">
        <w:t>usual residence.</w:t>
      </w:r>
      <w:r w:rsidR="007341AD">
        <w:t xml:space="preserve"> </w:t>
      </w:r>
      <w:r w:rsidRPr="00913654">
        <w:rPr>
          <w:rStyle w:val="NoteLabel"/>
        </w:rPr>
        <w:t>d</w:t>
      </w:r>
      <w:r w:rsidRPr="00913654">
        <w:t xml:space="preserve"> Patients aged 75 years </w:t>
      </w:r>
      <w:r w:rsidR="00FF29F4" w:rsidRPr="00913654">
        <w:t>or</w:t>
      </w:r>
      <w:r w:rsidRPr="00913654">
        <w:t xml:space="preserve"> over are excluded. </w:t>
      </w:r>
      <w:r w:rsidRPr="00913654">
        <w:rPr>
          <w:rStyle w:val="NoteLabel"/>
        </w:rPr>
        <w:t>e</w:t>
      </w:r>
      <w:r w:rsidRPr="00913654">
        <w:t xml:space="preserve"> Caution should be used in the interpretation of these data because of jurisdictional differences in data quality. </w:t>
      </w:r>
      <w:r w:rsidRPr="00913654">
        <w:rPr>
          <w:rStyle w:val="NoteLabel"/>
        </w:rPr>
        <w:t>f</w:t>
      </w:r>
      <w:r w:rsidRPr="00913654">
        <w:t> NT data are for public hospitals only.</w:t>
      </w:r>
    </w:p>
    <w:p w:rsidR="003E2B93" w:rsidRPr="00913654" w:rsidRDefault="003E2B93" w:rsidP="00422382">
      <w:pPr>
        <w:pStyle w:val="Source"/>
      </w:pPr>
      <w:r w:rsidRPr="00913654">
        <w:rPr>
          <w:i/>
        </w:rPr>
        <w:t>Source</w:t>
      </w:r>
      <w:r w:rsidRPr="00913654">
        <w:t>: AIHW (unpublished</w:t>
      </w:r>
      <w:r w:rsidR="001535A3" w:rsidRPr="00913654">
        <w:t>)</w:t>
      </w:r>
      <w:r w:rsidRPr="00913654">
        <w:t xml:space="preserve"> </w:t>
      </w:r>
      <w:r w:rsidR="001317DC" w:rsidRPr="00913654">
        <w:t>National Hospital Morbidity Database</w:t>
      </w:r>
      <w:r w:rsidRPr="00913654">
        <w:t>; table</w:t>
      </w:r>
      <w:r w:rsidR="00273E27" w:rsidRPr="00913654">
        <w:t> </w:t>
      </w:r>
      <w:r w:rsidR="003B3CD1">
        <w:t>11A.100</w:t>
      </w:r>
      <w:r w:rsidRPr="00913654">
        <w:t>.</w:t>
      </w:r>
    </w:p>
    <w:p w:rsidR="003E2B93" w:rsidRPr="00913654" w:rsidRDefault="003312CF" w:rsidP="00422382">
      <w:pPr>
        <w:pStyle w:val="Heading5"/>
      </w:pPr>
      <w:r w:rsidRPr="00913654">
        <w:t>Potentially preventable h</w:t>
      </w:r>
      <w:r w:rsidR="003E2B93" w:rsidRPr="00913654">
        <w:t>ospitalisations of older people for falls</w:t>
      </w:r>
    </w:p>
    <w:p w:rsidR="003E2B93" w:rsidRDefault="004B3804" w:rsidP="00944E91">
      <w:pPr>
        <w:pStyle w:val="BodyText"/>
      </w:pPr>
      <w:r>
        <w:t>For people over 65 years, i</w:t>
      </w:r>
      <w:r w:rsidR="00553D08">
        <w:t xml:space="preserve">njurious falls </w:t>
      </w:r>
      <w:r>
        <w:t>accounted for one in ten days spent in hospital in 200</w:t>
      </w:r>
      <w:r w:rsidR="006773EF">
        <w:t>9</w:t>
      </w:r>
      <w:r>
        <w:t>-</w:t>
      </w:r>
      <w:r w:rsidR="006773EF">
        <w:t>10</w:t>
      </w:r>
      <w:r>
        <w:t xml:space="preserve"> (</w:t>
      </w:r>
      <w:r w:rsidR="006773EF" w:rsidRPr="006773EF">
        <w:t>Bradley 2013</w:t>
      </w:r>
      <w:r w:rsidR="006773EF">
        <w:t>)</w:t>
      </w:r>
      <w:r>
        <w:t xml:space="preserve">. </w:t>
      </w:r>
      <w:r w:rsidR="00AF0898" w:rsidRPr="00913654">
        <w:t xml:space="preserve">The number of hospital separations for older people with a reported external cause of falls per 1000 older people, adjusted to take account of differences in State and </w:t>
      </w:r>
      <w:r w:rsidR="00AF0898" w:rsidRPr="006773EF">
        <w:t>Territory age distributions,</w:t>
      </w:r>
      <w:r w:rsidR="00796740" w:rsidRPr="006773EF">
        <w:t xml:space="preserve"> increased in the period </w:t>
      </w:r>
      <w:r w:rsidR="006773EF" w:rsidRPr="006773EF">
        <w:t>2007</w:t>
      </w:r>
      <w:r w:rsidR="00AB0D16" w:rsidRPr="006773EF">
        <w:t>-0</w:t>
      </w:r>
      <w:r w:rsidR="006773EF" w:rsidRPr="006773EF">
        <w:t>8</w:t>
      </w:r>
      <w:r w:rsidR="00AB0D16" w:rsidRPr="006773EF">
        <w:t xml:space="preserve"> to </w:t>
      </w:r>
      <w:r w:rsidR="00796740" w:rsidRPr="006773EF">
        <w:t>201</w:t>
      </w:r>
      <w:r w:rsidR="006773EF" w:rsidRPr="006773EF">
        <w:t>1</w:t>
      </w:r>
      <w:r w:rsidR="00796740" w:rsidRPr="006773EF">
        <w:t>-1</w:t>
      </w:r>
      <w:r w:rsidR="006773EF" w:rsidRPr="006773EF">
        <w:t>2</w:t>
      </w:r>
      <w:r w:rsidR="00AB0D16" w:rsidRPr="006773EF">
        <w:t xml:space="preserve"> in</w:t>
      </w:r>
      <w:r w:rsidR="003E2B93" w:rsidRPr="006773EF">
        <w:t xml:space="preserve"> </w:t>
      </w:r>
      <w:r w:rsidR="006D4F6D" w:rsidRPr="006773EF">
        <w:t>most</w:t>
      </w:r>
      <w:r w:rsidR="003E2B93" w:rsidRPr="006773EF">
        <w:t xml:space="preserve"> jurisdictions (figure</w:t>
      </w:r>
      <w:r w:rsidR="00273E27" w:rsidRPr="00913654">
        <w:t> </w:t>
      </w:r>
      <w:r w:rsidR="00A77550" w:rsidRPr="00913654">
        <w:t>11.</w:t>
      </w:r>
      <w:r w:rsidR="005B62C9" w:rsidRPr="00913654">
        <w:t>5</w:t>
      </w:r>
      <w:r w:rsidR="00CA25A8">
        <w:t>5</w:t>
      </w:r>
      <w:r w:rsidR="00BB46BE">
        <w:t>).</w:t>
      </w:r>
    </w:p>
    <w:p w:rsidR="003E2B93" w:rsidRPr="00913654" w:rsidRDefault="003E2B93" w:rsidP="00422382">
      <w:pPr>
        <w:pStyle w:val="FigureTitle"/>
        <w:ind w:left="1560" w:hanging="1560"/>
      </w:pPr>
      <w:r w:rsidRPr="00913654">
        <w:rPr>
          <w:b w:val="0"/>
        </w:rPr>
        <w:lastRenderedPageBreak/>
        <w:t xml:space="preserve">Figure </w:t>
      </w:r>
      <w:bookmarkStart w:id="76" w:name="OLE_LINK66"/>
      <w:r w:rsidR="00EC42DB" w:rsidRPr="00913654">
        <w:rPr>
          <w:b w:val="0"/>
        </w:rPr>
        <w:t>11.</w:t>
      </w:r>
      <w:r w:rsidR="00C44281">
        <w:rPr>
          <w:b w:val="0"/>
          <w:noProof/>
        </w:rPr>
        <w:t>5</w:t>
      </w:r>
      <w:bookmarkEnd w:id="76"/>
      <w:r w:rsidR="00CA25A8">
        <w:rPr>
          <w:b w:val="0"/>
          <w:noProof/>
        </w:rPr>
        <w:t>5</w:t>
      </w:r>
      <w:r w:rsidRPr="00913654">
        <w:tab/>
        <w:t>Separations for older people with a reported external cause of falls</w:t>
      </w:r>
      <w:r w:rsidR="0062491F" w:rsidRPr="00913654">
        <w:rPr>
          <w:rStyle w:val="NoteLabel"/>
          <w:b/>
        </w:rPr>
        <w:t>a, b</w:t>
      </w:r>
      <w:r w:rsidR="00B61F48" w:rsidRPr="00913654">
        <w:rPr>
          <w:rStyle w:val="NoteLabel"/>
          <w:b/>
        </w:rPr>
        <w:t>, c</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2B93" w:rsidRPr="00913654" w:rsidTr="003E2B93">
        <w:tc>
          <w:tcPr>
            <w:tcW w:w="8777" w:type="dxa"/>
          </w:tcPr>
          <w:p w:rsidR="003E2B93" w:rsidRPr="00913654" w:rsidRDefault="00C315E2" w:rsidP="00422382">
            <w:pPr>
              <w:pStyle w:val="Figure"/>
            </w:pPr>
            <w:r>
              <w:rPr>
                <w:noProof/>
              </w:rPr>
              <w:drawing>
                <wp:inline distT="0" distB="0" distL="0" distR="0">
                  <wp:extent cx="5368290" cy="2710815"/>
                  <wp:effectExtent l="0" t="0" r="3810" b="0"/>
                  <wp:docPr id="60" name="Picture 60" descr="Figure 11.55 Separations for older people with a reported external cause of fal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3E2B93" w:rsidRPr="00913654" w:rsidRDefault="003E2B93" w:rsidP="00A73D31">
      <w:pPr>
        <w:pStyle w:val="Note"/>
        <w:keepNext/>
      </w:pPr>
      <w:r w:rsidRPr="00913654">
        <w:rPr>
          <w:rStyle w:val="NoteLabel"/>
        </w:rPr>
        <w:t>a</w:t>
      </w:r>
      <w:r w:rsidRPr="00913654">
        <w:sym w:font="Symbol" w:char="F020"/>
      </w:r>
      <w:r w:rsidRPr="00913654">
        <w:t>Older people are defined as people aged 65 years or over.</w:t>
      </w:r>
      <w:r w:rsidRPr="00913654">
        <w:rPr>
          <w:rStyle w:val="NoteLabel"/>
        </w:rPr>
        <w:t xml:space="preserve"> b</w:t>
      </w:r>
      <w:r w:rsidR="006E49E7" w:rsidRPr="00913654">
        <w:t> </w:t>
      </w:r>
      <w:r w:rsidR="006122F3" w:rsidRPr="00913654">
        <w:t>Separation rates are age standardised to the</w:t>
      </w:r>
      <w:r w:rsidR="00041695" w:rsidRPr="00913654">
        <w:t xml:space="preserve"> Australian </w:t>
      </w:r>
      <w:r w:rsidR="006122F3" w:rsidRPr="00913654">
        <w:t xml:space="preserve">population </w:t>
      </w:r>
      <w:r w:rsidR="00041695" w:rsidRPr="00913654">
        <w:t xml:space="preserve">aged </w:t>
      </w:r>
      <w:r w:rsidR="006122F3" w:rsidRPr="00913654">
        <w:t xml:space="preserve">65 years </w:t>
      </w:r>
      <w:r w:rsidR="00230C7E" w:rsidRPr="00913654">
        <w:t>or</w:t>
      </w:r>
      <w:r w:rsidR="006122F3" w:rsidRPr="00913654">
        <w:t xml:space="preserve"> over </w:t>
      </w:r>
      <w:r w:rsidR="006122F3" w:rsidRPr="00931CC9">
        <w:t>at 30 June 2001.</w:t>
      </w:r>
      <w:r w:rsidR="00B61F48" w:rsidRPr="00931CC9">
        <w:t xml:space="preserve"> </w:t>
      </w:r>
      <w:r w:rsidR="00B61F48" w:rsidRPr="00931CC9">
        <w:rPr>
          <w:rStyle w:val="NoteLabel"/>
        </w:rPr>
        <w:t>c</w:t>
      </w:r>
      <w:r w:rsidR="006E49E7" w:rsidRPr="00931CC9">
        <w:t> </w:t>
      </w:r>
      <w:r w:rsidR="00B61F48" w:rsidRPr="00931CC9">
        <w:t xml:space="preserve">Excludes separations records for </w:t>
      </w:r>
      <w:r w:rsidR="001C5697" w:rsidRPr="00931CC9">
        <w:t>h</w:t>
      </w:r>
      <w:r w:rsidR="00B61F48" w:rsidRPr="00931CC9">
        <w:t xml:space="preserve">ospital </w:t>
      </w:r>
      <w:r w:rsidR="001C5697" w:rsidRPr="00931CC9">
        <w:t>b</w:t>
      </w:r>
      <w:r w:rsidR="00B61F48" w:rsidRPr="00931CC9">
        <w:t xml:space="preserve">oarders and </w:t>
      </w:r>
      <w:r w:rsidR="001C5697" w:rsidRPr="00931CC9">
        <w:t>p</w:t>
      </w:r>
      <w:r w:rsidR="00B61F48" w:rsidRPr="00931CC9">
        <w:t>osthumous organ procurement.</w:t>
      </w:r>
      <w:r w:rsidR="00635CF4" w:rsidRPr="00931CC9">
        <w:t xml:space="preserve"> </w:t>
      </w:r>
      <w:r w:rsidR="00635CF4" w:rsidRPr="00931CC9">
        <w:rPr>
          <w:rStyle w:val="NoteLabel"/>
        </w:rPr>
        <w:t>d</w:t>
      </w:r>
      <w:r w:rsidR="00635CF4" w:rsidRPr="00931CC9">
        <w:t xml:space="preserve"> Data are </w:t>
      </w:r>
      <w:r w:rsidR="00635CF4" w:rsidRPr="00A73D31">
        <w:t xml:space="preserve">not </w:t>
      </w:r>
      <w:r w:rsidR="00CC55BB" w:rsidRPr="00A73D31">
        <w:t>available</w:t>
      </w:r>
      <w:r w:rsidR="00635CF4" w:rsidRPr="00931CC9">
        <w:t xml:space="preserve"> for the NT for 2010-11.</w:t>
      </w:r>
    </w:p>
    <w:p w:rsidR="003E2B93" w:rsidRPr="00F459BD" w:rsidRDefault="003E2B93" w:rsidP="00422382">
      <w:pPr>
        <w:pStyle w:val="Source"/>
      </w:pPr>
      <w:r w:rsidRPr="00913654">
        <w:rPr>
          <w:i/>
        </w:rPr>
        <w:t>Source</w:t>
      </w:r>
      <w:r w:rsidRPr="00913654">
        <w:t xml:space="preserve">: AIHW (unpublished) </w:t>
      </w:r>
      <w:r w:rsidR="001317DC" w:rsidRPr="00913654">
        <w:t>National Hospital Morbidity Database</w:t>
      </w:r>
      <w:r w:rsidR="00273E27" w:rsidRPr="00913654">
        <w:t>; table </w:t>
      </w:r>
      <w:r w:rsidR="007A321A">
        <w:t>11A.</w:t>
      </w:r>
      <w:r w:rsidR="008A25EA">
        <w:t>10</w:t>
      </w:r>
      <w:r w:rsidR="003B3CD1">
        <w:t>4</w:t>
      </w:r>
      <w:r w:rsidRPr="00913654">
        <w:t>.</w:t>
      </w:r>
    </w:p>
    <w:p w:rsidR="00842FB6" w:rsidRPr="00F459BD" w:rsidRDefault="00EC42DB" w:rsidP="00842FB6">
      <w:pPr>
        <w:pStyle w:val="Heading2"/>
      </w:pPr>
      <w:bookmarkStart w:id="77" w:name="_Toc208034414"/>
      <w:bookmarkStart w:id="78" w:name="_Toc274941102"/>
      <w:r w:rsidRPr="00F459BD">
        <w:t>11.</w:t>
      </w:r>
      <w:r w:rsidR="00C44281">
        <w:rPr>
          <w:noProof/>
        </w:rPr>
        <w:t>4</w:t>
      </w:r>
      <w:r w:rsidR="003D3E53" w:rsidRPr="00F459BD">
        <w:tab/>
      </w:r>
      <w:r w:rsidR="00842FB6" w:rsidRPr="00F459BD">
        <w:t>Future directions in performance reporting</w:t>
      </w:r>
      <w:bookmarkEnd w:id="77"/>
      <w:bookmarkEnd w:id="78"/>
    </w:p>
    <w:p w:rsidR="005641C7" w:rsidRPr="00F459BD" w:rsidRDefault="003528B2" w:rsidP="00931CC9">
      <w:pPr>
        <w:pStyle w:val="BodyText"/>
      </w:pPr>
      <w:r w:rsidRPr="00F459BD">
        <w:t>T</w:t>
      </w:r>
      <w:r w:rsidR="00842FB6" w:rsidRPr="00F459BD">
        <w:t>he topic of this chapter is all primary and community health services</w:t>
      </w:r>
      <w:r w:rsidRPr="00F459BD">
        <w:t>. However,</w:t>
      </w:r>
      <w:r w:rsidR="00842FB6" w:rsidRPr="00F459BD">
        <w:t xml:space="preserve"> the indicators remain heavily focused on general practice services. This partly reflects the lack of </w:t>
      </w:r>
      <w:r w:rsidR="00DE346E" w:rsidRPr="00F459BD">
        <w:t xml:space="preserve">nationally consistent </w:t>
      </w:r>
      <w:r w:rsidR="00842FB6" w:rsidRPr="00F459BD">
        <w:t xml:space="preserve">data available to report </w:t>
      </w:r>
      <w:r w:rsidR="00DE346E" w:rsidRPr="00F459BD">
        <w:t xml:space="preserve">potential </w:t>
      </w:r>
      <w:r w:rsidR="00842FB6" w:rsidRPr="00F459BD">
        <w:t xml:space="preserve">indicators for other primary and community health services. </w:t>
      </w:r>
      <w:r w:rsidR="00922CF5" w:rsidRPr="00817268">
        <w:t xml:space="preserve">Allied health professional workforce data are anticipated to be available for the 2015 Report </w:t>
      </w:r>
      <w:r w:rsidR="00994B77" w:rsidRPr="00817268">
        <w:t>from the new</w:t>
      </w:r>
      <w:r w:rsidR="00922CF5" w:rsidRPr="00817268">
        <w:t xml:space="preserve"> </w:t>
      </w:r>
      <w:r w:rsidR="007A60DC" w:rsidRPr="00817268">
        <w:t>National Regis</w:t>
      </w:r>
      <w:r w:rsidR="00C90C2B">
        <w:t xml:space="preserve">tration and Accreditation Scheme. </w:t>
      </w:r>
      <w:r w:rsidR="005641C7" w:rsidRPr="00F459BD">
        <w:t>Priorities for future reporting on primary and community health services include:</w:t>
      </w:r>
    </w:p>
    <w:p w:rsidR="002A4BFF" w:rsidRDefault="00922CF5" w:rsidP="00931CC9">
      <w:pPr>
        <w:pStyle w:val="ListBullet"/>
      </w:pPr>
      <w:r>
        <w:t xml:space="preserve">further </w:t>
      </w:r>
      <w:r w:rsidR="003435C5" w:rsidRPr="00F459BD">
        <w:t>i</w:t>
      </w:r>
      <w:r w:rsidR="005641C7" w:rsidRPr="00F459BD">
        <w:t xml:space="preserve">mproving the reporting of </w:t>
      </w:r>
      <w:r w:rsidR="00E97530">
        <w:t xml:space="preserve">public </w:t>
      </w:r>
      <w:r w:rsidR="00842FB6" w:rsidRPr="00F459BD">
        <w:t>dental health services</w:t>
      </w:r>
    </w:p>
    <w:p w:rsidR="00842FB6" w:rsidRPr="00F459BD" w:rsidRDefault="005641C7" w:rsidP="00CA3C2D">
      <w:pPr>
        <w:pStyle w:val="ListBullet"/>
      </w:pPr>
      <w:r w:rsidRPr="00F459BD">
        <w:t xml:space="preserve">reporting of </w:t>
      </w:r>
      <w:r w:rsidR="00842FB6" w:rsidRPr="00F459BD">
        <w:t>community-based drug</w:t>
      </w:r>
      <w:r w:rsidR="00EF4580" w:rsidRPr="00F459BD">
        <w:t xml:space="preserve"> and alcohol treatment services</w:t>
      </w:r>
    </w:p>
    <w:p w:rsidR="00842FB6" w:rsidRPr="00F459BD" w:rsidRDefault="005641C7" w:rsidP="00CA3C2D">
      <w:pPr>
        <w:pStyle w:val="ListBullet"/>
      </w:pPr>
      <w:r w:rsidRPr="00F459BD">
        <w:t xml:space="preserve">reporting of </w:t>
      </w:r>
      <w:r w:rsidR="00842FB6" w:rsidRPr="00F459BD">
        <w:t>additional indicators relating to the use of the MBS chronic disease management items</w:t>
      </w:r>
      <w:r w:rsidR="000655E3">
        <w:t>.</w:t>
      </w:r>
    </w:p>
    <w:p w:rsidR="00842FB6" w:rsidRPr="00F459BD" w:rsidRDefault="00842FB6" w:rsidP="00842FB6">
      <w:pPr>
        <w:pStyle w:val="BodyText"/>
      </w:pPr>
      <w:r w:rsidRPr="00F459BD">
        <w:t xml:space="preserve">The scope of this chapter </w:t>
      </w:r>
      <w:r w:rsidR="0050301F" w:rsidRPr="00F459BD">
        <w:t>can</w:t>
      </w:r>
      <w:r w:rsidRPr="00F459BD">
        <w:t xml:space="preserve"> also be further refined to ensure the most appropriate reporting of primary health services against the Review’s terms of reference and reporting framework (see chapter 1).</w:t>
      </w:r>
    </w:p>
    <w:p w:rsidR="00842FB6" w:rsidRPr="00F459BD" w:rsidRDefault="00842FB6" w:rsidP="00842FB6">
      <w:pPr>
        <w:pStyle w:val="Heading3"/>
      </w:pPr>
      <w:r w:rsidRPr="00F459BD">
        <w:lastRenderedPageBreak/>
        <w:t>Indigenous health</w:t>
      </w:r>
    </w:p>
    <w:p w:rsidR="00842FB6" w:rsidRPr="00F459BD" w:rsidRDefault="00842FB6" w:rsidP="00FC5304">
      <w:pPr>
        <w:pStyle w:val="BodyText"/>
      </w:pPr>
      <w:r w:rsidRPr="00F459BD">
        <w:t xml:space="preserve">Barriers to accessing primary health services contribute to the poorer health status of </w:t>
      </w:r>
      <w:r w:rsidR="006E4E2B">
        <w:t>Indigenous Australians</w:t>
      </w:r>
      <w:r w:rsidRPr="00F459BD">
        <w:t xml:space="preserve"> compared to other Australians (see the Health </w:t>
      </w:r>
      <w:r w:rsidR="00812F55" w:rsidRPr="00F459BD">
        <w:t xml:space="preserve">sector </w:t>
      </w:r>
      <w:r w:rsidR="00BE32CE">
        <w:t>overview</w:t>
      </w:r>
      <w:r w:rsidRPr="00F459BD">
        <w:t xml:space="preserve">). </w:t>
      </w:r>
      <w:r w:rsidR="00661DD5" w:rsidRPr="00F459BD">
        <w:t>T</w:t>
      </w:r>
      <w:r w:rsidRPr="00F459BD">
        <w:t xml:space="preserve">he Steering Committee has identified primary and community health services for </w:t>
      </w:r>
      <w:r w:rsidR="006E4E2B">
        <w:t>Indigenous Australians</w:t>
      </w:r>
      <w:r w:rsidRPr="00F459BD">
        <w:t xml:space="preserve"> as a priority area for future</w:t>
      </w:r>
      <w:r w:rsidR="00ED481B" w:rsidRPr="00F459BD">
        <w:t xml:space="preserve"> reporting</w:t>
      </w:r>
      <w:r w:rsidRPr="00F459BD">
        <w:t xml:space="preserve"> </w:t>
      </w:r>
      <w:r w:rsidR="00ED481B" w:rsidRPr="00F459BD">
        <w:t>and</w:t>
      </w:r>
      <w:r w:rsidRPr="00F459BD">
        <w:t xml:space="preserve"> will continue to examine options for the inclusion of further such indicators. The Aboriginal and Torres Strait Islander Health Performance Framework developed under the auspices of the Australian Health Ministers’ Advisory Council will inform the selection of future indicators of primary and community healt</w:t>
      </w:r>
      <w:r w:rsidR="00F56E59">
        <w:t>h services f</w:t>
      </w:r>
      <w:r w:rsidR="00C35A08" w:rsidRPr="00F459BD">
        <w:t>o</w:t>
      </w:r>
      <w:r w:rsidR="00F56E59">
        <w:t>r</w:t>
      </w:r>
      <w:r w:rsidR="00C35A08" w:rsidRPr="00F459BD">
        <w:t xml:space="preserve"> </w:t>
      </w:r>
      <w:r w:rsidR="006E4E2B">
        <w:t>Indigenous Australians</w:t>
      </w:r>
      <w:r w:rsidR="00C35A08" w:rsidRPr="00F459BD">
        <w:t>.</w:t>
      </w:r>
    </w:p>
    <w:p w:rsidR="000F2298" w:rsidRPr="00F459BD" w:rsidRDefault="004D132B" w:rsidP="00251345">
      <w:pPr>
        <w:pStyle w:val="BodyText"/>
      </w:pPr>
      <w:r w:rsidRPr="00F459BD">
        <w:t>Continued efforts to improve</w:t>
      </w:r>
      <w:r w:rsidR="000F2298">
        <w:t xml:space="preserve"> the</w:t>
      </w:r>
      <w:r w:rsidRPr="00F459BD">
        <w:t xml:space="preserve"> </w:t>
      </w:r>
      <w:r w:rsidR="000F2298" w:rsidRPr="000F2298">
        <w:t>quality of Indigenous data, particularly Indigenous identification and completeness</w:t>
      </w:r>
      <w:r w:rsidR="000F2298">
        <w:t>,</w:t>
      </w:r>
      <w:r w:rsidR="000F2298" w:rsidRPr="000F2298">
        <w:t xml:space="preserve"> </w:t>
      </w:r>
      <w:r w:rsidRPr="00F459BD">
        <w:t>are necessary to better measure the performance of primary and community health services in relation to the health of Indigenous Australians. Work being undertaken by the ABS and AIHW includes an ongoing program to improve identification of Indigenous status in Australian, State and Territory</w:t>
      </w:r>
      <w:r w:rsidR="003A62CF" w:rsidRPr="00F459BD">
        <w:t xml:space="preserve"> government</w:t>
      </w:r>
      <w:r w:rsidR="00812F55" w:rsidRPr="00F459BD">
        <w:t xml:space="preserve"> administrative systems.</w:t>
      </w:r>
    </w:p>
    <w:p w:rsidR="00842FB6" w:rsidRPr="00F459BD" w:rsidRDefault="00EC42DB" w:rsidP="00931CC9">
      <w:pPr>
        <w:pStyle w:val="Heading2"/>
        <w:spacing w:after="240"/>
      </w:pPr>
      <w:bookmarkStart w:id="79" w:name="_Toc208034415"/>
      <w:bookmarkStart w:id="80" w:name="_Toc274941103"/>
      <w:r w:rsidRPr="00F459BD">
        <w:lastRenderedPageBreak/>
        <w:t>11.</w:t>
      </w:r>
      <w:r w:rsidR="00C44281">
        <w:rPr>
          <w:noProof/>
        </w:rPr>
        <w:t>5</w:t>
      </w:r>
      <w:r w:rsidR="003D3E53" w:rsidRPr="00F459BD">
        <w:tab/>
      </w:r>
      <w:r w:rsidR="00842FB6" w:rsidRPr="00F459BD">
        <w:t>Definitions of key terms</w:t>
      </w:r>
      <w:bookmarkEnd w:id="79"/>
      <w:bookmarkEnd w:id="80"/>
    </w:p>
    <w:tbl>
      <w:tblPr>
        <w:tblW w:w="0" w:type="auto"/>
        <w:tblLook w:val="01E0" w:firstRow="1" w:lastRow="1" w:firstColumn="1" w:lastColumn="1" w:noHBand="0" w:noVBand="0"/>
      </w:tblPr>
      <w:tblGrid>
        <w:gridCol w:w="2410"/>
        <w:gridCol w:w="6379"/>
      </w:tblGrid>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Age standardised</w:t>
            </w:r>
          </w:p>
        </w:tc>
        <w:tc>
          <w:tcPr>
            <w:tcW w:w="6379" w:type="dxa"/>
            <w:shd w:val="clear" w:color="auto" w:fill="auto"/>
          </w:tcPr>
          <w:p w:rsidR="00182D9A" w:rsidRPr="00F459BD" w:rsidRDefault="00940ED7" w:rsidP="00E51597">
            <w:pPr>
              <w:pStyle w:val="TableBodyText"/>
              <w:spacing w:before="60" w:after="60"/>
              <w:ind w:left="0"/>
              <w:jc w:val="left"/>
            </w:pPr>
            <w:r w:rsidRPr="00F459BD">
              <w:t>Removing the effect of different age distributions (across jurisdictions or over time) when making comparisons, by weighting the age-specific rates for each jurisdiction by the national age distribution.</w:t>
            </w:r>
          </w:p>
        </w:tc>
      </w:tr>
      <w:tr w:rsidR="003D08DC" w:rsidRPr="00F459BD" w:rsidTr="00E51597">
        <w:tc>
          <w:tcPr>
            <w:tcW w:w="2410" w:type="dxa"/>
            <w:shd w:val="clear" w:color="auto" w:fill="auto"/>
            <w:tcMar>
              <w:left w:w="0" w:type="dxa"/>
            </w:tcMar>
          </w:tcPr>
          <w:p w:rsidR="003D08DC" w:rsidRPr="00F459BD" w:rsidRDefault="003D08DC" w:rsidP="00E51597">
            <w:pPr>
              <w:pStyle w:val="TableBodyText"/>
              <w:spacing w:before="60" w:after="60"/>
              <w:ind w:left="0"/>
              <w:jc w:val="left"/>
            </w:pPr>
            <w:r w:rsidRPr="00F459BD">
              <w:t>Annual cycle of care for people with diabetes mellitus within general practice</w:t>
            </w:r>
          </w:p>
        </w:tc>
        <w:tc>
          <w:tcPr>
            <w:tcW w:w="6379" w:type="dxa"/>
            <w:shd w:val="clear" w:color="auto" w:fill="auto"/>
          </w:tcPr>
          <w:p w:rsidR="0036482D" w:rsidRPr="00F459BD" w:rsidRDefault="003D08DC" w:rsidP="00E51597">
            <w:pPr>
              <w:pStyle w:val="TableBodyText"/>
              <w:spacing w:before="60" w:after="60"/>
              <w:ind w:left="0"/>
              <w:jc w:val="left"/>
            </w:pPr>
            <w:r w:rsidRPr="00F459BD">
              <w:t>The annual cycle of care</w:t>
            </w:r>
            <w:r w:rsidR="00E0697E" w:rsidRPr="00F459BD">
              <w:t xml:space="preserve"> comprises the components of care, delivered over the course of a year, that are minimum requirements for the appropriate</w:t>
            </w:r>
            <w:r w:rsidRPr="00F459BD">
              <w:t xml:space="preserve"> management of diabetes in general practice</w:t>
            </w:r>
            <w:r w:rsidR="00CE6692" w:rsidRPr="00F459BD">
              <w:t>.</w:t>
            </w:r>
            <w:r w:rsidR="00E0697E" w:rsidRPr="00F459BD">
              <w:t xml:space="preserve"> based on RACGP guidelines</w:t>
            </w:r>
            <w:r w:rsidRPr="00F459BD">
              <w:t>.</w:t>
            </w:r>
          </w:p>
          <w:p w:rsidR="003D08DC" w:rsidRPr="00F459BD" w:rsidRDefault="00E0697E" w:rsidP="00E51597">
            <w:pPr>
              <w:pStyle w:val="TableBodyText"/>
              <w:spacing w:before="60" w:after="60"/>
              <w:ind w:left="0"/>
              <w:jc w:val="left"/>
            </w:pPr>
            <w:r w:rsidRPr="00F459BD">
              <w:t xml:space="preserve">MBS items can be claimed on completion of the </w:t>
            </w:r>
            <w:r w:rsidR="0036482D" w:rsidRPr="00F459BD">
              <w:t xml:space="preserve">annual cycle of care according to </w:t>
            </w:r>
            <w:r w:rsidRPr="00F459BD">
              <w:t>MBS requirements</w:t>
            </w:r>
            <w:r w:rsidR="0036482D" w:rsidRPr="00F459BD">
              <w:t xml:space="preserve"> for management,</w:t>
            </w:r>
            <w:r w:rsidRPr="00F459BD">
              <w:t xml:space="preserve"> which are based on but not identical to the RACGP guidelines.</w:t>
            </w:r>
          </w:p>
        </w:tc>
      </w:tr>
      <w:tr w:rsidR="00C4604F" w:rsidRPr="00F459BD" w:rsidTr="00E51597">
        <w:tc>
          <w:tcPr>
            <w:tcW w:w="2410" w:type="dxa"/>
            <w:shd w:val="clear" w:color="auto" w:fill="auto"/>
            <w:tcMar>
              <w:left w:w="0" w:type="dxa"/>
            </w:tcMar>
          </w:tcPr>
          <w:p w:rsidR="00C4604F" w:rsidRPr="00F459BD" w:rsidRDefault="00C4604F" w:rsidP="00E51597">
            <w:pPr>
              <w:pStyle w:val="TableBodyText"/>
              <w:spacing w:before="60" w:after="60"/>
              <w:ind w:left="0"/>
              <w:jc w:val="left"/>
            </w:pPr>
            <w:r w:rsidRPr="00F459BD">
              <w:t>A</w:t>
            </w:r>
            <w:r w:rsidR="00DD7923" w:rsidRPr="00F459BD">
              <w:t xml:space="preserve">sthma </w:t>
            </w:r>
            <w:r w:rsidRPr="00F459BD">
              <w:t>A</w:t>
            </w:r>
            <w:r w:rsidR="00DD7923" w:rsidRPr="00F459BD">
              <w:t xml:space="preserve">ction </w:t>
            </w:r>
            <w:r w:rsidRPr="00F459BD">
              <w:t>P</w:t>
            </w:r>
            <w:r w:rsidR="00DD7923" w:rsidRPr="00F459BD">
              <w:t>lan</w:t>
            </w:r>
            <w:r w:rsidRPr="00F459BD">
              <w:t xml:space="preserve"> </w:t>
            </w:r>
          </w:p>
        </w:tc>
        <w:tc>
          <w:tcPr>
            <w:tcW w:w="6379" w:type="dxa"/>
            <w:shd w:val="clear" w:color="auto" w:fill="auto"/>
          </w:tcPr>
          <w:p w:rsidR="00C4604F" w:rsidRPr="00F459BD" w:rsidRDefault="000B60BA" w:rsidP="00E51597">
            <w:pPr>
              <w:pStyle w:val="TableBodyText"/>
              <w:spacing w:before="60" w:after="60"/>
              <w:jc w:val="left"/>
            </w:pPr>
            <w:r w:rsidRPr="00F459BD">
              <w:t xml:space="preserve">An asthma action plan </w:t>
            </w:r>
            <w:r w:rsidR="0036482D" w:rsidRPr="00F459BD">
              <w:t>is an individualised, written asthma action plan incorporating information on how to recognise the onset of an exacerbation of asthma and information on what action to take in response to that exacerbation, developed in consultation with a health professional.</w:t>
            </w:r>
          </w:p>
          <w:p w:rsidR="0036482D" w:rsidRPr="00F459BD" w:rsidRDefault="0036482D" w:rsidP="00E51597">
            <w:pPr>
              <w:pStyle w:val="TableBodyText"/>
              <w:jc w:val="left"/>
            </w:pPr>
            <w:r w:rsidRPr="00E51597">
              <w:rPr>
                <w:i/>
              </w:rPr>
              <w:t>Source</w:t>
            </w:r>
            <w:r w:rsidRPr="00F459BD">
              <w:t xml:space="preserve">: ACAM (Australian Centre for Asthma Monitoring) 2007, Australian asthma indicators: Five-year review of asthma monitoring in </w:t>
            </w:r>
            <w:smartTag w:uri="urn:schemas-microsoft-com:office:smarttags" w:element="place">
              <w:smartTag w:uri="urn:schemas-microsoft-com:office:smarttags" w:element="country-region">
                <w:r w:rsidRPr="00F459BD">
                  <w:t>Australia</w:t>
                </w:r>
              </w:smartTag>
            </w:smartTag>
            <w:r w:rsidRPr="00F459BD">
              <w:t xml:space="preserve">. Cat. no. ACM 12, AIHW, </w:t>
            </w:r>
            <w:smartTag w:uri="urn:schemas-microsoft-com:office:smarttags" w:element="place">
              <w:smartTag w:uri="urn:schemas-microsoft-com:office:smarttags" w:element="City">
                <w:r w:rsidRPr="00F459BD">
                  <w:t>Canberra</w:t>
                </w:r>
              </w:smartTag>
            </w:smartTag>
            <w:r w:rsidRPr="00F459BD">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Cervical screening rates for target population</w:t>
            </w:r>
          </w:p>
        </w:tc>
        <w:tc>
          <w:tcPr>
            <w:tcW w:w="6379" w:type="dxa"/>
            <w:shd w:val="clear" w:color="auto" w:fill="auto"/>
          </w:tcPr>
          <w:p w:rsidR="00182D9A" w:rsidRPr="00F459BD" w:rsidRDefault="00940ED7" w:rsidP="00E51597">
            <w:pPr>
              <w:pStyle w:val="TableBodyText"/>
              <w:spacing w:before="60" w:after="60"/>
              <w:ind w:left="0"/>
              <w:jc w:val="left"/>
            </w:pPr>
            <w:r w:rsidRPr="00F459BD">
              <w:t xml:space="preserve">Proportion of </w:t>
            </w:r>
            <w:r w:rsidR="0018075C" w:rsidRPr="00F459BD">
              <w:t xml:space="preserve">eligible </w:t>
            </w:r>
            <w:r w:rsidRPr="00F459BD">
              <w:t xml:space="preserve">women aged 20–69 years who are screened for cervical cancer over a </w:t>
            </w:r>
            <w:r w:rsidR="00190A58" w:rsidRPr="00F459BD">
              <w:t>2</w:t>
            </w:r>
            <w:r w:rsidRPr="00F459BD">
              <w:t xml:space="preserve"> year period.</w:t>
            </w:r>
            <w:r w:rsidR="0018075C" w:rsidRPr="00F459BD">
              <w:t xml:space="preserve"> Eligible women are those who have not had a hysterectomy.</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Closed treatment episode</w:t>
            </w:r>
          </w:p>
        </w:tc>
        <w:tc>
          <w:tcPr>
            <w:tcW w:w="6379" w:type="dxa"/>
            <w:shd w:val="clear" w:color="auto" w:fill="auto"/>
          </w:tcPr>
          <w:p w:rsidR="00182D9A" w:rsidRPr="00F459BD" w:rsidRDefault="00940ED7" w:rsidP="00E51597">
            <w:pPr>
              <w:pStyle w:val="TableBodyText"/>
              <w:jc w:val="left"/>
            </w:pPr>
            <w:r w:rsidRPr="00F459BD">
              <w:t xml:space="preserve">A closed treatment episode is a period of contact between a client and an alcohol and other drug treatment agency. It has defined dates of commencement and cessation, during which the principal drug of concern, treatment delivery setting and main treatment type did not change. Reasons for cessation of a treatment episode include treatment completion, and client non-participation in treatment for three months or more. Clients may be involved in more than one closed treatment episode in </w:t>
            </w:r>
            <w:r w:rsidR="00CE6692" w:rsidRPr="00F459BD">
              <w:t>a</w:t>
            </w:r>
            <w:r w:rsidRPr="00F459BD">
              <w:t xml:space="preserve"> data collection period.</w:t>
            </w:r>
          </w:p>
        </w:tc>
      </w:tr>
      <w:tr w:rsidR="00182D9A" w:rsidRPr="00F459BD" w:rsidTr="00E51597">
        <w:trPr>
          <w:trHeight w:val="517"/>
        </w:trPr>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Community health services</w:t>
            </w:r>
          </w:p>
        </w:tc>
        <w:tc>
          <w:tcPr>
            <w:tcW w:w="6379" w:type="dxa"/>
            <w:shd w:val="clear" w:color="auto" w:fill="auto"/>
          </w:tcPr>
          <w:p w:rsidR="00182D9A" w:rsidRPr="00F459BD" w:rsidRDefault="00940ED7" w:rsidP="00E51597">
            <w:pPr>
              <w:pStyle w:val="TableBodyText"/>
              <w:spacing w:before="60" w:after="60"/>
              <w:ind w:left="0"/>
              <w:jc w:val="left"/>
            </w:pPr>
            <w:r w:rsidRPr="00F459BD">
              <w:t>Health services for individuals and groups delivered in a community setting, rather than via hospitals or private facilities.</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Consultations</w:t>
            </w:r>
          </w:p>
        </w:tc>
        <w:tc>
          <w:tcPr>
            <w:tcW w:w="6379" w:type="dxa"/>
            <w:shd w:val="clear" w:color="auto" w:fill="auto"/>
          </w:tcPr>
          <w:p w:rsidR="00E81FE4" w:rsidRPr="00F459BD" w:rsidRDefault="00940ED7" w:rsidP="00E51597">
            <w:pPr>
              <w:pStyle w:val="TableBodyText"/>
              <w:spacing w:before="60" w:after="60"/>
              <w:ind w:left="0"/>
              <w:jc w:val="left"/>
            </w:pPr>
            <w:r w:rsidRPr="00F459BD">
              <w:t>The different types of services provided by GPs</w:t>
            </w:r>
            <w:r w:rsidR="00B06938" w:rsidRPr="00F459BD">
              <w:t>.</w:t>
            </w:r>
          </w:p>
        </w:tc>
      </w:tr>
      <w:tr w:rsidR="00182D9A" w:rsidRPr="00F459BD" w:rsidTr="00A73D31">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Cost to government of general practice per person</w:t>
            </w:r>
          </w:p>
        </w:tc>
        <w:tc>
          <w:tcPr>
            <w:tcW w:w="6379" w:type="dxa"/>
            <w:shd w:val="clear" w:color="auto" w:fill="auto"/>
          </w:tcPr>
          <w:p w:rsidR="00182D9A" w:rsidRPr="00F459BD" w:rsidRDefault="00940ED7" w:rsidP="00E51597">
            <w:pPr>
              <w:pStyle w:val="TableBodyText"/>
              <w:spacing w:before="60" w:after="60"/>
              <w:ind w:left="0"/>
              <w:jc w:val="left"/>
            </w:pPr>
            <w:r w:rsidRPr="00F459BD">
              <w:t>Cost to the Australian Government of total non-referred attendances by non-specialist medical practitioners per person.</w:t>
            </w:r>
          </w:p>
        </w:tc>
      </w:tr>
      <w:tr w:rsidR="00182D9A" w:rsidRPr="00F459BD" w:rsidTr="00A73D31">
        <w:tc>
          <w:tcPr>
            <w:tcW w:w="2410" w:type="dxa"/>
            <w:shd w:val="clear" w:color="auto" w:fill="auto"/>
            <w:tcMar>
              <w:left w:w="0" w:type="dxa"/>
            </w:tcMar>
          </w:tcPr>
          <w:p w:rsidR="00182D9A" w:rsidRPr="004253DB" w:rsidRDefault="00182D9A" w:rsidP="00E51597">
            <w:pPr>
              <w:pStyle w:val="TableBodyText"/>
              <w:spacing w:before="60" w:after="60"/>
              <w:ind w:left="0"/>
              <w:jc w:val="left"/>
            </w:pPr>
            <w:r w:rsidRPr="004253DB">
              <w:t>Divisions of General Practice</w:t>
            </w:r>
          </w:p>
        </w:tc>
        <w:tc>
          <w:tcPr>
            <w:tcW w:w="6379" w:type="dxa"/>
            <w:shd w:val="clear" w:color="auto" w:fill="auto"/>
          </w:tcPr>
          <w:p w:rsidR="00A80C1D" w:rsidRPr="004253DB" w:rsidRDefault="00940ED7" w:rsidP="00E51597">
            <w:pPr>
              <w:pStyle w:val="TableBodyText"/>
              <w:jc w:val="left"/>
            </w:pPr>
            <w:r w:rsidRPr="004253DB">
              <w:t xml:space="preserve">Geographically-based networks </w:t>
            </w:r>
            <w:r w:rsidRPr="00931CC9">
              <w:t>of GPs</w:t>
            </w:r>
            <w:r w:rsidR="00F97661" w:rsidRPr="00931CC9">
              <w:t xml:space="preserve"> </w:t>
            </w:r>
            <w:r w:rsidR="00C14146">
              <w:t xml:space="preserve">were </w:t>
            </w:r>
            <w:r w:rsidR="00F97661" w:rsidRPr="00931CC9">
              <w:t>active until end June 2012</w:t>
            </w:r>
            <w:r w:rsidRPr="00931CC9">
              <w:t xml:space="preserve">. There </w:t>
            </w:r>
            <w:r w:rsidR="00F97661" w:rsidRPr="00931CC9">
              <w:t>we</w:t>
            </w:r>
            <w:r w:rsidRPr="00931CC9">
              <w:t>re 1</w:t>
            </w:r>
            <w:r w:rsidR="00531ED1" w:rsidRPr="00931CC9">
              <w:t>09</w:t>
            </w:r>
            <w:r w:rsidRPr="00931CC9">
              <w:t xml:space="preserve"> Divisions of General Practice, 8 State Based Organisations and a peak</w:t>
            </w:r>
            <w:r w:rsidRPr="004253DB">
              <w:t xml:space="preserve"> national body, the Australian G</w:t>
            </w:r>
            <w:r w:rsidR="00A80C1D" w:rsidRPr="004253DB">
              <w:t>eneral Practice Network (AGPN).</w:t>
            </w:r>
          </w:p>
          <w:p w:rsidR="00133D04" w:rsidRPr="00F97661" w:rsidRDefault="00940ED7" w:rsidP="005B5291">
            <w:pPr>
              <w:pStyle w:val="TableBodyText"/>
              <w:jc w:val="left"/>
              <w:rPr>
                <w:rStyle w:val="DraftingNote"/>
                <w:b w:val="0"/>
                <w:color w:val="auto"/>
                <w:sz w:val="20"/>
                <w:u w:val="none"/>
              </w:rPr>
            </w:pPr>
            <w:r w:rsidRPr="004253DB">
              <w:t xml:space="preserve">The </w:t>
            </w:r>
            <w:r w:rsidR="005B5291" w:rsidRPr="00931CC9">
              <w:t>Divisions of General Practice</w:t>
            </w:r>
            <w:r w:rsidR="005B5291" w:rsidRPr="004253DB">
              <w:t xml:space="preserve"> </w:t>
            </w:r>
            <w:r w:rsidR="005B5291">
              <w:t>Program (</w:t>
            </w:r>
            <w:r w:rsidR="003C1140" w:rsidRPr="004253DB">
              <w:t>DGP</w:t>
            </w:r>
            <w:r w:rsidR="00BF63B5" w:rsidRPr="004253DB">
              <w:t>P</w:t>
            </w:r>
            <w:r w:rsidR="005B5291">
              <w:t>)</w:t>
            </w:r>
            <w:r w:rsidRPr="004253DB">
              <w:t xml:space="preserve"> aims </w:t>
            </w:r>
            <w:r w:rsidR="00F97661" w:rsidRPr="00931CC9">
              <w:t>were</w:t>
            </w:r>
            <w:r w:rsidR="00F97661">
              <w:t xml:space="preserve"> </w:t>
            </w:r>
            <w:r w:rsidRPr="004253DB">
              <w:t xml:space="preserve">to contribute to improved health outcomes for communities by working with GPs and other health service providers to improve the quality and accessibility of </w:t>
            </w:r>
            <w:r w:rsidR="00B70372" w:rsidRPr="004253DB">
              <w:t>healthcare</w:t>
            </w:r>
            <w:r w:rsidRPr="004253DB">
              <w:t xml:space="preserve"> at the local level.</w:t>
            </w:r>
            <w:r w:rsidR="00F97661">
              <w:t xml:space="preserve"> </w:t>
            </w:r>
            <w:r w:rsidR="006A5AC1">
              <w:t xml:space="preserve">From </w:t>
            </w:r>
            <w:r w:rsidR="006A5AC1" w:rsidRPr="00A73D31">
              <w:t>30 June 2011</w:t>
            </w:r>
            <w:r w:rsidR="00F97661" w:rsidRPr="00A73D31">
              <w:t xml:space="preserve">, Medicare Locals </w:t>
            </w:r>
            <w:r w:rsidR="006A5AC1" w:rsidRPr="00A73D31">
              <w:t xml:space="preserve">progressively </w:t>
            </w:r>
            <w:r w:rsidR="00F97661" w:rsidRPr="00A73D31">
              <w:t>assumed responsibility for general practice support initiatives previously funded under the DGPP.</w:t>
            </w:r>
            <w:r w:rsidR="006A5AC1" w:rsidRPr="00A73D31">
              <w:t xml:space="preserve"> The DGPP ceased </w:t>
            </w:r>
            <w:r w:rsidR="00C14146" w:rsidRPr="00A73D31">
              <w:t xml:space="preserve">on </w:t>
            </w:r>
            <w:r w:rsidR="006A5AC1" w:rsidRPr="00A73D31">
              <w:t>30 June 2012.</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Full time workload equivalents (FWE)</w:t>
            </w:r>
          </w:p>
        </w:tc>
        <w:tc>
          <w:tcPr>
            <w:tcW w:w="6379" w:type="dxa"/>
            <w:shd w:val="clear" w:color="auto" w:fill="auto"/>
          </w:tcPr>
          <w:p w:rsidR="00864A84" w:rsidRDefault="00940ED7" w:rsidP="00E51597">
            <w:pPr>
              <w:pStyle w:val="TableBodyText"/>
              <w:spacing w:before="60" w:after="60"/>
              <w:ind w:left="0"/>
              <w:jc w:val="left"/>
            </w:pPr>
            <w:r w:rsidRPr="00F459BD">
              <w:t xml:space="preserve">A measure of medical practitioner supply based on claims processed by </w:t>
            </w:r>
            <w:r w:rsidR="002D7882" w:rsidRPr="002D7882">
              <w:t xml:space="preserve">DHS Medicare </w:t>
            </w:r>
            <w:r w:rsidRPr="00F459BD">
              <w:t xml:space="preserve">in a given period, calculated by dividing the practitioner’s </w:t>
            </w:r>
            <w:r w:rsidR="002D7882" w:rsidRPr="002D7882">
              <w:t xml:space="preserve">DHS Medicare </w:t>
            </w:r>
            <w:r w:rsidRPr="00F459BD">
              <w:t xml:space="preserve">billing by the mean billing </w:t>
            </w:r>
            <w:r w:rsidRPr="00F459BD">
              <w:lastRenderedPageBreak/>
              <w:t xml:space="preserve">of full time practitioners for that period. </w:t>
            </w:r>
          </w:p>
          <w:p w:rsidR="00182D9A" w:rsidRPr="00F459BD" w:rsidRDefault="00940ED7" w:rsidP="00E51597">
            <w:pPr>
              <w:pStyle w:val="TableBodyText"/>
              <w:spacing w:before="60" w:after="60"/>
              <w:ind w:left="0"/>
              <w:jc w:val="left"/>
            </w:pPr>
            <w:r w:rsidRPr="00F459BD">
              <w:t xml:space="preserve">Full time equivalents </w:t>
            </w:r>
            <w:r w:rsidR="00B4358E" w:rsidRPr="00F459BD">
              <w:t xml:space="preserve">(FTE) </w:t>
            </w:r>
            <w:r w:rsidRPr="00F459BD">
              <w:t xml:space="preserve">are calculated </w:t>
            </w:r>
            <w:r w:rsidR="003C1140" w:rsidRPr="00F459BD">
              <w:t xml:space="preserve">in </w:t>
            </w:r>
            <w:r w:rsidRPr="00F459BD">
              <w:t xml:space="preserve">the same way </w:t>
            </w:r>
            <w:r w:rsidR="003C1140" w:rsidRPr="00F459BD">
              <w:t>as FWE except that FTE are</w:t>
            </w:r>
            <w:r w:rsidRPr="00F459BD">
              <w:t xml:space="preserve"> capped at 1 </w:t>
            </w:r>
            <w:r w:rsidR="00B4358E" w:rsidRPr="00F459BD">
              <w:t>per</w:t>
            </w:r>
            <w:r w:rsidRPr="00F459BD">
              <w:t xml:space="preserve"> practitioner.</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lastRenderedPageBreak/>
              <w:t>Fully immunised at 12 months</w:t>
            </w:r>
          </w:p>
        </w:tc>
        <w:tc>
          <w:tcPr>
            <w:tcW w:w="6379" w:type="dxa"/>
            <w:shd w:val="clear" w:color="auto" w:fill="auto"/>
          </w:tcPr>
          <w:p w:rsidR="00182D9A" w:rsidRPr="00F459BD" w:rsidRDefault="00940ED7" w:rsidP="00D351DC">
            <w:pPr>
              <w:pStyle w:val="TableBodyText"/>
              <w:spacing w:before="60" w:after="60"/>
              <w:ind w:left="0"/>
              <w:jc w:val="left"/>
            </w:pPr>
            <w:r w:rsidRPr="00F459BD">
              <w:t>A child who has completed three doses of diphtheria, tetanus, pertussis vaccine, three doses of polio vaccine</w:t>
            </w:r>
            <w:r w:rsidR="00D351DC">
              <w:t>,</w:t>
            </w:r>
            <w:r w:rsidRPr="00F459BD">
              <w:t xml:space="preserve"> three doses of </w:t>
            </w:r>
            <w:r w:rsidR="00C83E45" w:rsidRPr="00C83E45">
              <w:t xml:space="preserve">Hepatitis B vaccine and three doses of </w:t>
            </w:r>
            <w:r w:rsidR="00C83E45" w:rsidRPr="00E51597">
              <w:rPr>
                <w:i/>
              </w:rPr>
              <w:t>Haemophilus influenzae</w:t>
            </w:r>
            <w:r w:rsidR="00C83E45" w:rsidRPr="00C83E45">
              <w:t xml:space="preserve"> type B</w:t>
            </w:r>
            <w:r w:rsidR="00FB61FA">
              <w:t xml:space="preserve"> vaccine</w:t>
            </w:r>
            <w:r w:rsidRPr="00F459BD">
              <w:t>.</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Fully immunised at 24 months</w:t>
            </w:r>
          </w:p>
        </w:tc>
        <w:tc>
          <w:tcPr>
            <w:tcW w:w="6379" w:type="dxa"/>
            <w:shd w:val="clear" w:color="auto" w:fill="auto"/>
          </w:tcPr>
          <w:p w:rsidR="00182D9A" w:rsidRPr="00F459BD" w:rsidRDefault="00940ED7" w:rsidP="00364EDC">
            <w:pPr>
              <w:pStyle w:val="TableBodyText"/>
              <w:spacing w:before="60" w:after="60"/>
              <w:ind w:left="0"/>
              <w:jc w:val="left"/>
            </w:pPr>
            <w:r w:rsidRPr="00F459BD">
              <w:t xml:space="preserve">A child who has received four doses of diphtheria, tetanus, pertussis vaccine, three doses of polio vaccine, </w:t>
            </w:r>
            <w:r w:rsidR="00146FBD" w:rsidRPr="00146FBD">
              <w:t xml:space="preserve">three doses of Hepatitis B vaccine, four doses of </w:t>
            </w:r>
            <w:r w:rsidR="00146FBD" w:rsidRPr="00E51597">
              <w:rPr>
                <w:i/>
              </w:rPr>
              <w:t>Haemophilus influenzae</w:t>
            </w:r>
            <w:r w:rsidR="00146FBD" w:rsidRPr="00146FBD">
              <w:t xml:space="preserve"> type B and one dose of measles, mumps and rubella vaccine.</w:t>
            </w:r>
          </w:p>
        </w:tc>
      </w:tr>
      <w:tr w:rsidR="005D4736" w:rsidRPr="00F459BD" w:rsidTr="00931CC9">
        <w:tc>
          <w:tcPr>
            <w:tcW w:w="2410" w:type="dxa"/>
            <w:shd w:val="clear" w:color="auto" w:fill="auto"/>
            <w:tcMar>
              <w:left w:w="0" w:type="dxa"/>
            </w:tcMar>
          </w:tcPr>
          <w:p w:rsidR="005D4736" w:rsidRPr="00F459BD" w:rsidRDefault="005D4736" w:rsidP="00E51597">
            <w:pPr>
              <w:pStyle w:val="TableBodyText"/>
              <w:spacing w:before="60" w:after="60"/>
              <w:ind w:left="0"/>
              <w:jc w:val="left"/>
            </w:pPr>
            <w:r w:rsidRPr="00F459BD">
              <w:t>Fully immunised at 60 months</w:t>
            </w:r>
          </w:p>
        </w:tc>
        <w:tc>
          <w:tcPr>
            <w:tcW w:w="6379" w:type="dxa"/>
            <w:shd w:val="clear" w:color="auto" w:fill="auto"/>
          </w:tcPr>
          <w:p w:rsidR="005D4736" w:rsidRPr="00D351DC" w:rsidRDefault="006B4004" w:rsidP="00AC69D1">
            <w:pPr>
              <w:pStyle w:val="TableBodyText"/>
              <w:spacing w:before="60" w:after="60"/>
              <w:ind w:left="0"/>
              <w:jc w:val="left"/>
            </w:pPr>
            <w:r w:rsidRPr="00D351DC">
              <w:t>A child who has received the necessary doses of diphtheria, tetanus, whooping cough, polio, and measles, mumps and rubella vaccines.</w:t>
            </w:r>
          </w:p>
        </w:tc>
      </w:tr>
      <w:tr w:rsidR="00182D9A" w:rsidRPr="00F459BD" w:rsidTr="00931CC9">
        <w:tc>
          <w:tcPr>
            <w:tcW w:w="2410" w:type="dxa"/>
            <w:shd w:val="clear" w:color="auto" w:fill="auto"/>
            <w:tcMar>
              <w:left w:w="0" w:type="dxa"/>
            </w:tcMar>
          </w:tcPr>
          <w:p w:rsidR="00182D9A" w:rsidRPr="00F459BD" w:rsidRDefault="00940ED7" w:rsidP="00E51597">
            <w:pPr>
              <w:pStyle w:val="TableBodyText"/>
              <w:spacing w:before="60" w:after="60"/>
              <w:ind w:left="0"/>
              <w:jc w:val="left"/>
            </w:pPr>
            <w:r w:rsidRPr="00F459BD">
              <w:t>General practice</w:t>
            </w:r>
          </w:p>
        </w:tc>
        <w:tc>
          <w:tcPr>
            <w:tcW w:w="6379" w:type="dxa"/>
            <w:shd w:val="clear" w:color="auto" w:fill="auto"/>
          </w:tcPr>
          <w:p w:rsidR="00182D9A" w:rsidRPr="00F459BD" w:rsidRDefault="00940ED7" w:rsidP="00E51597">
            <w:pPr>
              <w:pStyle w:val="TableBodyText"/>
              <w:spacing w:before="60" w:after="60"/>
              <w:ind w:left="0"/>
              <w:jc w:val="left"/>
            </w:pPr>
            <w:r w:rsidRPr="00F459BD">
              <w:t>The organisational structure with one or more GPs and other staff such as practice nurses. A general practice provides and supervises healthcare for a ‘population’ of patients and may include services for specific populations, such as women's health or Indigenous health.</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General practitioner (GP)</w:t>
            </w:r>
          </w:p>
        </w:tc>
        <w:tc>
          <w:tcPr>
            <w:tcW w:w="6379" w:type="dxa"/>
            <w:shd w:val="clear" w:color="auto" w:fill="auto"/>
          </w:tcPr>
          <w:p w:rsidR="00CF7C08" w:rsidRPr="00F459BD" w:rsidRDefault="00557713" w:rsidP="00E51597">
            <w:pPr>
              <w:pStyle w:val="TableBodyText"/>
              <w:spacing w:before="60" w:after="60"/>
              <w:ind w:left="0"/>
              <w:jc w:val="left"/>
            </w:pPr>
            <w:r w:rsidRPr="00F459BD">
              <w:t xml:space="preserve">Vocationally </w:t>
            </w:r>
            <w:r w:rsidR="000B2487" w:rsidRPr="000B2487">
              <w:t>registered</w:t>
            </w:r>
            <w:r w:rsidR="000465F0" w:rsidRPr="000465F0">
              <w:t xml:space="preserve"> </w:t>
            </w:r>
            <w:r w:rsidRPr="00F459BD">
              <w:t xml:space="preserve">GPs — </w:t>
            </w:r>
            <w:r w:rsidRPr="00931CC9">
              <w:t xml:space="preserve">medical practitioners who are vocationally </w:t>
            </w:r>
            <w:r w:rsidR="000B2487" w:rsidRPr="000B2487">
              <w:t xml:space="preserve">registered </w:t>
            </w:r>
            <w:r w:rsidRPr="00931CC9">
              <w:t xml:space="preserve">under s.3F of the </w:t>
            </w:r>
            <w:r w:rsidRPr="00931CC9">
              <w:rPr>
                <w:i/>
              </w:rPr>
              <w:t>Health Insurance Act 1973</w:t>
            </w:r>
            <w:r w:rsidRPr="00931CC9">
              <w:t xml:space="preserve"> (Cwlth), hold Fellowship of th</w:t>
            </w:r>
            <w:r w:rsidR="002D1E08" w:rsidRPr="00931CC9">
              <w:t>e RACGP</w:t>
            </w:r>
            <w:r w:rsidR="00C0068F" w:rsidRPr="00931CC9">
              <w:t xml:space="preserve"> </w:t>
            </w:r>
            <w:r w:rsidR="00907984" w:rsidRPr="00931CC9">
              <w:t>or the</w:t>
            </w:r>
            <w:r w:rsidR="002D1E08" w:rsidRPr="00931CC9">
              <w:t xml:space="preserve"> </w:t>
            </w:r>
            <w:r w:rsidR="00BB2DCF" w:rsidRPr="00931CC9">
              <w:t>Australian College of Rural and Remote Medicine (</w:t>
            </w:r>
            <w:r w:rsidR="002D1E08" w:rsidRPr="00931CC9">
              <w:t>ACRRM</w:t>
            </w:r>
            <w:r w:rsidR="00BB2DCF" w:rsidRPr="00931CC9">
              <w:t>)</w:t>
            </w:r>
            <w:r w:rsidR="00C0068F" w:rsidRPr="00931CC9">
              <w:t xml:space="preserve"> </w:t>
            </w:r>
            <w:r w:rsidR="002D1E08" w:rsidRPr="00931CC9">
              <w:t>or equivalent</w:t>
            </w:r>
            <w:r w:rsidR="00537F76" w:rsidRPr="00931CC9">
              <w:t>, or hold a recognised training placement.</w:t>
            </w:r>
            <w:r w:rsidR="002D1E08" w:rsidRPr="00F459BD">
              <w:t xml:space="preserve"> </w:t>
            </w:r>
            <w:r w:rsidR="00537F76">
              <w:t>F</w:t>
            </w:r>
            <w:r w:rsidR="002D1E08" w:rsidRPr="00F459BD">
              <w:t>rom 1996</w:t>
            </w:r>
            <w:r w:rsidRPr="00F459BD">
              <w:t xml:space="preserve"> vocational registration </w:t>
            </w:r>
            <w:r w:rsidR="00C0068F">
              <w:t>is</w:t>
            </w:r>
            <w:r w:rsidRPr="00F459BD">
              <w:t xml:space="preserve"> available only to GPs who attain</w:t>
            </w:r>
            <w:r w:rsidR="00C0068F">
              <w:t xml:space="preserve"> Fellowship of the RACGP</w:t>
            </w:r>
            <w:r w:rsidR="000465F0">
              <w:t xml:space="preserve"> or (from April 2007)</w:t>
            </w:r>
            <w:r w:rsidRPr="00F459BD">
              <w:t xml:space="preserve"> the ACRRM</w:t>
            </w:r>
            <w:r w:rsidR="00F87DE2">
              <w:t>, or</w:t>
            </w:r>
            <w:r w:rsidR="00F87DE2" w:rsidRPr="00F87DE2">
              <w:t xml:space="preserve"> hold a recognised training placement</w:t>
            </w:r>
            <w:r w:rsidRPr="00F459BD">
              <w:t>.</w:t>
            </w:r>
          </w:p>
          <w:p w:rsidR="00557713" w:rsidRPr="00F459BD" w:rsidRDefault="00557713" w:rsidP="00FA14E0">
            <w:pPr>
              <w:pStyle w:val="TableBodyText"/>
              <w:spacing w:before="60" w:after="60"/>
              <w:ind w:left="0"/>
              <w:jc w:val="left"/>
            </w:pPr>
            <w:r w:rsidRPr="00F459BD">
              <w:t>Other medical practitioners</w:t>
            </w:r>
            <w:r w:rsidR="00396E9C" w:rsidRPr="00F459BD">
              <w:t xml:space="preserve"> (OMP)</w:t>
            </w:r>
            <w:r w:rsidRPr="00F459BD">
              <w:t xml:space="preserve"> — medical practitioners who are not vocationally </w:t>
            </w:r>
            <w:r w:rsidR="000B2487" w:rsidRPr="000B2487">
              <w:t xml:space="preserve">registered </w:t>
            </w:r>
            <w:r w:rsidRPr="00F459BD">
              <w:t>GPs.</w:t>
            </w:r>
          </w:p>
        </w:tc>
      </w:tr>
      <w:tr w:rsidR="00807170" w:rsidRPr="00F459BD" w:rsidTr="00E51597">
        <w:tc>
          <w:tcPr>
            <w:tcW w:w="2410" w:type="dxa"/>
            <w:shd w:val="clear" w:color="auto" w:fill="auto"/>
            <w:tcMar>
              <w:left w:w="0" w:type="dxa"/>
            </w:tcMar>
          </w:tcPr>
          <w:p w:rsidR="00807170" w:rsidRPr="00F459BD" w:rsidRDefault="00396E9C" w:rsidP="00E51597">
            <w:pPr>
              <w:pStyle w:val="TableBodyText"/>
              <w:spacing w:before="60" w:after="60"/>
              <w:ind w:left="0"/>
              <w:jc w:val="left"/>
            </w:pPr>
            <w:r w:rsidRPr="00F459BD">
              <w:t>G</w:t>
            </w:r>
            <w:r w:rsidR="00E16C45" w:rsidRPr="00F459BD">
              <w:t>P</w:t>
            </w:r>
            <w:r w:rsidRPr="00F459BD">
              <w:noBreakHyphen/>
              <w:t>type services</w:t>
            </w:r>
          </w:p>
        </w:tc>
        <w:tc>
          <w:tcPr>
            <w:tcW w:w="6379" w:type="dxa"/>
            <w:shd w:val="clear" w:color="auto" w:fill="auto"/>
          </w:tcPr>
          <w:p w:rsidR="00807170" w:rsidRPr="00F459BD" w:rsidRDefault="00396E9C" w:rsidP="00E51597">
            <w:pPr>
              <w:pStyle w:val="TableBodyText"/>
              <w:spacing w:before="60" w:after="60"/>
              <w:ind w:left="0"/>
              <w:jc w:val="left"/>
            </w:pPr>
            <w:r w:rsidRPr="00F459BD">
              <w:t>Non</w:t>
            </w:r>
            <w:r w:rsidRPr="00F459BD">
              <w:noBreakHyphen/>
              <w:t xml:space="preserve">referred attendances by vocationally </w:t>
            </w:r>
            <w:r w:rsidR="000B2487" w:rsidRPr="000B2487">
              <w:t xml:space="preserve">registered </w:t>
            </w:r>
            <w:r w:rsidRPr="00F459BD">
              <w:t>GPs and OMPs, and practice nurses</w:t>
            </w:r>
            <w:r w:rsidR="008D426A" w:rsidRPr="00F459BD">
              <w:t>.</w:t>
            </w:r>
          </w:p>
        </w:tc>
      </w:tr>
      <w:tr w:rsidR="00640438" w:rsidRPr="00F459BD" w:rsidTr="00E51597">
        <w:tc>
          <w:tcPr>
            <w:tcW w:w="2410" w:type="dxa"/>
            <w:shd w:val="clear" w:color="auto" w:fill="auto"/>
            <w:tcMar>
              <w:left w:w="0" w:type="dxa"/>
            </w:tcMar>
          </w:tcPr>
          <w:p w:rsidR="00640438" w:rsidRPr="00F459BD" w:rsidRDefault="00640438" w:rsidP="00E51597">
            <w:pPr>
              <w:pStyle w:val="TableBodyText"/>
              <w:spacing w:before="60" w:after="60"/>
              <w:ind w:left="0"/>
              <w:jc w:val="left"/>
            </w:pPr>
            <w:r w:rsidRPr="00E51597">
              <w:rPr>
                <w:i/>
              </w:rPr>
              <w:t>Haemophilus influenzae</w:t>
            </w:r>
            <w:r w:rsidRPr="00F459BD">
              <w:t xml:space="preserve"> type b</w:t>
            </w:r>
          </w:p>
        </w:tc>
        <w:tc>
          <w:tcPr>
            <w:tcW w:w="6379" w:type="dxa"/>
            <w:shd w:val="clear" w:color="auto" w:fill="auto"/>
          </w:tcPr>
          <w:p w:rsidR="00640438" w:rsidRPr="00F459BD" w:rsidRDefault="00640438" w:rsidP="00681023">
            <w:pPr>
              <w:pStyle w:val="TableBodyText"/>
              <w:spacing w:before="60" w:after="60"/>
              <w:ind w:left="0"/>
              <w:jc w:val="left"/>
            </w:pPr>
            <w:r w:rsidRPr="00F459BD">
              <w:t>A bacterium which causes bloodstream infection, meningitis, epiglottitis, and pneumonia (</w:t>
            </w:r>
            <w:r w:rsidR="006C2E5E">
              <w:t>Department of Health</w:t>
            </w:r>
            <w:r w:rsidRPr="00F459BD">
              <w:t xml:space="preserve"> 20</w:t>
            </w:r>
            <w:r w:rsidR="00094998">
              <w:t>13</w:t>
            </w:r>
            <w:r w:rsidR="00681023">
              <w:t>c</w:t>
            </w:r>
            <w:r w:rsidRPr="00F459BD">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Immunisation coverage</w:t>
            </w:r>
          </w:p>
        </w:tc>
        <w:tc>
          <w:tcPr>
            <w:tcW w:w="6379" w:type="dxa"/>
            <w:shd w:val="clear" w:color="auto" w:fill="auto"/>
          </w:tcPr>
          <w:p w:rsidR="00182D9A" w:rsidRPr="00F459BD" w:rsidRDefault="00BB50BD" w:rsidP="00E51597">
            <w:pPr>
              <w:pStyle w:val="TableBodyText"/>
              <w:spacing w:before="60" w:after="60"/>
              <w:ind w:left="0"/>
              <w:jc w:val="left"/>
            </w:pPr>
            <w:r w:rsidRPr="00F459BD">
              <w:t>T</w:t>
            </w:r>
            <w:r w:rsidR="00557713" w:rsidRPr="00F459BD">
              <w:t xml:space="preserve">he proportion of a target population fully immunised with </w:t>
            </w:r>
            <w:r w:rsidR="005719A0" w:rsidRPr="00F459BD">
              <w:t xml:space="preserve">National Immunisation Program specified </w:t>
            </w:r>
            <w:r w:rsidR="00557713" w:rsidRPr="00F459BD">
              <w:t>vaccines for that age group.</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Management of upper respiratory tract infections</w:t>
            </w:r>
          </w:p>
        </w:tc>
        <w:tc>
          <w:tcPr>
            <w:tcW w:w="6379" w:type="dxa"/>
            <w:shd w:val="clear" w:color="auto" w:fill="auto"/>
          </w:tcPr>
          <w:p w:rsidR="00182D9A" w:rsidRPr="00F459BD" w:rsidRDefault="00557713" w:rsidP="00E51597">
            <w:pPr>
              <w:pStyle w:val="TableBodyText"/>
              <w:spacing w:before="60" w:after="60"/>
              <w:ind w:left="0"/>
              <w:jc w:val="left"/>
            </w:pPr>
            <w:r w:rsidRPr="00F459BD">
              <w:t>Number of prescriptions ordered by GPs for the oral antibiotics most commonly used in the treatment of upper respiratory tract infections per 1000 people with PBS concession cards.</w:t>
            </w:r>
          </w:p>
        </w:tc>
      </w:tr>
      <w:tr w:rsidR="00F97661" w:rsidRPr="00F459BD" w:rsidTr="00931CC9">
        <w:tc>
          <w:tcPr>
            <w:tcW w:w="2410" w:type="dxa"/>
            <w:shd w:val="clear" w:color="auto" w:fill="auto"/>
            <w:tcMar>
              <w:left w:w="0" w:type="dxa"/>
            </w:tcMar>
          </w:tcPr>
          <w:p w:rsidR="00F97661" w:rsidRPr="00F459BD" w:rsidRDefault="00F97661" w:rsidP="00E51597">
            <w:pPr>
              <w:pStyle w:val="TableBodyText"/>
              <w:spacing w:before="60" w:after="60"/>
              <w:ind w:left="0"/>
              <w:jc w:val="left"/>
            </w:pPr>
            <w:r>
              <w:t>Medicare Locals</w:t>
            </w:r>
          </w:p>
        </w:tc>
        <w:tc>
          <w:tcPr>
            <w:tcW w:w="6379" w:type="dxa"/>
            <w:shd w:val="clear" w:color="auto" w:fill="auto"/>
          </w:tcPr>
          <w:p w:rsidR="00103FFB" w:rsidRDefault="00F97661" w:rsidP="00103FFB">
            <w:pPr>
              <w:pStyle w:val="TableBodyText"/>
              <w:spacing w:before="60" w:after="60"/>
              <w:ind w:left="0"/>
              <w:jc w:val="left"/>
            </w:pPr>
            <w:r w:rsidRPr="00F97661">
              <w:t xml:space="preserve">Medicare Locals (MLs) </w:t>
            </w:r>
            <w:r w:rsidR="00811643">
              <w:t xml:space="preserve">are </w:t>
            </w:r>
            <w:r w:rsidR="00652D09" w:rsidRPr="00A73D31">
              <w:t>independent</w:t>
            </w:r>
            <w:r w:rsidR="00811643">
              <w:t xml:space="preserve"> </w:t>
            </w:r>
            <w:r w:rsidR="00811643" w:rsidRPr="00F97661">
              <w:t>regional primary health care organisations</w:t>
            </w:r>
            <w:r w:rsidR="00811643">
              <w:t xml:space="preserve"> with responsibility for supporting improved co</w:t>
            </w:r>
            <w:r w:rsidR="00811643">
              <w:noBreakHyphen/>
              <w:t xml:space="preserve">ordination of primary health care service delivery, as well as identifying and addressing gaps in primary health care services, </w:t>
            </w:r>
            <w:r w:rsidR="0007460F">
              <w:t>across their region</w:t>
            </w:r>
            <w:r w:rsidR="00652D09">
              <w:t>s</w:t>
            </w:r>
            <w:r w:rsidR="0007460F">
              <w:t xml:space="preserve"> (www.amlalliance.com.au/about-us, accessed 2</w:t>
            </w:r>
            <w:r w:rsidR="00652D09">
              <w:t>5</w:t>
            </w:r>
            <w:r w:rsidR="0007460F">
              <w:t xml:space="preserve"> November 201</w:t>
            </w:r>
            <w:r w:rsidR="00652D09">
              <w:t>3</w:t>
            </w:r>
            <w:r w:rsidR="0007460F">
              <w:t>)</w:t>
            </w:r>
            <w:r w:rsidR="00811643">
              <w:t>.</w:t>
            </w:r>
          </w:p>
          <w:p w:rsidR="00F97661" w:rsidRPr="00F459BD" w:rsidRDefault="00BA7916" w:rsidP="00652D09">
            <w:pPr>
              <w:pStyle w:val="TableBodyText"/>
              <w:spacing w:before="60" w:after="60"/>
              <w:ind w:left="0"/>
              <w:jc w:val="left"/>
            </w:pPr>
            <w:r>
              <w:t xml:space="preserve">Established </w:t>
            </w:r>
            <w:r w:rsidR="00652D09">
              <w:t>progressively from 1 July 2011 under</w:t>
            </w:r>
            <w:r>
              <w:t xml:space="preserve"> </w:t>
            </w:r>
            <w:r w:rsidR="007A5F4D">
              <w:t xml:space="preserve">the </w:t>
            </w:r>
            <w:r>
              <w:t>National Health Reform</w:t>
            </w:r>
            <w:r w:rsidR="007A5F4D">
              <w:t xml:space="preserve"> agenda</w:t>
            </w:r>
            <w:r w:rsidR="00652D09">
              <w:t>, the</w:t>
            </w:r>
            <w:r w:rsidR="00811643">
              <w:t xml:space="preserve"> </w:t>
            </w:r>
            <w:r w:rsidR="00F97661" w:rsidRPr="00F97661">
              <w:t xml:space="preserve">national network </w:t>
            </w:r>
            <w:r w:rsidR="00652D09">
              <w:t>of</w:t>
            </w:r>
            <w:r w:rsidR="00811643">
              <w:t xml:space="preserve"> 61 MLs </w:t>
            </w:r>
            <w:r w:rsidR="00F97661" w:rsidRPr="00F97661">
              <w:t xml:space="preserve">and </w:t>
            </w:r>
            <w:r w:rsidR="00811643">
              <w:t>a national body</w:t>
            </w:r>
            <w:r w:rsidR="00F97661" w:rsidRPr="00F97661">
              <w:t>, the Australian Medicare Local Alliance (AML Alliance)</w:t>
            </w:r>
            <w:r w:rsidR="00103FFB">
              <w:t xml:space="preserve">, </w:t>
            </w:r>
            <w:r w:rsidR="00652D09">
              <w:t>were</w:t>
            </w:r>
            <w:r w:rsidR="007A5F4D" w:rsidRPr="007A5F4D">
              <w:t xml:space="preserve"> operational at 1 July 2012</w:t>
            </w:r>
            <w:r w:rsidR="00811643">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Non-referred attendances</w:t>
            </w:r>
          </w:p>
        </w:tc>
        <w:tc>
          <w:tcPr>
            <w:tcW w:w="6379" w:type="dxa"/>
            <w:shd w:val="clear" w:color="auto" w:fill="auto"/>
          </w:tcPr>
          <w:p w:rsidR="00864A84" w:rsidRPr="00F459BD" w:rsidRDefault="00557713" w:rsidP="00E51597">
            <w:pPr>
              <w:pStyle w:val="TableBodyText"/>
              <w:spacing w:before="60" w:after="60"/>
              <w:ind w:left="0"/>
              <w:jc w:val="left"/>
            </w:pPr>
            <w:r w:rsidRPr="00F459BD">
              <w:t xml:space="preserve">GP services, emergency attendances after hours, other prolonged attendances, group therapy and acupuncture. All attendances for specialist services are excluded because these must be ‘referred’ to receive </w:t>
            </w:r>
            <w:r w:rsidR="00A663F4">
              <w:t>DHS</w:t>
            </w:r>
            <w:r w:rsidR="002D7882" w:rsidRPr="002D7882">
              <w:t xml:space="preserve"> Medicare </w:t>
            </w:r>
            <w:r w:rsidRPr="00F459BD">
              <w:t>reimbursement.</w:t>
            </w:r>
          </w:p>
        </w:tc>
      </w:tr>
      <w:tr w:rsidR="00182D9A" w:rsidRPr="00F459BD" w:rsidTr="008A07CC">
        <w:trPr>
          <w:trHeight w:val="753"/>
        </w:trPr>
        <w:tc>
          <w:tcPr>
            <w:tcW w:w="2410" w:type="dxa"/>
            <w:shd w:val="clear" w:color="auto" w:fill="auto"/>
            <w:tcMar>
              <w:left w:w="0" w:type="dxa"/>
            </w:tcMar>
          </w:tcPr>
          <w:p w:rsidR="00182D9A" w:rsidRPr="00F459BD" w:rsidRDefault="00182D9A" w:rsidP="00864A84">
            <w:pPr>
              <w:pStyle w:val="TableBodyText"/>
              <w:spacing w:before="240" w:after="60"/>
              <w:ind w:left="0"/>
              <w:jc w:val="left"/>
            </w:pPr>
            <w:r w:rsidRPr="00F459BD">
              <w:lastRenderedPageBreak/>
              <w:t>Non-referred attendances that are bulk billed</w:t>
            </w:r>
          </w:p>
        </w:tc>
        <w:tc>
          <w:tcPr>
            <w:tcW w:w="6379" w:type="dxa"/>
            <w:shd w:val="clear" w:color="auto" w:fill="auto"/>
          </w:tcPr>
          <w:p w:rsidR="00182D9A" w:rsidRPr="00F459BD" w:rsidRDefault="00557713" w:rsidP="00864A84">
            <w:pPr>
              <w:pStyle w:val="TableBodyText"/>
              <w:spacing w:before="240" w:after="60"/>
              <w:ind w:left="0"/>
              <w:jc w:val="left"/>
            </w:pPr>
            <w:r w:rsidRPr="00F459BD">
              <w:t>Number of non-referred attendances that are bulk billed and provided by medical practitioners, divided by the total number of non-referred non-specialist attendances.</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 xml:space="preserve">Nationally notifiable disease </w:t>
            </w:r>
          </w:p>
        </w:tc>
        <w:tc>
          <w:tcPr>
            <w:tcW w:w="6379" w:type="dxa"/>
            <w:shd w:val="clear" w:color="auto" w:fill="auto"/>
          </w:tcPr>
          <w:p w:rsidR="00133D04" w:rsidRPr="00F459BD" w:rsidRDefault="00557713" w:rsidP="00681023">
            <w:pPr>
              <w:pStyle w:val="TableBodyText"/>
              <w:spacing w:before="60" w:after="60"/>
              <w:ind w:left="0"/>
              <w:jc w:val="left"/>
            </w:pPr>
            <w:r w:rsidRPr="00F459BD">
              <w:t xml:space="preserve">A communicable disease that is on the Communicable Diseases Network </w:t>
            </w:r>
            <w:smartTag w:uri="urn:schemas-microsoft-com:office:smarttags" w:element="place">
              <w:smartTag w:uri="urn:schemas-microsoft-com:office:smarttags" w:element="country-region">
                <w:r w:rsidRPr="00F459BD">
                  <w:t>Australia</w:t>
                </w:r>
              </w:smartTag>
            </w:smartTag>
            <w:r w:rsidRPr="00F459BD">
              <w:t>’s endorsed list of diseases to be notified nationally (</w:t>
            </w:r>
            <w:r w:rsidR="006C2E5E">
              <w:t>Department of Health</w:t>
            </w:r>
            <w:r w:rsidR="00094998">
              <w:t xml:space="preserve"> 2013</w:t>
            </w:r>
            <w:r w:rsidR="00681023">
              <w:t>d</w:t>
            </w:r>
            <w:r w:rsidRPr="00F459BD">
              <w:t>). On diagnosis of these diseases, there is a requirement to notify the relevant State or Territory health authority.</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Notifications of selected childhood diseases</w:t>
            </w:r>
          </w:p>
        </w:tc>
        <w:tc>
          <w:tcPr>
            <w:tcW w:w="6379" w:type="dxa"/>
            <w:shd w:val="clear" w:color="auto" w:fill="auto"/>
          </w:tcPr>
          <w:p w:rsidR="003C1140" w:rsidRPr="00F459BD" w:rsidRDefault="00557713" w:rsidP="00E51597">
            <w:pPr>
              <w:pStyle w:val="TableBodyText"/>
              <w:spacing w:before="60" w:after="60"/>
              <w:ind w:left="0"/>
              <w:jc w:val="left"/>
            </w:pPr>
            <w:r w:rsidRPr="00F459BD">
              <w:t xml:space="preserve">Number of cases of measles, pertussis and </w:t>
            </w:r>
            <w:r w:rsidRPr="00E51597">
              <w:rPr>
                <w:i/>
              </w:rPr>
              <w:t>Haemophilus influenzae</w:t>
            </w:r>
            <w:r w:rsidRPr="00F459BD">
              <w:t xml:space="preserve"> type b </w:t>
            </w:r>
            <w:r w:rsidR="001E35FA" w:rsidRPr="00F459BD">
              <w:t xml:space="preserve">reported to the National Notifiable Diseases Surveillance System by </w:t>
            </w:r>
            <w:r w:rsidRPr="00F459BD">
              <w:t>State and Territory health authorities.</w:t>
            </w:r>
          </w:p>
        </w:tc>
      </w:tr>
      <w:tr w:rsidR="00182D9A" w:rsidRPr="00F459BD" w:rsidTr="00E51597">
        <w:tc>
          <w:tcPr>
            <w:tcW w:w="2410" w:type="dxa"/>
            <w:shd w:val="clear" w:color="auto" w:fill="auto"/>
            <w:tcMar>
              <w:left w:w="0" w:type="dxa"/>
            </w:tcMar>
          </w:tcPr>
          <w:p w:rsidR="00182D9A" w:rsidRPr="00F459BD" w:rsidRDefault="00182D9A" w:rsidP="00E51597">
            <w:pPr>
              <w:pStyle w:val="TableBodyText"/>
              <w:tabs>
                <w:tab w:val="left" w:pos="585"/>
              </w:tabs>
              <w:spacing w:before="60" w:after="60"/>
              <w:ind w:left="0"/>
              <w:jc w:val="left"/>
            </w:pPr>
            <w:r w:rsidRPr="00F459BD">
              <w:t>Other medical practitioner (OMP)</w:t>
            </w:r>
          </w:p>
        </w:tc>
        <w:tc>
          <w:tcPr>
            <w:tcW w:w="6379" w:type="dxa"/>
            <w:shd w:val="clear" w:color="auto" w:fill="auto"/>
          </w:tcPr>
          <w:p w:rsidR="0074551E" w:rsidRPr="00F459BD" w:rsidRDefault="00557713" w:rsidP="00A663F4">
            <w:pPr>
              <w:pStyle w:val="TableBodyText"/>
              <w:spacing w:before="60" w:after="60"/>
              <w:ind w:left="0"/>
              <w:jc w:val="left"/>
            </w:pPr>
            <w:r w:rsidRPr="00F459BD">
              <w:t xml:space="preserve">A medical practitioner other than a vocationally </w:t>
            </w:r>
            <w:r w:rsidR="000B2487" w:rsidRPr="000B2487">
              <w:t>registered</w:t>
            </w:r>
            <w:r w:rsidRPr="00F459BD">
              <w:t xml:space="preserve"> GP who has at least half of the schedule fee value of his/her </w:t>
            </w:r>
            <w:r w:rsidR="002D7882" w:rsidRPr="002D7882">
              <w:t xml:space="preserve">DHS Medicare </w:t>
            </w:r>
            <w:r w:rsidRPr="00F459BD">
              <w:t xml:space="preserve">billing from non-referred attendances. These practitioners are able to access only the lower A2 </w:t>
            </w:r>
            <w:r w:rsidR="002D7882" w:rsidRPr="002D7882">
              <w:t xml:space="preserve">DHS Medicare </w:t>
            </w:r>
            <w:r w:rsidRPr="00F459BD">
              <w:t>rebate for general practice services they provide, unless the services are provided through certain Departmental incen</w:t>
            </w:r>
            <w:r w:rsidR="00A06509">
              <w:t>tive programs.</w:t>
            </w:r>
          </w:p>
        </w:tc>
      </w:tr>
      <w:tr w:rsidR="00182D9A" w:rsidRPr="00F459BD"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Pap smear</w:t>
            </w:r>
          </w:p>
        </w:tc>
        <w:tc>
          <w:tcPr>
            <w:tcW w:w="6379" w:type="dxa"/>
            <w:shd w:val="clear" w:color="auto" w:fill="auto"/>
          </w:tcPr>
          <w:p w:rsidR="00170FA9" w:rsidRPr="00F459BD" w:rsidRDefault="00557713" w:rsidP="00E51597">
            <w:pPr>
              <w:pStyle w:val="TableBodyText"/>
              <w:spacing w:before="60" w:after="60"/>
              <w:ind w:left="0"/>
              <w:jc w:val="left"/>
            </w:pPr>
            <w:r w:rsidRPr="00F459BD">
              <w:t>A procedure for the detection of cancer and pre-cancerous conditions of the female cervix.</w:t>
            </w:r>
          </w:p>
        </w:tc>
      </w:tr>
      <w:tr w:rsidR="00AF3FA5" w:rsidRPr="00E51597" w:rsidTr="00E51597">
        <w:tc>
          <w:tcPr>
            <w:tcW w:w="2410" w:type="dxa"/>
            <w:shd w:val="clear" w:color="auto" w:fill="auto"/>
            <w:tcMar>
              <w:left w:w="0" w:type="dxa"/>
            </w:tcMar>
          </w:tcPr>
          <w:p w:rsidR="00AF3FA5" w:rsidRPr="00F459BD" w:rsidRDefault="00AF3FA5" w:rsidP="00E51597">
            <w:pPr>
              <w:pStyle w:val="TableBodyText"/>
              <w:spacing w:before="60" w:after="60"/>
              <w:ind w:left="0"/>
              <w:jc w:val="left"/>
            </w:pPr>
            <w:r w:rsidRPr="00AF3FA5">
              <w:t>PBS doctor’s bag</w:t>
            </w:r>
          </w:p>
        </w:tc>
        <w:tc>
          <w:tcPr>
            <w:tcW w:w="6379" w:type="dxa"/>
            <w:shd w:val="clear" w:color="auto" w:fill="auto"/>
          </w:tcPr>
          <w:p w:rsidR="00AF3FA5" w:rsidRPr="00F459BD" w:rsidRDefault="00AF3FA5" w:rsidP="00AF3FA5">
            <w:pPr>
              <w:pStyle w:val="TableBodyText"/>
              <w:spacing w:before="60" w:after="60"/>
              <w:jc w:val="left"/>
            </w:pPr>
            <w:r>
              <w:t xml:space="preserve">Emergency drug supplies provided without charge to prescribers for use in </w:t>
            </w:r>
            <w:r w:rsidRPr="00AF3FA5">
              <w:t>medical emergencies in the clinic or the community</w:t>
            </w:r>
            <w:r>
              <w:t xml:space="preserve"> at no charge to the patient.</w:t>
            </w:r>
          </w:p>
        </w:tc>
      </w:tr>
      <w:tr w:rsidR="00182D9A" w:rsidRPr="00E51597"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 xml:space="preserve">Per person benefits paid for GP ordered pathology </w:t>
            </w:r>
          </w:p>
        </w:tc>
        <w:tc>
          <w:tcPr>
            <w:tcW w:w="6379" w:type="dxa"/>
            <w:shd w:val="clear" w:color="auto" w:fill="auto"/>
          </w:tcPr>
          <w:p w:rsidR="00182D9A" w:rsidRPr="00F459BD" w:rsidRDefault="00557713" w:rsidP="00A663F4">
            <w:pPr>
              <w:pStyle w:val="TableBodyText"/>
              <w:spacing w:before="60" w:after="60"/>
              <w:ind w:left="0"/>
              <w:jc w:val="left"/>
            </w:pPr>
            <w:r w:rsidRPr="00F459BD">
              <w:t xml:space="preserve">Total benefits paid </w:t>
            </w:r>
            <w:r w:rsidR="00C90EA8">
              <w:t xml:space="preserve">under </w:t>
            </w:r>
            <w:r w:rsidR="002D7882" w:rsidRPr="002D7882">
              <w:t xml:space="preserve">DHS Medicare </w:t>
            </w:r>
            <w:r w:rsidRPr="00F459BD">
              <w:t xml:space="preserve">for pathology tests </w:t>
            </w:r>
            <w:r w:rsidR="00C90EA8">
              <w:t>requested</w:t>
            </w:r>
            <w:r w:rsidRPr="00F459BD">
              <w:t xml:space="preserve"> by GPs, divided by the population.</w:t>
            </w:r>
          </w:p>
        </w:tc>
      </w:tr>
      <w:tr w:rsidR="00182D9A" w:rsidRPr="00E51597" w:rsidTr="00E51597">
        <w:tc>
          <w:tcPr>
            <w:tcW w:w="2410" w:type="dxa"/>
            <w:shd w:val="clear" w:color="auto" w:fill="auto"/>
            <w:tcMar>
              <w:left w:w="0" w:type="dxa"/>
            </w:tcMar>
          </w:tcPr>
          <w:p w:rsidR="0002634A" w:rsidRPr="00F459BD" w:rsidRDefault="00557713" w:rsidP="00E51597">
            <w:pPr>
              <w:pStyle w:val="TableBodyText"/>
              <w:spacing w:before="60" w:after="60"/>
              <w:ind w:left="0"/>
              <w:jc w:val="left"/>
            </w:pPr>
            <w:r w:rsidRPr="00F459BD">
              <w:t>Per person benefits paid for GP referred diagnostic imaging</w:t>
            </w:r>
          </w:p>
        </w:tc>
        <w:tc>
          <w:tcPr>
            <w:tcW w:w="6379" w:type="dxa"/>
            <w:shd w:val="clear" w:color="auto" w:fill="auto"/>
          </w:tcPr>
          <w:p w:rsidR="00182D9A" w:rsidRPr="00F459BD" w:rsidRDefault="00557713" w:rsidP="00E51597">
            <w:pPr>
              <w:pStyle w:val="TableBodyText"/>
              <w:spacing w:before="60" w:after="60"/>
              <w:ind w:left="0"/>
              <w:jc w:val="left"/>
            </w:pPr>
            <w:r w:rsidRPr="00F459BD">
              <w:t xml:space="preserve">Total benefits paid for diagnostic imaging </w:t>
            </w:r>
            <w:r w:rsidR="00C90EA8">
              <w:t>services</w:t>
            </w:r>
            <w:r w:rsidR="00A77C1D">
              <w:t xml:space="preserve"> performed on ref</w:t>
            </w:r>
            <w:r w:rsidRPr="00F459BD">
              <w:t>err</w:t>
            </w:r>
            <w:r w:rsidR="00A77C1D">
              <w:t>al</w:t>
            </w:r>
            <w:r w:rsidRPr="00F459BD">
              <w:t xml:space="preserve"> by GPs, divided by the population.</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Primary healthcare</w:t>
            </w:r>
          </w:p>
        </w:tc>
        <w:tc>
          <w:tcPr>
            <w:tcW w:w="6379" w:type="dxa"/>
            <w:shd w:val="clear" w:color="auto" w:fill="auto"/>
          </w:tcPr>
          <w:p w:rsidR="00557713" w:rsidRPr="00F459BD" w:rsidRDefault="00557713" w:rsidP="00E51597">
            <w:pPr>
              <w:pStyle w:val="TableBodyText"/>
              <w:spacing w:before="60" w:after="60"/>
              <w:ind w:left="0"/>
              <w:jc w:val="left"/>
            </w:pPr>
            <w:r w:rsidRPr="00F459BD">
              <w:t>The primary and community healthcare sector includes services that:</w:t>
            </w:r>
          </w:p>
          <w:p w:rsidR="00557713" w:rsidRPr="00F459BD" w:rsidRDefault="00557713" w:rsidP="002D6D02">
            <w:pPr>
              <w:pStyle w:val="TableBullet"/>
            </w:pPr>
            <w:r w:rsidRPr="00F459BD">
              <w:t>provide the first point of contact with the health system</w:t>
            </w:r>
          </w:p>
          <w:p w:rsidR="00557713" w:rsidRPr="00F459BD" w:rsidRDefault="00557713" w:rsidP="002D6D02">
            <w:pPr>
              <w:pStyle w:val="TableBullet"/>
            </w:pPr>
            <w:r w:rsidRPr="00F459BD">
              <w:t>have a particular focus on illness prevention or early intervention</w:t>
            </w:r>
          </w:p>
          <w:p w:rsidR="00557713" w:rsidRPr="00F459BD" w:rsidRDefault="00557713" w:rsidP="002D6D02">
            <w:pPr>
              <w:pStyle w:val="TableBullet"/>
            </w:pPr>
            <w:r w:rsidRPr="00F459BD">
              <w:t>are intended to maintain people’s independence and maximise their quality of life through care and support at home or in local community settings.</w:t>
            </w:r>
          </w:p>
        </w:tc>
      </w:tr>
      <w:tr w:rsidR="00557713" w:rsidRPr="00E51597" w:rsidTr="00E51597">
        <w:trPr>
          <w:trHeight w:val="282"/>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Prevalence</w:t>
            </w:r>
          </w:p>
        </w:tc>
        <w:tc>
          <w:tcPr>
            <w:tcW w:w="6379" w:type="dxa"/>
            <w:shd w:val="clear" w:color="auto" w:fill="auto"/>
          </w:tcPr>
          <w:p w:rsidR="00557713" w:rsidRPr="00F459BD" w:rsidRDefault="00557713" w:rsidP="00E51597">
            <w:pPr>
              <w:pStyle w:val="TableBodyText"/>
              <w:spacing w:before="60" w:after="60"/>
              <w:ind w:left="0"/>
              <w:jc w:val="left"/>
            </w:pPr>
            <w:r w:rsidRPr="00F459BD">
              <w:t>The proportion of the population suffering from a disorder at a given point in time (point prevalence) o</w:t>
            </w:r>
            <w:r w:rsidR="0002634A" w:rsidRPr="00F459BD">
              <w:t>r given period (period </w:t>
            </w:r>
            <w:r w:rsidRPr="00F459BD">
              <w:t>prevalence).</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Proportion of GPs who are female</w:t>
            </w:r>
          </w:p>
        </w:tc>
        <w:tc>
          <w:tcPr>
            <w:tcW w:w="6379" w:type="dxa"/>
            <w:shd w:val="clear" w:color="auto" w:fill="auto"/>
          </w:tcPr>
          <w:p w:rsidR="00557713" w:rsidRPr="00F459BD" w:rsidRDefault="00557713" w:rsidP="00E51597">
            <w:pPr>
              <w:pStyle w:val="TableBodyText"/>
              <w:spacing w:before="60" w:after="60"/>
              <w:ind w:left="0"/>
              <w:jc w:val="left"/>
            </w:pPr>
            <w:r w:rsidRPr="00F459BD">
              <w:t>Number of all FWE GPs who are female, divided by the total number of FWE GPs.</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Proportion of GPs with vocational recognition</w:t>
            </w:r>
          </w:p>
        </w:tc>
        <w:tc>
          <w:tcPr>
            <w:tcW w:w="6379" w:type="dxa"/>
            <w:shd w:val="clear" w:color="auto" w:fill="auto"/>
          </w:tcPr>
          <w:p w:rsidR="00557713" w:rsidRPr="00F459BD" w:rsidRDefault="00557713" w:rsidP="00E51597">
            <w:pPr>
              <w:pStyle w:val="TableBodyText"/>
              <w:spacing w:before="60" w:after="60"/>
              <w:ind w:left="0"/>
              <w:jc w:val="left"/>
            </w:pPr>
            <w:r w:rsidRPr="00F459BD">
              <w:t xml:space="preserve">Number of FWE GPs who are vocationally </w:t>
            </w:r>
            <w:r w:rsidR="000B2487" w:rsidRPr="000B2487">
              <w:t>registered</w:t>
            </w:r>
            <w:r w:rsidRPr="00F459BD">
              <w:t>, divided by the total number of FWE GPs.</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Proportion of general practices registered for accreditation</w:t>
            </w:r>
          </w:p>
        </w:tc>
        <w:tc>
          <w:tcPr>
            <w:tcW w:w="6379" w:type="dxa"/>
            <w:shd w:val="clear" w:color="auto" w:fill="auto"/>
          </w:tcPr>
          <w:p w:rsidR="00557713" w:rsidRPr="00F459BD" w:rsidRDefault="00557713" w:rsidP="005C678C">
            <w:pPr>
              <w:pStyle w:val="TableBodyText"/>
              <w:spacing w:before="60" w:after="60"/>
              <w:ind w:left="0"/>
              <w:jc w:val="left"/>
            </w:pPr>
            <w:r w:rsidRPr="00F459BD">
              <w:t xml:space="preserve">Number of practices registered for accreditation through either of the two accreditation bodies </w:t>
            </w:r>
            <w:r w:rsidR="00290739" w:rsidRPr="00F459BD">
              <w:t>(</w:t>
            </w:r>
            <w:r w:rsidRPr="00F459BD">
              <w:t xml:space="preserve">AGPAL and </w:t>
            </w:r>
            <w:r w:rsidR="00D27986" w:rsidRPr="00D27986">
              <w:t>Quality Practice Accreditation Pty Ltd</w:t>
            </w:r>
            <w:r w:rsidR="00290739" w:rsidRPr="00F459BD">
              <w:t>)</w:t>
            </w:r>
            <w:r w:rsidRPr="00F459BD">
              <w:t>, divided by the total number of practices.</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 xml:space="preserve">Proportion of general practices with electronic </w:t>
            </w:r>
            <w:r w:rsidR="00201E79" w:rsidRPr="00F459BD">
              <w:t xml:space="preserve">health </w:t>
            </w:r>
            <w:r w:rsidRPr="00F459BD">
              <w:t>information systems</w:t>
            </w:r>
          </w:p>
        </w:tc>
        <w:tc>
          <w:tcPr>
            <w:tcW w:w="6379" w:type="dxa"/>
            <w:shd w:val="clear" w:color="auto" w:fill="auto"/>
          </w:tcPr>
          <w:p w:rsidR="00557713" w:rsidRDefault="00557713" w:rsidP="00E51597">
            <w:pPr>
              <w:pStyle w:val="TableBodyText"/>
              <w:spacing w:before="60" w:after="60"/>
              <w:ind w:left="0"/>
              <w:jc w:val="left"/>
            </w:pPr>
            <w:r w:rsidRPr="00F459BD">
              <w:t xml:space="preserve">Number of </w:t>
            </w:r>
            <w:r w:rsidR="00201E79" w:rsidRPr="00F459BD">
              <w:t>PIP-registered</w:t>
            </w:r>
            <w:r w:rsidR="00513FE1" w:rsidRPr="00F459BD">
              <w:t xml:space="preserve"> </w:t>
            </w:r>
            <w:r w:rsidRPr="00F459BD">
              <w:t xml:space="preserve">practices that </w:t>
            </w:r>
            <w:r w:rsidR="00201E79" w:rsidRPr="00F459BD">
              <w:t>have taken up the eHealth PIP incentive</w:t>
            </w:r>
            <w:r w:rsidRPr="00F459BD">
              <w:t>, divided by the total number of practices registered.</w:t>
            </w:r>
          </w:p>
          <w:p w:rsidR="00864A84" w:rsidRPr="00F459BD" w:rsidRDefault="00864A84" w:rsidP="00E51597">
            <w:pPr>
              <w:pStyle w:val="TableBodyText"/>
              <w:spacing w:before="60" w:after="60"/>
              <w:ind w:left="0"/>
              <w:jc w:val="left"/>
            </w:pP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lastRenderedPageBreak/>
              <w:t>Public health</w:t>
            </w:r>
          </w:p>
        </w:tc>
        <w:tc>
          <w:tcPr>
            <w:tcW w:w="6379" w:type="dxa"/>
            <w:shd w:val="clear" w:color="auto" w:fill="auto"/>
          </w:tcPr>
          <w:p w:rsidR="00557713" w:rsidRPr="00F459BD" w:rsidRDefault="00557713" w:rsidP="00E51597">
            <w:pPr>
              <w:pStyle w:val="TableBodyText"/>
              <w:spacing w:before="60" w:after="60"/>
              <w:ind w:left="0"/>
              <w:jc w:val="left"/>
            </w:pPr>
            <w:r w:rsidRPr="00F459B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at-risk groups) and complements clinical provision of healthcare services.</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Recognised immunisation provider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provider recognised by </w:t>
            </w:r>
            <w:r w:rsidR="002D7882" w:rsidRPr="002D7882">
              <w:t xml:space="preserve">DHS Medicare </w:t>
            </w:r>
            <w:r w:rsidRPr="00F459BD">
              <w:t>as a provider of immunisation to children.</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Recognised specialist</w:t>
            </w:r>
          </w:p>
        </w:tc>
        <w:tc>
          <w:tcPr>
            <w:tcW w:w="6379" w:type="dxa"/>
            <w:shd w:val="clear" w:color="auto" w:fill="auto"/>
          </w:tcPr>
          <w:p w:rsidR="00557713" w:rsidRPr="006764BC" w:rsidRDefault="00557713" w:rsidP="00A663F4">
            <w:pPr>
              <w:pStyle w:val="TableBodyText"/>
              <w:spacing w:before="60" w:after="60"/>
              <w:ind w:left="0"/>
              <w:jc w:val="left"/>
              <w:rPr>
                <w:highlight w:val="yellow"/>
              </w:rPr>
            </w:pPr>
            <w:r w:rsidRPr="00931CC9">
              <w:t xml:space="preserve">A medical practitioner classified as a specialist </w:t>
            </w:r>
            <w:r w:rsidR="001177EC" w:rsidRPr="00931CC9">
              <w:t xml:space="preserve">by the Medical Board of Australia </w:t>
            </w:r>
            <w:r w:rsidR="006764BC" w:rsidRPr="00931CC9">
              <w:t xml:space="preserve">and </w:t>
            </w:r>
            <w:r w:rsidRPr="00931CC9">
              <w:t xml:space="preserve">on the </w:t>
            </w:r>
            <w:r w:rsidR="002D7882" w:rsidRPr="00931CC9">
              <w:t xml:space="preserve">DHS Medicare </w:t>
            </w:r>
            <w:r w:rsidRPr="00931CC9">
              <w:t xml:space="preserve">database earning at least half of his or her income from relevant specialist items in the schedule, having regard to the practitioner’s </w:t>
            </w:r>
            <w:r w:rsidR="006764BC" w:rsidRPr="00931CC9">
              <w:t>field of specialist recognition.</w:t>
            </w:r>
          </w:p>
        </w:tc>
      </w:tr>
      <w:tr w:rsidR="00557713" w:rsidRPr="00E51597" w:rsidTr="00E51597">
        <w:trPr>
          <w:trHeight w:val="266"/>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Screening</w:t>
            </w:r>
          </w:p>
        </w:tc>
        <w:tc>
          <w:tcPr>
            <w:tcW w:w="6379" w:type="dxa"/>
            <w:shd w:val="clear" w:color="auto" w:fill="auto"/>
          </w:tcPr>
          <w:p w:rsidR="00174257" w:rsidRPr="00F459BD" w:rsidRDefault="00557713" w:rsidP="00E51597">
            <w:pPr>
              <w:pStyle w:val="TableBodyText"/>
              <w:spacing w:before="60" w:after="60"/>
              <w:ind w:left="0"/>
              <w:jc w:val="left"/>
            </w:pPr>
            <w:r w:rsidRPr="00F459BD">
              <w:t xml:space="preserve">The performance of tests on apparently well people to detect a medical condition </w:t>
            </w:r>
            <w:r w:rsidR="00900FDC" w:rsidRPr="00F459BD">
              <w:t>earlier than would otherwise be possible</w:t>
            </w:r>
            <w:r w:rsidRPr="00F459BD">
              <w:t>.</w:t>
            </w:r>
            <w:r w:rsidR="00174257" w:rsidRPr="00F459BD">
              <w:br/>
            </w:r>
          </w:p>
        </w:tc>
      </w:tr>
      <w:tr w:rsidR="002B2E0C" w:rsidRPr="00F459BD" w:rsidTr="00E51597">
        <w:tc>
          <w:tcPr>
            <w:tcW w:w="2410" w:type="dxa"/>
            <w:shd w:val="clear" w:color="auto" w:fill="auto"/>
            <w:tcMar>
              <w:left w:w="0" w:type="dxa"/>
            </w:tcMar>
          </w:tcPr>
          <w:p w:rsidR="002B2E0C" w:rsidRPr="00F459BD" w:rsidRDefault="002B2E0C" w:rsidP="00E51597">
            <w:pPr>
              <w:pStyle w:val="TableBodyText"/>
              <w:jc w:val="left"/>
            </w:pPr>
            <w:r w:rsidRPr="00F459BD">
              <w:t>Triage category</w:t>
            </w:r>
          </w:p>
        </w:tc>
        <w:tc>
          <w:tcPr>
            <w:tcW w:w="6379" w:type="dxa"/>
            <w:shd w:val="clear" w:color="auto" w:fill="auto"/>
          </w:tcPr>
          <w:p w:rsidR="002B2E0C" w:rsidRPr="00F459BD" w:rsidRDefault="002B2E0C" w:rsidP="00E51597">
            <w:pPr>
              <w:pStyle w:val="TableBodyText"/>
              <w:jc w:val="left"/>
            </w:pPr>
            <w:r w:rsidRPr="00F459BD">
              <w:t>The urgency of the patient’s need for medical and nursing care:</w:t>
            </w:r>
          </w:p>
          <w:p w:rsidR="002B2E0C" w:rsidRPr="00F459BD" w:rsidRDefault="002B2E0C" w:rsidP="006B4004">
            <w:pPr>
              <w:pStyle w:val="TableBullet"/>
            </w:pPr>
            <w:r w:rsidRPr="00F459BD">
              <w:t>category 1 — resuscitation (immediate within seconds)</w:t>
            </w:r>
          </w:p>
          <w:p w:rsidR="002B2E0C" w:rsidRPr="00F459BD" w:rsidRDefault="002B2E0C" w:rsidP="006B4004">
            <w:pPr>
              <w:pStyle w:val="TableBullet"/>
            </w:pPr>
            <w:r w:rsidRPr="00F459BD">
              <w:t>category 2 — emergency (within 10 minutes)</w:t>
            </w:r>
          </w:p>
          <w:p w:rsidR="002B2E0C" w:rsidRPr="00F459BD" w:rsidRDefault="002B2E0C" w:rsidP="006B4004">
            <w:pPr>
              <w:pStyle w:val="TableBullet"/>
            </w:pPr>
            <w:r w:rsidRPr="00F459BD">
              <w:t>category 3 — urgent (within 30 minutes)</w:t>
            </w:r>
          </w:p>
          <w:p w:rsidR="002B2E0C" w:rsidRPr="00F459BD" w:rsidRDefault="002B2E0C" w:rsidP="006B4004">
            <w:pPr>
              <w:pStyle w:val="TableBullet"/>
            </w:pPr>
            <w:r w:rsidRPr="00F459BD">
              <w:t>category 4 — semi-urgent (within 60 minutes)</w:t>
            </w:r>
          </w:p>
          <w:p w:rsidR="002B2E0C" w:rsidRPr="00F459BD" w:rsidRDefault="002B2E0C" w:rsidP="006B4004">
            <w:pPr>
              <w:pStyle w:val="TableBullet"/>
            </w:pPr>
            <w:r w:rsidRPr="00F459BD">
              <w:t>category 5 — non-urgent (within 120 minutes).</w:t>
            </w:r>
          </w:p>
        </w:tc>
      </w:tr>
      <w:tr w:rsidR="00557713" w:rsidRPr="00F459BD" w:rsidTr="00E51597">
        <w:tc>
          <w:tcPr>
            <w:tcW w:w="2410" w:type="dxa"/>
            <w:shd w:val="clear" w:color="auto" w:fill="auto"/>
            <w:tcMar>
              <w:left w:w="0" w:type="dxa"/>
            </w:tcMar>
          </w:tcPr>
          <w:p w:rsidR="00557713" w:rsidRPr="00F459BD" w:rsidRDefault="00557713" w:rsidP="001177EC">
            <w:pPr>
              <w:pStyle w:val="TableBodyText"/>
              <w:spacing w:before="60" w:after="60"/>
              <w:ind w:left="0"/>
              <w:jc w:val="left"/>
            </w:pPr>
            <w:r w:rsidRPr="00F459BD">
              <w:t xml:space="preserve">Vocationally </w:t>
            </w:r>
            <w:r w:rsidR="001177EC">
              <w:t>registered</w:t>
            </w:r>
            <w:r w:rsidRPr="00F459BD">
              <w:t xml:space="preserve"> general practitioner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medical practitioner who is vocationally </w:t>
            </w:r>
            <w:r w:rsidR="000B2487" w:rsidRPr="000B2487">
              <w:t xml:space="preserve">registered </w:t>
            </w:r>
            <w:r w:rsidRPr="00F459BD">
              <w:t xml:space="preserve">under s.3F of the </w:t>
            </w:r>
            <w:r w:rsidRPr="00E51597">
              <w:rPr>
                <w:i/>
              </w:rPr>
              <w:t>Health Insurance Act 1973</w:t>
            </w:r>
            <w:r w:rsidRPr="00F459BD">
              <w:t xml:space="preserve"> (Cwlth), holds Fellowship of the RACGP, ACRRM, or equivalent, or holds a recognised training placement, and who has at least half of the schedule fee value of his/her </w:t>
            </w:r>
            <w:r w:rsidR="002D7882" w:rsidRPr="002D7882">
              <w:t>DHS Medicare</w:t>
            </w:r>
            <w:r w:rsidRPr="00F459BD">
              <w:t xml:space="preserve"> billin</w:t>
            </w:r>
            <w:r w:rsidR="001177EC">
              <w:t>g from non-referred attendances.</w:t>
            </w:r>
          </w:p>
        </w:tc>
      </w:tr>
    </w:tbl>
    <w:p w:rsidR="0060104B" w:rsidRDefault="00BA49FA" w:rsidP="00BA49FA">
      <w:pPr>
        <w:pStyle w:val="Heading2"/>
      </w:pPr>
      <w:r w:rsidRPr="00F459BD">
        <w:br w:type="page"/>
      </w:r>
      <w:bookmarkStart w:id="81" w:name="_Toc208034416"/>
      <w:bookmarkStart w:id="82" w:name="_Toc274941104"/>
    </w:p>
    <w:p w:rsidR="00BB7C13" w:rsidRPr="00F459BD" w:rsidRDefault="00EC42DB" w:rsidP="00BA49FA">
      <w:pPr>
        <w:pStyle w:val="Heading2"/>
      </w:pPr>
      <w:r w:rsidRPr="00F459BD">
        <w:lastRenderedPageBreak/>
        <w:t>11.</w:t>
      </w:r>
      <w:r w:rsidR="00C44281">
        <w:rPr>
          <w:noProof/>
        </w:rPr>
        <w:t>6</w:t>
      </w:r>
      <w:r w:rsidR="003D3E53" w:rsidRPr="00F459BD">
        <w:tab/>
      </w:r>
      <w:r w:rsidR="00756E53" w:rsidRPr="00F459BD">
        <w:t>List of a</w:t>
      </w:r>
      <w:r w:rsidR="00BB7C13" w:rsidRPr="00F459BD">
        <w:t>ttachment tables</w:t>
      </w:r>
      <w:bookmarkEnd w:id="81"/>
      <w:bookmarkEnd w:id="82"/>
    </w:p>
    <w:p w:rsidR="0059366F" w:rsidRPr="00862112" w:rsidRDefault="00BB7C13" w:rsidP="00862112">
      <w:pPr>
        <w:pStyle w:val="BodyText"/>
        <w:rPr>
          <w:rStyle w:val="DraftingNote"/>
          <w:b w:val="0"/>
          <w:color w:val="auto"/>
          <w:sz w:val="26"/>
          <w:u w:val="none"/>
        </w:rPr>
      </w:pPr>
      <w:r w:rsidRPr="00F459BD">
        <w:t>Attachment tables are identified in references throu</w:t>
      </w:r>
      <w:r w:rsidR="001559E7">
        <w:t>ghout this chapter by a ‘11A’ pre</w:t>
      </w:r>
      <w:r w:rsidRPr="00F459BD">
        <w:t>fix (for example, table 11A.</w:t>
      </w:r>
      <w:r w:rsidR="00F60BCB">
        <w:t>1</w:t>
      </w:r>
      <w:r w:rsidRPr="00F459BD">
        <w:t xml:space="preserve">). Attachment tables are </w:t>
      </w:r>
      <w:r w:rsidR="004430E0" w:rsidRPr="00F459BD">
        <w:t>available</w:t>
      </w:r>
      <w:r w:rsidRPr="00F459BD">
        <w:t xml:space="preserve"> on the Review we</w:t>
      </w:r>
      <w:r w:rsidR="004659E4">
        <w:t>bsite (</w:t>
      </w:r>
      <w:r w:rsidR="00E54676" w:rsidRPr="00EF08B7">
        <w:t>www.pc.gov.au/gsp</w:t>
      </w:r>
      <w:r w:rsidR="004659E4">
        <w:t>).</w:t>
      </w:r>
    </w:p>
    <w:p w:rsidR="0059366F" w:rsidRPr="00F459BD" w:rsidRDefault="0059366F" w:rsidP="003D6F16">
      <w:pPr>
        <w:pStyle w:val="BodyText"/>
        <w:spacing w:before="0"/>
      </w:pPr>
    </w:p>
    <w:tbl>
      <w:tblPr>
        <w:tblW w:w="8789" w:type="dxa"/>
        <w:tblCellMar>
          <w:left w:w="0" w:type="dxa"/>
          <w:right w:w="0" w:type="dxa"/>
        </w:tblCellMar>
        <w:tblLook w:val="04A0" w:firstRow="1" w:lastRow="0" w:firstColumn="1" w:lastColumn="0" w:noHBand="0" w:noVBand="1"/>
      </w:tblPr>
      <w:tblGrid>
        <w:gridCol w:w="1580"/>
        <w:gridCol w:w="7209"/>
      </w:tblGrid>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Types of encounter, 2012-13  </w:t>
            </w:r>
          </w:p>
        </w:tc>
      </w:tr>
      <w:tr w:rsidR="002A7C7C" w:rsidTr="002A7C7C">
        <w:trPr>
          <w:trHeight w:val="360"/>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Australian Government real expenditure on GPs — fee-for-service expenditure ($</w:t>
            </w:r>
            <w:r>
              <w:rPr>
                <w:rFonts w:ascii="Arial" w:hAnsi="Arial" w:cs="Arial"/>
                <w:sz w:val="20"/>
                <w:szCs w:val="20"/>
              </w:rPr>
              <w:t> </w:t>
            </w:r>
            <w:r w:rsidRPr="002A7C7C">
              <w:rPr>
                <w:rFonts w:ascii="Arial" w:hAnsi="Arial" w:cs="Arial"/>
                <w:sz w:val="20"/>
                <w:szCs w:val="20"/>
              </w:rPr>
              <w:t xml:space="preserve">million) (2012-13 dollars)   </w:t>
            </w:r>
          </w:p>
        </w:tc>
      </w:tr>
      <w:tr w:rsidR="002A7C7C" w:rsidTr="002A7C7C">
        <w:trPr>
          <w:trHeight w:val="35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Australian Government real expenditure on GPs ($ million) (2012-13 dollars)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Australian government expenditure on the Pharmaceutical Benefits Scheme (2012-13 dollars)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Australian government expenditure on the Pharmaceutical Benefits Scheme, by type of service (2012-13 dollars)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Australian Government expenditure on PBS medicines supplied to Aboriginal Health Services in remote areas, 2012-13   </w:t>
            </w:r>
          </w:p>
        </w:tc>
      </w:tr>
      <w:tr w:rsidR="002A7C7C" w:rsidTr="002A7C7C">
        <w:trPr>
          <w:trHeight w:val="37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Expenditure on dental services, 2011-12 ($ million)</w:t>
            </w:r>
          </w:p>
        </w:tc>
      </w:tr>
      <w:tr w:rsidR="002A7C7C" w:rsidTr="00866EF5">
        <w:trPr>
          <w:trHeight w:val="27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Australian Government funding of Aboriginal Medical Services    </w:t>
            </w:r>
          </w:p>
        </w:tc>
      </w:tr>
      <w:tr w:rsidR="002A7C7C" w:rsidTr="002A7C7C">
        <w:trPr>
          <w:trHeight w:val="44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Medical practitioners billing Medicare and full time workload equivalent (FWE) GPs    </w:t>
            </w:r>
          </w:p>
        </w:tc>
      </w:tr>
      <w:tr w:rsidR="002A7C7C" w:rsidTr="00866EF5">
        <w:trPr>
          <w:trHeight w:val="23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Number of GP-type services used per 1000 people    </w:t>
            </w:r>
          </w:p>
        </w:tc>
      </w:tr>
      <w:tr w:rsidR="002A7C7C" w:rsidTr="002A7C7C">
        <w:trPr>
          <w:trHeight w:val="283"/>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PBS services</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PBS services, by service type ('000)</w:t>
            </w:r>
          </w:p>
        </w:tc>
      </w:tr>
      <w:tr w:rsidR="002A7C7C" w:rsidTr="002A7C7C">
        <w:trPr>
          <w:trHeight w:val="390"/>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Use of public dental services, by service type, 2010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Alcohol and other drug treatment services, 2011-12 (number)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Indigenous primary healthcare services and episodes of healthcare (number)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Indigenous primary healthcare services and episodes of healthcare, by remoteness category (number)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Indigenous primary healthcare services that undertook selected health related activities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Full time equivalent (FTE) health staff employed by Indigenous primary healthcare services which provide data for Online Services Reporting (OSR) (number)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11A.19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Approved providers of PBS medicines, by urban and rural location, at 30 June  </w:t>
            </w:r>
          </w:p>
        </w:tc>
      </w:tr>
      <w:tr w:rsidR="002A7C7C" w:rsidTr="002A7C7C">
        <w:trPr>
          <w:trHeight w:val="30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PBS expenditure per person, by remoteness area (2012-13 dollars)    </w:t>
            </w:r>
          </w:p>
        </w:tc>
      </w:tr>
      <w:tr w:rsidR="002A7C7C" w:rsidTr="002A7C7C">
        <w:trPr>
          <w:trHeight w:val="46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PBS expenditure per person, by urban and rural location, 2008-09 to 2011-12 (2012-13 dollars)    </w:t>
            </w:r>
          </w:p>
        </w:tc>
      </w:tr>
      <w:tr w:rsidR="002A7C7C" w:rsidTr="00866EF5">
        <w:trPr>
          <w:trHeight w:val="34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Availability of GPs by remoteness area, 2012-13      </w:t>
            </w:r>
          </w:p>
        </w:tc>
      </w:tr>
      <w:tr w:rsidR="002A7C7C" w:rsidTr="00866EF5">
        <w:trPr>
          <w:trHeight w:val="28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Availability of GPs by region, 2003-04 to 2011-12    </w:t>
            </w:r>
          </w:p>
        </w:tc>
      </w:tr>
      <w:tr w:rsidR="002A7C7C" w:rsidTr="002A7C7C">
        <w:trPr>
          <w:trHeight w:val="303"/>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Availability of female GPs    </w:t>
            </w:r>
          </w:p>
        </w:tc>
      </w:tr>
      <w:tr w:rsidR="002A7C7C" w:rsidTr="002A7C7C">
        <w:trPr>
          <w:trHeight w:val="26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Availability of public dentists (per 100 000 people)    </w:t>
            </w:r>
          </w:p>
        </w:tc>
      </w:tr>
      <w:tr w:rsidR="002A7C7C" w:rsidTr="002A7C7C">
        <w:trPr>
          <w:trHeight w:val="328"/>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Availability of public dental hygienists and dental therapists (per 100 000 people)    </w:t>
            </w:r>
          </w:p>
        </w:tc>
      </w:tr>
      <w:tr w:rsidR="002A7C7C" w:rsidTr="00866EF5">
        <w:trPr>
          <w:trHeight w:val="23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Annual health assessments for older people by Indigenous status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Older Indigenous Australians who received an annual health assessment (per</w:t>
            </w:r>
            <w:r>
              <w:rPr>
                <w:rFonts w:ascii="Arial" w:hAnsi="Arial" w:cs="Arial"/>
                <w:sz w:val="20"/>
                <w:szCs w:val="20"/>
              </w:rPr>
              <w:t> </w:t>
            </w:r>
            <w:r w:rsidRPr="002A7C7C">
              <w:rPr>
                <w:rFonts w:ascii="Arial" w:hAnsi="Arial" w:cs="Arial"/>
                <w:sz w:val="20"/>
                <w:szCs w:val="20"/>
              </w:rPr>
              <w:t xml:space="preserve">cent)      </w:t>
            </w:r>
          </w:p>
        </w:tc>
      </w:tr>
      <w:tr w:rsidR="002A7C7C" w:rsidRPr="00BB79D9" w:rsidTr="002A7C7C">
        <w:trPr>
          <w:trHeight w:val="554"/>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11A.29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Indigenous Australians who received a health c</w:t>
            </w:r>
            <w:r>
              <w:rPr>
                <w:rFonts w:ascii="Arial" w:hAnsi="Arial" w:cs="Arial"/>
                <w:sz w:val="20"/>
                <w:szCs w:val="20"/>
              </w:rPr>
              <w:t>heck or assessment, by age (per </w:t>
            </w:r>
            <w:r w:rsidRPr="002A7C7C">
              <w:rPr>
                <w:rFonts w:ascii="Arial" w:hAnsi="Arial" w:cs="Arial"/>
                <w:sz w:val="20"/>
                <w:szCs w:val="20"/>
              </w:rPr>
              <w:t xml:space="preserve">cent)    </w:t>
            </w:r>
          </w:p>
        </w:tc>
      </w:tr>
      <w:tr w:rsidR="002A7C7C" w:rsidTr="002A7C7C">
        <w:trPr>
          <w:trHeight w:val="554"/>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lastRenderedPageBreak/>
              <w:t>Table 11A.30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Early detection activities provided by Indigenous primary healthcare services for which OATSIH Services Reporting (OSR) data are reported    </w:t>
            </w:r>
          </w:p>
        </w:tc>
      </w:tr>
      <w:tr w:rsidR="002A7C7C" w:rsidTr="002A7C7C">
        <w:trPr>
          <w:trHeight w:val="49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children receiving a fourth year developmental health check, by type of health check (per cent)     </w:t>
            </w:r>
          </w:p>
        </w:tc>
      </w:tr>
      <w:tr w:rsidR="002A7C7C" w:rsidTr="002A7C7C">
        <w:trPr>
          <w:trHeight w:val="35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Non-referred attendances that were bulk billed, by region and age (per cent)    </w:t>
            </w:r>
          </w:p>
        </w:tc>
      </w:tr>
      <w:tr w:rsidR="002A7C7C" w:rsidTr="002A7C7C">
        <w:trPr>
          <w:trHeight w:val="36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Non-referred attendances that were bulk billed, by region and age, 2006-07 to 2011-12 (per cent)     </w:t>
            </w:r>
          </w:p>
        </w:tc>
      </w:tr>
      <w:tr w:rsidR="002A7C7C" w:rsidRPr="00AC310C" w:rsidTr="002A7C7C">
        <w:trPr>
          <w:trHeight w:val="431"/>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11A.34</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Non-referred attendances that were bulk billed by age (per cent)    </w:t>
            </w:r>
          </w:p>
        </w:tc>
      </w:tr>
      <w:tr w:rsidR="002A7C7C" w:rsidTr="002A7C7C">
        <w:trPr>
          <w:trHeight w:val="29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People deferring access to GPs due to cost, 2012-13 (per cent)      </w:t>
            </w:r>
          </w:p>
        </w:tc>
      </w:tr>
      <w:tr w:rsidR="002A7C7C" w:rsidTr="002A7C7C">
        <w:trPr>
          <w:trHeight w:val="24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Indigenous Australians deferring access to GPs due to cost, 2012-13 (per cent)     </w:t>
            </w:r>
          </w:p>
        </w:tc>
      </w:tr>
      <w:tr w:rsidR="002A7C7C" w:rsidTr="002A7C7C">
        <w:trPr>
          <w:trHeight w:val="34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Waiting time for GPs for an urgent appointment (per cent)      </w:t>
            </w:r>
          </w:p>
        </w:tc>
      </w:tr>
      <w:tr w:rsidR="002A7C7C" w:rsidTr="002A7C7C">
        <w:trPr>
          <w:trHeight w:val="55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who saw a GP in the previous 12 months who waited longer than felt acceptable to get an appointment, 2012-13 (per cent)   </w:t>
            </w:r>
          </w:p>
        </w:tc>
      </w:tr>
      <w:tr w:rsidR="002A7C7C" w:rsidTr="002A7C7C">
        <w:trPr>
          <w:trHeight w:val="576"/>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11A.39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Selected potentially avoidable GP-type presentations to emergency departments (number)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People attending a hospital emergency department who thought the care could have been provided at a general practice    </w:t>
            </w:r>
          </w:p>
        </w:tc>
      </w:tr>
      <w:tr w:rsidR="002A7C7C" w:rsidTr="002A7C7C">
        <w:trPr>
          <w:trHeight w:val="393"/>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People deferring access to prescribed medication due to cost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Indigenous people deferring access to prescribed medication due to co</w:t>
            </w:r>
            <w:r>
              <w:rPr>
                <w:rFonts w:ascii="Arial" w:hAnsi="Arial" w:cs="Arial"/>
                <w:sz w:val="20"/>
                <w:szCs w:val="20"/>
              </w:rPr>
              <w:t>st, 2012</w:t>
            </w:r>
            <w:r>
              <w:rPr>
                <w:rFonts w:ascii="Arial" w:hAnsi="Arial" w:cs="Arial"/>
                <w:sz w:val="20"/>
                <w:szCs w:val="20"/>
              </w:rPr>
              <w:noBreakHyphen/>
            </w:r>
            <w:r w:rsidRPr="002A7C7C">
              <w:rPr>
                <w:rFonts w:ascii="Arial" w:hAnsi="Arial" w:cs="Arial"/>
                <w:sz w:val="20"/>
                <w:szCs w:val="20"/>
              </w:rPr>
              <w:t xml:space="preserve">13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"Waiting time for public dentistry, 2012-13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Waiting time for public dentistry by remoteness, Australia, 2012-13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Waiting times for public dentistry, Indigenous Australians, by remoteness, Australia, 2012-13 (per cent)     </w:t>
            </w:r>
          </w:p>
        </w:tc>
      </w:tr>
      <w:tr w:rsidR="002A7C7C" w:rsidTr="002A7C7C">
        <w:trPr>
          <w:trHeight w:val="526"/>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full time workload equivalent (FWE) GPs with vocational registration by region, 2012-13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full time workload equivalent (FWE) GPs with vocational registration, by region, 2003-04 to 2011-12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Number and proportion of full time workload equivalent (FWE) GPs with vocational registration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11A.49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General practices that are accredited at 30 June </w:t>
            </w:r>
          </w:p>
        </w:tc>
      </w:tr>
      <w:tr w:rsidR="002A7C7C" w:rsidTr="002A7C7C">
        <w:trPr>
          <w:trHeight w:val="34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General practice activity in PIP practices (per cent)</w:t>
            </w:r>
          </w:p>
        </w:tc>
      </w:tr>
      <w:tr w:rsidR="002A7C7C" w:rsidTr="002A7C7C">
        <w:trPr>
          <w:trHeight w:val="373"/>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Filled prescriptions, ordered by GPs, for oral antibiotics that are used most commonly for treatment of upper respiratory tract infections, 2012-13    </w:t>
            </w:r>
          </w:p>
        </w:tc>
      </w:tr>
      <w:tr w:rsidR="002A7C7C" w:rsidTr="002A7C7C">
        <w:trPr>
          <w:trHeight w:val="279"/>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Prescriptions for oral antibiotics used most commonly in the treatment of upper respiratory tract infections ordered by GPs and provided to PBS concession card holders, 2007-08 to 2011-12    </w:t>
            </w:r>
          </w:p>
        </w:tc>
      </w:tr>
      <w:tr w:rsidR="002A7C7C" w:rsidTr="002A7C7C">
        <w:trPr>
          <w:trHeight w:val="660"/>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GP encounters for the management of acute URTI where systemic antibiotics were prescribed or supplied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GP encounters for the management of acute URTI where systemic antibiotics were prescribed or supplied, Australia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self-reported diabetes who had a GP annual cycle of care (per 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diabetes who had a GP annual cycle of care, by region (per cent)        </w:t>
            </w:r>
          </w:p>
        </w:tc>
      </w:tr>
      <w:tr w:rsidR="002A7C7C" w:rsidTr="00866EF5">
        <w:trPr>
          <w:trHeight w:val="448"/>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known diabetes who </w:t>
            </w:r>
            <w:r>
              <w:rPr>
                <w:rFonts w:ascii="Arial" w:hAnsi="Arial" w:cs="Arial"/>
                <w:sz w:val="20"/>
                <w:szCs w:val="20"/>
              </w:rPr>
              <w:t>had a HbA1c test in the last 12 </w:t>
            </w:r>
            <w:r w:rsidRPr="002A7C7C">
              <w:rPr>
                <w:rFonts w:ascii="Arial" w:hAnsi="Arial" w:cs="Arial"/>
                <w:sz w:val="20"/>
                <w:szCs w:val="20"/>
              </w:rPr>
              <w:t xml:space="preserve">months, 2011-12 (per cent)    </w:t>
            </w:r>
          </w:p>
        </w:tc>
      </w:tr>
      <w:tr w:rsidR="002A7C7C" w:rsidTr="002A7C7C">
        <w:trPr>
          <w:trHeight w:val="405"/>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lastRenderedPageBreak/>
              <w:t>Table 11A.58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aged 18 to 69 years with known diabetes who have a HbA1c (glycated haemoglobin) level less than or equal to 7.0 per cent , by State and Territory, by sex, 2011-12 (per cent)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11A.59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asthma with a written asthma action plan, by age (per cent)  </w:t>
            </w:r>
          </w:p>
        </w:tc>
      </w:tr>
      <w:tr w:rsidR="002A7C7C" w:rsidTr="002A7C7C">
        <w:trPr>
          <w:trHeight w:val="36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asthma with a written asthma plan, by region, 2007-08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11A.61</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people with asthma with a written asthma plan, by Indigenous status, 2004-05   </w:t>
            </w:r>
          </w:p>
        </w:tc>
      </w:tr>
      <w:tr w:rsidR="002A7C7C" w:rsidTr="002A7C7C">
        <w:trPr>
          <w:trHeight w:val="600"/>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11A.62</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GP use of chronic disease management Medicare items for care planning or case conferencing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Pathology tests requested by vocationally registered GPs and other medical practitioners (OMPs), real benefits paid (2012-13 dollars)  and number of rebated MBS pathology items     </w:t>
            </w:r>
          </w:p>
        </w:tc>
      </w:tr>
      <w:tr w:rsidR="002A7C7C" w:rsidTr="002A7C7C">
        <w:trPr>
          <w:trHeight w:val="612"/>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Pathology tests requested by vocationally registered GPs and other medical practitioners (OMPs), real benefits paid, 2008-09 to 2011-12 (2012-13 dollars)  and number of rebated MBS pathology items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Diagnostic imaging referred by vocationally registered GPs and other medical practitioners (OMPs) and rebated through Medicare, real benefits paid </w:t>
            </w:r>
            <w:r>
              <w:rPr>
                <w:rFonts w:ascii="Arial" w:hAnsi="Arial" w:cs="Arial"/>
                <w:sz w:val="20"/>
                <w:szCs w:val="20"/>
              </w:rPr>
              <w:br/>
            </w:r>
            <w:r w:rsidRPr="002A7C7C">
              <w:rPr>
                <w:rFonts w:ascii="Arial" w:hAnsi="Arial" w:cs="Arial"/>
                <w:sz w:val="20"/>
                <w:szCs w:val="20"/>
              </w:rPr>
              <w:t xml:space="preserve">(2012-13 dollars) and number of rebated MBS imaging items   </w:t>
            </w:r>
          </w:p>
        </w:tc>
      </w:tr>
      <w:tr w:rsidR="002A7C7C" w:rsidTr="002A7C7C">
        <w:trPr>
          <w:trHeight w:val="361"/>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Diagnostic imaging referred by vocationally registered GPs and other medical practitioners (OMPs) and rebated through Medicare, real benefits paid, 2008-09 to 2011-12 (2012-13 dollars) and number of rebated MBS imaging items      </w:t>
            </w:r>
          </w:p>
        </w:tc>
      </w:tr>
      <w:tr w:rsidR="002A7C7C" w:rsidTr="002A7C7C">
        <w:trPr>
          <w:trHeight w:val="32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Practices in the Practice Incentives Program (PIP) using computers for clinical purposes  </w:t>
            </w:r>
          </w:p>
        </w:tc>
      </w:tr>
      <w:tr w:rsidR="002A7C7C" w:rsidTr="002A7C7C">
        <w:trPr>
          <w:trHeight w:val="430"/>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11A.68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Practices in the Practice Incentives Program (PIP) using computers for</w:t>
            </w:r>
            <w:r w:rsidR="00657AE7">
              <w:rPr>
                <w:rFonts w:ascii="Arial" w:hAnsi="Arial" w:cs="Arial"/>
                <w:sz w:val="20"/>
                <w:szCs w:val="20"/>
              </w:rPr>
              <w:t xml:space="preserve"> clinical purposes, by region, 2013</w:t>
            </w:r>
          </w:p>
        </w:tc>
      </w:tr>
      <w:tr w:rsidR="002A7C7C" w:rsidTr="002A7C7C">
        <w:trPr>
          <w:trHeight w:val="281"/>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11A.69</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Practices in the Practice Incentives Program (PIP) using computers for clinical purposes, by region, 2010 to 2012  </w:t>
            </w:r>
          </w:p>
        </w:tc>
      </w:tr>
      <w:tr w:rsidR="002A7C7C" w:rsidTr="002A7C7C">
        <w:trPr>
          <w:trHeight w:val="24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11A.70</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Client experience of GPs by remoteness, States and Territories  </w:t>
            </w:r>
          </w:p>
        </w:tc>
      </w:tr>
      <w:tr w:rsidR="002A7C7C" w:rsidTr="002A7C7C">
        <w:trPr>
          <w:trHeight w:val="361"/>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11A.71</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Client experience of GPs by remoteness, Australia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11A.72</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Client experience of GPs by remoteness, Indigenous people, Australia, 2012-13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11A.73</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Client experience of dental professionals by remoteness, States and Territories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11A.74</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Client experience of dental professionals by remoteness, Australia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11A.75</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Annual health assessments for older people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11A.76</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Valid vaccinations supplied to children under seven years of age, by type of provider, 2008–2013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11A.77</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Children aged 12 months to less than 15 month</w:t>
            </w:r>
            <w:r>
              <w:rPr>
                <w:rFonts w:ascii="Arial" w:hAnsi="Arial" w:cs="Arial"/>
                <w:sz w:val="20"/>
                <w:szCs w:val="20"/>
              </w:rPr>
              <w:t>s who were fully immunised (per </w:t>
            </w:r>
            <w:r w:rsidRPr="002A7C7C">
              <w:rPr>
                <w:rFonts w:ascii="Arial" w:hAnsi="Arial" w:cs="Arial"/>
                <w:sz w:val="20"/>
                <w:szCs w:val="20"/>
              </w:rPr>
              <w:t xml:space="preserve">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11A.78</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Children aged 24 months to less than 27 month</w:t>
            </w:r>
            <w:r>
              <w:rPr>
                <w:rFonts w:ascii="Arial" w:hAnsi="Arial" w:cs="Arial"/>
                <w:sz w:val="20"/>
                <w:szCs w:val="20"/>
              </w:rPr>
              <w:t>s who were fully immunised (per </w:t>
            </w:r>
            <w:r w:rsidRPr="002A7C7C">
              <w:rPr>
                <w:rFonts w:ascii="Arial" w:hAnsi="Arial" w:cs="Arial"/>
                <w:sz w:val="20"/>
                <w:szCs w:val="20"/>
              </w:rPr>
              <w:t xml:space="preserve">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11A.79</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Children aged 60 months to less than 63 months who were fully immunised (per</w:t>
            </w:r>
            <w:r>
              <w:rPr>
                <w:rFonts w:ascii="Arial" w:hAnsi="Arial" w:cs="Arial"/>
                <w:sz w:val="20"/>
                <w:szCs w:val="20"/>
              </w:rPr>
              <w:t> </w:t>
            </w:r>
            <w:r w:rsidRPr="002A7C7C">
              <w:rPr>
                <w:rFonts w:ascii="Arial" w:hAnsi="Arial" w:cs="Arial"/>
                <w:sz w:val="20"/>
                <w:szCs w:val="20"/>
              </w:rPr>
              <w:t xml:space="preserve">cent)   </w:t>
            </w:r>
          </w:p>
        </w:tc>
      </w:tr>
      <w:tr w:rsidR="002A7C7C" w:rsidTr="002A7C7C">
        <w:trPr>
          <w:trHeight w:val="357"/>
        </w:trPr>
        <w:tc>
          <w:tcPr>
            <w:tcW w:w="1567" w:type="dxa"/>
            <w:tcBorders>
              <w:top w:val="nil"/>
              <w:left w:val="nil"/>
              <w:bottom w:val="nil"/>
              <w:right w:val="nil"/>
            </w:tcBorders>
            <w:shd w:val="clear" w:color="auto" w:fill="auto"/>
            <w:noWrap/>
            <w:hideMark/>
          </w:tcPr>
          <w:p w:rsidR="002A7C7C" w:rsidRPr="002A7C7C" w:rsidRDefault="002A7C7C" w:rsidP="002A7C7C">
            <w:pPr>
              <w:rPr>
                <w:rFonts w:ascii="Arial" w:hAnsi="Arial" w:cs="Arial"/>
                <w:b/>
                <w:sz w:val="20"/>
                <w:szCs w:val="20"/>
              </w:rPr>
            </w:pPr>
            <w:r w:rsidRPr="002A7C7C">
              <w:rPr>
                <w:rFonts w:ascii="Arial" w:hAnsi="Arial" w:cs="Arial"/>
                <w:b/>
                <w:sz w:val="20"/>
                <w:szCs w:val="20"/>
              </w:rPr>
              <w:t>Table 11A.80</w:t>
            </w:r>
          </w:p>
        </w:tc>
        <w:tc>
          <w:tcPr>
            <w:tcW w:w="7222" w:type="dxa"/>
            <w:tcBorders>
              <w:top w:val="nil"/>
              <w:left w:val="nil"/>
              <w:bottom w:val="nil"/>
              <w:right w:val="nil"/>
            </w:tcBorders>
            <w:shd w:val="clear" w:color="auto" w:fill="auto"/>
            <w:hideMark/>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Notifications of measles, children aged 0–14 years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11A.81</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Notifications of pertussis (whooping cough), children aged 0–14 years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11A.82</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Notifications of invasive Haemophilus influenzae type b, children aged 0–14 years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11A.83</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Participation rates for women in BreastScreen Australia (24 month period)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11A.84</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Participation rates for women in BreastScreen Australia by residential status, 2011 and 2012 (24 month period)</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11A.85</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Participation rates for Indigenous women screened by BreastScreen Australia </w:t>
            </w:r>
            <w:r>
              <w:rPr>
                <w:rFonts w:ascii="Arial" w:hAnsi="Arial" w:cs="Arial"/>
                <w:sz w:val="20"/>
                <w:szCs w:val="20"/>
              </w:rPr>
              <w:br/>
            </w:r>
            <w:r w:rsidRPr="002A7C7C">
              <w:rPr>
                <w:rFonts w:ascii="Arial" w:hAnsi="Arial" w:cs="Arial"/>
                <w:sz w:val="20"/>
                <w:szCs w:val="20"/>
              </w:rPr>
              <w:t xml:space="preserve">(24 month period) (first and subsequent rounds) (per cent)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lastRenderedPageBreak/>
              <w:t>Table 11A.86</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Participation rates for NESB women screened by BreastScreen Australia </w:t>
            </w:r>
            <w:r>
              <w:rPr>
                <w:rFonts w:ascii="Arial" w:hAnsi="Arial" w:cs="Arial"/>
                <w:sz w:val="20"/>
                <w:szCs w:val="20"/>
              </w:rPr>
              <w:br/>
            </w:r>
            <w:r w:rsidRPr="002A7C7C">
              <w:rPr>
                <w:rFonts w:ascii="Arial" w:hAnsi="Arial" w:cs="Arial"/>
                <w:sz w:val="20"/>
                <w:szCs w:val="20"/>
              </w:rPr>
              <w:t xml:space="preserve">(24 month period) (first and subsequent rounds) (per cent)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11A.87</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Participation rates for women screened by BreastScreen Australia, by geographic location (24 month period) (first and subsequent rounds) (per cent)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11A.88</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Participation rates for women in cervical screening programs, by age group </w:t>
            </w:r>
            <w:r>
              <w:rPr>
                <w:rFonts w:ascii="Arial" w:hAnsi="Arial" w:cs="Arial"/>
                <w:sz w:val="20"/>
                <w:szCs w:val="20"/>
              </w:rPr>
              <w:br/>
            </w:r>
            <w:r w:rsidRPr="002A7C7C">
              <w:rPr>
                <w:rFonts w:ascii="Arial" w:hAnsi="Arial" w:cs="Arial"/>
                <w:sz w:val="20"/>
                <w:szCs w:val="20"/>
              </w:rPr>
              <w:t xml:space="preserve">(per cent) (24 month period)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11A.89</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Cervical screening rates among Indigenous women aged 20 to 69 years, who reported having a Pap smear at least every 2 years, 2004-05 (per cent)</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11A.90</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Influenza vaccination coverage, people aged 65 years or over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11A.91</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adults 65 years or over fully vaccinated against influenza and pneumococcal disease, by remoteness, 2009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11A.92</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Indigenous Australians aged 50 years or over who were fully vaccinated against influenza and pneumococcal disease, 2004-05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11A.93</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potentially preventable hospitalisations, by State and Territory (per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11A.94</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potentially preventable hospitalisations by Indigenous status (per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11A.95</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potentially preventable hospitalisations by remoteness, 2011-12 (per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11A.96</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potentially preventable hospitalisations by Indigenous status and remoteness, Australia (per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11A.97</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vaccine preventable conditions by Indigenous status, 2011-12 (per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11A.98</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acute conditions by Indigenous status, 2011-12 </w:t>
            </w:r>
            <w:r>
              <w:rPr>
                <w:rFonts w:ascii="Arial" w:hAnsi="Arial" w:cs="Arial"/>
                <w:sz w:val="20"/>
                <w:szCs w:val="20"/>
              </w:rPr>
              <w:br/>
            </w:r>
            <w:r w:rsidRPr="002A7C7C">
              <w:rPr>
                <w:rFonts w:ascii="Arial" w:hAnsi="Arial" w:cs="Arial"/>
                <w:sz w:val="20"/>
                <w:szCs w:val="20"/>
              </w:rPr>
              <w:t xml:space="preserve">(per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11A.99</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selected chronic conditions by Indigenous status, 2011-12 </w:t>
            </w:r>
            <w:r>
              <w:rPr>
                <w:rFonts w:ascii="Arial" w:hAnsi="Arial" w:cs="Arial"/>
                <w:sz w:val="20"/>
                <w:szCs w:val="20"/>
              </w:rPr>
              <w:br/>
            </w:r>
            <w:r w:rsidRPr="002A7C7C">
              <w:rPr>
                <w:rFonts w:ascii="Arial" w:hAnsi="Arial" w:cs="Arial"/>
                <w:sz w:val="20"/>
                <w:szCs w:val="20"/>
              </w:rPr>
              <w:t xml:space="preserve">(per 1000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11A.100</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Ratio of separations for Indigenous Australians to </w:t>
            </w:r>
            <w:r>
              <w:rPr>
                <w:rFonts w:ascii="Arial" w:hAnsi="Arial" w:cs="Arial"/>
                <w:sz w:val="20"/>
                <w:szCs w:val="20"/>
              </w:rPr>
              <w:t>all Australians, diabetes, 2011</w:t>
            </w:r>
            <w:r>
              <w:rPr>
                <w:rFonts w:ascii="Arial" w:hAnsi="Arial" w:cs="Arial"/>
                <w:sz w:val="20"/>
                <w:szCs w:val="20"/>
              </w:rPr>
              <w:noBreakHyphen/>
            </w:r>
            <w:r w:rsidRPr="002A7C7C">
              <w:rPr>
                <w:rFonts w:ascii="Arial" w:hAnsi="Arial" w:cs="Arial"/>
                <w:sz w:val="20"/>
                <w:szCs w:val="20"/>
              </w:rPr>
              <w:t xml:space="preserve">12       </w:t>
            </w:r>
          </w:p>
        </w:tc>
      </w:tr>
      <w:tr w:rsidR="002A7C7C" w:rsidRP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11A.101</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Pr>
                <w:rFonts w:ascii="Arial" w:hAnsi="Arial" w:cs="Arial"/>
                <w:sz w:val="20"/>
                <w:szCs w:val="20"/>
              </w:rPr>
              <w:t xml:space="preserve">Separations for Type 2 diabetes mellitus as principal diagnosis by complication, all hospitals, 2011-12 (per 100 000 people)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11A.102</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Proportion of separations for principal diagnosis of Type 2 diabetes mellitus that were same day by complication, all hospitals, 2011-12 (per cent)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11A.103</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Separations for lower limb amputation with principal or additional diagnosis of Type 2 diabetes, all hospitals, 2011-12     </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11A.104</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 xml:space="preserve">Separation rates of older people for injuries due to falls   </w:t>
            </w:r>
          </w:p>
        </w:tc>
      </w:tr>
      <w:tr w:rsidR="002A7C7C" w:rsidTr="002A7C7C">
        <w:trPr>
          <w:trHeight w:val="357"/>
        </w:trPr>
        <w:tc>
          <w:tcPr>
            <w:tcW w:w="8789" w:type="dxa"/>
            <w:gridSpan w:val="2"/>
            <w:tcBorders>
              <w:top w:val="nil"/>
              <w:left w:val="nil"/>
              <w:bottom w:val="nil"/>
              <w:right w:val="nil"/>
            </w:tcBorders>
            <w:shd w:val="clear" w:color="auto" w:fill="auto"/>
            <w:noWrap/>
          </w:tcPr>
          <w:p w:rsidR="002A7C7C" w:rsidRPr="002A7C7C" w:rsidRDefault="002A7C7C" w:rsidP="002A7C7C">
            <w:pPr>
              <w:rPr>
                <w:rFonts w:ascii="Arial" w:hAnsi="Arial" w:cs="Arial"/>
                <w:sz w:val="20"/>
                <w:szCs w:val="20"/>
              </w:rPr>
            </w:pPr>
            <w:r w:rsidRPr="002A7C7C">
              <w:rPr>
                <w:rFonts w:ascii="Arial" w:hAnsi="Arial" w:cs="Arial"/>
                <w:b/>
                <w:sz w:val="20"/>
                <w:szCs w:val="20"/>
              </w:rPr>
              <w:t>Community health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11A.105</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Australian Government,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11A.106</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New South Wales,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11A.107</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Victoria,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11A.108</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Queensland,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11A.109</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Western Australia,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11A.110</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South Australia,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11A.111</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Tasmania, community health services programs</w:t>
            </w:r>
          </w:p>
        </w:tc>
      </w:tr>
      <w:tr w:rsid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sz w:val="20"/>
                <w:szCs w:val="20"/>
              </w:rPr>
            </w:pPr>
            <w:r w:rsidRPr="002A7C7C">
              <w:rPr>
                <w:rFonts w:ascii="Arial" w:hAnsi="Arial" w:cs="Arial"/>
                <w:b/>
                <w:sz w:val="20"/>
                <w:szCs w:val="20"/>
              </w:rPr>
              <w:t>Table 11A.112</w:t>
            </w: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Australian Capital Territory, community health services programs</w:t>
            </w:r>
          </w:p>
        </w:tc>
      </w:tr>
      <w:tr w:rsidR="002A7C7C" w:rsidRPr="002A7C7C" w:rsidTr="002A7C7C">
        <w:trPr>
          <w:trHeight w:val="357"/>
        </w:trPr>
        <w:tc>
          <w:tcPr>
            <w:tcW w:w="1567" w:type="dxa"/>
            <w:tcBorders>
              <w:top w:val="nil"/>
              <w:left w:val="nil"/>
              <w:bottom w:val="nil"/>
              <w:right w:val="nil"/>
            </w:tcBorders>
            <w:shd w:val="clear" w:color="auto" w:fill="auto"/>
            <w:noWrap/>
          </w:tcPr>
          <w:p w:rsidR="002A7C7C" w:rsidRPr="002A7C7C" w:rsidRDefault="002A7C7C" w:rsidP="002A7C7C">
            <w:pPr>
              <w:rPr>
                <w:rFonts w:ascii="Arial" w:hAnsi="Arial" w:cs="Arial"/>
                <w:b/>
                <w:bCs/>
                <w:sz w:val="20"/>
                <w:szCs w:val="20"/>
              </w:rPr>
            </w:pPr>
            <w:r w:rsidRPr="002A7C7C">
              <w:rPr>
                <w:rFonts w:ascii="Arial" w:hAnsi="Arial" w:cs="Arial"/>
                <w:b/>
                <w:bCs/>
                <w:sz w:val="20"/>
                <w:szCs w:val="20"/>
              </w:rPr>
              <w:t>Table 11A.113</w:t>
            </w:r>
          </w:p>
          <w:p w:rsidR="002A7C7C" w:rsidRPr="002A7C7C" w:rsidRDefault="002A7C7C" w:rsidP="002A7C7C">
            <w:pPr>
              <w:rPr>
                <w:rFonts w:ascii="Arial" w:hAnsi="Arial" w:cs="Arial"/>
                <w:b/>
                <w:sz w:val="20"/>
                <w:szCs w:val="20"/>
              </w:rPr>
            </w:pPr>
          </w:p>
        </w:tc>
        <w:tc>
          <w:tcPr>
            <w:tcW w:w="7222" w:type="dxa"/>
            <w:tcBorders>
              <w:top w:val="nil"/>
              <w:left w:val="nil"/>
              <w:bottom w:val="nil"/>
              <w:right w:val="nil"/>
            </w:tcBorders>
            <w:shd w:val="clear" w:color="auto" w:fill="auto"/>
          </w:tcPr>
          <w:p w:rsidR="002A7C7C" w:rsidRPr="002A7C7C" w:rsidRDefault="002A7C7C" w:rsidP="002A7C7C">
            <w:pPr>
              <w:rPr>
                <w:rFonts w:ascii="Arial" w:hAnsi="Arial" w:cs="Arial"/>
                <w:sz w:val="20"/>
                <w:szCs w:val="20"/>
              </w:rPr>
            </w:pPr>
            <w:r w:rsidRPr="002A7C7C">
              <w:rPr>
                <w:rFonts w:ascii="Arial" w:hAnsi="Arial" w:cs="Arial"/>
                <w:sz w:val="20"/>
                <w:szCs w:val="20"/>
              </w:rPr>
              <w:t>Northern Territory, community health services programs</w:t>
            </w:r>
          </w:p>
        </w:tc>
      </w:tr>
    </w:tbl>
    <w:p w:rsidR="00CB0B66" w:rsidRPr="00CB0B66" w:rsidRDefault="00C334CD" w:rsidP="00CB0B66">
      <w:pPr>
        <w:rPr>
          <w:rFonts w:ascii="Arial" w:hAnsi="Arial"/>
          <w:b/>
          <w:sz w:val="32"/>
          <w:szCs w:val="20"/>
        </w:rPr>
      </w:pPr>
      <w:r>
        <w:br w:type="page"/>
      </w:r>
    </w:p>
    <w:p w:rsidR="00BB7C13" w:rsidRPr="00C334CD" w:rsidRDefault="00EC42DB" w:rsidP="00CB0B66">
      <w:pPr>
        <w:pStyle w:val="Heading2"/>
      </w:pPr>
      <w:bookmarkStart w:id="83" w:name="_Toc208034417"/>
      <w:bookmarkStart w:id="84" w:name="_Toc274941105"/>
      <w:r w:rsidRPr="00C334CD">
        <w:lastRenderedPageBreak/>
        <w:t>11.</w:t>
      </w:r>
      <w:r w:rsidR="00C44281">
        <w:rPr>
          <w:noProof/>
        </w:rPr>
        <w:t>7</w:t>
      </w:r>
      <w:r w:rsidR="003D3E53" w:rsidRPr="00C334CD">
        <w:tab/>
      </w:r>
      <w:r w:rsidR="00BB7C13" w:rsidRPr="00C334CD">
        <w:t>References</w:t>
      </w:r>
      <w:bookmarkEnd w:id="83"/>
      <w:bookmarkEnd w:id="84"/>
    </w:p>
    <w:p w:rsidR="00982612" w:rsidRPr="00F459BD" w:rsidRDefault="00C32FE9" w:rsidP="00C334CD">
      <w:pPr>
        <w:pStyle w:val="Reference"/>
        <w:ind w:left="0" w:firstLine="0"/>
      </w:pPr>
      <w:r w:rsidRPr="00F459BD">
        <w:t>ACAM (A</w:t>
      </w:r>
      <w:r w:rsidR="00982612" w:rsidRPr="00F459BD">
        <w:t>ustralian Centre for Asthma Monitoring</w:t>
      </w:r>
      <w:r w:rsidRPr="00F459BD">
        <w:t>)</w:t>
      </w:r>
      <w:r w:rsidR="003605AA" w:rsidRPr="00F459BD">
        <w:t xml:space="preserve"> 200</w:t>
      </w:r>
      <w:r w:rsidR="00B900CB" w:rsidRPr="00F459BD">
        <w:t>8</w:t>
      </w:r>
      <w:r w:rsidR="003605AA" w:rsidRPr="00F459BD">
        <w:t>,</w:t>
      </w:r>
      <w:r w:rsidR="00982612" w:rsidRPr="00F459BD">
        <w:t xml:space="preserve"> </w:t>
      </w:r>
      <w:r w:rsidR="00982612" w:rsidRPr="00B233E9">
        <w:rPr>
          <w:i/>
        </w:rPr>
        <w:t>Asthma in Australia 200</w:t>
      </w:r>
      <w:r w:rsidR="00B900CB" w:rsidRPr="00B233E9">
        <w:rPr>
          <w:i/>
        </w:rPr>
        <w:t>8</w:t>
      </w:r>
      <w:r w:rsidR="00982612" w:rsidRPr="00F459BD">
        <w:t xml:space="preserve">, </w:t>
      </w:r>
      <w:r w:rsidR="00B900CB" w:rsidRPr="00F459BD">
        <w:t>Cat. no. ACM 14</w:t>
      </w:r>
      <w:r w:rsidR="00982612" w:rsidRPr="00F459BD">
        <w:t xml:space="preserve">, AIHW Asthma Series </w:t>
      </w:r>
      <w:r w:rsidR="00B900CB" w:rsidRPr="00F459BD">
        <w:t>3</w:t>
      </w:r>
      <w:r w:rsidR="00982612" w:rsidRPr="00F459BD">
        <w:t xml:space="preserve">, </w:t>
      </w:r>
      <w:smartTag w:uri="urn:schemas-microsoft-com:office:smarttags" w:element="place">
        <w:smartTag w:uri="urn:schemas-microsoft-com:office:smarttags" w:element="City">
          <w:r w:rsidR="00982612" w:rsidRPr="00F459BD">
            <w:t>Canberra</w:t>
          </w:r>
        </w:smartTag>
      </w:smartTag>
      <w:r w:rsidR="00982612" w:rsidRPr="00F459BD">
        <w:t>.</w:t>
      </w:r>
    </w:p>
    <w:p w:rsidR="00284F34" w:rsidRPr="00F459BD" w:rsidRDefault="00284F34" w:rsidP="00284F34">
      <w:pPr>
        <w:pStyle w:val="Reference"/>
      </w:pPr>
      <w:r w:rsidRPr="00F459BD">
        <w:t xml:space="preserve">Australian Government 2010, </w:t>
      </w:r>
      <w:r w:rsidRPr="00B233E9">
        <w:rPr>
          <w:i/>
        </w:rPr>
        <w:t>Building a 21st Century Primary Health Care System — Australia’s First National Primary Health Care Strategy</w:t>
      </w:r>
      <w:r w:rsidRPr="00F459BD">
        <w:t xml:space="preserve">, </w:t>
      </w:r>
      <w:smartTag w:uri="urn:schemas-microsoft-com:office:smarttags" w:element="place">
        <w:smartTag w:uri="urn:schemas-microsoft-com:office:smarttags" w:element="City">
          <w:r w:rsidRPr="00F459BD">
            <w:t>Canberra</w:t>
          </w:r>
        </w:smartTag>
      </w:smartTag>
      <w:r w:rsidRPr="00F459BD">
        <w:t>.</w:t>
      </w:r>
    </w:p>
    <w:p w:rsidR="00F90A95" w:rsidRPr="00F459BD" w:rsidRDefault="00253554" w:rsidP="00F90A95">
      <w:pPr>
        <w:pStyle w:val="Reference"/>
      </w:pPr>
      <w:r w:rsidRPr="00F459BD">
        <w:t xml:space="preserve">AIHW (Australian Institute of Health and Welfare) </w:t>
      </w:r>
      <w:r w:rsidR="00F90A95" w:rsidRPr="00F459BD">
        <w:t xml:space="preserve">2007, </w:t>
      </w:r>
      <w:r w:rsidR="00F90A95" w:rsidRPr="00B233E9">
        <w:rPr>
          <w:i/>
        </w:rPr>
        <w:t>National indicators for monitoring diabetes: report of the Diabetes Indicators Review Subcommittee of the National Diabetes Data Working Group</w:t>
      </w:r>
      <w:r w:rsidR="00F90A95" w:rsidRPr="00F459BD">
        <w:t xml:space="preserve">, Cat. no. CVD 38, Diabetes series no. 6, </w:t>
      </w:r>
      <w:smartTag w:uri="urn:schemas-microsoft-com:office:smarttags" w:element="place">
        <w:smartTag w:uri="urn:schemas-microsoft-com:office:smarttags" w:element="City">
          <w:r w:rsidR="00F90A95" w:rsidRPr="00F459BD">
            <w:t>Canberra</w:t>
          </w:r>
        </w:smartTag>
      </w:smartTag>
      <w:r w:rsidR="00F90A95" w:rsidRPr="00F459BD">
        <w:t>.</w:t>
      </w:r>
    </w:p>
    <w:p w:rsidR="00FE27FC" w:rsidRPr="00F459BD" w:rsidRDefault="00FE27FC" w:rsidP="00FE27FC">
      <w:pPr>
        <w:pStyle w:val="Reference"/>
      </w:pPr>
      <w:r w:rsidRPr="00F459BD">
        <w:t xml:space="preserve">—— </w:t>
      </w:r>
      <w:r w:rsidR="0088243E">
        <w:t>2008a</w:t>
      </w:r>
      <w:r w:rsidRPr="00F459BD">
        <w:t xml:space="preserve">, </w:t>
      </w:r>
      <w:r w:rsidRPr="00FE27FC">
        <w:rPr>
          <w:i/>
        </w:rPr>
        <w:t xml:space="preserve">Aboriginal and </w:t>
      </w:r>
      <w:smartTag w:uri="urn:schemas-microsoft-com:office:smarttags" w:element="place">
        <w:r w:rsidRPr="00FE27FC">
          <w:rPr>
            <w:i/>
          </w:rPr>
          <w:t>Torres Strait</w:t>
        </w:r>
      </w:smartTag>
      <w:r w:rsidRPr="00FE27FC">
        <w:rPr>
          <w:i/>
        </w:rPr>
        <w:t xml:space="preserve"> Islander Health Performance Framework, 2008 report: detailed analyses</w:t>
      </w:r>
      <w:r w:rsidRPr="00F459BD">
        <w:t xml:space="preserve">, AIHW Cat. no. IHW 22, </w:t>
      </w:r>
      <w:smartTag w:uri="urn:schemas-microsoft-com:office:smarttags" w:element="place">
        <w:smartTag w:uri="urn:schemas-microsoft-com:office:smarttags" w:element="City">
          <w:r w:rsidRPr="00F459BD">
            <w:t>Canberra</w:t>
          </w:r>
        </w:smartTag>
      </w:smartTag>
      <w:r w:rsidRPr="00F459BD">
        <w:t>.</w:t>
      </w:r>
    </w:p>
    <w:p w:rsidR="009B6CEA" w:rsidRPr="00F459BD" w:rsidRDefault="0088243E" w:rsidP="009B6CEA">
      <w:pPr>
        <w:pStyle w:val="Reference"/>
      </w:pPr>
      <w:r>
        <w:t>—— 2008b</w:t>
      </w:r>
      <w:r w:rsidR="009B6CEA" w:rsidRPr="00F459BD">
        <w:t xml:space="preserve">, </w:t>
      </w:r>
      <w:smartTag w:uri="urn:schemas-microsoft-com:office:smarttags" w:element="place">
        <w:smartTag w:uri="urn:schemas-microsoft-com:office:smarttags" w:element="country-region">
          <w:r w:rsidR="009B6CEA" w:rsidRPr="00B233E9">
            <w:rPr>
              <w:i/>
            </w:rPr>
            <w:t>Australia</w:t>
          </w:r>
        </w:smartTag>
      </w:smartTag>
      <w:r w:rsidR="009B6CEA" w:rsidRPr="00B233E9">
        <w:rPr>
          <w:i/>
        </w:rPr>
        <w:t>’s health 2008</w:t>
      </w:r>
      <w:r w:rsidR="009B6CEA" w:rsidRPr="00F459BD">
        <w:t xml:space="preserve">, Cat. no. AUS 99, </w:t>
      </w:r>
      <w:smartTag w:uri="urn:schemas-microsoft-com:office:smarttags" w:element="place">
        <w:smartTag w:uri="urn:schemas-microsoft-com:office:smarttags" w:element="City">
          <w:r w:rsidR="009B6CEA" w:rsidRPr="00F459BD">
            <w:t>Canberra</w:t>
          </w:r>
        </w:smartTag>
      </w:smartTag>
      <w:r w:rsidR="009B6CEA" w:rsidRPr="00F459BD">
        <w:t>.</w:t>
      </w:r>
    </w:p>
    <w:p w:rsidR="009B6CEA" w:rsidRPr="00F459BD" w:rsidRDefault="0088243E" w:rsidP="009B6CEA">
      <w:pPr>
        <w:pStyle w:val="Reference"/>
      </w:pPr>
      <w:r>
        <w:t>—— 2008c</w:t>
      </w:r>
      <w:r w:rsidR="009B6CEA" w:rsidRPr="00F459BD">
        <w:t xml:space="preserve">, </w:t>
      </w:r>
      <w:r w:rsidR="009B6CEA" w:rsidRPr="00B233E9">
        <w:rPr>
          <w:i/>
        </w:rPr>
        <w:t>Diabetes: A</w:t>
      </w:r>
      <w:r w:rsidR="009B6CEA" w:rsidRPr="00F35D4C">
        <w:rPr>
          <w:b/>
          <w:i/>
        </w:rPr>
        <w:t>u</w:t>
      </w:r>
      <w:r w:rsidR="009B6CEA" w:rsidRPr="00B233E9">
        <w:rPr>
          <w:i/>
        </w:rPr>
        <w:t>stralian facts</w:t>
      </w:r>
      <w:r w:rsidR="009B6CEA" w:rsidRPr="00F459BD">
        <w:t xml:space="preserve">, Cat. no. CVD 40, Diabetes series no. 8, </w:t>
      </w:r>
      <w:smartTag w:uri="urn:schemas-microsoft-com:office:smarttags" w:element="place">
        <w:smartTag w:uri="urn:schemas-microsoft-com:office:smarttags" w:element="City">
          <w:r w:rsidR="009B6CEA" w:rsidRPr="00F459BD">
            <w:t>Canberra</w:t>
          </w:r>
        </w:smartTag>
      </w:smartTag>
      <w:r w:rsidR="009B6CEA" w:rsidRPr="00F459BD">
        <w:t>.</w:t>
      </w:r>
    </w:p>
    <w:p w:rsidR="007D5530" w:rsidRDefault="007D5530" w:rsidP="007D5530">
      <w:pPr>
        <w:pStyle w:val="Reference"/>
      </w:pPr>
      <w:r>
        <w:t xml:space="preserve">—— </w:t>
      </w:r>
      <w:r w:rsidRPr="00413818">
        <w:t xml:space="preserve">2013a, </w:t>
      </w:r>
      <w:r w:rsidRPr="00413818">
        <w:rPr>
          <w:i/>
        </w:rPr>
        <w:t>Alcohol</w:t>
      </w:r>
      <w:r w:rsidRPr="007D5530">
        <w:rPr>
          <w:i/>
        </w:rPr>
        <w:t xml:space="preserve"> and other drug treatment services in Australia 2011–12</w:t>
      </w:r>
      <w:r>
        <w:t xml:space="preserve">, </w:t>
      </w:r>
      <w:r w:rsidR="00147164">
        <w:t>Cat. </w:t>
      </w:r>
      <w:r w:rsidRPr="00931CC9">
        <w:t>no. HSE 1</w:t>
      </w:r>
      <w:r>
        <w:t>39</w:t>
      </w:r>
      <w:r w:rsidRPr="00931CC9">
        <w:t>, Drug treatment series no. </w:t>
      </w:r>
      <w:r>
        <w:t>2</w:t>
      </w:r>
      <w:r w:rsidRPr="00931CC9">
        <w:t>1</w:t>
      </w:r>
      <w:r>
        <w:t xml:space="preserve">, </w:t>
      </w:r>
      <w:r w:rsidRPr="00F459BD">
        <w:t>Canberra</w:t>
      </w:r>
      <w:r>
        <w:t>.</w:t>
      </w:r>
    </w:p>
    <w:p w:rsidR="00947AA8" w:rsidRDefault="00F14235" w:rsidP="00F14235">
      <w:pPr>
        <w:pStyle w:val="Reference"/>
      </w:pPr>
      <w:r w:rsidRPr="00F459BD">
        <w:t>—— 201</w:t>
      </w:r>
      <w:r>
        <w:t>3b</w:t>
      </w:r>
      <w:r w:rsidRPr="00F459BD">
        <w:t xml:space="preserve">, </w:t>
      </w:r>
      <w:r w:rsidRPr="007D5530">
        <w:rPr>
          <w:i/>
        </w:rPr>
        <w:t>Australian hospital statistics 201</w:t>
      </w:r>
      <w:r w:rsidR="00947AA8">
        <w:rPr>
          <w:i/>
        </w:rPr>
        <w:t>1</w:t>
      </w:r>
      <w:r w:rsidRPr="007D5530">
        <w:rPr>
          <w:i/>
        </w:rPr>
        <w:t>-1</w:t>
      </w:r>
      <w:r w:rsidR="00947AA8">
        <w:rPr>
          <w:i/>
        </w:rPr>
        <w:t>2</w:t>
      </w:r>
      <w:r>
        <w:t>, Cat. no. HSE 1</w:t>
      </w:r>
      <w:r w:rsidR="00947AA8">
        <w:t>34</w:t>
      </w:r>
      <w:r w:rsidRPr="00F459BD">
        <w:t xml:space="preserve">, </w:t>
      </w:r>
      <w:smartTag w:uri="urn:schemas-microsoft-com:office:smarttags" w:element="place">
        <w:smartTag w:uri="urn:schemas-microsoft-com:office:smarttags" w:element="City">
          <w:r w:rsidRPr="00F459BD">
            <w:t>Canberra</w:t>
          </w:r>
        </w:smartTag>
      </w:smartTag>
      <w:r w:rsidRPr="00F459BD">
        <w:t>.</w:t>
      </w:r>
    </w:p>
    <w:p w:rsidR="00A538FC" w:rsidRDefault="00A538FC" w:rsidP="00CA3C2D">
      <w:pPr>
        <w:pStyle w:val="Reference"/>
      </w:pPr>
      <w:r>
        <w:t>A</w:t>
      </w:r>
      <w:r w:rsidRPr="002D77FA">
        <w:t xml:space="preserve">IHW and NBCC (National Breast Cancer Centre) 2007, </w:t>
      </w:r>
      <w:r w:rsidRPr="002D77FA">
        <w:rPr>
          <w:i/>
        </w:rPr>
        <w:t xml:space="preserve">Breast cancer survival by size and nodal status in </w:t>
      </w:r>
      <w:smartTag w:uri="urn:schemas-microsoft-com:office:smarttags" w:element="place">
        <w:smartTag w:uri="urn:schemas-microsoft-com:office:smarttags" w:element="country-region">
          <w:r w:rsidRPr="002D77FA">
            <w:rPr>
              <w:i/>
            </w:rPr>
            <w:t>Australia</w:t>
          </w:r>
        </w:smartTag>
      </w:smartTag>
      <w:r w:rsidRPr="002D77FA">
        <w:t xml:space="preserve">, Cat. no. CAN 34, </w:t>
      </w:r>
      <w:r w:rsidR="00A378F6" w:rsidRPr="002D77FA">
        <w:t xml:space="preserve">Cancer series no. 39, </w:t>
      </w:r>
      <w:r w:rsidRPr="002D77FA">
        <w:t xml:space="preserve">AIHW, </w:t>
      </w:r>
      <w:smartTag w:uri="urn:schemas-microsoft-com:office:smarttags" w:element="place">
        <w:smartTag w:uri="urn:schemas-microsoft-com:office:smarttags" w:element="City">
          <w:r w:rsidRPr="002D77FA">
            <w:t>Canberra</w:t>
          </w:r>
        </w:smartTag>
      </w:smartTag>
      <w:r w:rsidRPr="002D77FA">
        <w:t>.</w:t>
      </w:r>
    </w:p>
    <w:p w:rsidR="006773EF" w:rsidRDefault="006773EF" w:rsidP="00CA3C2D">
      <w:pPr>
        <w:pStyle w:val="Reference"/>
      </w:pPr>
      <w:r w:rsidRPr="006773EF">
        <w:t>Bradley</w:t>
      </w:r>
      <w:r>
        <w:t>,</w:t>
      </w:r>
      <w:r w:rsidRPr="006773EF">
        <w:t xml:space="preserve"> C</w:t>
      </w:r>
      <w:r>
        <w:t>.</w:t>
      </w:r>
      <w:r w:rsidRPr="006773EF">
        <w:t xml:space="preserve"> 2013</w:t>
      </w:r>
      <w:r>
        <w:t>,</w:t>
      </w:r>
      <w:r w:rsidRPr="006773EF">
        <w:t xml:space="preserve"> </w:t>
      </w:r>
      <w:r w:rsidRPr="006773EF">
        <w:rPr>
          <w:i/>
        </w:rPr>
        <w:t>Hospitalisations due to falls by older people, Australia 2009</w:t>
      </w:r>
      <w:r>
        <w:rPr>
          <w:i/>
        </w:rPr>
        <w:noBreakHyphen/>
      </w:r>
      <w:r w:rsidRPr="006773EF">
        <w:rPr>
          <w:i/>
        </w:rPr>
        <w:t>10</w:t>
      </w:r>
      <w:r w:rsidR="00704C4A">
        <w:t>,</w:t>
      </w:r>
      <w:r w:rsidRPr="006773EF">
        <w:t xml:space="preserve"> </w:t>
      </w:r>
      <w:r w:rsidR="00704C4A">
        <w:t>Cat. no. INJCAT 146,</w:t>
      </w:r>
      <w:r w:rsidR="00704C4A" w:rsidRPr="006773EF">
        <w:t xml:space="preserve"> </w:t>
      </w:r>
      <w:r w:rsidRPr="006773EF">
        <w:t>Injury research and statistics ser</w:t>
      </w:r>
      <w:r w:rsidR="00704C4A">
        <w:t xml:space="preserve">ies no. 70, </w:t>
      </w:r>
      <w:r w:rsidR="00704C4A" w:rsidRPr="002D77FA">
        <w:t xml:space="preserve">AIHW, </w:t>
      </w:r>
      <w:smartTag w:uri="urn:schemas-microsoft-com:office:smarttags" w:element="place">
        <w:smartTag w:uri="urn:schemas-microsoft-com:office:smarttags" w:element="City">
          <w:r w:rsidR="00704C4A" w:rsidRPr="002D77FA">
            <w:t>Canberra</w:t>
          </w:r>
        </w:smartTag>
      </w:smartTag>
      <w:r w:rsidRPr="006773EF">
        <w:t>.</w:t>
      </w:r>
    </w:p>
    <w:p w:rsidR="007153C2" w:rsidRPr="001A294F" w:rsidRDefault="001A294F" w:rsidP="00CA3C2D">
      <w:pPr>
        <w:pStyle w:val="Reference"/>
        <w:rPr>
          <w:color w:val="FF0000"/>
        </w:rPr>
      </w:pPr>
      <w:r w:rsidRPr="001A294F">
        <w:t>Britt, H., Miller, G.C, Henderson, J., Bayram, C., Vale</w:t>
      </w:r>
      <w:r>
        <w:t>nti, L., Harrison, C., Charles, </w:t>
      </w:r>
      <w:r w:rsidRPr="001A294F">
        <w:t xml:space="preserve">J., Pan, Y., Zhang, C., Pollack, A.J., O’Halloran, J. 2013, </w:t>
      </w:r>
      <w:r w:rsidRPr="001A294F">
        <w:rPr>
          <w:i/>
        </w:rPr>
        <w:t>General practice activity in Australia 2012–13</w:t>
      </w:r>
      <w:r w:rsidRPr="001A294F">
        <w:t>, General practice series no. 33, Sydney University Press, Sydney.</w:t>
      </w:r>
    </w:p>
    <w:p w:rsidR="00B728BC" w:rsidRDefault="00433832" w:rsidP="00433832">
      <w:pPr>
        <w:pStyle w:val="Reference"/>
      </w:pPr>
      <w:r w:rsidRPr="00A73D31">
        <w:t>Department of Health (formerly the Department of Health and Ageing)</w:t>
      </w:r>
      <w:r w:rsidR="00B728BC">
        <w:t xml:space="preserve"> </w:t>
      </w:r>
      <w:r w:rsidR="00114D1C" w:rsidRPr="0020482B">
        <w:t xml:space="preserve">2009, </w:t>
      </w:r>
      <w:r w:rsidR="00114D1C" w:rsidRPr="0020482B">
        <w:rPr>
          <w:i/>
        </w:rPr>
        <w:t>Evaluation of the BreastScreen Australia Program – Evaluation Final Report,</w:t>
      </w:r>
      <w:r w:rsidR="00114D1C" w:rsidRPr="0020482B">
        <w:t xml:space="preserve"> Australian Government, </w:t>
      </w:r>
      <w:smartTag w:uri="urn:schemas-microsoft-com:office:smarttags" w:element="place">
        <w:smartTag w:uri="urn:schemas-microsoft-com:office:smarttags" w:element="City">
          <w:r w:rsidR="00114D1C" w:rsidRPr="0020482B">
            <w:t>Canberra</w:t>
          </w:r>
        </w:smartTag>
      </w:smartTag>
      <w:r w:rsidR="00114D1C">
        <w:t>.</w:t>
      </w:r>
    </w:p>
    <w:p w:rsidR="00114D1C" w:rsidRDefault="00114D1C" w:rsidP="00114D1C">
      <w:pPr>
        <w:pStyle w:val="Reference"/>
      </w:pPr>
      <w:r w:rsidRPr="00F459BD">
        <w:t xml:space="preserve">—— 2010, </w:t>
      </w:r>
      <w:r w:rsidRPr="00B233E9">
        <w:rPr>
          <w:i/>
        </w:rPr>
        <w:t>About the PBS</w:t>
      </w:r>
      <w:r w:rsidRPr="00F459BD">
        <w:t>, www.health.gov.au/internet/main/publishing.nsf/ Content/health-pbs-general-aboutus.htm-copy2 (accessed 24 September 2010).</w:t>
      </w:r>
    </w:p>
    <w:p w:rsidR="002D33C5" w:rsidRDefault="002D33C5" w:rsidP="002D33C5">
      <w:pPr>
        <w:pStyle w:val="Reference"/>
      </w:pPr>
      <w:r w:rsidRPr="00F459BD">
        <w:t xml:space="preserve">—— </w:t>
      </w:r>
      <w:r>
        <w:t xml:space="preserve">2012, </w:t>
      </w:r>
      <w:r w:rsidRPr="002D33C5">
        <w:rPr>
          <w:i/>
        </w:rPr>
        <w:t>The Pap smear</w:t>
      </w:r>
      <w:r>
        <w:t xml:space="preserve">, </w:t>
      </w:r>
      <w:r w:rsidRPr="002D33C5">
        <w:t>www.cancerscreening.gov.au/internet/screening/</w:t>
      </w:r>
      <w:r>
        <w:t xml:space="preserve"> publishing.nsf/Content/papsmear (accessed 8 January 2014).</w:t>
      </w:r>
    </w:p>
    <w:p w:rsidR="00127E31" w:rsidRPr="00F459BD" w:rsidRDefault="00127E31" w:rsidP="00127E31">
      <w:pPr>
        <w:pStyle w:val="Reference"/>
      </w:pPr>
      <w:r>
        <w:lastRenderedPageBreak/>
        <w:t>—— 2013a</w:t>
      </w:r>
      <w:r w:rsidRPr="00413818">
        <w:t xml:space="preserve">, </w:t>
      </w:r>
      <w:r w:rsidRPr="004D141C">
        <w:rPr>
          <w:i/>
        </w:rPr>
        <w:t>What</w:t>
      </w:r>
      <w:r>
        <w:rPr>
          <w:i/>
        </w:rPr>
        <w:t xml:space="preserve"> </w:t>
      </w:r>
      <w:r w:rsidRPr="004D141C">
        <w:rPr>
          <w:i/>
        </w:rPr>
        <w:t>are</w:t>
      </w:r>
      <w:r>
        <w:rPr>
          <w:i/>
        </w:rPr>
        <w:t xml:space="preserve"> </w:t>
      </w:r>
      <w:r w:rsidRPr="004D141C">
        <w:rPr>
          <w:i/>
        </w:rPr>
        <w:t>the</w:t>
      </w:r>
      <w:r>
        <w:rPr>
          <w:i/>
        </w:rPr>
        <w:t xml:space="preserve"> </w:t>
      </w:r>
      <w:r w:rsidRPr="004D141C">
        <w:rPr>
          <w:i/>
        </w:rPr>
        <w:t>current</w:t>
      </w:r>
      <w:r>
        <w:rPr>
          <w:i/>
        </w:rPr>
        <w:t xml:space="preserve"> </w:t>
      </w:r>
      <w:r w:rsidRPr="004D141C">
        <w:rPr>
          <w:i/>
        </w:rPr>
        <w:t>patient</w:t>
      </w:r>
      <w:r>
        <w:rPr>
          <w:i/>
        </w:rPr>
        <w:t xml:space="preserve"> </w:t>
      </w:r>
      <w:r w:rsidRPr="004D141C">
        <w:rPr>
          <w:i/>
        </w:rPr>
        <w:t>fees</w:t>
      </w:r>
      <w:r>
        <w:rPr>
          <w:i/>
        </w:rPr>
        <w:t xml:space="preserve"> and </w:t>
      </w:r>
      <w:r w:rsidRPr="004D141C">
        <w:rPr>
          <w:i/>
        </w:rPr>
        <w:t>charges</w:t>
      </w:r>
      <w:r w:rsidR="00094998">
        <w:rPr>
          <w:i/>
        </w:rPr>
        <w:t xml:space="preserve">, </w:t>
      </w:r>
      <w:r w:rsidRPr="004D141C">
        <w:t>ww</w:t>
      </w:r>
      <w:r>
        <w:t>w.pbs.gov.au/</w:t>
      </w:r>
      <w:r>
        <w:br/>
        <w:t>info/about-the-pbs</w:t>
      </w:r>
      <w:r w:rsidRPr="004D141C">
        <w:t xml:space="preserve"> </w:t>
      </w:r>
      <w:r>
        <w:t>(accessed 17</w:t>
      </w:r>
      <w:r w:rsidRPr="00F459BD">
        <w:t> </w:t>
      </w:r>
      <w:r>
        <w:t>October</w:t>
      </w:r>
      <w:r w:rsidRPr="00F459BD">
        <w:t xml:space="preserve"> 201</w:t>
      </w:r>
      <w:r>
        <w:t>3</w:t>
      </w:r>
      <w:r w:rsidRPr="00F459BD">
        <w:t>).</w:t>
      </w:r>
    </w:p>
    <w:p w:rsidR="00681023" w:rsidRDefault="00681023" w:rsidP="00681023">
      <w:pPr>
        <w:pStyle w:val="Reference"/>
      </w:pPr>
      <w:r w:rsidRPr="00F459BD">
        <w:t xml:space="preserve">—— </w:t>
      </w:r>
      <w:r>
        <w:t>2013b</w:t>
      </w:r>
      <w:r w:rsidRPr="00F459BD">
        <w:t xml:space="preserve">, </w:t>
      </w:r>
      <w:r w:rsidRPr="00B233E9">
        <w:rPr>
          <w:i/>
        </w:rPr>
        <w:t>The Australian Immunisation Handbook</w:t>
      </w:r>
      <w:r w:rsidRPr="00F459BD">
        <w:t xml:space="preserve">, </w:t>
      </w:r>
      <w:r>
        <w:t>10</w:t>
      </w:r>
      <w:r w:rsidRPr="00F459BD">
        <w:t>th edn,</w:t>
      </w:r>
      <w:r>
        <w:t xml:space="preserve"> </w:t>
      </w:r>
      <w:r w:rsidRPr="00681023">
        <w:t>www.immunise.health.gov.au/internet/immunise/publishing.nsf/Content/Handbook10-home</w:t>
      </w:r>
      <w:r>
        <w:t xml:space="preserve"> (accessed 8</w:t>
      </w:r>
      <w:r w:rsidRPr="00F459BD">
        <w:t xml:space="preserve"> </w:t>
      </w:r>
      <w:r>
        <w:t>January 2014</w:t>
      </w:r>
      <w:r w:rsidRPr="00F459BD">
        <w:t>).</w:t>
      </w:r>
    </w:p>
    <w:p w:rsidR="00094998" w:rsidRPr="00F459BD" w:rsidRDefault="00094998" w:rsidP="00094998">
      <w:pPr>
        <w:pStyle w:val="Reference"/>
      </w:pPr>
      <w:r w:rsidRPr="00F459BD">
        <w:t>—— 20</w:t>
      </w:r>
      <w:r>
        <w:t>13</w:t>
      </w:r>
      <w:r w:rsidR="00681023">
        <w:t>c</w:t>
      </w:r>
      <w:r w:rsidRPr="00F459BD">
        <w:t xml:space="preserve">, </w:t>
      </w:r>
      <w:r w:rsidRPr="00B233E9">
        <w:rPr>
          <w:i/>
        </w:rPr>
        <w:t>Immunisation Myths and Realities: responding to arguments against immunisation</w:t>
      </w:r>
      <w:r>
        <w:t>, 5</w:t>
      </w:r>
      <w:r w:rsidRPr="00F459BD">
        <w:t>th edn,</w:t>
      </w:r>
      <w:r w:rsidRPr="00286E6C">
        <w:t xml:space="preserve"> www.health.gov.au/internet/immunise/publishing.nsf/</w:t>
      </w:r>
      <w:r>
        <w:br/>
      </w:r>
      <w:r w:rsidRPr="00286E6C">
        <w:t>Content/uci-myths-guideprov</w:t>
      </w:r>
      <w:r>
        <w:t xml:space="preserve"> (accessed 8</w:t>
      </w:r>
      <w:r w:rsidRPr="00F459BD">
        <w:t xml:space="preserve"> </w:t>
      </w:r>
      <w:r>
        <w:t>January 2014</w:t>
      </w:r>
      <w:r w:rsidRPr="00F459BD">
        <w:t>).</w:t>
      </w:r>
    </w:p>
    <w:p w:rsidR="00433832" w:rsidRPr="00F459BD" w:rsidRDefault="00B728BC" w:rsidP="00433832">
      <w:pPr>
        <w:pStyle w:val="Reference"/>
      </w:pPr>
      <w:r w:rsidRPr="00F459BD">
        <w:t xml:space="preserve">—— </w:t>
      </w:r>
      <w:r>
        <w:t>201</w:t>
      </w:r>
      <w:r w:rsidR="00114D1C">
        <w:t>3</w:t>
      </w:r>
      <w:r w:rsidR="00681023">
        <w:t>d</w:t>
      </w:r>
      <w:r w:rsidR="00433832" w:rsidRPr="00F459BD">
        <w:t xml:space="preserve">, </w:t>
      </w:r>
      <w:r w:rsidR="00433832" w:rsidRPr="00B728BC">
        <w:rPr>
          <w:i/>
        </w:rPr>
        <w:t>Australian national notifiable diseases list and</w:t>
      </w:r>
      <w:r w:rsidR="00433832" w:rsidRPr="00433832">
        <w:t xml:space="preserve"> </w:t>
      </w:r>
      <w:r w:rsidR="00433832" w:rsidRPr="00B233E9">
        <w:rPr>
          <w:i/>
        </w:rPr>
        <w:t>case definitions</w:t>
      </w:r>
      <w:r w:rsidR="00433832" w:rsidRPr="00F459BD">
        <w:t xml:space="preserve">, </w:t>
      </w:r>
      <w:r w:rsidR="00194874" w:rsidRPr="00194874">
        <w:t xml:space="preserve">www.health.gov.au/internet/main/publishing.nsf/Content/cda_surveil-nndss-dislist.htm </w:t>
      </w:r>
      <w:r w:rsidR="00194874">
        <w:t>(accessed 8</w:t>
      </w:r>
      <w:r w:rsidR="00433832" w:rsidRPr="00F459BD">
        <w:t xml:space="preserve"> </w:t>
      </w:r>
      <w:r w:rsidR="00194874">
        <w:t>January</w:t>
      </w:r>
      <w:r w:rsidR="00433832" w:rsidRPr="00F459BD">
        <w:t xml:space="preserve"> 20</w:t>
      </w:r>
      <w:r w:rsidR="00194874">
        <w:t>14</w:t>
      </w:r>
      <w:r w:rsidR="00433832" w:rsidRPr="00F459BD">
        <w:t>).</w:t>
      </w:r>
    </w:p>
    <w:p w:rsidR="002677C8" w:rsidRPr="00F459BD" w:rsidRDefault="002677C8" w:rsidP="002677C8">
      <w:pPr>
        <w:pStyle w:val="Reference"/>
      </w:pPr>
      <w:r w:rsidRPr="00F459BD">
        <w:t xml:space="preserve">DHS (Department of Human Services) 2002, </w:t>
      </w:r>
      <w:r w:rsidRPr="00B233E9">
        <w:rPr>
          <w:i/>
        </w:rPr>
        <w:t>Victorian Ambulatory Care Sensitive Conditions Study: Preliminary Analyses</w:t>
      </w:r>
      <w:r w:rsidRPr="00F459BD">
        <w:t xml:space="preserve">, Victorian Government, </w:t>
      </w:r>
      <w:smartTag w:uri="urn:schemas-microsoft-com:office:smarttags" w:element="place">
        <w:smartTag w:uri="urn:schemas-microsoft-com:office:smarttags" w:element="City">
          <w:r w:rsidRPr="00F459BD">
            <w:t>Melbourne</w:t>
          </w:r>
        </w:smartTag>
      </w:smartTag>
      <w:r w:rsidRPr="00F459BD">
        <w:t>.</w:t>
      </w:r>
    </w:p>
    <w:p w:rsidR="00576D3A" w:rsidRPr="00F459BD" w:rsidRDefault="00576D3A" w:rsidP="00CA3C2D">
      <w:pPr>
        <w:pStyle w:val="Reference"/>
      </w:pPr>
      <w:r w:rsidRPr="00F459BD">
        <w:t>Hofmarcher</w:t>
      </w:r>
      <w:r w:rsidR="00AF7616" w:rsidRPr="00F459BD">
        <w:t>,</w:t>
      </w:r>
      <w:r w:rsidRPr="00F459BD">
        <w:t xml:space="preserve"> M</w:t>
      </w:r>
      <w:r w:rsidR="00AF7616" w:rsidRPr="00F459BD">
        <w:t>.</w:t>
      </w:r>
      <w:r w:rsidRPr="00F459BD">
        <w:t>, Oxley</w:t>
      </w:r>
      <w:r w:rsidR="00AF7616" w:rsidRPr="00F459BD">
        <w:t>,</w:t>
      </w:r>
      <w:r w:rsidRPr="00F459BD">
        <w:t xml:space="preserve"> H</w:t>
      </w:r>
      <w:r w:rsidR="00AF7616" w:rsidRPr="00F459BD">
        <w:t>. and</w:t>
      </w:r>
      <w:r w:rsidRPr="00F459BD">
        <w:t xml:space="preserve"> Rusticelli</w:t>
      </w:r>
      <w:r w:rsidR="00AF7616" w:rsidRPr="00F459BD">
        <w:t>,</w:t>
      </w:r>
      <w:r w:rsidRPr="00F459BD">
        <w:t xml:space="preserve"> E</w:t>
      </w:r>
      <w:r w:rsidR="00AF7616" w:rsidRPr="00F459BD">
        <w:t>.</w:t>
      </w:r>
      <w:r w:rsidRPr="00F459BD">
        <w:t xml:space="preserve"> 2007</w:t>
      </w:r>
      <w:r w:rsidR="00AF7616" w:rsidRPr="00F459BD">
        <w:t>,</w:t>
      </w:r>
      <w:r w:rsidRPr="00F459BD">
        <w:t xml:space="preserve"> </w:t>
      </w:r>
      <w:r w:rsidRPr="00B233E9">
        <w:rPr>
          <w:i/>
        </w:rPr>
        <w:t>Improved Health System Performance through Better Care Coordination</w:t>
      </w:r>
      <w:r w:rsidRPr="00F459BD">
        <w:t>, OECD Health Working Paper No. 30</w:t>
      </w:r>
      <w:r w:rsidR="00AF7616" w:rsidRPr="00F459BD">
        <w:t xml:space="preserve">, OECD, </w:t>
      </w:r>
      <w:smartTag w:uri="urn:schemas-microsoft-com:office:smarttags" w:element="place">
        <w:smartTag w:uri="urn:schemas-microsoft-com:office:smarttags" w:element="City">
          <w:r w:rsidR="00AF7616" w:rsidRPr="00F459BD">
            <w:t>Paris</w:t>
          </w:r>
        </w:smartTag>
      </w:smartTag>
      <w:r w:rsidRPr="00F459BD">
        <w:t>.</w:t>
      </w:r>
    </w:p>
    <w:p w:rsidR="00BB7C13" w:rsidRPr="00F459BD" w:rsidRDefault="00BB7C13" w:rsidP="00576D3A">
      <w:pPr>
        <w:pStyle w:val="Reference"/>
      </w:pPr>
      <w:r w:rsidRPr="00F459BD">
        <w:t>Mitchell, H.</w:t>
      </w:r>
      <w:r w:rsidR="004E27A5">
        <w:t>,</w:t>
      </w:r>
      <w:r w:rsidRPr="00F459BD">
        <w:t xml:space="preserve"> Hocking, J.</w:t>
      </w:r>
      <w:r w:rsidR="004E27A5">
        <w:t xml:space="preserve"> and</w:t>
      </w:r>
      <w:r w:rsidRPr="00F459BD">
        <w:t xml:space="preserve"> Saville, M. 2003, ‘</w:t>
      </w:r>
      <w:r w:rsidRPr="00B233E9">
        <w:rPr>
          <w:i/>
        </w:rPr>
        <w:t>Improvement in protection of adenocarcinoma of the cervix resulting from participation in cervical screening</w:t>
      </w:r>
      <w:r w:rsidRPr="00F459BD">
        <w:t>’, Cancer</w:t>
      </w:r>
      <w:r w:rsidR="00A375EA" w:rsidRPr="00F459BD">
        <w:t xml:space="preserve"> Cytopathology</w:t>
      </w:r>
      <w:r w:rsidRPr="00F459BD">
        <w:t>, vol. 99, no. 6, pp. 336–341.</w:t>
      </w:r>
    </w:p>
    <w:p w:rsidR="00BB7C13" w:rsidRPr="00F459BD" w:rsidRDefault="00BB7C13" w:rsidP="00BB7C13">
      <w:pPr>
        <w:pStyle w:val="Reference"/>
      </w:pPr>
      <w:r w:rsidRPr="00F459BD">
        <w:t xml:space="preserve">National Advisory Committee on Oral Health 2004, </w:t>
      </w:r>
      <w:r w:rsidRPr="00B233E9">
        <w:rPr>
          <w:i/>
        </w:rPr>
        <w:t xml:space="preserve">Healthy mouths Healthy Lives: </w:t>
      </w:r>
      <w:smartTag w:uri="urn:schemas-microsoft-com:office:smarttags" w:element="country-region">
        <w:r w:rsidRPr="00B233E9">
          <w:rPr>
            <w:i/>
          </w:rPr>
          <w:t>Australia</w:t>
        </w:r>
      </w:smartTag>
      <w:r w:rsidRPr="00B233E9">
        <w:rPr>
          <w:i/>
        </w:rPr>
        <w:t>’s National Oral Health Plan 2004–2013</w:t>
      </w:r>
      <w:r w:rsidRPr="00F459BD">
        <w:t xml:space="preserve">, Report endorsed by the Australian Health Ministers’ Conference, </w:t>
      </w:r>
      <w:r w:rsidR="00996372" w:rsidRPr="00F459BD">
        <w:t xml:space="preserve">Government of South Australia, </w:t>
      </w:r>
      <w:smartTag w:uri="urn:schemas-microsoft-com:office:smarttags" w:element="place">
        <w:smartTag w:uri="urn:schemas-microsoft-com:office:smarttags" w:element="City">
          <w:r w:rsidRPr="00F459BD">
            <w:t>Adelaide</w:t>
          </w:r>
        </w:smartTag>
      </w:smartTag>
      <w:r w:rsidRPr="00F459BD">
        <w:t>.</w:t>
      </w:r>
    </w:p>
    <w:p w:rsidR="00C1391A" w:rsidRPr="00F459BD" w:rsidRDefault="00BB7C13" w:rsidP="00BB7C13">
      <w:pPr>
        <w:pStyle w:val="Reference"/>
      </w:pPr>
      <w:r w:rsidRPr="00F459BD">
        <w:t xml:space="preserve">NCIRS (National Centre for Immunisation Research and Surveillance of Vaccine Preventable Diseases) 2000, </w:t>
      </w:r>
      <w:r w:rsidRPr="00B233E9">
        <w:rPr>
          <w:i/>
        </w:rPr>
        <w:t>Vaccine Preventable Diseases and Vaccination Coverage in Australia, 1993–1998</w:t>
      </w:r>
      <w:r w:rsidRPr="00F459BD">
        <w:t>, University of Sydney, Royal Alexandra Hospital for Children and Australian Government Department of Health, Canberra.</w:t>
      </w:r>
    </w:p>
    <w:p w:rsidR="00BB7C13" w:rsidRPr="00F459BD" w:rsidRDefault="00BB7C13" w:rsidP="00BB7C13">
      <w:pPr>
        <w:pStyle w:val="Reference"/>
      </w:pPr>
      <w:r w:rsidRPr="00F459BD">
        <w:t xml:space="preserve">NHPAC (National Health Priority Action Council) 2006, </w:t>
      </w:r>
      <w:r w:rsidRPr="00B233E9">
        <w:rPr>
          <w:i/>
        </w:rPr>
        <w:t>National Chronic Disease Strategy</w:t>
      </w:r>
      <w:r w:rsidRPr="00F459BD">
        <w:t xml:space="preserve">, Australian Government Department of Health, </w:t>
      </w:r>
      <w:smartTag w:uri="urn:schemas-microsoft-com:office:smarttags" w:element="place">
        <w:smartTag w:uri="urn:schemas-microsoft-com:office:smarttags" w:element="City">
          <w:r w:rsidRPr="00F459BD">
            <w:t>Canberra</w:t>
          </w:r>
        </w:smartTag>
      </w:smartTag>
      <w:r w:rsidRPr="00F459BD">
        <w:t>.</w:t>
      </w:r>
    </w:p>
    <w:p w:rsidR="00BB7C13" w:rsidRPr="00F459BD" w:rsidRDefault="00BB7C13" w:rsidP="00BB7C13">
      <w:pPr>
        <w:pStyle w:val="Reference"/>
      </w:pPr>
      <w:r w:rsidRPr="00F459BD">
        <w:t xml:space="preserve">Quality Improvement Council 1998, </w:t>
      </w:r>
      <w:r w:rsidRPr="00B233E9">
        <w:rPr>
          <w:i/>
        </w:rPr>
        <w:t>Australian Health and Community Service Standards: Community and Primary Health Care Services Module</w:t>
      </w:r>
      <w:r w:rsidRPr="00F459BD">
        <w:t xml:space="preserve">, </w:t>
      </w:r>
      <w:smartTag w:uri="urn:schemas-microsoft-com:office:smarttags" w:element="place">
        <w:smartTag w:uri="urn:schemas-microsoft-com:office:smarttags" w:element="City">
          <w:r w:rsidRPr="00F459BD">
            <w:t>Melbourne</w:t>
          </w:r>
        </w:smartTag>
      </w:smartTag>
      <w:r w:rsidRPr="00F459BD">
        <w:t>.</w:t>
      </w:r>
    </w:p>
    <w:p w:rsidR="00C61EEC" w:rsidRDefault="00F47752" w:rsidP="005C6E27">
      <w:pPr>
        <w:pStyle w:val="Reference"/>
      </w:pPr>
      <w:r w:rsidRPr="00F459BD">
        <w:t>RACGP (</w:t>
      </w:r>
      <w:smartTag w:uri="urn:schemas-microsoft-com:office:smarttags" w:element="place">
        <w:smartTag w:uri="urn:schemas-microsoft-com:office:smarttags" w:element="PlaceName">
          <w:r w:rsidR="000C6B1E" w:rsidRPr="00F459BD">
            <w:t>Royal</w:t>
          </w:r>
        </w:smartTag>
        <w:r w:rsidR="000C6B1E" w:rsidRPr="00F459BD">
          <w:t xml:space="preserve"> </w:t>
        </w:r>
        <w:smartTag w:uri="urn:schemas-microsoft-com:office:smarttags" w:element="PlaceName">
          <w:r w:rsidR="000C6B1E" w:rsidRPr="00F459BD">
            <w:t>Australian</w:t>
          </w:r>
        </w:smartTag>
        <w:r w:rsidR="000C6B1E" w:rsidRPr="00F459BD">
          <w:t xml:space="preserve"> </w:t>
        </w:r>
        <w:smartTag w:uri="urn:schemas-microsoft-com:office:smarttags" w:element="PlaceType">
          <w:r w:rsidR="000C6B1E" w:rsidRPr="00F459BD">
            <w:t>College</w:t>
          </w:r>
        </w:smartTag>
      </w:smartTag>
      <w:r w:rsidR="000C6B1E" w:rsidRPr="00F459BD">
        <w:t xml:space="preserve"> of General Practitioners</w:t>
      </w:r>
      <w:r w:rsidRPr="00F459BD">
        <w:t xml:space="preserve">) </w:t>
      </w:r>
      <w:r w:rsidR="00C61EEC" w:rsidRPr="00F459BD">
        <w:t xml:space="preserve">2007, </w:t>
      </w:r>
      <w:r w:rsidR="00C61EEC" w:rsidRPr="00B233E9">
        <w:rPr>
          <w:i/>
        </w:rPr>
        <w:t>Vocational Training</w:t>
      </w:r>
      <w:r w:rsidR="00C61EEC" w:rsidRPr="00F459BD">
        <w:t>, www.racgp.org.au/vocationaltraining (accessed 12 October 2009).</w:t>
      </w:r>
    </w:p>
    <w:p w:rsidR="00F47752" w:rsidRPr="00F459BD" w:rsidRDefault="00C61EEC" w:rsidP="00CF1C0F">
      <w:pPr>
        <w:pStyle w:val="Reference"/>
      </w:pPr>
      <w:r w:rsidRPr="00F459BD">
        <w:t xml:space="preserve">—— </w:t>
      </w:r>
      <w:r w:rsidR="00F47752" w:rsidRPr="00F459BD">
        <w:t>20</w:t>
      </w:r>
      <w:r w:rsidR="005C6E27" w:rsidRPr="00F459BD">
        <w:t>11</w:t>
      </w:r>
      <w:r w:rsidR="004727BF" w:rsidRPr="00F459BD">
        <w:t>,</w:t>
      </w:r>
      <w:r w:rsidR="000C6B1E" w:rsidRPr="00F459BD">
        <w:t xml:space="preserve"> </w:t>
      </w:r>
      <w:r w:rsidR="005C6E27" w:rsidRPr="00B233E9">
        <w:rPr>
          <w:i/>
        </w:rPr>
        <w:t>RACGP Definition of general practice</w:t>
      </w:r>
      <w:r w:rsidR="00220273" w:rsidRPr="00F459BD">
        <w:t xml:space="preserve"> </w:t>
      </w:r>
      <w:r w:rsidRPr="00C61EEC">
        <w:t>www.racgp.org.au/whatis</w:t>
      </w:r>
      <w:r>
        <w:t xml:space="preserve"> </w:t>
      </w:r>
      <w:r w:rsidR="000C6B1E" w:rsidRPr="00F459BD">
        <w:t>generalpractice</w:t>
      </w:r>
      <w:r w:rsidR="00DB477C" w:rsidRPr="00F459BD">
        <w:t xml:space="preserve"> (</w:t>
      </w:r>
      <w:r w:rsidR="0099278F" w:rsidRPr="00F459BD">
        <w:t xml:space="preserve">accessed </w:t>
      </w:r>
      <w:r w:rsidR="00071F6A" w:rsidRPr="00F459BD">
        <w:t>11 August 2011</w:t>
      </w:r>
      <w:r w:rsidR="000C6B1E" w:rsidRPr="00F459BD">
        <w:t>).</w:t>
      </w:r>
    </w:p>
    <w:p w:rsidR="00BB7C13" w:rsidRPr="00F459BD" w:rsidRDefault="00BB7C13" w:rsidP="00BB7C13">
      <w:pPr>
        <w:pStyle w:val="Reference"/>
      </w:pPr>
      <w:r w:rsidRPr="00F459BD">
        <w:lastRenderedPageBreak/>
        <w:t>SCRGSP (Steering Committee for the Review of Government Service Provision) 20</w:t>
      </w:r>
      <w:r w:rsidR="00281B88" w:rsidRPr="00F459BD">
        <w:t>11</w:t>
      </w:r>
      <w:r w:rsidRPr="00F459BD">
        <w:t xml:space="preserve">, </w:t>
      </w:r>
      <w:r w:rsidRPr="00B233E9">
        <w:rPr>
          <w:i/>
        </w:rPr>
        <w:t>Overcoming Indigenous Disadvantage: Key Indicators 20</w:t>
      </w:r>
      <w:r w:rsidR="00281B88" w:rsidRPr="00B233E9">
        <w:rPr>
          <w:i/>
        </w:rPr>
        <w:t>11</w:t>
      </w:r>
      <w:r w:rsidRPr="00F459BD">
        <w:t xml:space="preserve">, Productivity Commission, </w:t>
      </w:r>
      <w:smartTag w:uri="urn:schemas-microsoft-com:office:smarttags" w:element="place">
        <w:smartTag w:uri="urn:schemas-microsoft-com:office:smarttags" w:element="City">
          <w:r w:rsidRPr="00F459BD">
            <w:t>Canberra</w:t>
          </w:r>
        </w:smartTag>
      </w:smartTag>
      <w:r w:rsidRPr="00F459BD">
        <w:t>.</w:t>
      </w:r>
    </w:p>
    <w:p w:rsidR="009B6CEA" w:rsidRPr="00F459BD" w:rsidRDefault="00BB7C13" w:rsidP="00C27515">
      <w:pPr>
        <w:pStyle w:val="Reference"/>
        <w:keepNext/>
        <w:keepLines/>
      </w:pPr>
      <w:r w:rsidRPr="00F459BD">
        <w:t xml:space="preserve">Van Konkelenberg, R. Esterman, A. Van Konkelenberg, J. 2003, </w:t>
      </w:r>
      <w:r w:rsidRPr="00B233E9">
        <w:rPr>
          <w:i/>
        </w:rPr>
        <w:t>Literature Reviews: Factors Influencing use of Emergency Departments and Characteristics of Patients Admitted Through Emergency Departments</w:t>
      </w:r>
      <w:r w:rsidR="00C27515" w:rsidRPr="00F459BD">
        <w:t>,</w:t>
      </w:r>
      <w:r w:rsidR="00220273" w:rsidRPr="00F459BD">
        <w:t xml:space="preserve"> </w:t>
      </w:r>
      <w:r w:rsidR="00894D9E" w:rsidRPr="00F459BD">
        <w:t>www.publications.health.sa.gov.au/cgi/viewcontent.cgi?article=1002&amp;context=</w:t>
      </w:r>
      <w:r w:rsidR="00C36A14" w:rsidRPr="00F459BD">
        <w:br/>
      </w:r>
      <w:r w:rsidR="00894D9E" w:rsidRPr="00F459BD">
        <w:t>ecc (accessed 1</w:t>
      </w:r>
      <w:r w:rsidR="00E87A39" w:rsidRPr="00F459BD">
        <w:t>1</w:t>
      </w:r>
      <w:r w:rsidR="00894D9E" w:rsidRPr="00F459BD">
        <w:t> </w:t>
      </w:r>
      <w:r w:rsidR="00E87A39" w:rsidRPr="00F459BD">
        <w:t>August</w:t>
      </w:r>
      <w:r w:rsidR="00894D9E" w:rsidRPr="00F459BD">
        <w:t> 201</w:t>
      </w:r>
      <w:r w:rsidR="00E87A39" w:rsidRPr="00F459BD">
        <w:t>1</w:t>
      </w:r>
      <w:r w:rsidR="00894D9E" w:rsidRPr="00F459BD">
        <w:t>).</w:t>
      </w:r>
    </w:p>
    <w:sectPr w:rsidR="009B6CEA" w:rsidRPr="00F459BD" w:rsidSect="00570D18">
      <w:headerReference w:type="even" r:id="rId68"/>
      <w:headerReference w:type="default" r:id="rId69"/>
      <w:footerReference w:type="even" r:id="rId70"/>
      <w:footerReference w:type="default" r:id="rId71"/>
      <w:pgSz w:w="11907" w:h="16840" w:code="9"/>
      <w:pgMar w:top="1985" w:right="1304" w:bottom="1418" w:left="1814" w:header="1701" w:footer="567" w:gutter="0"/>
      <w:pgNumType w:start="1"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04B" w:rsidRDefault="0060104B">
      <w:r>
        <w:separator/>
      </w:r>
    </w:p>
  </w:endnote>
  <w:endnote w:type="continuationSeparator" w:id="0">
    <w:p w:rsidR="0060104B" w:rsidRDefault="00601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0104B">
      <w:trPr>
        <w:trHeight w:hRule="exact" w:val="740"/>
      </w:trPr>
      <w:tc>
        <w:tcPr>
          <w:tcW w:w="510" w:type="dxa"/>
          <w:tcBorders>
            <w:top w:val="single" w:sz="6" w:space="0" w:color="auto"/>
          </w:tcBorders>
        </w:tcPr>
        <w:p w:rsidR="0060104B" w:rsidRDefault="0060104B">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FF152E">
            <w:rPr>
              <w:rStyle w:val="PageNumber"/>
              <w:noProof/>
            </w:rPr>
            <w:t>2</w:t>
          </w:r>
          <w:r>
            <w:rPr>
              <w:rStyle w:val="PageNumber"/>
            </w:rPr>
            <w:fldChar w:fldCharType="end"/>
          </w:r>
        </w:p>
      </w:tc>
      <w:tc>
        <w:tcPr>
          <w:tcW w:w="1644" w:type="dxa"/>
          <w:tcBorders>
            <w:top w:val="single" w:sz="6" w:space="0" w:color="auto"/>
          </w:tcBorders>
        </w:tcPr>
        <w:p w:rsidR="0060104B" w:rsidRDefault="00FF152E">
          <w:pPr>
            <w:pStyle w:val="Footer"/>
          </w:pPr>
          <w:r>
            <w:fldChar w:fldCharType="begin"/>
          </w:r>
          <w:r>
            <w:instrText xml:space="preserve"> SUBJECT  \* MERGEFORMAT </w:instrText>
          </w:r>
          <w:r>
            <w:fldChar w:fldCharType="separate"/>
          </w:r>
          <w:r w:rsidR="0060104B">
            <w:t>Report on Government Services 2014</w:t>
          </w:r>
          <w:r>
            <w:fldChar w:fldCharType="end"/>
          </w:r>
        </w:p>
      </w:tc>
      <w:tc>
        <w:tcPr>
          <w:tcW w:w="6634" w:type="dxa"/>
        </w:tcPr>
        <w:p w:rsidR="0060104B" w:rsidRDefault="0060104B">
          <w:pPr>
            <w:pStyle w:val="Footer"/>
          </w:pPr>
        </w:p>
      </w:tc>
    </w:tr>
  </w:tbl>
  <w:p w:rsidR="0060104B" w:rsidRDefault="0060104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0104B">
      <w:trPr>
        <w:trHeight w:hRule="exact" w:val="740"/>
      </w:trPr>
      <w:tc>
        <w:tcPr>
          <w:tcW w:w="6634" w:type="dxa"/>
        </w:tcPr>
        <w:p w:rsidR="0060104B" w:rsidRDefault="0060104B">
          <w:pPr>
            <w:pStyle w:val="Footer"/>
            <w:ind w:right="360" w:firstLine="360"/>
          </w:pPr>
          <w:bookmarkStart w:id="85" w:name="_Chapter"/>
          <w:bookmarkEnd w:id="85"/>
        </w:p>
      </w:tc>
      <w:tc>
        <w:tcPr>
          <w:tcW w:w="1644" w:type="dxa"/>
          <w:tcBorders>
            <w:top w:val="single" w:sz="6" w:space="0" w:color="auto"/>
          </w:tcBorders>
        </w:tcPr>
        <w:p w:rsidR="0060104B" w:rsidRDefault="00FF152E">
          <w:pPr>
            <w:pStyle w:val="Footer"/>
          </w:pPr>
          <w:r>
            <w:fldChar w:fldCharType="begin"/>
          </w:r>
          <w:r>
            <w:instrText xml:space="preserve"> TITLE  \* MERGEFORMAT </w:instrText>
          </w:r>
          <w:r>
            <w:fldChar w:fldCharType="separate"/>
          </w:r>
          <w:r w:rsidR="0060104B">
            <w:t>Primary and community health</w:t>
          </w:r>
          <w:r>
            <w:fldChar w:fldCharType="end"/>
          </w:r>
        </w:p>
      </w:tc>
      <w:tc>
        <w:tcPr>
          <w:tcW w:w="510" w:type="dxa"/>
          <w:tcBorders>
            <w:top w:val="single" w:sz="6" w:space="0" w:color="auto"/>
          </w:tcBorders>
        </w:tcPr>
        <w:p w:rsidR="0060104B" w:rsidRDefault="0060104B" w:rsidP="00D809A6">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FF152E">
            <w:rPr>
              <w:rStyle w:val="PageNumber"/>
              <w:noProof/>
            </w:rPr>
            <w:t>1</w:t>
          </w:r>
          <w:r>
            <w:rPr>
              <w:rStyle w:val="PageNumber"/>
            </w:rPr>
            <w:fldChar w:fldCharType="end"/>
          </w:r>
        </w:p>
      </w:tc>
    </w:tr>
  </w:tbl>
  <w:p w:rsidR="0060104B" w:rsidRDefault="0060104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04B" w:rsidRDefault="0060104B">
      <w:r>
        <w:separator/>
      </w:r>
    </w:p>
  </w:footnote>
  <w:footnote w:type="continuationSeparator" w:id="0">
    <w:p w:rsidR="0060104B" w:rsidRDefault="0060104B">
      <w:r>
        <w:continuationSeparator/>
      </w:r>
    </w:p>
  </w:footnote>
  <w:footnote w:id="1">
    <w:p w:rsidR="0060104B" w:rsidRPr="002035E2" w:rsidRDefault="0060104B" w:rsidP="00DA6A4B">
      <w:pPr>
        <w:pStyle w:val="FootnoteText"/>
      </w:pPr>
      <w:r>
        <w:rPr>
          <w:rStyle w:val="FootnoteReference"/>
        </w:rPr>
        <w:footnoteRef/>
      </w:r>
      <w:r>
        <w:t xml:space="preserve"> </w:t>
      </w:r>
      <w:r w:rsidRPr="002035E2">
        <w:t xml:space="preserve">PBS approved private hospitals supply medicines to </w:t>
      </w:r>
      <w:r w:rsidRPr="00883C24">
        <w:t>patients of the hospital (inpatients and outpatients), while public hospitals provide medicines only to patients on discharge</w:t>
      </w:r>
      <w:r w:rsidRPr="002035E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60104B" w:rsidTr="00840DC6">
      <w:tc>
        <w:tcPr>
          <w:tcW w:w="2155" w:type="dxa"/>
          <w:tcBorders>
            <w:top w:val="single" w:sz="24" w:space="0" w:color="auto"/>
          </w:tcBorders>
        </w:tcPr>
        <w:p w:rsidR="0060104B" w:rsidRDefault="0060104B">
          <w:pPr>
            <w:pStyle w:val="HeaderEven"/>
          </w:pPr>
        </w:p>
      </w:tc>
      <w:tc>
        <w:tcPr>
          <w:tcW w:w="6634" w:type="dxa"/>
          <w:tcBorders>
            <w:top w:val="single" w:sz="6" w:space="0" w:color="auto"/>
          </w:tcBorders>
        </w:tcPr>
        <w:p w:rsidR="0060104B" w:rsidRPr="00570D18" w:rsidRDefault="0060104B" w:rsidP="00F820AF">
          <w:pPr>
            <w:pStyle w:val="HeaderOdd"/>
          </w:pPr>
        </w:p>
      </w:tc>
    </w:tr>
  </w:tbl>
  <w:p w:rsidR="0060104B" w:rsidRDefault="0060104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104B" w:rsidRPr="00CA7325">
      <w:tc>
        <w:tcPr>
          <w:tcW w:w="6634" w:type="dxa"/>
          <w:tcBorders>
            <w:top w:val="single" w:sz="6" w:space="0" w:color="auto"/>
          </w:tcBorders>
        </w:tcPr>
        <w:p w:rsidR="0060104B" w:rsidRPr="00CA7325" w:rsidRDefault="0060104B" w:rsidP="002630B0">
          <w:pPr>
            <w:rPr>
              <w:rFonts w:ascii="Arial" w:hAnsi="Arial" w:cs="Arial"/>
              <w:caps/>
            </w:rPr>
          </w:pPr>
        </w:p>
      </w:tc>
      <w:tc>
        <w:tcPr>
          <w:tcW w:w="2155" w:type="dxa"/>
          <w:tcBorders>
            <w:top w:val="single" w:sz="24" w:space="0" w:color="auto"/>
          </w:tcBorders>
        </w:tcPr>
        <w:p w:rsidR="0060104B" w:rsidRPr="00CA7325" w:rsidRDefault="0060104B">
          <w:pPr>
            <w:rPr>
              <w:rFonts w:ascii="Arial" w:hAnsi="Arial" w:cs="Arial"/>
            </w:rPr>
          </w:pPr>
        </w:p>
      </w:tc>
    </w:tr>
  </w:tbl>
  <w:p w:rsidR="0060104B" w:rsidRDefault="0060104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2"/>
  </w:num>
  <w:num w:numId="8">
    <w:abstractNumId w:val="43"/>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mirrorMargins/>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AU"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imary and community health"/>
    <w:docVar w:name="ShortReportTitle" w:val="Report on Government Services 2012"/>
    <w:docVar w:name="SideNote" w:val="1"/>
    <w:docVar w:name="UseShortChapter" w:val="0"/>
    <w:docVar w:name="UseShortReport" w:val="0"/>
  </w:docVars>
  <w:rsids>
    <w:rsidRoot w:val="00711EF3"/>
    <w:rsid w:val="000002A7"/>
    <w:rsid w:val="00001351"/>
    <w:rsid w:val="000017FF"/>
    <w:rsid w:val="0000181C"/>
    <w:rsid w:val="000020EB"/>
    <w:rsid w:val="0000256F"/>
    <w:rsid w:val="00002758"/>
    <w:rsid w:val="00003B5B"/>
    <w:rsid w:val="00003CF7"/>
    <w:rsid w:val="000046D8"/>
    <w:rsid w:val="0000484E"/>
    <w:rsid w:val="00005A70"/>
    <w:rsid w:val="00005AC4"/>
    <w:rsid w:val="00006228"/>
    <w:rsid w:val="000064BD"/>
    <w:rsid w:val="00006644"/>
    <w:rsid w:val="0000665A"/>
    <w:rsid w:val="00006C26"/>
    <w:rsid w:val="00006E5B"/>
    <w:rsid w:val="000072E3"/>
    <w:rsid w:val="00007B92"/>
    <w:rsid w:val="00007DAB"/>
    <w:rsid w:val="0001008A"/>
    <w:rsid w:val="000100B7"/>
    <w:rsid w:val="000102D8"/>
    <w:rsid w:val="0001034E"/>
    <w:rsid w:val="00010420"/>
    <w:rsid w:val="0001096A"/>
    <w:rsid w:val="00010C66"/>
    <w:rsid w:val="00011082"/>
    <w:rsid w:val="00011668"/>
    <w:rsid w:val="0001182F"/>
    <w:rsid w:val="0001197C"/>
    <w:rsid w:val="00011CE2"/>
    <w:rsid w:val="00011DF7"/>
    <w:rsid w:val="00012299"/>
    <w:rsid w:val="00012399"/>
    <w:rsid w:val="000127B7"/>
    <w:rsid w:val="000130CB"/>
    <w:rsid w:val="000131AE"/>
    <w:rsid w:val="000131BB"/>
    <w:rsid w:val="000131ED"/>
    <w:rsid w:val="00013605"/>
    <w:rsid w:val="00013A09"/>
    <w:rsid w:val="00013A4E"/>
    <w:rsid w:val="00013E24"/>
    <w:rsid w:val="00014EF9"/>
    <w:rsid w:val="00014F2E"/>
    <w:rsid w:val="000155DE"/>
    <w:rsid w:val="00015F70"/>
    <w:rsid w:val="0001631C"/>
    <w:rsid w:val="00016C86"/>
    <w:rsid w:val="00016EDB"/>
    <w:rsid w:val="00016F26"/>
    <w:rsid w:val="00016FB3"/>
    <w:rsid w:val="00017B7C"/>
    <w:rsid w:val="000202E1"/>
    <w:rsid w:val="00020B0A"/>
    <w:rsid w:val="00020BA7"/>
    <w:rsid w:val="00020F1B"/>
    <w:rsid w:val="000212B1"/>
    <w:rsid w:val="00022291"/>
    <w:rsid w:val="00022430"/>
    <w:rsid w:val="000228BE"/>
    <w:rsid w:val="00022AED"/>
    <w:rsid w:val="00022CEA"/>
    <w:rsid w:val="00022E6A"/>
    <w:rsid w:val="00022F11"/>
    <w:rsid w:val="00023637"/>
    <w:rsid w:val="00023AB2"/>
    <w:rsid w:val="00024624"/>
    <w:rsid w:val="00024955"/>
    <w:rsid w:val="0002500F"/>
    <w:rsid w:val="00025443"/>
    <w:rsid w:val="000256A5"/>
    <w:rsid w:val="00025D01"/>
    <w:rsid w:val="0002634A"/>
    <w:rsid w:val="00027078"/>
    <w:rsid w:val="00030270"/>
    <w:rsid w:val="00030594"/>
    <w:rsid w:val="00030F8E"/>
    <w:rsid w:val="00031744"/>
    <w:rsid w:val="000319A7"/>
    <w:rsid w:val="0003201B"/>
    <w:rsid w:val="0003231C"/>
    <w:rsid w:val="00032CB1"/>
    <w:rsid w:val="00032D3D"/>
    <w:rsid w:val="000332DD"/>
    <w:rsid w:val="00034190"/>
    <w:rsid w:val="0003468B"/>
    <w:rsid w:val="000348AA"/>
    <w:rsid w:val="00034D7D"/>
    <w:rsid w:val="00034F99"/>
    <w:rsid w:val="000353DD"/>
    <w:rsid w:val="0003641B"/>
    <w:rsid w:val="00036738"/>
    <w:rsid w:val="00036B77"/>
    <w:rsid w:val="00037377"/>
    <w:rsid w:val="00037385"/>
    <w:rsid w:val="000373F7"/>
    <w:rsid w:val="000375F2"/>
    <w:rsid w:val="0003766E"/>
    <w:rsid w:val="00037AC3"/>
    <w:rsid w:val="0004005B"/>
    <w:rsid w:val="00040398"/>
    <w:rsid w:val="00040465"/>
    <w:rsid w:val="00040B63"/>
    <w:rsid w:val="00040BA2"/>
    <w:rsid w:val="000410B7"/>
    <w:rsid w:val="000410FD"/>
    <w:rsid w:val="0004129E"/>
    <w:rsid w:val="00041592"/>
    <w:rsid w:val="00041695"/>
    <w:rsid w:val="00041946"/>
    <w:rsid w:val="000419CD"/>
    <w:rsid w:val="00041A8A"/>
    <w:rsid w:val="00042234"/>
    <w:rsid w:val="00042392"/>
    <w:rsid w:val="000427AD"/>
    <w:rsid w:val="00042BD5"/>
    <w:rsid w:val="000430D4"/>
    <w:rsid w:val="000431A6"/>
    <w:rsid w:val="000435AE"/>
    <w:rsid w:val="0004392D"/>
    <w:rsid w:val="00043AA4"/>
    <w:rsid w:val="00043E23"/>
    <w:rsid w:val="00043E52"/>
    <w:rsid w:val="00043F05"/>
    <w:rsid w:val="000444A4"/>
    <w:rsid w:val="000446F5"/>
    <w:rsid w:val="000446FF"/>
    <w:rsid w:val="00045052"/>
    <w:rsid w:val="00045114"/>
    <w:rsid w:val="000452D3"/>
    <w:rsid w:val="000454E4"/>
    <w:rsid w:val="0004553E"/>
    <w:rsid w:val="000459C2"/>
    <w:rsid w:val="00045CF4"/>
    <w:rsid w:val="00045E61"/>
    <w:rsid w:val="00046121"/>
    <w:rsid w:val="00046518"/>
    <w:rsid w:val="000465F0"/>
    <w:rsid w:val="000467B7"/>
    <w:rsid w:val="00046ADC"/>
    <w:rsid w:val="00046DF5"/>
    <w:rsid w:val="0004703D"/>
    <w:rsid w:val="00047059"/>
    <w:rsid w:val="000477F1"/>
    <w:rsid w:val="000479AA"/>
    <w:rsid w:val="000506E2"/>
    <w:rsid w:val="00050A25"/>
    <w:rsid w:val="0005141F"/>
    <w:rsid w:val="000514A6"/>
    <w:rsid w:val="00051912"/>
    <w:rsid w:val="00051EF0"/>
    <w:rsid w:val="0005218D"/>
    <w:rsid w:val="00052239"/>
    <w:rsid w:val="000529E8"/>
    <w:rsid w:val="00052AA2"/>
    <w:rsid w:val="00052D40"/>
    <w:rsid w:val="00052E0A"/>
    <w:rsid w:val="000530B3"/>
    <w:rsid w:val="0005361C"/>
    <w:rsid w:val="00053635"/>
    <w:rsid w:val="000537DB"/>
    <w:rsid w:val="00053D2B"/>
    <w:rsid w:val="00054BF4"/>
    <w:rsid w:val="0005559F"/>
    <w:rsid w:val="000558D8"/>
    <w:rsid w:val="00055CBF"/>
    <w:rsid w:val="00056136"/>
    <w:rsid w:val="00056F0E"/>
    <w:rsid w:val="00057119"/>
    <w:rsid w:val="00057135"/>
    <w:rsid w:val="0005740D"/>
    <w:rsid w:val="00057446"/>
    <w:rsid w:val="000574F0"/>
    <w:rsid w:val="00057710"/>
    <w:rsid w:val="00057B88"/>
    <w:rsid w:val="00057C86"/>
    <w:rsid w:val="00057ECD"/>
    <w:rsid w:val="00060326"/>
    <w:rsid w:val="00060556"/>
    <w:rsid w:val="00060B80"/>
    <w:rsid w:val="00060C7B"/>
    <w:rsid w:val="00060D1D"/>
    <w:rsid w:val="00060F77"/>
    <w:rsid w:val="00061391"/>
    <w:rsid w:val="0006153E"/>
    <w:rsid w:val="0006447A"/>
    <w:rsid w:val="00064767"/>
    <w:rsid w:val="00064A12"/>
    <w:rsid w:val="00064B9F"/>
    <w:rsid w:val="000655E3"/>
    <w:rsid w:val="000656F5"/>
    <w:rsid w:val="00065D58"/>
    <w:rsid w:val="00066B28"/>
    <w:rsid w:val="00067383"/>
    <w:rsid w:val="00067444"/>
    <w:rsid w:val="000675A1"/>
    <w:rsid w:val="00067FFE"/>
    <w:rsid w:val="00070090"/>
    <w:rsid w:val="00070181"/>
    <w:rsid w:val="000709D5"/>
    <w:rsid w:val="00070C57"/>
    <w:rsid w:val="000712E6"/>
    <w:rsid w:val="00071BA8"/>
    <w:rsid w:val="00071CDE"/>
    <w:rsid w:val="00071F6A"/>
    <w:rsid w:val="0007229B"/>
    <w:rsid w:val="00072BFE"/>
    <w:rsid w:val="00072CA4"/>
    <w:rsid w:val="00073493"/>
    <w:rsid w:val="00073714"/>
    <w:rsid w:val="00073BA7"/>
    <w:rsid w:val="00074508"/>
    <w:rsid w:val="0007460F"/>
    <w:rsid w:val="000749D1"/>
    <w:rsid w:val="00074C90"/>
    <w:rsid w:val="00074CC9"/>
    <w:rsid w:val="00075401"/>
    <w:rsid w:val="000759B8"/>
    <w:rsid w:val="00075FA0"/>
    <w:rsid w:val="00076040"/>
    <w:rsid w:val="00076101"/>
    <w:rsid w:val="000764BF"/>
    <w:rsid w:val="000768D7"/>
    <w:rsid w:val="00076CFF"/>
    <w:rsid w:val="00077169"/>
    <w:rsid w:val="0007756C"/>
    <w:rsid w:val="00077603"/>
    <w:rsid w:val="000777F3"/>
    <w:rsid w:val="00077857"/>
    <w:rsid w:val="00077B08"/>
    <w:rsid w:val="00077B7C"/>
    <w:rsid w:val="00077D2C"/>
    <w:rsid w:val="000801FF"/>
    <w:rsid w:val="0008046A"/>
    <w:rsid w:val="0008053A"/>
    <w:rsid w:val="000809AB"/>
    <w:rsid w:val="00080FA4"/>
    <w:rsid w:val="0008116B"/>
    <w:rsid w:val="000817C6"/>
    <w:rsid w:val="00081D41"/>
    <w:rsid w:val="000820E0"/>
    <w:rsid w:val="00082560"/>
    <w:rsid w:val="00082D7C"/>
    <w:rsid w:val="000832D4"/>
    <w:rsid w:val="00083B97"/>
    <w:rsid w:val="00083BE8"/>
    <w:rsid w:val="00083F1C"/>
    <w:rsid w:val="000843B3"/>
    <w:rsid w:val="000847B9"/>
    <w:rsid w:val="0008489C"/>
    <w:rsid w:val="00084C3B"/>
    <w:rsid w:val="00084D12"/>
    <w:rsid w:val="00085197"/>
    <w:rsid w:val="00085349"/>
    <w:rsid w:val="00085B88"/>
    <w:rsid w:val="0008673C"/>
    <w:rsid w:val="00086C2C"/>
    <w:rsid w:val="00086E18"/>
    <w:rsid w:val="0008764A"/>
    <w:rsid w:val="00087660"/>
    <w:rsid w:val="00087EE0"/>
    <w:rsid w:val="00090443"/>
    <w:rsid w:val="000908DE"/>
    <w:rsid w:val="00090CD0"/>
    <w:rsid w:val="0009111D"/>
    <w:rsid w:val="00091836"/>
    <w:rsid w:val="0009244C"/>
    <w:rsid w:val="0009280D"/>
    <w:rsid w:val="00093F77"/>
    <w:rsid w:val="00094998"/>
    <w:rsid w:val="00094E03"/>
    <w:rsid w:val="000957EE"/>
    <w:rsid w:val="00095AFE"/>
    <w:rsid w:val="00096109"/>
    <w:rsid w:val="000969D2"/>
    <w:rsid w:val="000969E0"/>
    <w:rsid w:val="00097334"/>
    <w:rsid w:val="00097DBF"/>
    <w:rsid w:val="00097F59"/>
    <w:rsid w:val="000A04C7"/>
    <w:rsid w:val="000A06C3"/>
    <w:rsid w:val="000A09E4"/>
    <w:rsid w:val="000A0AC8"/>
    <w:rsid w:val="000A1691"/>
    <w:rsid w:val="000A177D"/>
    <w:rsid w:val="000A1D92"/>
    <w:rsid w:val="000A2043"/>
    <w:rsid w:val="000A2154"/>
    <w:rsid w:val="000A225F"/>
    <w:rsid w:val="000A2286"/>
    <w:rsid w:val="000A258A"/>
    <w:rsid w:val="000A260B"/>
    <w:rsid w:val="000A29DB"/>
    <w:rsid w:val="000A2B5F"/>
    <w:rsid w:val="000A2DBC"/>
    <w:rsid w:val="000A2E3B"/>
    <w:rsid w:val="000A3014"/>
    <w:rsid w:val="000A30B3"/>
    <w:rsid w:val="000A3505"/>
    <w:rsid w:val="000A419E"/>
    <w:rsid w:val="000A46E1"/>
    <w:rsid w:val="000A4ACF"/>
    <w:rsid w:val="000A4BEF"/>
    <w:rsid w:val="000A4DB5"/>
    <w:rsid w:val="000A6401"/>
    <w:rsid w:val="000A661D"/>
    <w:rsid w:val="000A6A03"/>
    <w:rsid w:val="000A6CE7"/>
    <w:rsid w:val="000A6D38"/>
    <w:rsid w:val="000A7179"/>
    <w:rsid w:val="000A78DF"/>
    <w:rsid w:val="000A7F1C"/>
    <w:rsid w:val="000B00BB"/>
    <w:rsid w:val="000B0522"/>
    <w:rsid w:val="000B08BD"/>
    <w:rsid w:val="000B0BDE"/>
    <w:rsid w:val="000B18E0"/>
    <w:rsid w:val="000B1BF6"/>
    <w:rsid w:val="000B1C2E"/>
    <w:rsid w:val="000B1E43"/>
    <w:rsid w:val="000B1FC8"/>
    <w:rsid w:val="000B202B"/>
    <w:rsid w:val="000B20C4"/>
    <w:rsid w:val="000B21B8"/>
    <w:rsid w:val="000B2487"/>
    <w:rsid w:val="000B2796"/>
    <w:rsid w:val="000B2A40"/>
    <w:rsid w:val="000B32B4"/>
    <w:rsid w:val="000B3BB9"/>
    <w:rsid w:val="000B3C32"/>
    <w:rsid w:val="000B4465"/>
    <w:rsid w:val="000B4834"/>
    <w:rsid w:val="000B5ABD"/>
    <w:rsid w:val="000B5D74"/>
    <w:rsid w:val="000B60BA"/>
    <w:rsid w:val="000B6D44"/>
    <w:rsid w:val="000B709E"/>
    <w:rsid w:val="000B73A0"/>
    <w:rsid w:val="000B774B"/>
    <w:rsid w:val="000B7A8F"/>
    <w:rsid w:val="000B7CCE"/>
    <w:rsid w:val="000B7DDA"/>
    <w:rsid w:val="000B7E6E"/>
    <w:rsid w:val="000C03BA"/>
    <w:rsid w:val="000C20C9"/>
    <w:rsid w:val="000C29EB"/>
    <w:rsid w:val="000C2A6D"/>
    <w:rsid w:val="000C2AB6"/>
    <w:rsid w:val="000C3040"/>
    <w:rsid w:val="000C3170"/>
    <w:rsid w:val="000C35F5"/>
    <w:rsid w:val="000C3771"/>
    <w:rsid w:val="000C414E"/>
    <w:rsid w:val="000C4877"/>
    <w:rsid w:val="000C50BE"/>
    <w:rsid w:val="000C5220"/>
    <w:rsid w:val="000C5413"/>
    <w:rsid w:val="000C595B"/>
    <w:rsid w:val="000C5A37"/>
    <w:rsid w:val="000C5C84"/>
    <w:rsid w:val="000C6015"/>
    <w:rsid w:val="000C6758"/>
    <w:rsid w:val="000C6B1E"/>
    <w:rsid w:val="000C6C48"/>
    <w:rsid w:val="000C6E81"/>
    <w:rsid w:val="000C6F79"/>
    <w:rsid w:val="000C6FFD"/>
    <w:rsid w:val="000C73A6"/>
    <w:rsid w:val="000C78C4"/>
    <w:rsid w:val="000C79B6"/>
    <w:rsid w:val="000C7BAB"/>
    <w:rsid w:val="000C7FE4"/>
    <w:rsid w:val="000D0082"/>
    <w:rsid w:val="000D01D6"/>
    <w:rsid w:val="000D025F"/>
    <w:rsid w:val="000D036B"/>
    <w:rsid w:val="000D0379"/>
    <w:rsid w:val="000D0394"/>
    <w:rsid w:val="000D0489"/>
    <w:rsid w:val="000D0E9D"/>
    <w:rsid w:val="000D0F48"/>
    <w:rsid w:val="000D146A"/>
    <w:rsid w:val="000D189C"/>
    <w:rsid w:val="000D2484"/>
    <w:rsid w:val="000D2644"/>
    <w:rsid w:val="000D2CB1"/>
    <w:rsid w:val="000D2F89"/>
    <w:rsid w:val="000D30AE"/>
    <w:rsid w:val="000D3B62"/>
    <w:rsid w:val="000D459C"/>
    <w:rsid w:val="000D477D"/>
    <w:rsid w:val="000D4909"/>
    <w:rsid w:val="000D4B8F"/>
    <w:rsid w:val="000D4DC3"/>
    <w:rsid w:val="000D5537"/>
    <w:rsid w:val="000D5654"/>
    <w:rsid w:val="000D59AD"/>
    <w:rsid w:val="000D5A0C"/>
    <w:rsid w:val="000D5CED"/>
    <w:rsid w:val="000D5DA4"/>
    <w:rsid w:val="000D5F35"/>
    <w:rsid w:val="000D6248"/>
    <w:rsid w:val="000D65CD"/>
    <w:rsid w:val="000D6669"/>
    <w:rsid w:val="000D689F"/>
    <w:rsid w:val="000D6D68"/>
    <w:rsid w:val="000D6FEA"/>
    <w:rsid w:val="000D7153"/>
    <w:rsid w:val="000E05F2"/>
    <w:rsid w:val="000E0E04"/>
    <w:rsid w:val="000E0F2B"/>
    <w:rsid w:val="000E125C"/>
    <w:rsid w:val="000E190C"/>
    <w:rsid w:val="000E1D4F"/>
    <w:rsid w:val="000E314B"/>
    <w:rsid w:val="000E36F1"/>
    <w:rsid w:val="000E411A"/>
    <w:rsid w:val="000E465E"/>
    <w:rsid w:val="000E4805"/>
    <w:rsid w:val="000E4B83"/>
    <w:rsid w:val="000E50EE"/>
    <w:rsid w:val="000E51BE"/>
    <w:rsid w:val="000E556F"/>
    <w:rsid w:val="000E5601"/>
    <w:rsid w:val="000E58AA"/>
    <w:rsid w:val="000E5EA9"/>
    <w:rsid w:val="000E5F9F"/>
    <w:rsid w:val="000E71B4"/>
    <w:rsid w:val="000E768B"/>
    <w:rsid w:val="000E7DA7"/>
    <w:rsid w:val="000E7DF4"/>
    <w:rsid w:val="000E7E3F"/>
    <w:rsid w:val="000E7EBD"/>
    <w:rsid w:val="000F039A"/>
    <w:rsid w:val="000F09A4"/>
    <w:rsid w:val="000F0AF1"/>
    <w:rsid w:val="000F0E9A"/>
    <w:rsid w:val="000F11C2"/>
    <w:rsid w:val="000F1418"/>
    <w:rsid w:val="000F1471"/>
    <w:rsid w:val="000F15AE"/>
    <w:rsid w:val="000F1B07"/>
    <w:rsid w:val="000F20D3"/>
    <w:rsid w:val="000F2298"/>
    <w:rsid w:val="000F22EC"/>
    <w:rsid w:val="000F232C"/>
    <w:rsid w:val="000F2437"/>
    <w:rsid w:val="000F27CC"/>
    <w:rsid w:val="000F2CB4"/>
    <w:rsid w:val="000F3488"/>
    <w:rsid w:val="000F3529"/>
    <w:rsid w:val="000F39BF"/>
    <w:rsid w:val="000F3AEB"/>
    <w:rsid w:val="000F46D0"/>
    <w:rsid w:val="000F4BC8"/>
    <w:rsid w:val="000F518A"/>
    <w:rsid w:val="000F53D9"/>
    <w:rsid w:val="000F53DD"/>
    <w:rsid w:val="000F5644"/>
    <w:rsid w:val="000F59BE"/>
    <w:rsid w:val="000F6108"/>
    <w:rsid w:val="000F6808"/>
    <w:rsid w:val="000F6EE2"/>
    <w:rsid w:val="000F6EF2"/>
    <w:rsid w:val="000F74FB"/>
    <w:rsid w:val="00100183"/>
    <w:rsid w:val="00100190"/>
    <w:rsid w:val="001001FB"/>
    <w:rsid w:val="00100970"/>
    <w:rsid w:val="00100A62"/>
    <w:rsid w:val="00100D51"/>
    <w:rsid w:val="001010B1"/>
    <w:rsid w:val="00101349"/>
    <w:rsid w:val="00101503"/>
    <w:rsid w:val="00101532"/>
    <w:rsid w:val="0010179D"/>
    <w:rsid w:val="0010282E"/>
    <w:rsid w:val="001030E6"/>
    <w:rsid w:val="0010325E"/>
    <w:rsid w:val="001039D5"/>
    <w:rsid w:val="00103FFB"/>
    <w:rsid w:val="001040C8"/>
    <w:rsid w:val="00104997"/>
    <w:rsid w:val="00105122"/>
    <w:rsid w:val="00105A53"/>
    <w:rsid w:val="00105A71"/>
    <w:rsid w:val="00105EA5"/>
    <w:rsid w:val="001061DB"/>
    <w:rsid w:val="0010630E"/>
    <w:rsid w:val="001064E2"/>
    <w:rsid w:val="00106ECB"/>
    <w:rsid w:val="0010718B"/>
    <w:rsid w:val="0010747E"/>
    <w:rsid w:val="001075C8"/>
    <w:rsid w:val="00107BA3"/>
    <w:rsid w:val="00110642"/>
    <w:rsid w:val="0011098B"/>
    <w:rsid w:val="00110E64"/>
    <w:rsid w:val="00110F10"/>
    <w:rsid w:val="0011182E"/>
    <w:rsid w:val="00111C27"/>
    <w:rsid w:val="0011203D"/>
    <w:rsid w:val="0011205A"/>
    <w:rsid w:val="001127F3"/>
    <w:rsid w:val="00112827"/>
    <w:rsid w:val="001129D8"/>
    <w:rsid w:val="00112C91"/>
    <w:rsid w:val="00112D80"/>
    <w:rsid w:val="001139A6"/>
    <w:rsid w:val="00113AEE"/>
    <w:rsid w:val="00113B72"/>
    <w:rsid w:val="00114274"/>
    <w:rsid w:val="00114943"/>
    <w:rsid w:val="00114D1C"/>
    <w:rsid w:val="0011550A"/>
    <w:rsid w:val="00115592"/>
    <w:rsid w:val="001160A9"/>
    <w:rsid w:val="0011614D"/>
    <w:rsid w:val="001171DB"/>
    <w:rsid w:val="00117611"/>
    <w:rsid w:val="001177EC"/>
    <w:rsid w:val="00117908"/>
    <w:rsid w:val="00117A9A"/>
    <w:rsid w:val="00117ABF"/>
    <w:rsid w:val="00117FE0"/>
    <w:rsid w:val="0012028E"/>
    <w:rsid w:val="00120F65"/>
    <w:rsid w:val="0012107A"/>
    <w:rsid w:val="00121643"/>
    <w:rsid w:val="0012164E"/>
    <w:rsid w:val="00121817"/>
    <w:rsid w:val="00121E9B"/>
    <w:rsid w:val="00121EF2"/>
    <w:rsid w:val="00122C76"/>
    <w:rsid w:val="00123278"/>
    <w:rsid w:val="001234D8"/>
    <w:rsid w:val="001238C6"/>
    <w:rsid w:val="00123B0F"/>
    <w:rsid w:val="00123B30"/>
    <w:rsid w:val="00123F6F"/>
    <w:rsid w:val="001244FC"/>
    <w:rsid w:val="001245E6"/>
    <w:rsid w:val="0012460C"/>
    <w:rsid w:val="00124B42"/>
    <w:rsid w:val="00124B8A"/>
    <w:rsid w:val="001253C9"/>
    <w:rsid w:val="0012559F"/>
    <w:rsid w:val="00125620"/>
    <w:rsid w:val="00125F2C"/>
    <w:rsid w:val="00126054"/>
    <w:rsid w:val="00126714"/>
    <w:rsid w:val="001269EA"/>
    <w:rsid w:val="00126A8D"/>
    <w:rsid w:val="00126BCD"/>
    <w:rsid w:val="00126FA6"/>
    <w:rsid w:val="001278E0"/>
    <w:rsid w:val="001279E4"/>
    <w:rsid w:val="00127E31"/>
    <w:rsid w:val="0013020C"/>
    <w:rsid w:val="00130277"/>
    <w:rsid w:val="001302A8"/>
    <w:rsid w:val="00130E31"/>
    <w:rsid w:val="001310DC"/>
    <w:rsid w:val="001317AB"/>
    <w:rsid w:val="001317DC"/>
    <w:rsid w:val="00131DC1"/>
    <w:rsid w:val="00131F67"/>
    <w:rsid w:val="001331A6"/>
    <w:rsid w:val="001337E1"/>
    <w:rsid w:val="00133876"/>
    <w:rsid w:val="001339E2"/>
    <w:rsid w:val="00133D04"/>
    <w:rsid w:val="00134307"/>
    <w:rsid w:val="0013467D"/>
    <w:rsid w:val="00134873"/>
    <w:rsid w:val="0013488D"/>
    <w:rsid w:val="00134BC1"/>
    <w:rsid w:val="00134EB7"/>
    <w:rsid w:val="00134EE4"/>
    <w:rsid w:val="00134EF0"/>
    <w:rsid w:val="00134FBF"/>
    <w:rsid w:val="00135154"/>
    <w:rsid w:val="0013539D"/>
    <w:rsid w:val="00135776"/>
    <w:rsid w:val="00135D39"/>
    <w:rsid w:val="00136278"/>
    <w:rsid w:val="0013691C"/>
    <w:rsid w:val="00136E86"/>
    <w:rsid w:val="00137AC9"/>
    <w:rsid w:val="00137F8B"/>
    <w:rsid w:val="0014037A"/>
    <w:rsid w:val="00140432"/>
    <w:rsid w:val="001404B7"/>
    <w:rsid w:val="001404DB"/>
    <w:rsid w:val="001407C3"/>
    <w:rsid w:val="00140B15"/>
    <w:rsid w:val="001410BE"/>
    <w:rsid w:val="00141660"/>
    <w:rsid w:val="001417FF"/>
    <w:rsid w:val="00141D0A"/>
    <w:rsid w:val="001424EF"/>
    <w:rsid w:val="001425D5"/>
    <w:rsid w:val="00142B23"/>
    <w:rsid w:val="00142BC4"/>
    <w:rsid w:val="0014307F"/>
    <w:rsid w:val="00143154"/>
    <w:rsid w:val="0014353A"/>
    <w:rsid w:val="00143607"/>
    <w:rsid w:val="00143B89"/>
    <w:rsid w:val="001441E3"/>
    <w:rsid w:val="001446AB"/>
    <w:rsid w:val="00144AE3"/>
    <w:rsid w:val="00144EB1"/>
    <w:rsid w:val="00145395"/>
    <w:rsid w:val="001454AC"/>
    <w:rsid w:val="001455E2"/>
    <w:rsid w:val="001459B3"/>
    <w:rsid w:val="00145ACD"/>
    <w:rsid w:val="00146186"/>
    <w:rsid w:val="001461A6"/>
    <w:rsid w:val="00146465"/>
    <w:rsid w:val="001466F1"/>
    <w:rsid w:val="00146FBD"/>
    <w:rsid w:val="00147164"/>
    <w:rsid w:val="00147DA1"/>
    <w:rsid w:val="00147E4C"/>
    <w:rsid w:val="00147ED3"/>
    <w:rsid w:val="00150753"/>
    <w:rsid w:val="00150A06"/>
    <w:rsid w:val="00150BA8"/>
    <w:rsid w:val="00150C47"/>
    <w:rsid w:val="00150F51"/>
    <w:rsid w:val="0015136E"/>
    <w:rsid w:val="00151982"/>
    <w:rsid w:val="00151A92"/>
    <w:rsid w:val="001521CE"/>
    <w:rsid w:val="0015255C"/>
    <w:rsid w:val="00152581"/>
    <w:rsid w:val="00152933"/>
    <w:rsid w:val="00152A9B"/>
    <w:rsid w:val="00152CCC"/>
    <w:rsid w:val="001531F9"/>
    <w:rsid w:val="00153576"/>
    <w:rsid w:val="001535A3"/>
    <w:rsid w:val="00153635"/>
    <w:rsid w:val="00153C7E"/>
    <w:rsid w:val="00153CC8"/>
    <w:rsid w:val="00153F66"/>
    <w:rsid w:val="0015429E"/>
    <w:rsid w:val="00154548"/>
    <w:rsid w:val="00154E11"/>
    <w:rsid w:val="00155441"/>
    <w:rsid w:val="001559E7"/>
    <w:rsid w:val="00156B18"/>
    <w:rsid w:val="00156CF6"/>
    <w:rsid w:val="001570E2"/>
    <w:rsid w:val="001573EF"/>
    <w:rsid w:val="00157664"/>
    <w:rsid w:val="00157AB6"/>
    <w:rsid w:val="00157BB8"/>
    <w:rsid w:val="00157C79"/>
    <w:rsid w:val="0016002F"/>
    <w:rsid w:val="001606E6"/>
    <w:rsid w:val="001607C1"/>
    <w:rsid w:val="00160899"/>
    <w:rsid w:val="00160A45"/>
    <w:rsid w:val="00161A48"/>
    <w:rsid w:val="0016248E"/>
    <w:rsid w:val="001625B6"/>
    <w:rsid w:val="001626CB"/>
    <w:rsid w:val="001627AE"/>
    <w:rsid w:val="00162B77"/>
    <w:rsid w:val="00162FB1"/>
    <w:rsid w:val="001632B3"/>
    <w:rsid w:val="00163A71"/>
    <w:rsid w:val="00163E3F"/>
    <w:rsid w:val="00163ED9"/>
    <w:rsid w:val="0016425B"/>
    <w:rsid w:val="001644E7"/>
    <w:rsid w:val="00164524"/>
    <w:rsid w:val="00164901"/>
    <w:rsid w:val="00165721"/>
    <w:rsid w:val="0016577C"/>
    <w:rsid w:val="00165BE6"/>
    <w:rsid w:val="00165CD8"/>
    <w:rsid w:val="001666D0"/>
    <w:rsid w:val="001666F1"/>
    <w:rsid w:val="0016678B"/>
    <w:rsid w:val="00166A62"/>
    <w:rsid w:val="00166F7A"/>
    <w:rsid w:val="0016770C"/>
    <w:rsid w:val="001679F8"/>
    <w:rsid w:val="00167A03"/>
    <w:rsid w:val="00167A8B"/>
    <w:rsid w:val="0017069B"/>
    <w:rsid w:val="00170876"/>
    <w:rsid w:val="00170A33"/>
    <w:rsid w:val="00170CFA"/>
    <w:rsid w:val="00170FA9"/>
    <w:rsid w:val="00170FC6"/>
    <w:rsid w:val="00171632"/>
    <w:rsid w:val="001725BC"/>
    <w:rsid w:val="001727B9"/>
    <w:rsid w:val="001730C7"/>
    <w:rsid w:val="001735EB"/>
    <w:rsid w:val="00173AF7"/>
    <w:rsid w:val="00174083"/>
    <w:rsid w:val="00174257"/>
    <w:rsid w:val="001746EA"/>
    <w:rsid w:val="0017478F"/>
    <w:rsid w:val="00174926"/>
    <w:rsid w:val="00174A7B"/>
    <w:rsid w:val="00174B9A"/>
    <w:rsid w:val="00174D43"/>
    <w:rsid w:val="00174DFE"/>
    <w:rsid w:val="00175434"/>
    <w:rsid w:val="00175535"/>
    <w:rsid w:val="001756B6"/>
    <w:rsid w:val="001758F2"/>
    <w:rsid w:val="00175C7B"/>
    <w:rsid w:val="00176191"/>
    <w:rsid w:val="001761AD"/>
    <w:rsid w:val="001763B0"/>
    <w:rsid w:val="001763E0"/>
    <w:rsid w:val="00176FEB"/>
    <w:rsid w:val="00177168"/>
    <w:rsid w:val="00177665"/>
    <w:rsid w:val="00177DF4"/>
    <w:rsid w:val="00177E87"/>
    <w:rsid w:val="001805A0"/>
    <w:rsid w:val="0018075C"/>
    <w:rsid w:val="00180771"/>
    <w:rsid w:val="001809C9"/>
    <w:rsid w:val="00180ADE"/>
    <w:rsid w:val="00181790"/>
    <w:rsid w:val="0018193B"/>
    <w:rsid w:val="00181BC2"/>
    <w:rsid w:val="0018205D"/>
    <w:rsid w:val="00182849"/>
    <w:rsid w:val="00182D9A"/>
    <w:rsid w:val="00182F9B"/>
    <w:rsid w:val="00183655"/>
    <w:rsid w:val="001837D1"/>
    <w:rsid w:val="00183B88"/>
    <w:rsid w:val="00184473"/>
    <w:rsid w:val="001848A3"/>
    <w:rsid w:val="00184CFD"/>
    <w:rsid w:val="00184E2F"/>
    <w:rsid w:val="00184FFD"/>
    <w:rsid w:val="001854D5"/>
    <w:rsid w:val="00185CDC"/>
    <w:rsid w:val="00186032"/>
    <w:rsid w:val="001866DD"/>
    <w:rsid w:val="00186730"/>
    <w:rsid w:val="00187B0C"/>
    <w:rsid w:val="00187CE3"/>
    <w:rsid w:val="00187D91"/>
    <w:rsid w:val="00187F17"/>
    <w:rsid w:val="00187F50"/>
    <w:rsid w:val="00190191"/>
    <w:rsid w:val="0019081E"/>
    <w:rsid w:val="00190964"/>
    <w:rsid w:val="00190A58"/>
    <w:rsid w:val="00190D16"/>
    <w:rsid w:val="00191559"/>
    <w:rsid w:val="001915BB"/>
    <w:rsid w:val="00191F68"/>
    <w:rsid w:val="00192148"/>
    <w:rsid w:val="001923F4"/>
    <w:rsid w:val="00193426"/>
    <w:rsid w:val="00193CD7"/>
    <w:rsid w:val="00194356"/>
    <w:rsid w:val="00194874"/>
    <w:rsid w:val="001949AC"/>
    <w:rsid w:val="00194C51"/>
    <w:rsid w:val="00195A82"/>
    <w:rsid w:val="0019610F"/>
    <w:rsid w:val="001965BE"/>
    <w:rsid w:val="0019702C"/>
    <w:rsid w:val="00197144"/>
    <w:rsid w:val="00197251"/>
    <w:rsid w:val="0019769C"/>
    <w:rsid w:val="001A04B1"/>
    <w:rsid w:val="001A0650"/>
    <w:rsid w:val="001A06C9"/>
    <w:rsid w:val="001A13B5"/>
    <w:rsid w:val="001A1AB9"/>
    <w:rsid w:val="001A1B20"/>
    <w:rsid w:val="001A1CF0"/>
    <w:rsid w:val="001A2085"/>
    <w:rsid w:val="001A2480"/>
    <w:rsid w:val="001A2785"/>
    <w:rsid w:val="001A294F"/>
    <w:rsid w:val="001A2960"/>
    <w:rsid w:val="001A2AFA"/>
    <w:rsid w:val="001A312F"/>
    <w:rsid w:val="001A3585"/>
    <w:rsid w:val="001A39B2"/>
    <w:rsid w:val="001A3AD6"/>
    <w:rsid w:val="001A4563"/>
    <w:rsid w:val="001A553C"/>
    <w:rsid w:val="001A55C5"/>
    <w:rsid w:val="001A5662"/>
    <w:rsid w:val="001A57A2"/>
    <w:rsid w:val="001A591F"/>
    <w:rsid w:val="001A5A3B"/>
    <w:rsid w:val="001A5B7A"/>
    <w:rsid w:val="001A5E68"/>
    <w:rsid w:val="001A5EDB"/>
    <w:rsid w:val="001A5F7A"/>
    <w:rsid w:val="001A634F"/>
    <w:rsid w:val="001A63CD"/>
    <w:rsid w:val="001A6892"/>
    <w:rsid w:val="001A6EFD"/>
    <w:rsid w:val="001A7489"/>
    <w:rsid w:val="001A7835"/>
    <w:rsid w:val="001A78E9"/>
    <w:rsid w:val="001A79C1"/>
    <w:rsid w:val="001A7B6C"/>
    <w:rsid w:val="001A7DC0"/>
    <w:rsid w:val="001B007A"/>
    <w:rsid w:val="001B04A9"/>
    <w:rsid w:val="001B0A69"/>
    <w:rsid w:val="001B0BB7"/>
    <w:rsid w:val="001B0CC8"/>
    <w:rsid w:val="001B0DCF"/>
    <w:rsid w:val="001B0EB2"/>
    <w:rsid w:val="001B2220"/>
    <w:rsid w:val="001B225D"/>
    <w:rsid w:val="001B258B"/>
    <w:rsid w:val="001B2807"/>
    <w:rsid w:val="001B294D"/>
    <w:rsid w:val="001B2BDC"/>
    <w:rsid w:val="001B33F2"/>
    <w:rsid w:val="001B345D"/>
    <w:rsid w:val="001B377F"/>
    <w:rsid w:val="001B378B"/>
    <w:rsid w:val="001B3968"/>
    <w:rsid w:val="001B3BA8"/>
    <w:rsid w:val="001B458F"/>
    <w:rsid w:val="001B4C0B"/>
    <w:rsid w:val="001B597F"/>
    <w:rsid w:val="001B5A78"/>
    <w:rsid w:val="001B5E2C"/>
    <w:rsid w:val="001B5FDA"/>
    <w:rsid w:val="001B61DB"/>
    <w:rsid w:val="001B6B19"/>
    <w:rsid w:val="001B6B6B"/>
    <w:rsid w:val="001B71D8"/>
    <w:rsid w:val="001B7BD8"/>
    <w:rsid w:val="001B7F42"/>
    <w:rsid w:val="001C0013"/>
    <w:rsid w:val="001C027E"/>
    <w:rsid w:val="001C0711"/>
    <w:rsid w:val="001C0D1B"/>
    <w:rsid w:val="001C0DA5"/>
    <w:rsid w:val="001C11F4"/>
    <w:rsid w:val="001C1263"/>
    <w:rsid w:val="001C12C9"/>
    <w:rsid w:val="001C15E2"/>
    <w:rsid w:val="001C1B30"/>
    <w:rsid w:val="001C1BA1"/>
    <w:rsid w:val="001C26B8"/>
    <w:rsid w:val="001C2B27"/>
    <w:rsid w:val="001C2D1E"/>
    <w:rsid w:val="001C2D56"/>
    <w:rsid w:val="001C33BA"/>
    <w:rsid w:val="001C36F2"/>
    <w:rsid w:val="001C3DBE"/>
    <w:rsid w:val="001C43DF"/>
    <w:rsid w:val="001C471B"/>
    <w:rsid w:val="001C4AD7"/>
    <w:rsid w:val="001C4B1F"/>
    <w:rsid w:val="001C4B48"/>
    <w:rsid w:val="001C54D0"/>
    <w:rsid w:val="001C5697"/>
    <w:rsid w:val="001C6179"/>
    <w:rsid w:val="001C6EF4"/>
    <w:rsid w:val="001C747D"/>
    <w:rsid w:val="001C77FD"/>
    <w:rsid w:val="001C7B3B"/>
    <w:rsid w:val="001C7E3F"/>
    <w:rsid w:val="001D0243"/>
    <w:rsid w:val="001D02F2"/>
    <w:rsid w:val="001D0866"/>
    <w:rsid w:val="001D1725"/>
    <w:rsid w:val="001D1C7B"/>
    <w:rsid w:val="001D217A"/>
    <w:rsid w:val="001D2383"/>
    <w:rsid w:val="001D25C0"/>
    <w:rsid w:val="001D2859"/>
    <w:rsid w:val="001D2BB1"/>
    <w:rsid w:val="001D3474"/>
    <w:rsid w:val="001D356A"/>
    <w:rsid w:val="001D3BA4"/>
    <w:rsid w:val="001D3BF1"/>
    <w:rsid w:val="001D3C59"/>
    <w:rsid w:val="001D3F3A"/>
    <w:rsid w:val="001D403E"/>
    <w:rsid w:val="001D44F6"/>
    <w:rsid w:val="001D4DD4"/>
    <w:rsid w:val="001D4F6A"/>
    <w:rsid w:val="001D535F"/>
    <w:rsid w:val="001D540C"/>
    <w:rsid w:val="001D5647"/>
    <w:rsid w:val="001D5971"/>
    <w:rsid w:val="001D5F3B"/>
    <w:rsid w:val="001D6019"/>
    <w:rsid w:val="001D65C2"/>
    <w:rsid w:val="001D67CA"/>
    <w:rsid w:val="001D680F"/>
    <w:rsid w:val="001D6F27"/>
    <w:rsid w:val="001D6FA7"/>
    <w:rsid w:val="001D6FDD"/>
    <w:rsid w:val="001D722B"/>
    <w:rsid w:val="001D7AF9"/>
    <w:rsid w:val="001E0634"/>
    <w:rsid w:val="001E0E47"/>
    <w:rsid w:val="001E0FC5"/>
    <w:rsid w:val="001E12B7"/>
    <w:rsid w:val="001E1511"/>
    <w:rsid w:val="001E1532"/>
    <w:rsid w:val="001E19E8"/>
    <w:rsid w:val="001E23EC"/>
    <w:rsid w:val="001E2932"/>
    <w:rsid w:val="001E2A8C"/>
    <w:rsid w:val="001E2AFE"/>
    <w:rsid w:val="001E2B72"/>
    <w:rsid w:val="001E35FA"/>
    <w:rsid w:val="001E4048"/>
    <w:rsid w:val="001E42E1"/>
    <w:rsid w:val="001E4303"/>
    <w:rsid w:val="001E4C1A"/>
    <w:rsid w:val="001E4D53"/>
    <w:rsid w:val="001E528F"/>
    <w:rsid w:val="001E543C"/>
    <w:rsid w:val="001E6080"/>
    <w:rsid w:val="001E62EE"/>
    <w:rsid w:val="001E65CD"/>
    <w:rsid w:val="001E65D8"/>
    <w:rsid w:val="001E6A1A"/>
    <w:rsid w:val="001E6CFC"/>
    <w:rsid w:val="001E6D29"/>
    <w:rsid w:val="001E747F"/>
    <w:rsid w:val="001E7915"/>
    <w:rsid w:val="001F032F"/>
    <w:rsid w:val="001F03AA"/>
    <w:rsid w:val="001F0E21"/>
    <w:rsid w:val="001F10DC"/>
    <w:rsid w:val="001F10F7"/>
    <w:rsid w:val="001F1346"/>
    <w:rsid w:val="001F148F"/>
    <w:rsid w:val="001F1A48"/>
    <w:rsid w:val="001F1B5F"/>
    <w:rsid w:val="001F22CA"/>
    <w:rsid w:val="001F2E40"/>
    <w:rsid w:val="001F2F67"/>
    <w:rsid w:val="001F2FA5"/>
    <w:rsid w:val="001F33E7"/>
    <w:rsid w:val="001F4201"/>
    <w:rsid w:val="001F4383"/>
    <w:rsid w:val="001F4826"/>
    <w:rsid w:val="001F4EBC"/>
    <w:rsid w:val="001F4F99"/>
    <w:rsid w:val="001F5632"/>
    <w:rsid w:val="001F57C7"/>
    <w:rsid w:val="001F5CC2"/>
    <w:rsid w:val="001F5D2D"/>
    <w:rsid w:val="001F5DD4"/>
    <w:rsid w:val="001F5E2C"/>
    <w:rsid w:val="001F6AA2"/>
    <w:rsid w:val="001F7199"/>
    <w:rsid w:val="001F7640"/>
    <w:rsid w:val="001F7D41"/>
    <w:rsid w:val="002002CD"/>
    <w:rsid w:val="0020036F"/>
    <w:rsid w:val="002006A3"/>
    <w:rsid w:val="0020075D"/>
    <w:rsid w:val="0020079A"/>
    <w:rsid w:val="00200A43"/>
    <w:rsid w:val="00200C93"/>
    <w:rsid w:val="00200DCA"/>
    <w:rsid w:val="00200E79"/>
    <w:rsid w:val="00200FAE"/>
    <w:rsid w:val="00201E03"/>
    <w:rsid w:val="00201E79"/>
    <w:rsid w:val="00201FD6"/>
    <w:rsid w:val="0020222F"/>
    <w:rsid w:val="00202242"/>
    <w:rsid w:val="0020277D"/>
    <w:rsid w:val="00202950"/>
    <w:rsid w:val="00203249"/>
    <w:rsid w:val="0020334A"/>
    <w:rsid w:val="002033C9"/>
    <w:rsid w:val="002035E2"/>
    <w:rsid w:val="00203730"/>
    <w:rsid w:val="00203F76"/>
    <w:rsid w:val="00204822"/>
    <w:rsid w:val="0020482B"/>
    <w:rsid w:val="00204B1E"/>
    <w:rsid w:val="00204F26"/>
    <w:rsid w:val="002057C1"/>
    <w:rsid w:val="002064D9"/>
    <w:rsid w:val="00206E75"/>
    <w:rsid w:val="0021016E"/>
    <w:rsid w:val="00210E4C"/>
    <w:rsid w:val="00210EE7"/>
    <w:rsid w:val="00210FD2"/>
    <w:rsid w:val="00211276"/>
    <w:rsid w:val="002112A5"/>
    <w:rsid w:val="00211726"/>
    <w:rsid w:val="002119AE"/>
    <w:rsid w:val="00211A7E"/>
    <w:rsid w:val="00211F5F"/>
    <w:rsid w:val="002124EA"/>
    <w:rsid w:val="00212A13"/>
    <w:rsid w:val="00212D61"/>
    <w:rsid w:val="00213817"/>
    <w:rsid w:val="0021386A"/>
    <w:rsid w:val="00213AEB"/>
    <w:rsid w:val="00214BAC"/>
    <w:rsid w:val="0021502E"/>
    <w:rsid w:val="00215111"/>
    <w:rsid w:val="0021526C"/>
    <w:rsid w:val="00215308"/>
    <w:rsid w:val="00215759"/>
    <w:rsid w:val="002158C5"/>
    <w:rsid w:val="00215F51"/>
    <w:rsid w:val="00216571"/>
    <w:rsid w:val="002165DC"/>
    <w:rsid w:val="00216642"/>
    <w:rsid w:val="0021673A"/>
    <w:rsid w:val="00220273"/>
    <w:rsid w:val="002208D2"/>
    <w:rsid w:val="0022092E"/>
    <w:rsid w:val="00220AD2"/>
    <w:rsid w:val="00220D5A"/>
    <w:rsid w:val="00221460"/>
    <w:rsid w:val="002214BC"/>
    <w:rsid w:val="00221681"/>
    <w:rsid w:val="0022196B"/>
    <w:rsid w:val="00222068"/>
    <w:rsid w:val="00222223"/>
    <w:rsid w:val="00222388"/>
    <w:rsid w:val="00222501"/>
    <w:rsid w:val="00222664"/>
    <w:rsid w:val="0022284D"/>
    <w:rsid w:val="00222AFA"/>
    <w:rsid w:val="00222D62"/>
    <w:rsid w:val="00223314"/>
    <w:rsid w:val="0022348D"/>
    <w:rsid w:val="00223E02"/>
    <w:rsid w:val="002242F2"/>
    <w:rsid w:val="002244A9"/>
    <w:rsid w:val="00224589"/>
    <w:rsid w:val="002246C4"/>
    <w:rsid w:val="00225CB4"/>
    <w:rsid w:val="00225CD3"/>
    <w:rsid w:val="00225F14"/>
    <w:rsid w:val="00226A5B"/>
    <w:rsid w:val="00226CD5"/>
    <w:rsid w:val="00226D9F"/>
    <w:rsid w:val="00226EA4"/>
    <w:rsid w:val="0022732C"/>
    <w:rsid w:val="0022778C"/>
    <w:rsid w:val="00227C09"/>
    <w:rsid w:val="00227C34"/>
    <w:rsid w:val="002302C7"/>
    <w:rsid w:val="002302ED"/>
    <w:rsid w:val="002302F6"/>
    <w:rsid w:val="00230885"/>
    <w:rsid w:val="00230C7E"/>
    <w:rsid w:val="00231252"/>
    <w:rsid w:val="00231310"/>
    <w:rsid w:val="0023264F"/>
    <w:rsid w:val="0023275F"/>
    <w:rsid w:val="002327AF"/>
    <w:rsid w:val="002329E7"/>
    <w:rsid w:val="00232BE5"/>
    <w:rsid w:val="00232C7D"/>
    <w:rsid w:val="00232DEE"/>
    <w:rsid w:val="0023334F"/>
    <w:rsid w:val="00233631"/>
    <w:rsid w:val="0023375E"/>
    <w:rsid w:val="00233791"/>
    <w:rsid w:val="00233D0F"/>
    <w:rsid w:val="00233D52"/>
    <w:rsid w:val="00233DFF"/>
    <w:rsid w:val="00233EF9"/>
    <w:rsid w:val="002342EC"/>
    <w:rsid w:val="002342FB"/>
    <w:rsid w:val="00234451"/>
    <w:rsid w:val="002345EB"/>
    <w:rsid w:val="00234A99"/>
    <w:rsid w:val="00234DDC"/>
    <w:rsid w:val="00234FE9"/>
    <w:rsid w:val="002350C7"/>
    <w:rsid w:val="00235A33"/>
    <w:rsid w:val="0023698E"/>
    <w:rsid w:val="00236ABC"/>
    <w:rsid w:val="00236D7F"/>
    <w:rsid w:val="00236DD4"/>
    <w:rsid w:val="00237195"/>
    <w:rsid w:val="00237361"/>
    <w:rsid w:val="00237727"/>
    <w:rsid w:val="00237CE0"/>
    <w:rsid w:val="00237CED"/>
    <w:rsid w:val="00240093"/>
    <w:rsid w:val="00240163"/>
    <w:rsid w:val="00240257"/>
    <w:rsid w:val="00240F01"/>
    <w:rsid w:val="00240F14"/>
    <w:rsid w:val="002412B9"/>
    <w:rsid w:val="00241415"/>
    <w:rsid w:val="0024144E"/>
    <w:rsid w:val="00241D58"/>
    <w:rsid w:val="00241DFA"/>
    <w:rsid w:val="00241FED"/>
    <w:rsid w:val="002425BB"/>
    <w:rsid w:val="0024297F"/>
    <w:rsid w:val="002429D3"/>
    <w:rsid w:val="0024319B"/>
    <w:rsid w:val="002432FB"/>
    <w:rsid w:val="00243395"/>
    <w:rsid w:val="00243798"/>
    <w:rsid w:val="0024493A"/>
    <w:rsid w:val="00245064"/>
    <w:rsid w:val="002451BD"/>
    <w:rsid w:val="00245255"/>
    <w:rsid w:val="00245B78"/>
    <w:rsid w:val="00245F4C"/>
    <w:rsid w:val="002461CB"/>
    <w:rsid w:val="002461E4"/>
    <w:rsid w:val="00246237"/>
    <w:rsid w:val="00246D46"/>
    <w:rsid w:val="00246DD1"/>
    <w:rsid w:val="0024713A"/>
    <w:rsid w:val="002471DD"/>
    <w:rsid w:val="00250364"/>
    <w:rsid w:val="002503FD"/>
    <w:rsid w:val="002507DD"/>
    <w:rsid w:val="00250C92"/>
    <w:rsid w:val="0025104F"/>
    <w:rsid w:val="00251345"/>
    <w:rsid w:val="00251550"/>
    <w:rsid w:val="00252348"/>
    <w:rsid w:val="002524B0"/>
    <w:rsid w:val="0025262E"/>
    <w:rsid w:val="00252785"/>
    <w:rsid w:val="002528A7"/>
    <w:rsid w:val="00252963"/>
    <w:rsid w:val="00253554"/>
    <w:rsid w:val="00253646"/>
    <w:rsid w:val="00254398"/>
    <w:rsid w:val="00255156"/>
    <w:rsid w:val="00255CC0"/>
    <w:rsid w:val="00255D8A"/>
    <w:rsid w:val="002561B7"/>
    <w:rsid w:val="002562A3"/>
    <w:rsid w:val="002562C9"/>
    <w:rsid w:val="00256647"/>
    <w:rsid w:val="00256CAA"/>
    <w:rsid w:val="002579BE"/>
    <w:rsid w:val="002579FA"/>
    <w:rsid w:val="00257AF5"/>
    <w:rsid w:val="00257D3B"/>
    <w:rsid w:val="00257F2B"/>
    <w:rsid w:val="00260047"/>
    <w:rsid w:val="002601B5"/>
    <w:rsid w:val="00260812"/>
    <w:rsid w:val="00260DAA"/>
    <w:rsid w:val="0026132C"/>
    <w:rsid w:val="00261524"/>
    <w:rsid w:val="00261ABB"/>
    <w:rsid w:val="00261C2A"/>
    <w:rsid w:val="00261C8E"/>
    <w:rsid w:val="00261FB6"/>
    <w:rsid w:val="0026215F"/>
    <w:rsid w:val="0026261D"/>
    <w:rsid w:val="002628E8"/>
    <w:rsid w:val="00262F2D"/>
    <w:rsid w:val="002630B0"/>
    <w:rsid w:val="0026332B"/>
    <w:rsid w:val="00263414"/>
    <w:rsid w:val="00263821"/>
    <w:rsid w:val="00263E3D"/>
    <w:rsid w:val="0026403F"/>
    <w:rsid w:val="00264056"/>
    <w:rsid w:val="00264569"/>
    <w:rsid w:val="00264677"/>
    <w:rsid w:val="00265324"/>
    <w:rsid w:val="0026545F"/>
    <w:rsid w:val="00265D7E"/>
    <w:rsid w:val="00265DCE"/>
    <w:rsid w:val="0026662E"/>
    <w:rsid w:val="00266C46"/>
    <w:rsid w:val="00267029"/>
    <w:rsid w:val="002670E9"/>
    <w:rsid w:val="0026730D"/>
    <w:rsid w:val="00267380"/>
    <w:rsid w:val="002673C8"/>
    <w:rsid w:val="002677C8"/>
    <w:rsid w:val="002678F8"/>
    <w:rsid w:val="00267E6A"/>
    <w:rsid w:val="00270364"/>
    <w:rsid w:val="00270554"/>
    <w:rsid w:val="00270557"/>
    <w:rsid w:val="002706CE"/>
    <w:rsid w:val="00270978"/>
    <w:rsid w:val="00270A8E"/>
    <w:rsid w:val="00270C6D"/>
    <w:rsid w:val="00271359"/>
    <w:rsid w:val="00271442"/>
    <w:rsid w:val="00271645"/>
    <w:rsid w:val="002716E5"/>
    <w:rsid w:val="00271E49"/>
    <w:rsid w:val="00272230"/>
    <w:rsid w:val="002723C5"/>
    <w:rsid w:val="002726D1"/>
    <w:rsid w:val="0027293F"/>
    <w:rsid w:val="00272B15"/>
    <w:rsid w:val="00272FF9"/>
    <w:rsid w:val="00273218"/>
    <w:rsid w:val="0027351B"/>
    <w:rsid w:val="00273746"/>
    <w:rsid w:val="00273801"/>
    <w:rsid w:val="00273E27"/>
    <w:rsid w:val="00273E88"/>
    <w:rsid w:val="00273E9F"/>
    <w:rsid w:val="002742EC"/>
    <w:rsid w:val="00274941"/>
    <w:rsid w:val="00274A65"/>
    <w:rsid w:val="00274C07"/>
    <w:rsid w:val="00274C2E"/>
    <w:rsid w:val="00274CD2"/>
    <w:rsid w:val="00274E60"/>
    <w:rsid w:val="002753C8"/>
    <w:rsid w:val="00276B6B"/>
    <w:rsid w:val="0027716A"/>
    <w:rsid w:val="00277ACD"/>
    <w:rsid w:val="00277CEE"/>
    <w:rsid w:val="00281B88"/>
    <w:rsid w:val="00281CD1"/>
    <w:rsid w:val="00282205"/>
    <w:rsid w:val="002822B0"/>
    <w:rsid w:val="0028274B"/>
    <w:rsid w:val="00282F3D"/>
    <w:rsid w:val="00283878"/>
    <w:rsid w:val="00283E81"/>
    <w:rsid w:val="00284091"/>
    <w:rsid w:val="002841EE"/>
    <w:rsid w:val="00284302"/>
    <w:rsid w:val="002845C5"/>
    <w:rsid w:val="00284F34"/>
    <w:rsid w:val="0028545B"/>
    <w:rsid w:val="002856CE"/>
    <w:rsid w:val="00286429"/>
    <w:rsid w:val="00286E6C"/>
    <w:rsid w:val="0028737A"/>
    <w:rsid w:val="0028760D"/>
    <w:rsid w:val="002877FC"/>
    <w:rsid w:val="002901E0"/>
    <w:rsid w:val="002906D8"/>
    <w:rsid w:val="00290739"/>
    <w:rsid w:val="00290959"/>
    <w:rsid w:val="00290B90"/>
    <w:rsid w:val="00290D0E"/>
    <w:rsid w:val="00290E73"/>
    <w:rsid w:val="002912F2"/>
    <w:rsid w:val="002915E8"/>
    <w:rsid w:val="0029194D"/>
    <w:rsid w:val="002919F2"/>
    <w:rsid w:val="0029367D"/>
    <w:rsid w:val="00293B4F"/>
    <w:rsid w:val="002941F6"/>
    <w:rsid w:val="00295732"/>
    <w:rsid w:val="002958C8"/>
    <w:rsid w:val="002959FE"/>
    <w:rsid w:val="00295C56"/>
    <w:rsid w:val="0029636C"/>
    <w:rsid w:val="00296372"/>
    <w:rsid w:val="0029662B"/>
    <w:rsid w:val="00296B63"/>
    <w:rsid w:val="00297202"/>
    <w:rsid w:val="0029722B"/>
    <w:rsid w:val="0029725F"/>
    <w:rsid w:val="002A0552"/>
    <w:rsid w:val="002A0570"/>
    <w:rsid w:val="002A0959"/>
    <w:rsid w:val="002A0A1B"/>
    <w:rsid w:val="002A0D53"/>
    <w:rsid w:val="002A144E"/>
    <w:rsid w:val="002A14D9"/>
    <w:rsid w:val="002A1DDF"/>
    <w:rsid w:val="002A1EA5"/>
    <w:rsid w:val="002A23FA"/>
    <w:rsid w:val="002A259E"/>
    <w:rsid w:val="002A2828"/>
    <w:rsid w:val="002A2A68"/>
    <w:rsid w:val="002A2FD7"/>
    <w:rsid w:val="002A30A2"/>
    <w:rsid w:val="002A3114"/>
    <w:rsid w:val="002A346C"/>
    <w:rsid w:val="002A44A1"/>
    <w:rsid w:val="002A484A"/>
    <w:rsid w:val="002A4BFF"/>
    <w:rsid w:val="002A51AB"/>
    <w:rsid w:val="002A51DB"/>
    <w:rsid w:val="002A52B7"/>
    <w:rsid w:val="002A5950"/>
    <w:rsid w:val="002A5B30"/>
    <w:rsid w:val="002A5BDF"/>
    <w:rsid w:val="002A66FA"/>
    <w:rsid w:val="002A6B55"/>
    <w:rsid w:val="002A6BEB"/>
    <w:rsid w:val="002A6F64"/>
    <w:rsid w:val="002A6F67"/>
    <w:rsid w:val="002A7198"/>
    <w:rsid w:val="002A76F1"/>
    <w:rsid w:val="002A76FF"/>
    <w:rsid w:val="002A7B13"/>
    <w:rsid w:val="002A7C32"/>
    <w:rsid w:val="002A7C7C"/>
    <w:rsid w:val="002A7D2F"/>
    <w:rsid w:val="002A7E31"/>
    <w:rsid w:val="002A7FF5"/>
    <w:rsid w:val="002B0238"/>
    <w:rsid w:val="002B04EC"/>
    <w:rsid w:val="002B0C4A"/>
    <w:rsid w:val="002B1012"/>
    <w:rsid w:val="002B10CF"/>
    <w:rsid w:val="002B1578"/>
    <w:rsid w:val="002B1921"/>
    <w:rsid w:val="002B1ACA"/>
    <w:rsid w:val="002B1CE4"/>
    <w:rsid w:val="002B22FD"/>
    <w:rsid w:val="002B24E3"/>
    <w:rsid w:val="002B26BE"/>
    <w:rsid w:val="002B2A7D"/>
    <w:rsid w:val="002B2BCF"/>
    <w:rsid w:val="002B2E0C"/>
    <w:rsid w:val="002B35B3"/>
    <w:rsid w:val="002B3840"/>
    <w:rsid w:val="002B3B97"/>
    <w:rsid w:val="002B3C24"/>
    <w:rsid w:val="002B3D6A"/>
    <w:rsid w:val="002B4046"/>
    <w:rsid w:val="002B413D"/>
    <w:rsid w:val="002B43CB"/>
    <w:rsid w:val="002B484D"/>
    <w:rsid w:val="002B490A"/>
    <w:rsid w:val="002B4C46"/>
    <w:rsid w:val="002B55DA"/>
    <w:rsid w:val="002B5E83"/>
    <w:rsid w:val="002B65CB"/>
    <w:rsid w:val="002B6931"/>
    <w:rsid w:val="002B6F6F"/>
    <w:rsid w:val="002B6FAB"/>
    <w:rsid w:val="002B706B"/>
    <w:rsid w:val="002B724C"/>
    <w:rsid w:val="002B7353"/>
    <w:rsid w:val="002B73EA"/>
    <w:rsid w:val="002C066D"/>
    <w:rsid w:val="002C07F1"/>
    <w:rsid w:val="002C0809"/>
    <w:rsid w:val="002C0901"/>
    <w:rsid w:val="002C0B41"/>
    <w:rsid w:val="002C12B5"/>
    <w:rsid w:val="002C12C9"/>
    <w:rsid w:val="002C160F"/>
    <w:rsid w:val="002C1659"/>
    <w:rsid w:val="002C16E5"/>
    <w:rsid w:val="002C18AB"/>
    <w:rsid w:val="002C2461"/>
    <w:rsid w:val="002C2C36"/>
    <w:rsid w:val="002C365B"/>
    <w:rsid w:val="002C36C7"/>
    <w:rsid w:val="002C3ED4"/>
    <w:rsid w:val="002C40F6"/>
    <w:rsid w:val="002C4287"/>
    <w:rsid w:val="002C428E"/>
    <w:rsid w:val="002C443F"/>
    <w:rsid w:val="002C44D9"/>
    <w:rsid w:val="002C4939"/>
    <w:rsid w:val="002C4A40"/>
    <w:rsid w:val="002C4B6F"/>
    <w:rsid w:val="002C5544"/>
    <w:rsid w:val="002C5632"/>
    <w:rsid w:val="002C5882"/>
    <w:rsid w:val="002C5A9A"/>
    <w:rsid w:val="002C6F2F"/>
    <w:rsid w:val="002C6F35"/>
    <w:rsid w:val="002C6FCC"/>
    <w:rsid w:val="002C70C8"/>
    <w:rsid w:val="002C71F6"/>
    <w:rsid w:val="002C7657"/>
    <w:rsid w:val="002C773A"/>
    <w:rsid w:val="002C7873"/>
    <w:rsid w:val="002D00F8"/>
    <w:rsid w:val="002D0651"/>
    <w:rsid w:val="002D0A31"/>
    <w:rsid w:val="002D0D72"/>
    <w:rsid w:val="002D0EA9"/>
    <w:rsid w:val="002D101D"/>
    <w:rsid w:val="002D189C"/>
    <w:rsid w:val="002D197F"/>
    <w:rsid w:val="002D1BB3"/>
    <w:rsid w:val="002D1E08"/>
    <w:rsid w:val="002D23C2"/>
    <w:rsid w:val="002D2514"/>
    <w:rsid w:val="002D26F9"/>
    <w:rsid w:val="002D2706"/>
    <w:rsid w:val="002D33C5"/>
    <w:rsid w:val="002D3E37"/>
    <w:rsid w:val="002D4184"/>
    <w:rsid w:val="002D4253"/>
    <w:rsid w:val="002D500B"/>
    <w:rsid w:val="002D50AD"/>
    <w:rsid w:val="002D53E2"/>
    <w:rsid w:val="002D5678"/>
    <w:rsid w:val="002D6057"/>
    <w:rsid w:val="002D6480"/>
    <w:rsid w:val="002D65DC"/>
    <w:rsid w:val="002D676F"/>
    <w:rsid w:val="002D6B26"/>
    <w:rsid w:val="002D6CC9"/>
    <w:rsid w:val="002D6D02"/>
    <w:rsid w:val="002D7580"/>
    <w:rsid w:val="002D76D3"/>
    <w:rsid w:val="002D7882"/>
    <w:rsid w:val="002D7E59"/>
    <w:rsid w:val="002E02E4"/>
    <w:rsid w:val="002E0436"/>
    <w:rsid w:val="002E04A9"/>
    <w:rsid w:val="002E05D0"/>
    <w:rsid w:val="002E129F"/>
    <w:rsid w:val="002E1B9D"/>
    <w:rsid w:val="002E1F48"/>
    <w:rsid w:val="002E25C3"/>
    <w:rsid w:val="002E2983"/>
    <w:rsid w:val="002E30D3"/>
    <w:rsid w:val="002E34BB"/>
    <w:rsid w:val="002E3788"/>
    <w:rsid w:val="002E3D33"/>
    <w:rsid w:val="002E4047"/>
    <w:rsid w:val="002E42AB"/>
    <w:rsid w:val="002E4511"/>
    <w:rsid w:val="002E48CA"/>
    <w:rsid w:val="002E4D9A"/>
    <w:rsid w:val="002E4F74"/>
    <w:rsid w:val="002E56EB"/>
    <w:rsid w:val="002E56F0"/>
    <w:rsid w:val="002E59CA"/>
    <w:rsid w:val="002E5DF4"/>
    <w:rsid w:val="002E622D"/>
    <w:rsid w:val="002E6281"/>
    <w:rsid w:val="002E78C7"/>
    <w:rsid w:val="002E7984"/>
    <w:rsid w:val="002F03B9"/>
    <w:rsid w:val="002F04BC"/>
    <w:rsid w:val="002F0802"/>
    <w:rsid w:val="002F0FBF"/>
    <w:rsid w:val="002F104C"/>
    <w:rsid w:val="002F1A9B"/>
    <w:rsid w:val="002F1BF2"/>
    <w:rsid w:val="002F1E48"/>
    <w:rsid w:val="002F2126"/>
    <w:rsid w:val="002F240F"/>
    <w:rsid w:val="002F2493"/>
    <w:rsid w:val="002F28A6"/>
    <w:rsid w:val="002F2CF4"/>
    <w:rsid w:val="002F2D3F"/>
    <w:rsid w:val="002F2F5F"/>
    <w:rsid w:val="002F3440"/>
    <w:rsid w:val="002F34B7"/>
    <w:rsid w:val="002F34F3"/>
    <w:rsid w:val="002F3634"/>
    <w:rsid w:val="002F3A93"/>
    <w:rsid w:val="002F432B"/>
    <w:rsid w:val="002F43AC"/>
    <w:rsid w:val="002F481C"/>
    <w:rsid w:val="002F4F5B"/>
    <w:rsid w:val="002F50CF"/>
    <w:rsid w:val="002F529B"/>
    <w:rsid w:val="002F579B"/>
    <w:rsid w:val="002F57B9"/>
    <w:rsid w:val="002F580A"/>
    <w:rsid w:val="002F5813"/>
    <w:rsid w:val="002F5F44"/>
    <w:rsid w:val="002F6012"/>
    <w:rsid w:val="002F6265"/>
    <w:rsid w:val="002F62E8"/>
    <w:rsid w:val="002F6747"/>
    <w:rsid w:val="002F7070"/>
    <w:rsid w:val="002F765B"/>
    <w:rsid w:val="0030021B"/>
    <w:rsid w:val="003002A1"/>
    <w:rsid w:val="0030040C"/>
    <w:rsid w:val="003005D7"/>
    <w:rsid w:val="00300AE2"/>
    <w:rsid w:val="00300B19"/>
    <w:rsid w:val="00301B94"/>
    <w:rsid w:val="00301D34"/>
    <w:rsid w:val="00301F63"/>
    <w:rsid w:val="0030259C"/>
    <w:rsid w:val="00302E8E"/>
    <w:rsid w:val="00303705"/>
    <w:rsid w:val="003038D0"/>
    <w:rsid w:val="003041CA"/>
    <w:rsid w:val="00304281"/>
    <w:rsid w:val="003042A6"/>
    <w:rsid w:val="00304646"/>
    <w:rsid w:val="003046DB"/>
    <w:rsid w:val="00304707"/>
    <w:rsid w:val="00304790"/>
    <w:rsid w:val="003047F5"/>
    <w:rsid w:val="00304874"/>
    <w:rsid w:val="00304F34"/>
    <w:rsid w:val="00305322"/>
    <w:rsid w:val="003053B9"/>
    <w:rsid w:val="003055EE"/>
    <w:rsid w:val="00305D7B"/>
    <w:rsid w:val="003060AC"/>
    <w:rsid w:val="00306375"/>
    <w:rsid w:val="00306872"/>
    <w:rsid w:val="00306C9D"/>
    <w:rsid w:val="00306E0F"/>
    <w:rsid w:val="00307F09"/>
    <w:rsid w:val="0031003A"/>
    <w:rsid w:val="00310488"/>
    <w:rsid w:val="003108FF"/>
    <w:rsid w:val="00310BB6"/>
    <w:rsid w:val="00311051"/>
    <w:rsid w:val="00311200"/>
    <w:rsid w:val="00311456"/>
    <w:rsid w:val="003116E4"/>
    <w:rsid w:val="00311943"/>
    <w:rsid w:val="00311A63"/>
    <w:rsid w:val="00311B95"/>
    <w:rsid w:val="00312168"/>
    <w:rsid w:val="003122D8"/>
    <w:rsid w:val="003125D7"/>
    <w:rsid w:val="0031333F"/>
    <w:rsid w:val="003135E1"/>
    <w:rsid w:val="00313C5D"/>
    <w:rsid w:val="00313D47"/>
    <w:rsid w:val="00314EB0"/>
    <w:rsid w:val="003157BB"/>
    <w:rsid w:val="00315E75"/>
    <w:rsid w:val="003168D6"/>
    <w:rsid w:val="00316B00"/>
    <w:rsid w:val="0031716E"/>
    <w:rsid w:val="003171F4"/>
    <w:rsid w:val="00317379"/>
    <w:rsid w:val="0031760D"/>
    <w:rsid w:val="00317BF8"/>
    <w:rsid w:val="0032059D"/>
    <w:rsid w:val="00320A64"/>
    <w:rsid w:val="00320C4D"/>
    <w:rsid w:val="00320CF2"/>
    <w:rsid w:val="00320D27"/>
    <w:rsid w:val="003217E0"/>
    <w:rsid w:val="00321C45"/>
    <w:rsid w:val="003221DB"/>
    <w:rsid w:val="00322252"/>
    <w:rsid w:val="003223AC"/>
    <w:rsid w:val="0032246D"/>
    <w:rsid w:val="003228CF"/>
    <w:rsid w:val="00322C4E"/>
    <w:rsid w:val="00322E82"/>
    <w:rsid w:val="00322F65"/>
    <w:rsid w:val="003233F7"/>
    <w:rsid w:val="00324AD9"/>
    <w:rsid w:val="00324AFB"/>
    <w:rsid w:val="00324E73"/>
    <w:rsid w:val="0032503A"/>
    <w:rsid w:val="003254D6"/>
    <w:rsid w:val="003256AC"/>
    <w:rsid w:val="00325A4A"/>
    <w:rsid w:val="00325A76"/>
    <w:rsid w:val="00325A99"/>
    <w:rsid w:val="003260C3"/>
    <w:rsid w:val="003261EF"/>
    <w:rsid w:val="00326229"/>
    <w:rsid w:val="0032625F"/>
    <w:rsid w:val="0032631D"/>
    <w:rsid w:val="003264DE"/>
    <w:rsid w:val="00326965"/>
    <w:rsid w:val="00327634"/>
    <w:rsid w:val="00327714"/>
    <w:rsid w:val="00327BA7"/>
    <w:rsid w:val="00327C9B"/>
    <w:rsid w:val="00327EC6"/>
    <w:rsid w:val="00330023"/>
    <w:rsid w:val="003301E9"/>
    <w:rsid w:val="003303D5"/>
    <w:rsid w:val="0033045A"/>
    <w:rsid w:val="00330A88"/>
    <w:rsid w:val="003312CF"/>
    <w:rsid w:val="00331992"/>
    <w:rsid w:val="00331E76"/>
    <w:rsid w:val="0033202E"/>
    <w:rsid w:val="0033279C"/>
    <w:rsid w:val="0033281D"/>
    <w:rsid w:val="00332A2C"/>
    <w:rsid w:val="00332B7E"/>
    <w:rsid w:val="00332CC1"/>
    <w:rsid w:val="00332D2E"/>
    <w:rsid w:val="00332D58"/>
    <w:rsid w:val="00332F0C"/>
    <w:rsid w:val="0033306E"/>
    <w:rsid w:val="00333073"/>
    <w:rsid w:val="0033308B"/>
    <w:rsid w:val="00333C46"/>
    <w:rsid w:val="00333F49"/>
    <w:rsid w:val="0033473D"/>
    <w:rsid w:val="00334C30"/>
    <w:rsid w:val="00334C93"/>
    <w:rsid w:val="003350FA"/>
    <w:rsid w:val="00336568"/>
    <w:rsid w:val="003366B5"/>
    <w:rsid w:val="00336780"/>
    <w:rsid w:val="003368B1"/>
    <w:rsid w:val="003376E6"/>
    <w:rsid w:val="00337BB4"/>
    <w:rsid w:val="00340350"/>
    <w:rsid w:val="00340408"/>
    <w:rsid w:val="003411CC"/>
    <w:rsid w:val="0034181B"/>
    <w:rsid w:val="0034211C"/>
    <w:rsid w:val="00342327"/>
    <w:rsid w:val="003423F7"/>
    <w:rsid w:val="0034286D"/>
    <w:rsid w:val="00342CE7"/>
    <w:rsid w:val="00342E66"/>
    <w:rsid w:val="003435C5"/>
    <w:rsid w:val="00344371"/>
    <w:rsid w:val="003449DF"/>
    <w:rsid w:val="00344AA9"/>
    <w:rsid w:val="00344EF5"/>
    <w:rsid w:val="00344FA4"/>
    <w:rsid w:val="00344FD3"/>
    <w:rsid w:val="0034525D"/>
    <w:rsid w:val="00345A9F"/>
    <w:rsid w:val="003463B2"/>
    <w:rsid w:val="00346658"/>
    <w:rsid w:val="0034696C"/>
    <w:rsid w:val="003473F0"/>
    <w:rsid w:val="003478BD"/>
    <w:rsid w:val="003478F2"/>
    <w:rsid w:val="00347936"/>
    <w:rsid w:val="00347A26"/>
    <w:rsid w:val="00350A0F"/>
    <w:rsid w:val="00350B99"/>
    <w:rsid w:val="00350BAF"/>
    <w:rsid w:val="00350DA3"/>
    <w:rsid w:val="00350EBD"/>
    <w:rsid w:val="0035168A"/>
    <w:rsid w:val="0035180D"/>
    <w:rsid w:val="00351BBC"/>
    <w:rsid w:val="00351BFA"/>
    <w:rsid w:val="00351C8A"/>
    <w:rsid w:val="00352012"/>
    <w:rsid w:val="0035206C"/>
    <w:rsid w:val="00352127"/>
    <w:rsid w:val="003521BF"/>
    <w:rsid w:val="003521F1"/>
    <w:rsid w:val="00352597"/>
    <w:rsid w:val="003528B2"/>
    <w:rsid w:val="00352C2A"/>
    <w:rsid w:val="00352E12"/>
    <w:rsid w:val="0035311B"/>
    <w:rsid w:val="00353A10"/>
    <w:rsid w:val="00353F61"/>
    <w:rsid w:val="00354341"/>
    <w:rsid w:val="00354479"/>
    <w:rsid w:val="003544C1"/>
    <w:rsid w:val="00354763"/>
    <w:rsid w:val="00354A13"/>
    <w:rsid w:val="00354B1A"/>
    <w:rsid w:val="00354C9B"/>
    <w:rsid w:val="00355023"/>
    <w:rsid w:val="003551D4"/>
    <w:rsid w:val="00355295"/>
    <w:rsid w:val="00355386"/>
    <w:rsid w:val="003553CA"/>
    <w:rsid w:val="003555B8"/>
    <w:rsid w:val="00355610"/>
    <w:rsid w:val="00355A09"/>
    <w:rsid w:val="00355C5A"/>
    <w:rsid w:val="00355D80"/>
    <w:rsid w:val="00356B16"/>
    <w:rsid w:val="00356EBC"/>
    <w:rsid w:val="00356F8A"/>
    <w:rsid w:val="003570A5"/>
    <w:rsid w:val="003570D4"/>
    <w:rsid w:val="003575BF"/>
    <w:rsid w:val="00357BC9"/>
    <w:rsid w:val="003605AA"/>
    <w:rsid w:val="003607CF"/>
    <w:rsid w:val="00360A0B"/>
    <w:rsid w:val="00360BA5"/>
    <w:rsid w:val="00360BFD"/>
    <w:rsid w:val="00361231"/>
    <w:rsid w:val="00361D7F"/>
    <w:rsid w:val="00361FD5"/>
    <w:rsid w:val="00362202"/>
    <w:rsid w:val="00362FE8"/>
    <w:rsid w:val="00363A03"/>
    <w:rsid w:val="00363D50"/>
    <w:rsid w:val="00363D6D"/>
    <w:rsid w:val="00364544"/>
    <w:rsid w:val="003645D5"/>
    <w:rsid w:val="0036482D"/>
    <w:rsid w:val="00364EDC"/>
    <w:rsid w:val="003654A1"/>
    <w:rsid w:val="003655B9"/>
    <w:rsid w:val="00365669"/>
    <w:rsid w:val="00365727"/>
    <w:rsid w:val="00365876"/>
    <w:rsid w:val="003658CB"/>
    <w:rsid w:val="00365939"/>
    <w:rsid w:val="00365C4E"/>
    <w:rsid w:val="00366211"/>
    <w:rsid w:val="003663F6"/>
    <w:rsid w:val="00366B1F"/>
    <w:rsid w:val="0036748E"/>
    <w:rsid w:val="00367CC5"/>
    <w:rsid w:val="00367D0E"/>
    <w:rsid w:val="0037026C"/>
    <w:rsid w:val="0037036E"/>
    <w:rsid w:val="003703EF"/>
    <w:rsid w:val="00370694"/>
    <w:rsid w:val="00370789"/>
    <w:rsid w:val="00370E29"/>
    <w:rsid w:val="0037103E"/>
    <w:rsid w:val="00371487"/>
    <w:rsid w:val="00371688"/>
    <w:rsid w:val="00371B4C"/>
    <w:rsid w:val="00371C01"/>
    <w:rsid w:val="0037256F"/>
    <w:rsid w:val="00372911"/>
    <w:rsid w:val="00372BD3"/>
    <w:rsid w:val="00372D68"/>
    <w:rsid w:val="00373587"/>
    <w:rsid w:val="0037361D"/>
    <w:rsid w:val="00373BD3"/>
    <w:rsid w:val="003747C9"/>
    <w:rsid w:val="00375866"/>
    <w:rsid w:val="00375B50"/>
    <w:rsid w:val="00375D68"/>
    <w:rsid w:val="003763FA"/>
    <w:rsid w:val="00376906"/>
    <w:rsid w:val="003769CD"/>
    <w:rsid w:val="003770BD"/>
    <w:rsid w:val="003773EE"/>
    <w:rsid w:val="0037755C"/>
    <w:rsid w:val="003777B6"/>
    <w:rsid w:val="003779CF"/>
    <w:rsid w:val="00377D51"/>
    <w:rsid w:val="00380176"/>
    <w:rsid w:val="00380B52"/>
    <w:rsid w:val="00380CC8"/>
    <w:rsid w:val="00380CF9"/>
    <w:rsid w:val="00380F34"/>
    <w:rsid w:val="003815A9"/>
    <w:rsid w:val="003815FE"/>
    <w:rsid w:val="003820CF"/>
    <w:rsid w:val="003821C6"/>
    <w:rsid w:val="0038224A"/>
    <w:rsid w:val="003823D8"/>
    <w:rsid w:val="00382687"/>
    <w:rsid w:val="003828FE"/>
    <w:rsid w:val="00382C46"/>
    <w:rsid w:val="00383153"/>
    <w:rsid w:val="003833D5"/>
    <w:rsid w:val="0038454A"/>
    <w:rsid w:val="003849F3"/>
    <w:rsid w:val="00384B3F"/>
    <w:rsid w:val="00384CE2"/>
    <w:rsid w:val="00385493"/>
    <w:rsid w:val="00385E47"/>
    <w:rsid w:val="0038630F"/>
    <w:rsid w:val="00386455"/>
    <w:rsid w:val="003864E7"/>
    <w:rsid w:val="00386890"/>
    <w:rsid w:val="003869F5"/>
    <w:rsid w:val="00386AD9"/>
    <w:rsid w:val="00386C3C"/>
    <w:rsid w:val="00387E1D"/>
    <w:rsid w:val="003901DE"/>
    <w:rsid w:val="00390232"/>
    <w:rsid w:val="003903D4"/>
    <w:rsid w:val="00390608"/>
    <w:rsid w:val="003908E7"/>
    <w:rsid w:val="00390A4C"/>
    <w:rsid w:val="00390DE8"/>
    <w:rsid w:val="00391353"/>
    <w:rsid w:val="003915C5"/>
    <w:rsid w:val="0039173E"/>
    <w:rsid w:val="003919F9"/>
    <w:rsid w:val="00391C44"/>
    <w:rsid w:val="00391F18"/>
    <w:rsid w:val="00392523"/>
    <w:rsid w:val="0039281D"/>
    <w:rsid w:val="003930F9"/>
    <w:rsid w:val="00393233"/>
    <w:rsid w:val="003933DA"/>
    <w:rsid w:val="0039348A"/>
    <w:rsid w:val="00393500"/>
    <w:rsid w:val="00393EE7"/>
    <w:rsid w:val="00394185"/>
    <w:rsid w:val="00394509"/>
    <w:rsid w:val="00394CDE"/>
    <w:rsid w:val="0039550A"/>
    <w:rsid w:val="003962B2"/>
    <w:rsid w:val="00396357"/>
    <w:rsid w:val="003968AA"/>
    <w:rsid w:val="00396E9C"/>
    <w:rsid w:val="00397447"/>
    <w:rsid w:val="00397DD2"/>
    <w:rsid w:val="00397E47"/>
    <w:rsid w:val="00397FDE"/>
    <w:rsid w:val="003A03CC"/>
    <w:rsid w:val="003A03FF"/>
    <w:rsid w:val="003A0728"/>
    <w:rsid w:val="003A0E63"/>
    <w:rsid w:val="003A0E8A"/>
    <w:rsid w:val="003A0F51"/>
    <w:rsid w:val="003A0F6D"/>
    <w:rsid w:val="003A0F89"/>
    <w:rsid w:val="003A1729"/>
    <w:rsid w:val="003A18E4"/>
    <w:rsid w:val="003A198D"/>
    <w:rsid w:val="003A1B60"/>
    <w:rsid w:val="003A1D3E"/>
    <w:rsid w:val="003A1E65"/>
    <w:rsid w:val="003A2212"/>
    <w:rsid w:val="003A2BE9"/>
    <w:rsid w:val="003A36D1"/>
    <w:rsid w:val="003A3A55"/>
    <w:rsid w:val="003A3C66"/>
    <w:rsid w:val="003A3DFE"/>
    <w:rsid w:val="003A4357"/>
    <w:rsid w:val="003A44E2"/>
    <w:rsid w:val="003A4647"/>
    <w:rsid w:val="003A4EBE"/>
    <w:rsid w:val="003A5174"/>
    <w:rsid w:val="003A52BF"/>
    <w:rsid w:val="003A52E3"/>
    <w:rsid w:val="003A598C"/>
    <w:rsid w:val="003A5D7F"/>
    <w:rsid w:val="003A5DDA"/>
    <w:rsid w:val="003A628F"/>
    <w:rsid w:val="003A62CF"/>
    <w:rsid w:val="003A6409"/>
    <w:rsid w:val="003A64C2"/>
    <w:rsid w:val="003A65A7"/>
    <w:rsid w:val="003A6850"/>
    <w:rsid w:val="003A6D38"/>
    <w:rsid w:val="003A741E"/>
    <w:rsid w:val="003A7BBD"/>
    <w:rsid w:val="003A7BFE"/>
    <w:rsid w:val="003A7FB0"/>
    <w:rsid w:val="003B00E5"/>
    <w:rsid w:val="003B0C31"/>
    <w:rsid w:val="003B0E27"/>
    <w:rsid w:val="003B1B56"/>
    <w:rsid w:val="003B256F"/>
    <w:rsid w:val="003B2A3B"/>
    <w:rsid w:val="003B3CD1"/>
    <w:rsid w:val="003B4400"/>
    <w:rsid w:val="003B5421"/>
    <w:rsid w:val="003B5698"/>
    <w:rsid w:val="003B5988"/>
    <w:rsid w:val="003B5A35"/>
    <w:rsid w:val="003B5C81"/>
    <w:rsid w:val="003B614B"/>
    <w:rsid w:val="003B6319"/>
    <w:rsid w:val="003B6434"/>
    <w:rsid w:val="003B67E1"/>
    <w:rsid w:val="003B6B79"/>
    <w:rsid w:val="003B6EB0"/>
    <w:rsid w:val="003B71AB"/>
    <w:rsid w:val="003B7BC9"/>
    <w:rsid w:val="003B7DC6"/>
    <w:rsid w:val="003C0052"/>
    <w:rsid w:val="003C010F"/>
    <w:rsid w:val="003C0DC9"/>
    <w:rsid w:val="003C0ECF"/>
    <w:rsid w:val="003C1140"/>
    <w:rsid w:val="003C1684"/>
    <w:rsid w:val="003C1C7B"/>
    <w:rsid w:val="003C1EDC"/>
    <w:rsid w:val="003C255F"/>
    <w:rsid w:val="003C274E"/>
    <w:rsid w:val="003C278D"/>
    <w:rsid w:val="003C2963"/>
    <w:rsid w:val="003C2C8E"/>
    <w:rsid w:val="003C2EE0"/>
    <w:rsid w:val="003C30E7"/>
    <w:rsid w:val="003C3AB2"/>
    <w:rsid w:val="003C3BA1"/>
    <w:rsid w:val="003C4080"/>
    <w:rsid w:val="003C4584"/>
    <w:rsid w:val="003C496A"/>
    <w:rsid w:val="003C5619"/>
    <w:rsid w:val="003C5BEB"/>
    <w:rsid w:val="003C6263"/>
    <w:rsid w:val="003C6ADD"/>
    <w:rsid w:val="003C6AF2"/>
    <w:rsid w:val="003C700A"/>
    <w:rsid w:val="003C7A03"/>
    <w:rsid w:val="003C7C9E"/>
    <w:rsid w:val="003C7DB8"/>
    <w:rsid w:val="003D032D"/>
    <w:rsid w:val="003D06DA"/>
    <w:rsid w:val="003D08DC"/>
    <w:rsid w:val="003D0B8C"/>
    <w:rsid w:val="003D12F6"/>
    <w:rsid w:val="003D1531"/>
    <w:rsid w:val="003D1863"/>
    <w:rsid w:val="003D1A5B"/>
    <w:rsid w:val="003D1BEB"/>
    <w:rsid w:val="003D1E12"/>
    <w:rsid w:val="003D21F8"/>
    <w:rsid w:val="003D22A6"/>
    <w:rsid w:val="003D25F6"/>
    <w:rsid w:val="003D264C"/>
    <w:rsid w:val="003D329E"/>
    <w:rsid w:val="003D3E53"/>
    <w:rsid w:val="003D3EC0"/>
    <w:rsid w:val="003D3F39"/>
    <w:rsid w:val="003D44B6"/>
    <w:rsid w:val="003D4617"/>
    <w:rsid w:val="003D46A1"/>
    <w:rsid w:val="003D4C18"/>
    <w:rsid w:val="003D4E80"/>
    <w:rsid w:val="003D571A"/>
    <w:rsid w:val="003D5799"/>
    <w:rsid w:val="003D59EC"/>
    <w:rsid w:val="003D5DB9"/>
    <w:rsid w:val="003D63AE"/>
    <w:rsid w:val="003D68AE"/>
    <w:rsid w:val="003D6C9A"/>
    <w:rsid w:val="003D6DE6"/>
    <w:rsid w:val="003D6F16"/>
    <w:rsid w:val="003D6F9E"/>
    <w:rsid w:val="003D6FC0"/>
    <w:rsid w:val="003D7DFA"/>
    <w:rsid w:val="003D7E1D"/>
    <w:rsid w:val="003D7F50"/>
    <w:rsid w:val="003E00C7"/>
    <w:rsid w:val="003E1747"/>
    <w:rsid w:val="003E1ADB"/>
    <w:rsid w:val="003E2274"/>
    <w:rsid w:val="003E2438"/>
    <w:rsid w:val="003E2B93"/>
    <w:rsid w:val="003E2BF7"/>
    <w:rsid w:val="003E2D89"/>
    <w:rsid w:val="003E342B"/>
    <w:rsid w:val="003E382F"/>
    <w:rsid w:val="003E3B64"/>
    <w:rsid w:val="003E3E61"/>
    <w:rsid w:val="003E42C2"/>
    <w:rsid w:val="003E5525"/>
    <w:rsid w:val="003E6079"/>
    <w:rsid w:val="003E608A"/>
    <w:rsid w:val="003E6375"/>
    <w:rsid w:val="003E650E"/>
    <w:rsid w:val="003E66D6"/>
    <w:rsid w:val="003E6C78"/>
    <w:rsid w:val="003E6DF8"/>
    <w:rsid w:val="003E6E94"/>
    <w:rsid w:val="003E7656"/>
    <w:rsid w:val="003E7AEF"/>
    <w:rsid w:val="003F0089"/>
    <w:rsid w:val="003F0191"/>
    <w:rsid w:val="003F02B7"/>
    <w:rsid w:val="003F0D42"/>
    <w:rsid w:val="003F1226"/>
    <w:rsid w:val="003F15F4"/>
    <w:rsid w:val="003F1AAA"/>
    <w:rsid w:val="003F218E"/>
    <w:rsid w:val="003F23AC"/>
    <w:rsid w:val="003F25CC"/>
    <w:rsid w:val="003F2838"/>
    <w:rsid w:val="003F2988"/>
    <w:rsid w:val="003F30DB"/>
    <w:rsid w:val="003F3E44"/>
    <w:rsid w:val="003F3F62"/>
    <w:rsid w:val="003F3FB0"/>
    <w:rsid w:val="003F42CD"/>
    <w:rsid w:val="003F4894"/>
    <w:rsid w:val="003F48C1"/>
    <w:rsid w:val="003F48F2"/>
    <w:rsid w:val="003F4B7D"/>
    <w:rsid w:val="003F509A"/>
    <w:rsid w:val="003F50A8"/>
    <w:rsid w:val="003F5631"/>
    <w:rsid w:val="003F5684"/>
    <w:rsid w:val="003F5B02"/>
    <w:rsid w:val="003F5D0A"/>
    <w:rsid w:val="003F60FB"/>
    <w:rsid w:val="003F62A5"/>
    <w:rsid w:val="003F6EB2"/>
    <w:rsid w:val="003F741A"/>
    <w:rsid w:val="003F7436"/>
    <w:rsid w:val="003F79BE"/>
    <w:rsid w:val="003F7D2F"/>
    <w:rsid w:val="00400785"/>
    <w:rsid w:val="00400B51"/>
    <w:rsid w:val="00400D07"/>
    <w:rsid w:val="00400EB4"/>
    <w:rsid w:val="0040109A"/>
    <w:rsid w:val="00401391"/>
    <w:rsid w:val="00401D9A"/>
    <w:rsid w:val="0040202D"/>
    <w:rsid w:val="004029F3"/>
    <w:rsid w:val="00402A16"/>
    <w:rsid w:val="00403012"/>
    <w:rsid w:val="0040369B"/>
    <w:rsid w:val="004038DD"/>
    <w:rsid w:val="004039C3"/>
    <w:rsid w:val="00404D87"/>
    <w:rsid w:val="00404E68"/>
    <w:rsid w:val="00405674"/>
    <w:rsid w:val="00405F7F"/>
    <w:rsid w:val="00406150"/>
    <w:rsid w:val="00407672"/>
    <w:rsid w:val="004077B7"/>
    <w:rsid w:val="0040790D"/>
    <w:rsid w:val="00407B8F"/>
    <w:rsid w:val="00407BB9"/>
    <w:rsid w:val="0041093D"/>
    <w:rsid w:val="00411000"/>
    <w:rsid w:val="00411092"/>
    <w:rsid w:val="00411A2E"/>
    <w:rsid w:val="00411D1A"/>
    <w:rsid w:val="00411DDB"/>
    <w:rsid w:val="0041213F"/>
    <w:rsid w:val="00412297"/>
    <w:rsid w:val="004122E8"/>
    <w:rsid w:val="00412341"/>
    <w:rsid w:val="00412643"/>
    <w:rsid w:val="00412B2C"/>
    <w:rsid w:val="00412D52"/>
    <w:rsid w:val="004131F0"/>
    <w:rsid w:val="004133AF"/>
    <w:rsid w:val="00413818"/>
    <w:rsid w:val="00413DA2"/>
    <w:rsid w:val="00413E88"/>
    <w:rsid w:val="00414E11"/>
    <w:rsid w:val="00414EDB"/>
    <w:rsid w:val="004158FC"/>
    <w:rsid w:val="0041594A"/>
    <w:rsid w:val="00415DFA"/>
    <w:rsid w:val="0041646E"/>
    <w:rsid w:val="0041696D"/>
    <w:rsid w:val="00416EC5"/>
    <w:rsid w:val="0041759D"/>
    <w:rsid w:val="00417B13"/>
    <w:rsid w:val="00417D97"/>
    <w:rsid w:val="00417F28"/>
    <w:rsid w:val="0042025F"/>
    <w:rsid w:val="004202CC"/>
    <w:rsid w:val="00420589"/>
    <w:rsid w:val="00421140"/>
    <w:rsid w:val="0042128A"/>
    <w:rsid w:val="00421429"/>
    <w:rsid w:val="00421997"/>
    <w:rsid w:val="00421A58"/>
    <w:rsid w:val="00421D16"/>
    <w:rsid w:val="00422085"/>
    <w:rsid w:val="00422382"/>
    <w:rsid w:val="00423160"/>
    <w:rsid w:val="0042344E"/>
    <w:rsid w:val="0042348F"/>
    <w:rsid w:val="00424332"/>
    <w:rsid w:val="00424434"/>
    <w:rsid w:val="0042499A"/>
    <w:rsid w:val="00424A19"/>
    <w:rsid w:val="00424A4E"/>
    <w:rsid w:val="00424AEE"/>
    <w:rsid w:val="00424B3C"/>
    <w:rsid w:val="004253BA"/>
    <w:rsid w:val="004253DB"/>
    <w:rsid w:val="00425BD2"/>
    <w:rsid w:val="00425E96"/>
    <w:rsid w:val="00426009"/>
    <w:rsid w:val="0042615B"/>
    <w:rsid w:val="00426227"/>
    <w:rsid w:val="00426301"/>
    <w:rsid w:val="0042630D"/>
    <w:rsid w:val="00426BFB"/>
    <w:rsid w:val="0042741F"/>
    <w:rsid w:val="00427486"/>
    <w:rsid w:val="00427A51"/>
    <w:rsid w:val="00427C90"/>
    <w:rsid w:val="00430A0B"/>
    <w:rsid w:val="0043125B"/>
    <w:rsid w:val="00431408"/>
    <w:rsid w:val="00431431"/>
    <w:rsid w:val="00432922"/>
    <w:rsid w:val="004329BC"/>
    <w:rsid w:val="00432AB8"/>
    <w:rsid w:val="00433076"/>
    <w:rsid w:val="00433374"/>
    <w:rsid w:val="0043337B"/>
    <w:rsid w:val="00433527"/>
    <w:rsid w:val="00433605"/>
    <w:rsid w:val="00433832"/>
    <w:rsid w:val="0043386F"/>
    <w:rsid w:val="00433C9F"/>
    <w:rsid w:val="004346D4"/>
    <w:rsid w:val="00435206"/>
    <w:rsid w:val="004352A4"/>
    <w:rsid w:val="004354CA"/>
    <w:rsid w:val="00435F36"/>
    <w:rsid w:val="00435F76"/>
    <w:rsid w:val="0043621E"/>
    <w:rsid w:val="00436238"/>
    <w:rsid w:val="004362F1"/>
    <w:rsid w:val="004363A3"/>
    <w:rsid w:val="00436858"/>
    <w:rsid w:val="004372E4"/>
    <w:rsid w:val="004373A3"/>
    <w:rsid w:val="004375FB"/>
    <w:rsid w:val="00437655"/>
    <w:rsid w:val="00437824"/>
    <w:rsid w:val="00437A62"/>
    <w:rsid w:val="00437B45"/>
    <w:rsid w:val="00437D78"/>
    <w:rsid w:val="00437FAD"/>
    <w:rsid w:val="00440230"/>
    <w:rsid w:val="0044032F"/>
    <w:rsid w:val="004405AB"/>
    <w:rsid w:val="00440BDF"/>
    <w:rsid w:val="00440E34"/>
    <w:rsid w:val="0044132D"/>
    <w:rsid w:val="0044167E"/>
    <w:rsid w:val="00441B3A"/>
    <w:rsid w:val="0044259E"/>
    <w:rsid w:val="004425BC"/>
    <w:rsid w:val="0044281A"/>
    <w:rsid w:val="00442FFA"/>
    <w:rsid w:val="004430DE"/>
    <w:rsid w:val="004430E0"/>
    <w:rsid w:val="00443472"/>
    <w:rsid w:val="00443674"/>
    <w:rsid w:val="00444351"/>
    <w:rsid w:val="004449C3"/>
    <w:rsid w:val="00444A61"/>
    <w:rsid w:val="00444E24"/>
    <w:rsid w:val="00444EC3"/>
    <w:rsid w:val="00445296"/>
    <w:rsid w:val="00445562"/>
    <w:rsid w:val="00445FCA"/>
    <w:rsid w:val="00446768"/>
    <w:rsid w:val="004469F7"/>
    <w:rsid w:val="00446FA7"/>
    <w:rsid w:val="00447176"/>
    <w:rsid w:val="004471A4"/>
    <w:rsid w:val="0044736E"/>
    <w:rsid w:val="0044750B"/>
    <w:rsid w:val="00447D8C"/>
    <w:rsid w:val="0045081E"/>
    <w:rsid w:val="00450A6C"/>
    <w:rsid w:val="00450ADA"/>
    <w:rsid w:val="00451235"/>
    <w:rsid w:val="00451334"/>
    <w:rsid w:val="004513CD"/>
    <w:rsid w:val="004517AB"/>
    <w:rsid w:val="00451ACF"/>
    <w:rsid w:val="00451E19"/>
    <w:rsid w:val="00453289"/>
    <w:rsid w:val="004532EB"/>
    <w:rsid w:val="0045349C"/>
    <w:rsid w:val="00453606"/>
    <w:rsid w:val="00453886"/>
    <w:rsid w:val="004542E1"/>
    <w:rsid w:val="004549D7"/>
    <w:rsid w:val="00454C8A"/>
    <w:rsid w:val="0045521E"/>
    <w:rsid w:val="004556B4"/>
    <w:rsid w:val="00455711"/>
    <w:rsid w:val="004557D9"/>
    <w:rsid w:val="00455FAA"/>
    <w:rsid w:val="004565AB"/>
    <w:rsid w:val="004565D1"/>
    <w:rsid w:val="00456631"/>
    <w:rsid w:val="00457C6F"/>
    <w:rsid w:val="00457F21"/>
    <w:rsid w:val="00457F3F"/>
    <w:rsid w:val="004601B1"/>
    <w:rsid w:val="00460F41"/>
    <w:rsid w:val="004612EB"/>
    <w:rsid w:val="00461320"/>
    <w:rsid w:val="0046227C"/>
    <w:rsid w:val="00462298"/>
    <w:rsid w:val="00462453"/>
    <w:rsid w:val="004625E9"/>
    <w:rsid w:val="00462B4B"/>
    <w:rsid w:val="00462E60"/>
    <w:rsid w:val="00463271"/>
    <w:rsid w:val="0046393E"/>
    <w:rsid w:val="00463C36"/>
    <w:rsid w:val="0046440F"/>
    <w:rsid w:val="00465531"/>
    <w:rsid w:val="004659E4"/>
    <w:rsid w:val="00465AB7"/>
    <w:rsid w:val="00465AB9"/>
    <w:rsid w:val="00465BEC"/>
    <w:rsid w:val="0046677D"/>
    <w:rsid w:val="00466C72"/>
    <w:rsid w:val="00466C96"/>
    <w:rsid w:val="00466FFA"/>
    <w:rsid w:val="0046729D"/>
    <w:rsid w:val="004674B8"/>
    <w:rsid w:val="004674EB"/>
    <w:rsid w:val="00467803"/>
    <w:rsid w:val="00467893"/>
    <w:rsid w:val="004678BB"/>
    <w:rsid w:val="00470689"/>
    <w:rsid w:val="00470888"/>
    <w:rsid w:val="004708F1"/>
    <w:rsid w:val="00470AAE"/>
    <w:rsid w:val="00470C1E"/>
    <w:rsid w:val="00470DA7"/>
    <w:rsid w:val="00470F44"/>
    <w:rsid w:val="00470FCC"/>
    <w:rsid w:val="0047167A"/>
    <w:rsid w:val="004718E2"/>
    <w:rsid w:val="00471BFF"/>
    <w:rsid w:val="00471F48"/>
    <w:rsid w:val="0047215C"/>
    <w:rsid w:val="0047221D"/>
    <w:rsid w:val="004727BF"/>
    <w:rsid w:val="00472861"/>
    <w:rsid w:val="004728A5"/>
    <w:rsid w:val="00472FD3"/>
    <w:rsid w:val="004733CD"/>
    <w:rsid w:val="0047380B"/>
    <w:rsid w:val="0047382C"/>
    <w:rsid w:val="00473976"/>
    <w:rsid w:val="00473D4D"/>
    <w:rsid w:val="00474081"/>
    <w:rsid w:val="004743C2"/>
    <w:rsid w:val="00474614"/>
    <w:rsid w:val="00474DD2"/>
    <w:rsid w:val="00474E49"/>
    <w:rsid w:val="00474FF0"/>
    <w:rsid w:val="00475092"/>
    <w:rsid w:val="00475278"/>
    <w:rsid w:val="004758FB"/>
    <w:rsid w:val="00476485"/>
    <w:rsid w:val="00476552"/>
    <w:rsid w:val="00476784"/>
    <w:rsid w:val="00476A9B"/>
    <w:rsid w:val="00476CC0"/>
    <w:rsid w:val="00476DF1"/>
    <w:rsid w:val="004771E4"/>
    <w:rsid w:val="004771F7"/>
    <w:rsid w:val="00477390"/>
    <w:rsid w:val="0047749E"/>
    <w:rsid w:val="00477523"/>
    <w:rsid w:val="00477B31"/>
    <w:rsid w:val="00477BE5"/>
    <w:rsid w:val="00477C02"/>
    <w:rsid w:val="00477C10"/>
    <w:rsid w:val="00477CA8"/>
    <w:rsid w:val="00480146"/>
    <w:rsid w:val="004801B3"/>
    <w:rsid w:val="0048049E"/>
    <w:rsid w:val="00480C57"/>
    <w:rsid w:val="00480CFE"/>
    <w:rsid w:val="00481501"/>
    <w:rsid w:val="00481521"/>
    <w:rsid w:val="00481562"/>
    <w:rsid w:val="004815B5"/>
    <w:rsid w:val="004815B8"/>
    <w:rsid w:val="004824D8"/>
    <w:rsid w:val="00482D2E"/>
    <w:rsid w:val="00483756"/>
    <w:rsid w:val="004838D1"/>
    <w:rsid w:val="00483CBF"/>
    <w:rsid w:val="0048407A"/>
    <w:rsid w:val="004841B4"/>
    <w:rsid w:val="00484546"/>
    <w:rsid w:val="004848D6"/>
    <w:rsid w:val="00484AC2"/>
    <w:rsid w:val="00484B28"/>
    <w:rsid w:val="00484C4E"/>
    <w:rsid w:val="00484CD0"/>
    <w:rsid w:val="00484DAD"/>
    <w:rsid w:val="00485FCD"/>
    <w:rsid w:val="004867BC"/>
    <w:rsid w:val="00486AC3"/>
    <w:rsid w:val="00486C34"/>
    <w:rsid w:val="00486CBD"/>
    <w:rsid w:val="0048762F"/>
    <w:rsid w:val="004878A5"/>
    <w:rsid w:val="00487DED"/>
    <w:rsid w:val="00490978"/>
    <w:rsid w:val="00490985"/>
    <w:rsid w:val="00490BCC"/>
    <w:rsid w:val="00490F57"/>
    <w:rsid w:val="004918CF"/>
    <w:rsid w:val="00492093"/>
    <w:rsid w:val="004923CC"/>
    <w:rsid w:val="004923E9"/>
    <w:rsid w:val="0049294C"/>
    <w:rsid w:val="00492A37"/>
    <w:rsid w:val="004933D1"/>
    <w:rsid w:val="004934A4"/>
    <w:rsid w:val="0049369D"/>
    <w:rsid w:val="0049384B"/>
    <w:rsid w:val="00493E32"/>
    <w:rsid w:val="004941AB"/>
    <w:rsid w:val="004941B4"/>
    <w:rsid w:val="00494834"/>
    <w:rsid w:val="004949BF"/>
    <w:rsid w:val="00494FD5"/>
    <w:rsid w:val="0049553B"/>
    <w:rsid w:val="0049599F"/>
    <w:rsid w:val="00496040"/>
    <w:rsid w:val="004969B8"/>
    <w:rsid w:val="00497889"/>
    <w:rsid w:val="00497998"/>
    <w:rsid w:val="00497E1E"/>
    <w:rsid w:val="004A00EC"/>
    <w:rsid w:val="004A08FA"/>
    <w:rsid w:val="004A09D3"/>
    <w:rsid w:val="004A0B84"/>
    <w:rsid w:val="004A1154"/>
    <w:rsid w:val="004A25AE"/>
    <w:rsid w:val="004A2697"/>
    <w:rsid w:val="004A2C0E"/>
    <w:rsid w:val="004A2DAD"/>
    <w:rsid w:val="004A2E74"/>
    <w:rsid w:val="004A3B74"/>
    <w:rsid w:val="004A4160"/>
    <w:rsid w:val="004A469F"/>
    <w:rsid w:val="004A50DB"/>
    <w:rsid w:val="004A5308"/>
    <w:rsid w:val="004A5577"/>
    <w:rsid w:val="004A6372"/>
    <w:rsid w:val="004A6FEC"/>
    <w:rsid w:val="004A7363"/>
    <w:rsid w:val="004A78E4"/>
    <w:rsid w:val="004A799A"/>
    <w:rsid w:val="004B0231"/>
    <w:rsid w:val="004B0640"/>
    <w:rsid w:val="004B0818"/>
    <w:rsid w:val="004B0CD0"/>
    <w:rsid w:val="004B0FC0"/>
    <w:rsid w:val="004B1635"/>
    <w:rsid w:val="004B181C"/>
    <w:rsid w:val="004B2E96"/>
    <w:rsid w:val="004B2F04"/>
    <w:rsid w:val="004B3804"/>
    <w:rsid w:val="004B38C7"/>
    <w:rsid w:val="004B41D8"/>
    <w:rsid w:val="004B4352"/>
    <w:rsid w:val="004B43D9"/>
    <w:rsid w:val="004B43EA"/>
    <w:rsid w:val="004B5143"/>
    <w:rsid w:val="004B57F2"/>
    <w:rsid w:val="004B5A64"/>
    <w:rsid w:val="004B5AD3"/>
    <w:rsid w:val="004B5DDA"/>
    <w:rsid w:val="004B6341"/>
    <w:rsid w:val="004B6A64"/>
    <w:rsid w:val="004B6DC0"/>
    <w:rsid w:val="004B7162"/>
    <w:rsid w:val="004B7508"/>
    <w:rsid w:val="004B766E"/>
    <w:rsid w:val="004B78A7"/>
    <w:rsid w:val="004B793C"/>
    <w:rsid w:val="004C048F"/>
    <w:rsid w:val="004C0537"/>
    <w:rsid w:val="004C067C"/>
    <w:rsid w:val="004C09CA"/>
    <w:rsid w:val="004C0DAC"/>
    <w:rsid w:val="004C10F2"/>
    <w:rsid w:val="004C1119"/>
    <w:rsid w:val="004C11B7"/>
    <w:rsid w:val="004C12DF"/>
    <w:rsid w:val="004C1535"/>
    <w:rsid w:val="004C202F"/>
    <w:rsid w:val="004C2473"/>
    <w:rsid w:val="004C263F"/>
    <w:rsid w:val="004C26ED"/>
    <w:rsid w:val="004C2FA1"/>
    <w:rsid w:val="004C371B"/>
    <w:rsid w:val="004C3A0E"/>
    <w:rsid w:val="004C3F96"/>
    <w:rsid w:val="004C4479"/>
    <w:rsid w:val="004C46F9"/>
    <w:rsid w:val="004C58B2"/>
    <w:rsid w:val="004C5C83"/>
    <w:rsid w:val="004C5D24"/>
    <w:rsid w:val="004C6047"/>
    <w:rsid w:val="004C6697"/>
    <w:rsid w:val="004C6DCB"/>
    <w:rsid w:val="004C6E58"/>
    <w:rsid w:val="004C7AAD"/>
    <w:rsid w:val="004C7B5E"/>
    <w:rsid w:val="004D02E3"/>
    <w:rsid w:val="004D098D"/>
    <w:rsid w:val="004D0BB6"/>
    <w:rsid w:val="004D0C48"/>
    <w:rsid w:val="004D0E8F"/>
    <w:rsid w:val="004D11B1"/>
    <w:rsid w:val="004D132B"/>
    <w:rsid w:val="004D141C"/>
    <w:rsid w:val="004D156A"/>
    <w:rsid w:val="004D186B"/>
    <w:rsid w:val="004D22CA"/>
    <w:rsid w:val="004D27CE"/>
    <w:rsid w:val="004D2846"/>
    <w:rsid w:val="004D2C7E"/>
    <w:rsid w:val="004D314A"/>
    <w:rsid w:val="004D3272"/>
    <w:rsid w:val="004D342B"/>
    <w:rsid w:val="004D38C2"/>
    <w:rsid w:val="004D3E5E"/>
    <w:rsid w:val="004D3EFA"/>
    <w:rsid w:val="004D425B"/>
    <w:rsid w:val="004D42BF"/>
    <w:rsid w:val="004D4300"/>
    <w:rsid w:val="004D43DE"/>
    <w:rsid w:val="004D4931"/>
    <w:rsid w:val="004D49E5"/>
    <w:rsid w:val="004D4FAF"/>
    <w:rsid w:val="004D55B6"/>
    <w:rsid w:val="004D5681"/>
    <w:rsid w:val="004D6245"/>
    <w:rsid w:val="004D6520"/>
    <w:rsid w:val="004D6E45"/>
    <w:rsid w:val="004D6F4D"/>
    <w:rsid w:val="004D7297"/>
    <w:rsid w:val="004D7E9C"/>
    <w:rsid w:val="004D7EAC"/>
    <w:rsid w:val="004E04BE"/>
    <w:rsid w:val="004E1240"/>
    <w:rsid w:val="004E1421"/>
    <w:rsid w:val="004E167F"/>
    <w:rsid w:val="004E1A2B"/>
    <w:rsid w:val="004E1A83"/>
    <w:rsid w:val="004E1D57"/>
    <w:rsid w:val="004E1DFE"/>
    <w:rsid w:val="004E26D9"/>
    <w:rsid w:val="004E2756"/>
    <w:rsid w:val="004E27A5"/>
    <w:rsid w:val="004E28F5"/>
    <w:rsid w:val="004E2D92"/>
    <w:rsid w:val="004E3D50"/>
    <w:rsid w:val="004E3F12"/>
    <w:rsid w:val="004E447C"/>
    <w:rsid w:val="004E4782"/>
    <w:rsid w:val="004E47CE"/>
    <w:rsid w:val="004E4B3A"/>
    <w:rsid w:val="004E4D27"/>
    <w:rsid w:val="004E4DEA"/>
    <w:rsid w:val="004E5723"/>
    <w:rsid w:val="004E5948"/>
    <w:rsid w:val="004E5CE8"/>
    <w:rsid w:val="004E5DEB"/>
    <w:rsid w:val="004E64C7"/>
    <w:rsid w:val="004E68D0"/>
    <w:rsid w:val="004E69DE"/>
    <w:rsid w:val="004E6C48"/>
    <w:rsid w:val="004E7BE9"/>
    <w:rsid w:val="004E7CF0"/>
    <w:rsid w:val="004F0481"/>
    <w:rsid w:val="004F04DC"/>
    <w:rsid w:val="004F07CD"/>
    <w:rsid w:val="004F092B"/>
    <w:rsid w:val="004F1056"/>
    <w:rsid w:val="004F1184"/>
    <w:rsid w:val="004F12D5"/>
    <w:rsid w:val="004F1D25"/>
    <w:rsid w:val="004F2E80"/>
    <w:rsid w:val="004F2F10"/>
    <w:rsid w:val="004F311C"/>
    <w:rsid w:val="004F31D5"/>
    <w:rsid w:val="004F32FF"/>
    <w:rsid w:val="004F3796"/>
    <w:rsid w:val="004F3EBB"/>
    <w:rsid w:val="004F427D"/>
    <w:rsid w:val="004F4413"/>
    <w:rsid w:val="004F447D"/>
    <w:rsid w:val="004F456B"/>
    <w:rsid w:val="004F461F"/>
    <w:rsid w:val="004F493C"/>
    <w:rsid w:val="004F4B58"/>
    <w:rsid w:val="004F50FD"/>
    <w:rsid w:val="004F525A"/>
    <w:rsid w:val="004F55E6"/>
    <w:rsid w:val="004F58A8"/>
    <w:rsid w:val="004F59FF"/>
    <w:rsid w:val="004F6142"/>
    <w:rsid w:val="004F62F1"/>
    <w:rsid w:val="004F63D5"/>
    <w:rsid w:val="004F6549"/>
    <w:rsid w:val="004F66F0"/>
    <w:rsid w:val="004F679C"/>
    <w:rsid w:val="004F6C1C"/>
    <w:rsid w:val="004F76A0"/>
    <w:rsid w:val="004F76AB"/>
    <w:rsid w:val="004F7C09"/>
    <w:rsid w:val="005002AF"/>
    <w:rsid w:val="0050041C"/>
    <w:rsid w:val="00500430"/>
    <w:rsid w:val="00500B27"/>
    <w:rsid w:val="00500C43"/>
    <w:rsid w:val="005011D8"/>
    <w:rsid w:val="00501480"/>
    <w:rsid w:val="00501592"/>
    <w:rsid w:val="0050195D"/>
    <w:rsid w:val="005022E1"/>
    <w:rsid w:val="005025A3"/>
    <w:rsid w:val="00502749"/>
    <w:rsid w:val="00502833"/>
    <w:rsid w:val="0050290E"/>
    <w:rsid w:val="005029A9"/>
    <w:rsid w:val="00502AD9"/>
    <w:rsid w:val="00503001"/>
    <w:rsid w:val="0050301F"/>
    <w:rsid w:val="0050334B"/>
    <w:rsid w:val="00503697"/>
    <w:rsid w:val="00503911"/>
    <w:rsid w:val="00503DCF"/>
    <w:rsid w:val="00503FCC"/>
    <w:rsid w:val="00503FF9"/>
    <w:rsid w:val="005040B4"/>
    <w:rsid w:val="00504263"/>
    <w:rsid w:val="0050449D"/>
    <w:rsid w:val="00504544"/>
    <w:rsid w:val="00504B0C"/>
    <w:rsid w:val="00504F4F"/>
    <w:rsid w:val="00505612"/>
    <w:rsid w:val="005058D2"/>
    <w:rsid w:val="00505CD5"/>
    <w:rsid w:val="00505DD8"/>
    <w:rsid w:val="0050616E"/>
    <w:rsid w:val="00506268"/>
    <w:rsid w:val="00506651"/>
    <w:rsid w:val="00506EA3"/>
    <w:rsid w:val="00507883"/>
    <w:rsid w:val="00507A57"/>
    <w:rsid w:val="00507DC4"/>
    <w:rsid w:val="0051018E"/>
    <w:rsid w:val="005101BC"/>
    <w:rsid w:val="005104B0"/>
    <w:rsid w:val="005105E8"/>
    <w:rsid w:val="005106FA"/>
    <w:rsid w:val="00510BDD"/>
    <w:rsid w:val="00510E74"/>
    <w:rsid w:val="0051169C"/>
    <w:rsid w:val="00511A65"/>
    <w:rsid w:val="00511D20"/>
    <w:rsid w:val="005123ED"/>
    <w:rsid w:val="00512639"/>
    <w:rsid w:val="005129B2"/>
    <w:rsid w:val="00512D3A"/>
    <w:rsid w:val="00512EC8"/>
    <w:rsid w:val="00512F00"/>
    <w:rsid w:val="00513332"/>
    <w:rsid w:val="005138F2"/>
    <w:rsid w:val="00513D52"/>
    <w:rsid w:val="00513F56"/>
    <w:rsid w:val="00513FE1"/>
    <w:rsid w:val="00514441"/>
    <w:rsid w:val="00514682"/>
    <w:rsid w:val="00514D4E"/>
    <w:rsid w:val="00514F14"/>
    <w:rsid w:val="0051540A"/>
    <w:rsid w:val="005157FD"/>
    <w:rsid w:val="00515C23"/>
    <w:rsid w:val="00515E17"/>
    <w:rsid w:val="005160BB"/>
    <w:rsid w:val="005168AB"/>
    <w:rsid w:val="00516DC4"/>
    <w:rsid w:val="00516FF4"/>
    <w:rsid w:val="005174C2"/>
    <w:rsid w:val="005176E8"/>
    <w:rsid w:val="00517932"/>
    <w:rsid w:val="0052027B"/>
    <w:rsid w:val="005202A7"/>
    <w:rsid w:val="0052044F"/>
    <w:rsid w:val="005206D3"/>
    <w:rsid w:val="0052084A"/>
    <w:rsid w:val="00520D66"/>
    <w:rsid w:val="00520F62"/>
    <w:rsid w:val="005216F1"/>
    <w:rsid w:val="0052184D"/>
    <w:rsid w:val="005219AE"/>
    <w:rsid w:val="00521DC5"/>
    <w:rsid w:val="00522267"/>
    <w:rsid w:val="00522814"/>
    <w:rsid w:val="005230A8"/>
    <w:rsid w:val="00523212"/>
    <w:rsid w:val="00523425"/>
    <w:rsid w:val="00523930"/>
    <w:rsid w:val="00523BC7"/>
    <w:rsid w:val="00523DBF"/>
    <w:rsid w:val="00523E35"/>
    <w:rsid w:val="00524266"/>
    <w:rsid w:val="0052437E"/>
    <w:rsid w:val="00524540"/>
    <w:rsid w:val="00524D7C"/>
    <w:rsid w:val="00524F26"/>
    <w:rsid w:val="00525434"/>
    <w:rsid w:val="00525592"/>
    <w:rsid w:val="00525AF9"/>
    <w:rsid w:val="0052607A"/>
    <w:rsid w:val="005260EB"/>
    <w:rsid w:val="0052623D"/>
    <w:rsid w:val="005264E0"/>
    <w:rsid w:val="00526C88"/>
    <w:rsid w:val="00526D59"/>
    <w:rsid w:val="0052721E"/>
    <w:rsid w:val="005274BA"/>
    <w:rsid w:val="00527996"/>
    <w:rsid w:val="0053006D"/>
    <w:rsid w:val="0053059E"/>
    <w:rsid w:val="005307FE"/>
    <w:rsid w:val="005309BA"/>
    <w:rsid w:val="00530BA7"/>
    <w:rsid w:val="00530DD4"/>
    <w:rsid w:val="00530E8A"/>
    <w:rsid w:val="0053165C"/>
    <w:rsid w:val="00531924"/>
    <w:rsid w:val="00531CF3"/>
    <w:rsid w:val="00531ED1"/>
    <w:rsid w:val="00531EFB"/>
    <w:rsid w:val="005321E7"/>
    <w:rsid w:val="00532403"/>
    <w:rsid w:val="00532D10"/>
    <w:rsid w:val="005330D7"/>
    <w:rsid w:val="00533455"/>
    <w:rsid w:val="00533758"/>
    <w:rsid w:val="00533801"/>
    <w:rsid w:val="0053390E"/>
    <w:rsid w:val="0053394C"/>
    <w:rsid w:val="00533D2A"/>
    <w:rsid w:val="00533F17"/>
    <w:rsid w:val="0053407F"/>
    <w:rsid w:val="00534154"/>
    <w:rsid w:val="0053462C"/>
    <w:rsid w:val="00534E47"/>
    <w:rsid w:val="00535356"/>
    <w:rsid w:val="00535726"/>
    <w:rsid w:val="00535B53"/>
    <w:rsid w:val="005368FE"/>
    <w:rsid w:val="00536CC9"/>
    <w:rsid w:val="00536E08"/>
    <w:rsid w:val="00536E25"/>
    <w:rsid w:val="005370D2"/>
    <w:rsid w:val="0053761F"/>
    <w:rsid w:val="00537F76"/>
    <w:rsid w:val="005403BE"/>
    <w:rsid w:val="00540B38"/>
    <w:rsid w:val="00540FC4"/>
    <w:rsid w:val="005419B5"/>
    <w:rsid w:val="00541C3F"/>
    <w:rsid w:val="00541C7C"/>
    <w:rsid w:val="00541E43"/>
    <w:rsid w:val="005422C2"/>
    <w:rsid w:val="0054239B"/>
    <w:rsid w:val="005425AC"/>
    <w:rsid w:val="00542669"/>
    <w:rsid w:val="005428DE"/>
    <w:rsid w:val="00543194"/>
    <w:rsid w:val="00543603"/>
    <w:rsid w:val="00543A51"/>
    <w:rsid w:val="00544248"/>
    <w:rsid w:val="0054483E"/>
    <w:rsid w:val="005450BB"/>
    <w:rsid w:val="00545D30"/>
    <w:rsid w:val="00545DA4"/>
    <w:rsid w:val="00546119"/>
    <w:rsid w:val="00546697"/>
    <w:rsid w:val="00546F74"/>
    <w:rsid w:val="00547031"/>
    <w:rsid w:val="005476F4"/>
    <w:rsid w:val="00547B8D"/>
    <w:rsid w:val="00547C66"/>
    <w:rsid w:val="0055058A"/>
    <w:rsid w:val="00550FF7"/>
    <w:rsid w:val="005514D7"/>
    <w:rsid w:val="00551C64"/>
    <w:rsid w:val="00551CEB"/>
    <w:rsid w:val="00551D5E"/>
    <w:rsid w:val="00552077"/>
    <w:rsid w:val="00552126"/>
    <w:rsid w:val="005524EB"/>
    <w:rsid w:val="005526D2"/>
    <w:rsid w:val="005529D3"/>
    <w:rsid w:val="0055300E"/>
    <w:rsid w:val="00553526"/>
    <w:rsid w:val="0055352B"/>
    <w:rsid w:val="00553627"/>
    <w:rsid w:val="00553845"/>
    <w:rsid w:val="00553D08"/>
    <w:rsid w:val="00553EA8"/>
    <w:rsid w:val="00554031"/>
    <w:rsid w:val="00554192"/>
    <w:rsid w:val="005545AD"/>
    <w:rsid w:val="0055498F"/>
    <w:rsid w:val="00554A9A"/>
    <w:rsid w:val="005553FE"/>
    <w:rsid w:val="00555654"/>
    <w:rsid w:val="00555677"/>
    <w:rsid w:val="0055594E"/>
    <w:rsid w:val="00555B68"/>
    <w:rsid w:val="00556294"/>
    <w:rsid w:val="005563BC"/>
    <w:rsid w:val="00556600"/>
    <w:rsid w:val="0055662D"/>
    <w:rsid w:val="00556BC6"/>
    <w:rsid w:val="00556F06"/>
    <w:rsid w:val="00556FBE"/>
    <w:rsid w:val="00557107"/>
    <w:rsid w:val="00557713"/>
    <w:rsid w:val="00557B67"/>
    <w:rsid w:val="0056038F"/>
    <w:rsid w:val="005604DE"/>
    <w:rsid w:val="00560C37"/>
    <w:rsid w:val="00560F0D"/>
    <w:rsid w:val="005610F6"/>
    <w:rsid w:val="0056123D"/>
    <w:rsid w:val="005613CC"/>
    <w:rsid w:val="00561A0D"/>
    <w:rsid w:val="00561B83"/>
    <w:rsid w:val="00562448"/>
    <w:rsid w:val="005627A5"/>
    <w:rsid w:val="00562FBB"/>
    <w:rsid w:val="00563558"/>
    <w:rsid w:val="00563886"/>
    <w:rsid w:val="00563DD5"/>
    <w:rsid w:val="00563F45"/>
    <w:rsid w:val="005640B3"/>
    <w:rsid w:val="005641C7"/>
    <w:rsid w:val="0056432D"/>
    <w:rsid w:val="005645F7"/>
    <w:rsid w:val="00564FEF"/>
    <w:rsid w:val="00565120"/>
    <w:rsid w:val="0056524A"/>
    <w:rsid w:val="00565917"/>
    <w:rsid w:val="005665D7"/>
    <w:rsid w:val="00566740"/>
    <w:rsid w:val="00566A91"/>
    <w:rsid w:val="00566BB8"/>
    <w:rsid w:val="00566BE1"/>
    <w:rsid w:val="00566F3B"/>
    <w:rsid w:val="00566F71"/>
    <w:rsid w:val="00566FDB"/>
    <w:rsid w:val="005673F1"/>
    <w:rsid w:val="0057000A"/>
    <w:rsid w:val="00570214"/>
    <w:rsid w:val="0057094A"/>
    <w:rsid w:val="00570D18"/>
    <w:rsid w:val="00570EC9"/>
    <w:rsid w:val="005711D7"/>
    <w:rsid w:val="005712C7"/>
    <w:rsid w:val="005719A0"/>
    <w:rsid w:val="00571D83"/>
    <w:rsid w:val="00572016"/>
    <w:rsid w:val="005723E4"/>
    <w:rsid w:val="00572429"/>
    <w:rsid w:val="00572533"/>
    <w:rsid w:val="00572EA1"/>
    <w:rsid w:val="00572F3C"/>
    <w:rsid w:val="00573812"/>
    <w:rsid w:val="00574121"/>
    <w:rsid w:val="0057426C"/>
    <w:rsid w:val="00574B12"/>
    <w:rsid w:val="00574B4E"/>
    <w:rsid w:val="00574F6F"/>
    <w:rsid w:val="00575079"/>
    <w:rsid w:val="00575841"/>
    <w:rsid w:val="00575A21"/>
    <w:rsid w:val="00575BE5"/>
    <w:rsid w:val="005765AE"/>
    <w:rsid w:val="005765FE"/>
    <w:rsid w:val="00576D37"/>
    <w:rsid w:val="00576D3A"/>
    <w:rsid w:val="00576DD4"/>
    <w:rsid w:val="0057724B"/>
    <w:rsid w:val="00577394"/>
    <w:rsid w:val="005777B5"/>
    <w:rsid w:val="00577D49"/>
    <w:rsid w:val="00577E4C"/>
    <w:rsid w:val="00577F38"/>
    <w:rsid w:val="005801A1"/>
    <w:rsid w:val="005801DC"/>
    <w:rsid w:val="00580265"/>
    <w:rsid w:val="005802AD"/>
    <w:rsid w:val="00580384"/>
    <w:rsid w:val="00580E36"/>
    <w:rsid w:val="00580F18"/>
    <w:rsid w:val="005813C7"/>
    <w:rsid w:val="005817CF"/>
    <w:rsid w:val="00581DEF"/>
    <w:rsid w:val="00582918"/>
    <w:rsid w:val="00582D9B"/>
    <w:rsid w:val="005830BC"/>
    <w:rsid w:val="005831CD"/>
    <w:rsid w:val="00583646"/>
    <w:rsid w:val="0058422C"/>
    <w:rsid w:val="005842D6"/>
    <w:rsid w:val="00584735"/>
    <w:rsid w:val="00584945"/>
    <w:rsid w:val="00584BE1"/>
    <w:rsid w:val="00584D72"/>
    <w:rsid w:val="0058506B"/>
    <w:rsid w:val="005852B7"/>
    <w:rsid w:val="0058535D"/>
    <w:rsid w:val="005856F8"/>
    <w:rsid w:val="005857E6"/>
    <w:rsid w:val="005857F8"/>
    <w:rsid w:val="00585ECA"/>
    <w:rsid w:val="00587318"/>
    <w:rsid w:val="0058779A"/>
    <w:rsid w:val="00587A7E"/>
    <w:rsid w:val="005904A5"/>
    <w:rsid w:val="0059083B"/>
    <w:rsid w:val="00590DEB"/>
    <w:rsid w:val="00590F32"/>
    <w:rsid w:val="0059160B"/>
    <w:rsid w:val="00591626"/>
    <w:rsid w:val="0059163C"/>
    <w:rsid w:val="005919AC"/>
    <w:rsid w:val="005919EA"/>
    <w:rsid w:val="00591D89"/>
    <w:rsid w:val="00592319"/>
    <w:rsid w:val="005925C6"/>
    <w:rsid w:val="00592778"/>
    <w:rsid w:val="00592818"/>
    <w:rsid w:val="005929C4"/>
    <w:rsid w:val="00592DCE"/>
    <w:rsid w:val="00592E4E"/>
    <w:rsid w:val="00593292"/>
    <w:rsid w:val="00593547"/>
    <w:rsid w:val="0059366F"/>
    <w:rsid w:val="0059412C"/>
    <w:rsid w:val="00594857"/>
    <w:rsid w:val="0059487C"/>
    <w:rsid w:val="00595718"/>
    <w:rsid w:val="00595B3C"/>
    <w:rsid w:val="00595F60"/>
    <w:rsid w:val="00596745"/>
    <w:rsid w:val="00596791"/>
    <w:rsid w:val="00596945"/>
    <w:rsid w:val="00596D47"/>
    <w:rsid w:val="00596D5D"/>
    <w:rsid w:val="00596DFE"/>
    <w:rsid w:val="00596F12"/>
    <w:rsid w:val="00597313"/>
    <w:rsid w:val="005979C7"/>
    <w:rsid w:val="00597BFE"/>
    <w:rsid w:val="00597C0D"/>
    <w:rsid w:val="00597DC3"/>
    <w:rsid w:val="005A0AC1"/>
    <w:rsid w:val="005A0E3D"/>
    <w:rsid w:val="005A0F08"/>
    <w:rsid w:val="005A1025"/>
    <w:rsid w:val="005A1823"/>
    <w:rsid w:val="005A1FFD"/>
    <w:rsid w:val="005A213D"/>
    <w:rsid w:val="005A2687"/>
    <w:rsid w:val="005A2764"/>
    <w:rsid w:val="005A2870"/>
    <w:rsid w:val="005A2C68"/>
    <w:rsid w:val="005A32C0"/>
    <w:rsid w:val="005A397E"/>
    <w:rsid w:val="005A3AF4"/>
    <w:rsid w:val="005A3CF6"/>
    <w:rsid w:val="005A3DCD"/>
    <w:rsid w:val="005A48E6"/>
    <w:rsid w:val="005A5078"/>
    <w:rsid w:val="005A5099"/>
    <w:rsid w:val="005A5416"/>
    <w:rsid w:val="005A57EE"/>
    <w:rsid w:val="005A6042"/>
    <w:rsid w:val="005A6164"/>
    <w:rsid w:val="005A61CD"/>
    <w:rsid w:val="005A630B"/>
    <w:rsid w:val="005A63BD"/>
    <w:rsid w:val="005A6469"/>
    <w:rsid w:val="005A67F7"/>
    <w:rsid w:val="005A6B0C"/>
    <w:rsid w:val="005A6F72"/>
    <w:rsid w:val="005A71AA"/>
    <w:rsid w:val="005A72BE"/>
    <w:rsid w:val="005A7314"/>
    <w:rsid w:val="005A77F0"/>
    <w:rsid w:val="005A78C3"/>
    <w:rsid w:val="005A78F3"/>
    <w:rsid w:val="005A7B48"/>
    <w:rsid w:val="005A7E5E"/>
    <w:rsid w:val="005B03E9"/>
    <w:rsid w:val="005B09D6"/>
    <w:rsid w:val="005B0C8F"/>
    <w:rsid w:val="005B0E05"/>
    <w:rsid w:val="005B15D3"/>
    <w:rsid w:val="005B18A4"/>
    <w:rsid w:val="005B1BCF"/>
    <w:rsid w:val="005B1C1E"/>
    <w:rsid w:val="005B1E1F"/>
    <w:rsid w:val="005B3A5F"/>
    <w:rsid w:val="005B3F72"/>
    <w:rsid w:val="005B44D8"/>
    <w:rsid w:val="005B48AF"/>
    <w:rsid w:val="005B4C7F"/>
    <w:rsid w:val="005B50BC"/>
    <w:rsid w:val="005B5258"/>
    <w:rsid w:val="005B5291"/>
    <w:rsid w:val="005B5A33"/>
    <w:rsid w:val="005B5EB5"/>
    <w:rsid w:val="005B626F"/>
    <w:rsid w:val="005B62C9"/>
    <w:rsid w:val="005B6B4D"/>
    <w:rsid w:val="005B712C"/>
    <w:rsid w:val="005B726B"/>
    <w:rsid w:val="005B7339"/>
    <w:rsid w:val="005B7ECF"/>
    <w:rsid w:val="005C06A3"/>
    <w:rsid w:val="005C06D8"/>
    <w:rsid w:val="005C07B0"/>
    <w:rsid w:val="005C0840"/>
    <w:rsid w:val="005C0A1E"/>
    <w:rsid w:val="005C0BBB"/>
    <w:rsid w:val="005C0F61"/>
    <w:rsid w:val="005C1629"/>
    <w:rsid w:val="005C1D23"/>
    <w:rsid w:val="005C2093"/>
    <w:rsid w:val="005C249A"/>
    <w:rsid w:val="005C2533"/>
    <w:rsid w:val="005C2BA2"/>
    <w:rsid w:val="005C2D89"/>
    <w:rsid w:val="005C3839"/>
    <w:rsid w:val="005C3E68"/>
    <w:rsid w:val="005C3FC1"/>
    <w:rsid w:val="005C42E8"/>
    <w:rsid w:val="005C4A5D"/>
    <w:rsid w:val="005C4BE7"/>
    <w:rsid w:val="005C4D6C"/>
    <w:rsid w:val="005C4DD6"/>
    <w:rsid w:val="005C52A1"/>
    <w:rsid w:val="005C5308"/>
    <w:rsid w:val="005C5538"/>
    <w:rsid w:val="005C5854"/>
    <w:rsid w:val="005C5A18"/>
    <w:rsid w:val="005C5B40"/>
    <w:rsid w:val="005C6651"/>
    <w:rsid w:val="005C678C"/>
    <w:rsid w:val="005C69B2"/>
    <w:rsid w:val="005C6A59"/>
    <w:rsid w:val="005C6B3B"/>
    <w:rsid w:val="005C6E27"/>
    <w:rsid w:val="005C6F9D"/>
    <w:rsid w:val="005C6FA1"/>
    <w:rsid w:val="005D0354"/>
    <w:rsid w:val="005D0BF0"/>
    <w:rsid w:val="005D0E19"/>
    <w:rsid w:val="005D0E3F"/>
    <w:rsid w:val="005D1216"/>
    <w:rsid w:val="005D1334"/>
    <w:rsid w:val="005D19E4"/>
    <w:rsid w:val="005D1AEB"/>
    <w:rsid w:val="005D1BDA"/>
    <w:rsid w:val="005D1C2B"/>
    <w:rsid w:val="005D1FE7"/>
    <w:rsid w:val="005D25C7"/>
    <w:rsid w:val="005D2CDC"/>
    <w:rsid w:val="005D2CFA"/>
    <w:rsid w:val="005D2D23"/>
    <w:rsid w:val="005D2D45"/>
    <w:rsid w:val="005D3324"/>
    <w:rsid w:val="005D33F3"/>
    <w:rsid w:val="005D34A4"/>
    <w:rsid w:val="005D3828"/>
    <w:rsid w:val="005D3B34"/>
    <w:rsid w:val="005D3FB7"/>
    <w:rsid w:val="005D461E"/>
    <w:rsid w:val="005D4736"/>
    <w:rsid w:val="005D50B7"/>
    <w:rsid w:val="005D50D4"/>
    <w:rsid w:val="005D5DB3"/>
    <w:rsid w:val="005D5E57"/>
    <w:rsid w:val="005D6025"/>
    <w:rsid w:val="005D613B"/>
    <w:rsid w:val="005D6317"/>
    <w:rsid w:val="005D63BF"/>
    <w:rsid w:val="005D6871"/>
    <w:rsid w:val="005D6A42"/>
    <w:rsid w:val="005D6AE9"/>
    <w:rsid w:val="005D6C12"/>
    <w:rsid w:val="005D6E60"/>
    <w:rsid w:val="005D750C"/>
    <w:rsid w:val="005D77BB"/>
    <w:rsid w:val="005D7E3F"/>
    <w:rsid w:val="005E06D5"/>
    <w:rsid w:val="005E0770"/>
    <w:rsid w:val="005E0869"/>
    <w:rsid w:val="005E0C63"/>
    <w:rsid w:val="005E0F73"/>
    <w:rsid w:val="005E157F"/>
    <w:rsid w:val="005E16AC"/>
    <w:rsid w:val="005E180F"/>
    <w:rsid w:val="005E1EEF"/>
    <w:rsid w:val="005E1F01"/>
    <w:rsid w:val="005E24A3"/>
    <w:rsid w:val="005E2756"/>
    <w:rsid w:val="005E2BBD"/>
    <w:rsid w:val="005E30FB"/>
    <w:rsid w:val="005E364B"/>
    <w:rsid w:val="005E371F"/>
    <w:rsid w:val="005E3949"/>
    <w:rsid w:val="005E3A02"/>
    <w:rsid w:val="005E3AA6"/>
    <w:rsid w:val="005E3B9F"/>
    <w:rsid w:val="005E434F"/>
    <w:rsid w:val="005E4DC7"/>
    <w:rsid w:val="005E4E9F"/>
    <w:rsid w:val="005E5558"/>
    <w:rsid w:val="005E579C"/>
    <w:rsid w:val="005E5884"/>
    <w:rsid w:val="005E58AB"/>
    <w:rsid w:val="005E5AA0"/>
    <w:rsid w:val="005E5E18"/>
    <w:rsid w:val="005E6210"/>
    <w:rsid w:val="005E6393"/>
    <w:rsid w:val="005E6504"/>
    <w:rsid w:val="005E6A73"/>
    <w:rsid w:val="005E75FE"/>
    <w:rsid w:val="005F093A"/>
    <w:rsid w:val="005F0F35"/>
    <w:rsid w:val="005F13D0"/>
    <w:rsid w:val="005F1754"/>
    <w:rsid w:val="005F227C"/>
    <w:rsid w:val="005F23FE"/>
    <w:rsid w:val="005F2628"/>
    <w:rsid w:val="005F2799"/>
    <w:rsid w:val="005F354D"/>
    <w:rsid w:val="005F3603"/>
    <w:rsid w:val="005F41DF"/>
    <w:rsid w:val="005F481E"/>
    <w:rsid w:val="005F5036"/>
    <w:rsid w:val="005F50FE"/>
    <w:rsid w:val="005F58F4"/>
    <w:rsid w:val="005F657D"/>
    <w:rsid w:val="005F6638"/>
    <w:rsid w:val="005F6739"/>
    <w:rsid w:val="005F6E4B"/>
    <w:rsid w:val="005F6EA0"/>
    <w:rsid w:val="005F7104"/>
    <w:rsid w:val="005F78F3"/>
    <w:rsid w:val="005F7C9C"/>
    <w:rsid w:val="006001A5"/>
    <w:rsid w:val="006006AA"/>
    <w:rsid w:val="00600886"/>
    <w:rsid w:val="0060093D"/>
    <w:rsid w:val="00600A62"/>
    <w:rsid w:val="00600D0E"/>
    <w:rsid w:val="0060104B"/>
    <w:rsid w:val="006016D8"/>
    <w:rsid w:val="00601A80"/>
    <w:rsid w:val="00602000"/>
    <w:rsid w:val="00602299"/>
    <w:rsid w:val="006022D9"/>
    <w:rsid w:val="00602984"/>
    <w:rsid w:val="006029AE"/>
    <w:rsid w:val="00602FD0"/>
    <w:rsid w:val="0060338C"/>
    <w:rsid w:val="006034C4"/>
    <w:rsid w:val="00603A3E"/>
    <w:rsid w:val="00603C00"/>
    <w:rsid w:val="00604325"/>
    <w:rsid w:val="006043D4"/>
    <w:rsid w:val="006049EC"/>
    <w:rsid w:val="006049F8"/>
    <w:rsid w:val="00604C68"/>
    <w:rsid w:val="00604D53"/>
    <w:rsid w:val="00604EBE"/>
    <w:rsid w:val="006053DA"/>
    <w:rsid w:val="00605964"/>
    <w:rsid w:val="00605AD1"/>
    <w:rsid w:val="00605D3D"/>
    <w:rsid w:val="00605D5F"/>
    <w:rsid w:val="00605D79"/>
    <w:rsid w:val="006065FB"/>
    <w:rsid w:val="00606898"/>
    <w:rsid w:val="006068DC"/>
    <w:rsid w:val="006077DD"/>
    <w:rsid w:val="006079C2"/>
    <w:rsid w:val="00607BBA"/>
    <w:rsid w:val="00610F52"/>
    <w:rsid w:val="006113AA"/>
    <w:rsid w:val="00611E2E"/>
    <w:rsid w:val="00611F7C"/>
    <w:rsid w:val="00612257"/>
    <w:rsid w:val="006122F3"/>
    <w:rsid w:val="00612AB9"/>
    <w:rsid w:val="0061403C"/>
    <w:rsid w:val="00614047"/>
    <w:rsid w:val="006142D9"/>
    <w:rsid w:val="00614308"/>
    <w:rsid w:val="006143C2"/>
    <w:rsid w:val="00614967"/>
    <w:rsid w:val="006149C3"/>
    <w:rsid w:val="00615378"/>
    <w:rsid w:val="00615B42"/>
    <w:rsid w:val="006166EC"/>
    <w:rsid w:val="00616755"/>
    <w:rsid w:val="006168A6"/>
    <w:rsid w:val="006172CE"/>
    <w:rsid w:val="00617558"/>
    <w:rsid w:val="00617741"/>
    <w:rsid w:val="00617955"/>
    <w:rsid w:val="00617D21"/>
    <w:rsid w:val="006201D1"/>
    <w:rsid w:val="00620327"/>
    <w:rsid w:val="00620676"/>
    <w:rsid w:val="006209B3"/>
    <w:rsid w:val="00620ADA"/>
    <w:rsid w:val="00620C23"/>
    <w:rsid w:val="00620DFD"/>
    <w:rsid w:val="00621117"/>
    <w:rsid w:val="006211C0"/>
    <w:rsid w:val="00621834"/>
    <w:rsid w:val="00621C4A"/>
    <w:rsid w:val="00621D12"/>
    <w:rsid w:val="00622291"/>
    <w:rsid w:val="006224C3"/>
    <w:rsid w:val="00622A37"/>
    <w:rsid w:val="00622B0C"/>
    <w:rsid w:val="0062388E"/>
    <w:rsid w:val="00623C10"/>
    <w:rsid w:val="006247BE"/>
    <w:rsid w:val="006247C6"/>
    <w:rsid w:val="0062491F"/>
    <w:rsid w:val="00624A20"/>
    <w:rsid w:val="00625059"/>
    <w:rsid w:val="006252BC"/>
    <w:rsid w:val="006258F9"/>
    <w:rsid w:val="00625F76"/>
    <w:rsid w:val="006263C0"/>
    <w:rsid w:val="00626643"/>
    <w:rsid w:val="006266BD"/>
    <w:rsid w:val="00626F3B"/>
    <w:rsid w:val="0062707E"/>
    <w:rsid w:val="006272DF"/>
    <w:rsid w:val="006272E0"/>
    <w:rsid w:val="00627599"/>
    <w:rsid w:val="006275AF"/>
    <w:rsid w:val="00627ED5"/>
    <w:rsid w:val="00630026"/>
    <w:rsid w:val="006304E0"/>
    <w:rsid w:val="006307B3"/>
    <w:rsid w:val="00630E0C"/>
    <w:rsid w:val="00631BB6"/>
    <w:rsid w:val="00631CA4"/>
    <w:rsid w:val="0063246E"/>
    <w:rsid w:val="006327A1"/>
    <w:rsid w:val="00632C1B"/>
    <w:rsid w:val="00632ECA"/>
    <w:rsid w:val="00632F06"/>
    <w:rsid w:val="00632F23"/>
    <w:rsid w:val="0063370D"/>
    <w:rsid w:val="0063382A"/>
    <w:rsid w:val="00633C68"/>
    <w:rsid w:val="0063412A"/>
    <w:rsid w:val="0063416D"/>
    <w:rsid w:val="006342A3"/>
    <w:rsid w:val="00634399"/>
    <w:rsid w:val="00634429"/>
    <w:rsid w:val="0063443B"/>
    <w:rsid w:val="00635123"/>
    <w:rsid w:val="0063519A"/>
    <w:rsid w:val="00635233"/>
    <w:rsid w:val="0063556F"/>
    <w:rsid w:val="006355E6"/>
    <w:rsid w:val="00635CF4"/>
    <w:rsid w:val="00635F6A"/>
    <w:rsid w:val="00636133"/>
    <w:rsid w:val="00636335"/>
    <w:rsid w:val="00636772"/>
    <w:rsid w:val="006367FF"/>
    <w:rsid w:val="0063696F"/>
    <w:rsid w:val="00636C4F"/>
    <w:rsid w:val="006370FD"/>
    <w:rsid w:val="006372EC"/>
    <w:rsid w:val="0063746F"/>
    <w:rsid w:val="00637630"/>
    <w:rsid w:val="0063763B"/>
    <w:rsid w:val="00637CEC"/>
    <w:rsid w:val="006402F3"/>
    <w:rsid w:val="00640438"/>
    <w:rsid w:val="006414C2"/>
    <w:rsid w:val="006418D0"/>
    <w:rsid w:val="00641FAD"/>
    <w:rsid w:val="0064220C"/>
    <w:rsid w:val="00642292"/>
    <w:rsid w:val="00642563"/>
    <w:rsid w:val="00642B89"/>
    <w:rsid w:val="00642DC4"/>
    <w:rsid w:val="006434A2"/>
    <w:rsid w:val="0064362E"/>
    <w:rsid w:val="0064391C"/>
    <w:rsid w:val="00643A18"/>
    <w:rsid w:val="00643F19"/>
    <w:rsid w:val="00644399"/>
    <w:rsid w:val="0064449A"/>
    <w:rsid w:val="00644853"/>
    <w:rsid w:val="00644CE1"/>
    <w:rsid w:val="006451A9"/>
    <w:rsid w:val="00645C83"/>
    <w:rsid w:val="00645EC0"/>
    <w:rsid w:val="00645FD1"/>
    <w:rsid w:val="0064631E"/>
    <w:rsid w:val="00646516"/>
    <w:rsid w:val="00646738"/>
    <w:rsid w:val="006468C2"/>
    <w:rsid w:val="00646A8F"/>
    <w:rsid w:val="00646F6C"/>
    <w:rsid w:val="006471E3"/>
    <w:rsid w:val="00647624"/>
    <w:rsid w:val="00647DCB"/>
    <w:rsid w:val="0065003D"/>
    <w:rsid w:val="00650104"/>
    <w:rsid w:val="00650110"/>
    <w:rsid w:val="006502C5"/>
    <w:rsid w:val="00650327"/>
    <w:rsid w:val="006506EE"/>
    <w:rsid w:val="00650C17"/>
    <w:rsid w:val="006514F4"/>
    <w:rsid w:val="006516C4"/>
    <w:rsid w:val="00651C2E"/>
    <w:rsid w:val="00652847"/>
    <w:rsid w:val="00652BD3"/>
    <w:rsid w:val="00652D09"/>
    <w:rsid w:val="00652D6B"/>
    <w:rsid w:val="00653016"/>
    <w:rsid w:val="0065387A"/>
    <w:rsid w:val="00653E32"/>
    <w:rsid w:val="00654203"/>
    <w:rsid w:val="006542B3"/>
    <w:rsid w:val="006542C2"/>
    <w:rsid w:val="0065525E"/>
    <w:rsid w:val="00655626"/>
    <w:rsid w:val="00655ADB"/>
    <w:rsid w:val="00655BF3"/>
    <w:rsid w:val="00655C59"/>
    <w:rsid w:val="00655EAA"/>
    <w:rsid w:val="00656137"/>
    <w:rsid w:val="00656ABA"/>
    <w:rsid w:val="00656B42"/>
    <w:rsid w:val="00656BA4"/>
    <w:rsid w:val="00656FB0"/>
    <w:rsid w:val="00657414"/>
    <w:rsid w:val="00657551"/>
    <w:rsid w:val="006575B2"/>
    <w:rsid w:val="00657AD1"/>
    <w:rsid w:val="00657AE7"/>
    <w:rsid w:val="00657B3A"/>
    <w:rsid w:val="0066080E"/>
    <w:rsid w:val="0066085F"/>
    <w:rsid w:val="00660B44"/>
    <w:rsid w:val="00660C17"/>
    <w:rsid w:val="00660C50"/>
    <w:rsid w:val="00660EB4"/>
    <w:rsid w:val="006610A1"/>
    <w:rsid w:val="00661430"/>
    <w:rsid w:val="0066181D"/>
    <w:rsid w:val="00661BD1"/>
    <w:rsid w:val="00661DD5"/>
    <w:rsid w:val="006621E4"/>
    <w:rsid w:val="00662363"/>
    <w:rsid w:val="006626E9"/>
    <w:rsid w:val="00663312"/>
    <w:rsid w:val="00663826"/>
    <w:rsid w:val="00663832"/>
    <w:rsid w:val="00663FBC"/>
    <w:rsid w:val="00664013"/>
    <w:rsid w:val="00664084"/>
    <w:rsid w:val="00664145"/>
    <w:rsid w:val="0066456D"/>
    <w:rsid w:val="00664875"/>
    <w:rsid w:val="00664926"/>
    <w:rsid w:val="00664C67"/>
    <w:rsid w:val="00664EE2"/>
    <w:rsid w:val="0066577F"/>
    <w:rsid w:val="0066635D"/>
    <w:rsid w:val="006663CF"/>
    <w:rsid w:val="0066657A"/>
    <w:rsid w:val="0066687A"/>
    <w:rsid w:val="00667567"/>
    <w:rsid w:val="006675E5"/>
    <w:rsid w:val="0066775A"/>
    <w:rsid w:val="00667AF6"/>
    <w:rsid w:val="006701AD"/>
    <w:rsid w:val="0067027B"/>
    <w:rsid w:val="00670637"/>
    <w:rsid w:val="0067093F"/>
    <w:rsid w:val="006709FA"/>
    <w:rsid w:val="00670CB0"/>
    <w:rsid w:val="00670E4B"/>
    <w:rsid w:val="00670F03"/>
    <w:rsid w:val="006719DC"/>
    <w:rsid w:val="00671B8C"/>
    <w:rsid w:val="006727DC"/>
    <w:rsid w:val="00672ABD"/>
    <w:rsid w:val="006730F0"/>
    <w:rsid w:val="00673337"/>
    <w:rsid w:val="006735AC"/>
    <w:rsid w:val="00673BBB"/>
    <w:rsid w:val="0067426A"/>
    <w:rsid w:val="006743ED"/>
    <w:rsid w:val="006745F5"/>
    <w:rsid w:val="00675969"/>
    <w:rsid w:val="00675AF6"/>
    <w:rsid w:val="00675F46"/>
    <w:rsid w:val="00676048"/>
    <w:rsid w:val="006762B5"/>
    <w:rsid w:val="006764BC"/>
    <w:rsid w:val="00676D93"/>
    <w:rsid w:val="00676E47"/>
    <w:rsid w:val="0067706F"/>
    <w:rsid w:val="006773B4"/>
    <w:rsid w:val="006773C9"/>
    <w:rsid w:val="006773EF"/>
    <w:rsid w:val="006774E2"/>
    <w:rsid w:val="0067785C"/>
    <w:rsid w:val="00677AB9"/>
    <w:rsid w:val="00677DD3"/>
    <w:rsid w:val="00680B17"/>
    <w:rsid w:val="00681023"/>
    <w:rsid w:val="00681630"/>
    <w:rsid w:val="006824B4"/>
    <w:rsid w:val="0068269D"/>
    <w:rsid w:val="00682AA0"/>
    <w:rsid w:val="00682EB4"/>
    <w:rsid w:val="00683082"/>
    <w:rsid w:val="00683446"/>
    <w:rsid w:val="006841F8"/>
    <w:rsid w:val="00684337"/>
    <w:rsid w:val="0068435D"/>
    <w:rsid w:val="006843B9"/>
    <w:rsid w:val="00684BD8"/>
    <w:rsid w:val="00685082"/>
    <w:rsid w:val="00686B09"/>
    <w:rsid w:val="00687033"/>
    <w:rsid w:val="00687C8B"/>
    <w:rsid w:val="00687D1D"/>
    <w:rsid w:val="0069029F"/>
    <w:rsid w:val="00691216"/>
    <w:rsid w:val="00691898"/>
    <w:rsid w:val="00691C19"/>
    <w:rsid w:val="00691C9E"/>
    <w:rsid w:val="00692545"/>
    <w:rsid w:val="00692FAB"/>
    <w:rsid w:val="00693077"/>
    <w:rsid w:val="00693510"/>
    <w:rsid w:val="00693701"/>
    <w:rsid w:val="0069409C"/>
    <w:rsid w:val="00694D06"/>
    <w:rsid w:val="00695252"/>
    <w:rsid w:val="00695283"/>
    <w:rsid w:val="00695546"/>
    <w:rsid w:val="006956F6"/>
    <w:rsid w:val="00695AFD"/>
    <w:rsid w:val="00695FBC"/>
    <w:rsid w:val="00696C45"/>
    <w:rsid w:val="00696E9F"/>
    <w:rsid w:val="00696EBD"/>
    <w:rsid w:val="006974AA"/>
    <w:rsid w:val="006A044F"/>
    <w:rsid w:val="006A121F"/>
    <w:rsid w:val="006A12C4"/>
    <w:rsid w:val="006A25D7"/>
    <w:rsid w:val="006A2712"/>
    <w:rsid w:val="006A2D88"/>
    <w:rsid w:val="006A3286"/>
    <w:rsid w:val="006A354D"/>
    <w:rsid w:val="006A3F30"/>
    <w:rsid w:val="006A4248"/>
    <w:rsid w:val="006A4402"/>
    <w:rsid w:val="006A489A"/>
    <w:rsid w:val="006A4C88"/>
    <w:rsid w:val="006A4FF7"/>
    <w:rsid w:val="006A5081"/>
    <w:rsid w:val="006A5AC1"/>
    <w:rsid w:val="006A5AD9"/>
    <w:rsid w:val="006A5B11"/>
    <w:rsid w:val="006A5EE0"/>
    <w:rsid w:val="006A66C5"/>
    <w:rsid w:val="006A681E"/>
    <w:rsid w:val="006A7167"/>
    <w:rsid w:val="006A71C3"/>
    <w:rsid w:val="006A75CD"/>
    <w:rsid w:val="006B0221"/>
    <w:rsid w:val="006B02C6"/>
    <w:rsid w:val="006B044C"/>
    <w:rsid w:val="006B07C1"/>
    <w:rsid w:val="006B0B8B"/>
    <w:rsid w:val="006B0DAB"/>
    <w:rsid w:val="006B1585"/>
    <w:rsid w:val="006B1634"/>
    <w:rsid w:val="006B1983"/>
    <w:rsid w:val="006B199C"/>
    <w:rsid w:val="006B1D30"/>
    <w:rsid w:val="006B1D45"/>
    <w:rsid w:val="006B1E61"/>
    <w:rsid w:val="006B1E8C"/>
    <w:rsid w:val="006B238F"/>
    <w:rsid w:val="006B24FB"/>
    <w:rsid w:val="006B2730"/>
    <w:rsid w:val="006B2C0D"/>
    <w:rsid w:val="006B39CD"/>
    <w:rsid w:val="006B3BEC"/>
    <w:rsid w:val="006B4004"/>
    <w:rsid w:val="006B410F"/>
    <w:rsid w:val="006B4540"/>
    <w:rsid w:val="006B45E2"/>
    <w:rsid w:val="006B4C83"/>
    <w:rsid w:val="006B5074"/>
    <w:rsid w:val="006B5C79"/>
    <w:rsid w:val="006B5CC6"/>
    <w:rsid w:val="006B6854"/>
    <w:rsid w:val="006B69E1"/>
    <w:rsid w:val="006B6B00"/>
    <w:rsid w:val="006B710F"/>
    <w:rsid w:val="006B720A"/>
    <w:rsid w:val="006B7429"/>
    <w:rsid w:val="006B7534"/>
    <w:rsid w:val="006B769E"/>
    <w:rsid w:val="006B77A5"/>
    <w:rsid w:val="006B7914"/>
    <w:rsid w:val="006B7FCE"/>
    <w:rsid w:val="006C006E"/>
    <w:rsid w:val="006C0321"/>
    <w:rsid w:val="006C090A"/>
    <w:rsid w:val="006C1500"/>
    <w:rsid w:val="006C15C8"/>
    <w:rsid w:val="006C1E01"/>
    <w:rsid w:val="006C1E5B"/>
    <w:rsid w:val="006C29A5"/>
    <w:rsid w:val="006C2E5E"/>
    <w:rsid w:val="006C31A6"/>
    <w:rsid w:val="006C33B5"/>
    <w:rsid w:val="006C35E6"/>
    <w:rsid w:val="006C361A"/>
    <w:rsid w:val="006C364C"/>
    <w:rsid w:val="006C37FB"/>
    <w:rsid w:val="006C381F"/>
    <w:rsid w:val="006C3DD2"/>
    <w:rsid w:val="006C4113"/>
    <w:rsid w:val="006C4146"/>
    <w:rsid w:val="006C477F"/>
    <w:rsid w:val="006C494E"/>
    <w:rsid w:val="006C4A0E"/>
    <w:rsid w:val="006C4CD3"/>
    <w:rsid w:val="006C50E9"/>
    <w:rsid w:val="006C544F"/>
    <w:rsid w:val="006C56FE"/>
    <w:rsid w:val="006C57E2"/>
    <w:rsid w:val="006C5C94"/>
    <w:rsid w:val="006C5CF8"/>
    <w:rsid w:val="006C5E9C"/>
    <w:rsid w:val="006C5EB7"/>
    <w:rsid w:val="006C6C1D"/>
    <w:rsid w:val="006C6E4E"/>
    <w:rsid w:val="006C74C6"/>
    <w:rsid w:val="006C7B73"/>
    <w:rsid w:val="006C7E93"/>
    <w:rsid w:val="006D0472"/>
    <w:rsid w:val="006D0496"/>
    <w:rsid w:val="006D056A"/>
    <w:rsid w:val="006D05E9"/>
    <w:rsid w:val="006D06A0"/>
    <w:rsid w:val="006D1E49"/>
    <w:rsid w:val="006D1F20"/>
    <w:rsid w:val="006D20A3"/>
    <w:rsid w:val="006D21FA"/>
    <w:rsid w:val="006D22ED"/>
    <w:rsid w:val="006D2BD8"/>
    <w:rsid w:val="006D2BE6"/>
    <w:rsid w:val="006D2E4C"/>
    <w:rsid w:val="006D30A0"/>
    <w:rsid w:val="006D3354"/>
    <w:rsid w:val="006D388D"/>
    <w:rsid w:val="006D393A"/>
    <w:rsid w:val="006D3C8B"/>
    <w:rsid w:val="006D3D44"/>
    <w:rsid w:val="006D474F"/>
    <w:rsid w:val="006D4F6D"/>
    <w:rsid w:val="006D523E"/>
    <w:rsid w:val="006D5CFA"/>
    <w:rsid w:val="006D608E"/>
    <w:rsid w:val="006D6217"/>
    <w:rsid w:val="006D6325"/>
    <w:rsid w:val="006D6C90"/>
    <w:rsid w:val="006D6F16"/>
    <w:rsid w:val="006D7501"/>
    <w:rsid w:val="006D76C2"/>
    <w:rsid w:val="006D7AE5"/>
    <w:rsid w:val="006D7CD0"/>
    <w:rsid w:val="006D7DC6"/>
    <w:rsid w:val="006E0667"/>
    <w:rsid w:val="006E0E26"/>
    <w:rsid w:val="006E1005"/>
    <w:rsid w:val="006E1046"/>
    <w:rsid w:val="006E10EC"/>
    <w:rsid w:val="006E150F"/>
    <w:rsid w:val="006E1909"/>
    <w:rsid w:val="006E1F19"/>
    <w:rsid w:val="006E2913"/>
    <w:rsid w:val="006E297C"/>
    <w:rsid w:val="006E32D4"/>
    <w:rsid w:val="006E3497"/>
    <w:rsid w:val="006E34FA"/>
    <w:rsid w:val="006E3F26"/>
    <w:rsid w:val="006E46BD"/>
    <w:rsid w:val="006E49E7"/>
    <w:rsid w:val="006E4B68"/>
    <w:rsid w:val="006E4E2B"/>
    <w:rsid w:val="006E5535"/>
    <w:rsid w:val="006E5D74"/>
    <w:rsid w:val="006E5EED"/>
    <w:rsid w:val="006E67EB"/>
    <w:rsid w:val="006E6A8C"/>
    <w:rsid w:val="006E6C5C"/>
    <w:rsid w:val="006E6D65"/>
    <w:rsid w:val="006E7FC5"/>
    <w:rsid w:val="006F063B"/>
    <w:rsid w:val="006F085B"/>
    <w:rsid w:val="006F08F6"/>
    <w:rsid w:val="006F0950"/>
    <w:rsid w:val="006F0D31"/>
    <w:rsid w:val="006F12FA"/>
    <w:rsid w:val="006F17AD"/>
    <w:rsid w:val="006F1CF1"/>
    <w:rsid w:val="006F22D1"/>
    <w:rsid w:val="006F277E"/>
    <w:rsid w:val="006F2FEE"/>
    <w:rsid w:val="006F3AE5"/>
    <w:rsid w:val="006F3E5A"/>
    <w:rsid w:val="006F4479"/>
    <w:rsid w:val="006F5154"/>
    <w:rsid w:val="006F52A8"/>
    <w:rsid w:val="006F5601"/>
    <w:rsid w:val="006F57EC"/>
    <w:rsid w:val="006F58B0"/>
    <w:rsid w:val="006F58E1"/>
    <w:rsid w:val="006F5B02"/>
    <w:rsid w:val="006F61F5"/>
    <w:rsid w:val="006F6349"/>
    <w:rsid w:val="006F6549"/>
    <w:rsid w:val="006F6807"/>
    <w:rsid w:val="006F6832"/>
    <w:rsid w:val="006F6E96"/>
    <w:rsid w:val="006F7282"/>
    <w:rsid w:val="006F7811"/>
    <w:rsid w:val="006F7D6F"/>
    <w:rsid w:val="0070096D"/>
    <w:rsid w:val="00701025"/>
    <w:rsid w:val="007013CD"/>
    <w:rsid w:val="00701472"/>
    <w:rsid w:val="00701651"/>
    <w:rsid w:val="00701FDC"/>
    <w:rsid w:val="00702077"/>
    <w:rsid w:val="007022AC"/>
    <w:rsid w:val="00702A07"/>
    <w:rsid w:val="00702E0A"/>
    <w:rsid w:val="00702F0E"/>
    <w:rsid w:val="00702FD0"/>
    <w:rsid w:val="00702FF4"/>
    <w:rsid w:val="0070304B"/>
    <w:rsid w:val="007038B4"/>
    <w:rsid w:val="00703C09"/>
    <w:rsid w:val="00703C18"/>
    <w:rsid w:val="00703FFA"/>
    <w:rsid w:val="007040C6"/>
    <w:rsid w:val="007042C3"/>
    <w:rsid w:val="00704384"/>
    <w:rsid w:val="00704C4A"/>
    <w:rsid w:val="00704CD5"/>
    <w:rsid w:val="00704D77"/>
    <w:rsid w:val="00705AF9"/>
    <w:rsid w:val="00706008"/>
    <w:rsid w:val="0070605D"/>
    <w:rsid w:val="00706464"/>
    <w:rsid w:val="00706DB3"/>
    <w:rsid w:val="00706EF2"/>
    <w:rsid w:val="00706FE7"/>
    <w:rsid w:val="007074A0"/>
    <w:rsid w:val="007075F7"/>
    <w:rsid w:val="00707975"/>
    <w:rsid w:val="00710046"/>
    <w:rsid w:val="0071006C"/>
    <w:rsid w:val="00710769"/>
    <w:rsid w:val="00710788"/>
    <w:rsid w:val="007108CF"/>
    <w:rsid w:val="007111F5"/>
    <w:rsid w:val="0071144D"/>
    <w:rsid w:val="00711A02"/>
    <w:rsid w:val="00711BA3"/>
    <w:rsid w:val="00711EF3"/>
    <w:rsid w:val="007125E0"/>
    <w:rsid w:val="00713BF9"/>
    <w:rsid w:val="00713DAD"/>
    <w:rsid w:val="007140F2"/>
    <w:rsid w:val="00714878"/>
    <w:rsid w:val="00714B6F"/>
    <w:rsid w:val="00714D6A"/>
    <w:rsid w:val="007153C2"/>
    <w:rsid w:val="0071574B"/>
    <w:rsid w:val="0071575C"/>
    <w:rsid w:val="00715973"/>
    <w:rsid w:val="00715ED1"/>
    <w:rsid w:val="00715F08"/>
    <w:rsid w:val="007164F7"/>
    <w:rsid w:val="00716B0A"/>
    <w:rsid w:val="00716C64"/>
    <w:rsid w:val="00716CE0"/>
    <w:rsid w:val="00717922"/>
    <w:rsid w:val="00717B81"/>
    <w:rsid w:val="00720006"/>
    <w:rsid w:val="007201EA"/>
    <w:rsid w:val="00720450"/>
    <w:rsid w:val="00720464"/>
    <w:rsid w:val="0072053D"/>
    <w:rsid w:val="00720985"/>
    <w:rsid w:val="00721103"/>
    <w:rsid w:val="007211EB"/>
    <w:rsid w:val="00721298"/>
    <w:rsid w:val="007214E3"/>
    <w:rsid w:val="00721B0B"/>
    <w:rsid w:val="00721BA5"/>
    <w:rsid w:val="00722007"/>
    <w:rsid w:val="007221EF"/>
    <w:rsid w:val="00722264"/>
    <w:rsid w:val="007223FF"/>
    <w:rsid w:val="0072259D"/>
    <w:rsid w:val="0072368B"/>
    <w:rsid w:val="0072384C"/>
    <w:rsid w:val="00723855"/>
    <w:rsid w:val="00723DEC"/>
    <w:rsid w:val="00723E9A"/>
    <w:rsid w:val="00723F25"/>
    <w:rsid w:val="007261F3"/>
    <w:rsid w:val="00726766"/>
    <w:rsid w:val="007267AE"/>
    <w:rsid w:val="00726BF4"/>
    <w:rsid w:val="00726F8F"/>
    <w:rsid w:val="007272C1"/>
    <w:rsid w:val="00727325"/>
    <w:rsid w:val="007274C4"/>
    <w:rsid w:val="00727A5C"/>
    <w:rsid w:val="00727B3D"/>
    <w:rsid w:val="00727B7A"/>
    <w:rsid w:val="00727D2D"/>
    <w:rsid w:val="00727FD1"/>
    <w:rsid w:val="007300C3"/>
    <w:rsid w:val="00730165"/>
    <w:rsid w:val="007304B5"/>
    <w:rsid w:val="007305C4"/>
    <w:rsid w:val="007305C6"/>
    <w:rsid w:val="00730A7D"/>
    <w:rsid w:val="00730B4A"/>
    <w:rsid w:val="00730E33"/>
    <w:rsid w:val="007310AF"/>
    <w:rsid w:val="00731C58"/>
    <w:rsid w:val="00731FE5"/>
    <w:rsid w:val="00732463"/>
    <w:rsid w:val="00732525"/>
    <w:rsid w:val="00732783"/>
    <w:rsid w:val="00732A98"/>
    <w:rsid w:val="0073323B"/>
    <w:rsid w:val="00733827"/>
    <w:rsid w:val="007341AD"/>
    <w:rsid w:val="0073471F"/>
    <w:rsid w:val="00734A8E"/>
    <w:rsid w:val="00734CBD"/>
    <w:rsid w:val="007353FF"/>
    <w:rsid w:val="007354AB"/>
    <w:rsid w:val="007360D1"/>
    <w:rsid w:val="0073612F"/>
    <w:rsid w:val="007364A7"/>
    <w:rsid w:val="0073669B"/>
    <w:rsid w:val="00736D36"/>
    <w:rsid w:val="00737149"/>
    <w:rsid w:val="007371AA"/>
    <w:rsid w:val="007407DF"/>
    <w:rsid w:val="00740DA6"/>
    <w:rsid w:val="00740F82"/>
    <w:rsid w:val="00741241"/>
    <w:rsid w:val="00742205"/>
    <w:rsid w:val="007423BF"/>
    <w:rsid w:val="007428C6"/>
    <w:rsid w:val="007431CD"/>
    <w:rsid w:val="00743487"/>
    <w:rsid w:val="00743531"/>
    <w:rsid w:val="007437DE"/>
    <w:rsid w:val="0074389F"/>
    <w:rsid w:val="007438C2"/>
    <w:rsid w:val="00744763"/>
    <w:rsid w:val="007449AC"/>
    <w:rsid w:val="00744A92"/>
    <w:rsid w:val="00744FCC"/>
    <w:rsid w:val="0074507E"/>
    <w:rsid w:val="007450A6"/>
    <w:rsid w:val="0074551E"/>
    <w:rsid w:val="00745F21"/>
    <w:rsid w:val="0074626F"/>
    <w:rsid w:val="00746405"/>
    <w:rsid w:val="00746535"/>
    <w:rsid w:val="007466A4"/>
    <w:rsid w:val="007466B4"/>
    <w:rsid w:val="00746D7B"/>
    <w:rsid w:val="00747150"/>
    <w:rsid w:val="0074746E"/>
    <w:rsid w:val="00747721"/>
    <w:rsid w:val="007478DE"/>
    <w:rsid w:val="00747938"/>
    <w:rsid w:val="00747B67"/>
    <w:rsid w:val="00747C21"/>
    <w:rsid w:val="007500A8"/>
    <w:rsid w:val="00751289"/>
    <w:rsid w:val="00751334"/>
    <w:rsid w:val="007514E3"/>
    <w:rsid w:val="0075197A"/>
    <w:rsid w:val="00751D2A"/>
    <w:rsid w:val="00752818"/>
    <w:rsid w:val="00752AF9"/>
    <w:rsid w:val="00752B94"/>
    <w:rsid w:val="007531FC"/>
    <w:rsid w:val="00753385"/>
    <w:rsid w:val="00753514"/>
    <w:rsid w:val="007535A2"/>
    <w:rsid w:val="0075380B"/>
    <w:rsid w:val="00753B93"/>
    <w:rsid w:val="00753DC7"/>
    <w:rsid w:val="00753E2B"/>
    <w:rsid w:val="00753ECA"/>
    <w:rsid w:val="00754AAF"/>
    <w:rsid w:val="00754D8C"/>
    <w:rsid w:val="00754F55"/>
    <w:rsid w:val="00755244"/>
    <w:rsid w:val="007552AD"/>
    <w:rsid w:val="007558F6"/>
    <w:rsid w:val="00755C0B"/>
    <w:rsid w:val="00755C7E"/>
    <w:rsid w:val="00755E53"/>
    <w:rsid w:val="00756565"/>
    <w:rsid w:val="00756920"/>
    <w:rsid w:val="00756CEC"/>
    <w:rsid w:val="00756E53"/>
    <w:rsid w:val="00756F80"/>
    <w:rsid w:val="00757142"/>
    <w:rsid w:val="007572A0"/>
    <w:rsid w:val="00757842"/>
    <w:rsid w:val="00757A14"/>
    <w:rsid w:val="00757CF5"/>
    <w:rsid w:val="00757E81"/>
    <w:rsid w:val="00760127"/>
    <w:rsid w:val="0076067B"/>
    <w:rsid w:val="007616D9"/>
    <w:rsid w:val="00761726"/>
    <w:rsid w:val="00761777"/>
    <w:rsid w:val="00761AA7"/>
    <w:rsid w:val="00761D57"/>
    <w:rsid w:val="007620D7"/>
    <w:rsid w:val="00762269"/>
    <w:rsid w:val="00762290"/>
    <w:rsid w:val="007634B9"/>
    <w:rsid w:val="007634C7"/>
    <w:rsid w:val="007639D2"/>
    <w:rsid w:val="00763A07"/>
    <w:rsid w:val="00763B09"/>
    <w:rsid w:val="007644A0"/>
    <w:rsid w:val="0076471F"/>
    <w:rsid w:val="00764E29"/>
    <w:rsid w:val="00764FB4"/>
    <w:rsid w:val="0076506D"/>
    <w:rsid w:val="00765380"/>
    <w:rsid w:val="00765B59"/>
    <w:rsid w:val="00765F2F"/>
    <w:rsid w:val="00766390"/>
    <w:rsid w:val="007667EA"/>
    <w:rsid w:val="00766884"/>
    <w:rsid w:val="007671F7"/>
    <w:rsid w:val="007672A9"/>
    <w:rsid w:val="0076732D"/>
    <w:rsid w:val="0076735B"/>
    <w:rsid w:val="00767A1E"/>
    <w:rsid w:val="00770029"/>
    <w:rsid w:val="007702D8"/>
    <w:rsid w:val="0077056F"/>
    <w:rsid w:val="007706A7"/>
    <w:rsid w:val="00770878"/>
    <w:rsid w:val="00770A1E"/>
    <w:rsid w:val="00770ACC"/>
    <w:rsid w:val="00770D09"/>
    <w:rsid w:val="00770D5D"/>
    <w:rsid w:val="00770EBE"/>
    <w:rsid w:val="0077155D"/>
    <w:rsid w:val="00771869"/>
    <w:rsid w:val="00771A01"/>
    <w:rsid w:val="0077202B"/>
    <w:rsid w:val="0077203D"/>
    <w:rsid w:val="007721C8"/>
    <w:rsid w:val="00772484"/>
    <w:rsid w:val="007730FE"/>
    <w:rsid w:val="00773245"/>
    <w:rsid w:val="007741B0"/>
    <w:rsid w:val="007741BF"/>
    <w:rsid w:val="007742EF"/>
    <w:rsid w:val="00774AFC"/>
    <w:rsid w:val="00774BCD"/>
    <w:rsid w:val="007751D3"/>
    <w:rsid w:val="00775304"/>
    <w:rsid w:val="007768A3"/>
    <w:rsid w:val="00776908"/>
    <w:rsid w:val="00776915"/>
    <w:rsid w:val="0077731D"/>
    <w:rsid w:val="00777B02"/>
    <w:rsid w:val="00777B0B"/>
    <w:rsid w:val="00777B5E"/>
    <w:rsid w:val="00777C18"/>
    <w:rsid w:val="0078043F"/>
    <w:rsid w:val="00780735"/>
    <w:rsid w:val="007807C4"/>
    <w:rsid w:val="00780B78"/>
    <w:rsid w:val="0078115D"/>
    <w:rsid w:val="007811CC"/>
    <w:rsid w:val="0078140B"/>
    <w:rsid w:val="0078165A"/>
    <w:rsid w:val="00781915"/>
    <w:rsid w:val="00781EAD"/>
    <w:rsid w:val="00781ED3"/>
    <w:rsid w:val="00782104"/>
    <w:rsid w:val="007827B4"/>
    <w:rsid w:val="007829CE"/>
    <w:rsid w:val="00782CE8"/>
    <w:rsid w:val="00782D1D"/>
    <w:rsid w:val="00783256"/>
    <w:rsid w:val="007834A2"/>
    <w:rsid w:val="007834DC"/>
    <w:rsid w:val="00784EC0"/>
    <w:rsid w:val="00784FC0"/>
    <w:rsid w:val="0078512B"/>
    <w:rsid w:val="00785425"/>
    <w:rsid w:val="00785DB5"/>
    <w:rsid w:val="00786266"/>
    <w:rsid w:val="00786B2E"/>
    <w:rsid w:val="00786B9D"/>
    <w:rsid w:val="00786E59"/>
    <w:rsid w:val="0078709A"/>
    <w:rsid w:val="00787214"/>
    <w:rsid w:val="00787758"/>
    <w:rsid w:val="00787A85"/>
    <w:rsid w:val="00787B62"/>
    <w:rsid w:val="0079019A"/>
    <w:rsid w:val="0079064F"/>
    <w:rsid w:val="00790781"/>
    <w:rsid w:val="00790B4E"/>
    <w:rsid w:val="00790E43"/>
    <w:rsid w:val="007910D5"/>
    <w:rsid w:val="00791559"/>
    <w:rsid w:val="0079157D"/>
    <w:rsid w:val="007916B2"/>
    <w:rsid w:val="00791A9A"/>
    <w:rsid w:val="00791F28"/>
    <w:rsid w:val="00792395"/>
    <w:rsid w:val="00792438"/>
    <w:rsid w:val="00792900"/>
    <w:rsid w:val="0079422A"/>
    <w:rsid w:val="007942DF"/>
    <w:rsid w:val="0079473B"/>
    <w:rsid w:val="00794B9C"/>
    <w:rsid w:val="00794D93"/>
    <w:rsid w:val="00794DF6"/>
    <w:rsid w:val="00795815"/>
    <w:rsid w:val="0079596D"/>
    <w:rsid w:val="00795DF3"/>
    <w:rsid w:val="00796046"/>
    <w:rsid w:val="00796498"/>
    <w:rsid w:val="007965A9"/>
    <w:rsid w:val="0079662E"/>
    <w:rsid w:val="00796740"/>
    <w:rsid w:val="00797275"/>
    <w:rsid w:val="0079782D"/>
    <w:rsid w:val="007978B9"/>
    <w:rsid w:val="00797F72"/>
    <w:rsid w:val="007A0429"/>
    <w:rsid w:val="007A045E"/>
    <w:rsid w:val="007A07A8"/>
    <w:rsid w:val="007A08D0"/>
    <w:rsid w:val="007A0975"/>
    <w:rsid w:val="007A0995"/>
    <w:rsid w:val="007A0E79"/>
    <w:rsid w:val="007A2399"/>
    <w:rsid w:val="007A249D"/>
    <w:rsid w:val="007A273C"/>
    <w:rsid w:val="007A2958"/>
    <w:rsid w:val="007A29F4"/>
    <w:rsid w:val="007A2F93"/>
    <w:rsid w:val="007A321A"/>
    <w:rsid w:val="007A3C00"/>
    <w:rsid w:val="007A4875"/>
    <w:rsid w:val="007A4C05"/>
    <w:rsid w:val="007A4C3D"/>
    <w:rsid w:val="007A5011"/>
    <w:rsid w:val="007A538A"/>
    <w:rsid w:val="007A5585"/>
    <w:rsid w:val="007A576B"/>
    <w:rsid w:val="007A5D0E"/>
    <w:rsid w:val="007A5F4D"/>
    <w:rsid w:val="007A60DC"/>
    <w:rsid w:val="007A6526"/>
    <w:rsid w:val="007A6B79"/>
    <w:rsid w:val="007A6C5B"/>
    <w:rsid w:val="007A6D65"/>
    <w:rsid w:val="007A6F35"/>
    <w:rsid w:val="007A7DFC"/>
    <w:rsid w:val="007B031A"/>
    <w:rsid w:val="007B05E2"/>
    <w:rsid w:val="007B06B7"/>
    <w:rsid w:val="007B15D1"/>
    <w:rsid w:val="007B1AB3"/>
    <w:rsid w:val="007B1CFC"/>
    <w:rsid w:val="007B1FCC"/>
    <w:rsid w:val="007B2053"/>
    <w:rsid w:val="007B26EC"/>
    <w:rsid w:val="007B29B8"/>
    <w:rsid w:val="007B2CD6"/>
    <w:rsid w:val="007B2D56"/>
    <w:rsid w:val="007B2E2E"/>
    <w:rsid w:val="007B2F0C"/>
    <w:rsid w:val="007B3072"/>
    <w:rsid w:val="007B3274"/>
    <w:rsid w:val="007B3672"/>
    <w:rsid w:val="007B3956"/>
    <w:rsid w:val="007B4157"/>
    <w:rsid w:val="007B44B7"/>
    <w:rsid w:val="007B46D4"/>
    <w:rsid w:val="007B472D"/>
    <w:rsid w:val="007B4BC0"/>
    <w:rsid w:val="007B5DF3"/>
    <w:rsid w:val="007B6324"/>
    <w:rsid w:val="007B63F1"/>
    <w:rsid w:val="007B6545"/>
    <w:rsid w:val="007B661B"/>
    <w:rsid w:val="007B687D"/>
    <w:rsid w:val="007B6A5E"/>
    <w:rsid w:val="007B6C35"/>
    <w:rsid w:val="007B6F58"/>
    <w:rsid w:val="007B709C"/>
    <w:rsid w:val="007B73DE"/>
    <w:rsid w:val="007B76EA"/>
    <w:rsid w:val="007B7A67"/>
    <w:rsid w:val="007B7C15"/>
    <w:rsid w:val="007C0200"/>
    <w:rsid w:val="007C02C1"/>
    <w:rsid w:val="007C05CF"/>
    <w:rsid w:val="007C0690"/>
    <w:rsid w:val="007C06B2"/>
    <w:rsid w:val="007C0F58"/>
    <w:rsid w:val="007C1E4E"/>
    <w:rsid w:val="007C1EA8"/>
    <w:rsid w:val="007C1ED1"/>
    <w:rsid w:val="007C23BD"/>
    <w:rsid w:val="007C28F8"/>
    <w:rsid w:val="007C2ACA"/>
    <w:rsid w:val="007C334A"/>
    <w:rsid w:val="007C33EB"/>
    <w:rsid w:val="007C3708"/>
    <w:rsid w:val="007C3720"/>
    <w:rsid w:val="007C3D03"/>
    <w:rsid w:val="007C3FF3"/>
    <w:rsid w:val="007C41D1"/>
    <w:rsid w:val="007C4567"/>
    <w:rsid w:val="007C46B1"/>
    <w:rsid w:val="007C4969"/>
    <w:rsid w:val="007C4E2B"/>
    <w:rsid w:val="007C4FC8"/>
    <w:rsid w:val="007C505F"/>
    <w:rsid w:val="007C55EC"/>
    <w:rsid w:val="007C5901"/>
    <w:rsid w:val="007C5C32"/>
    <w:rsid w:val="007C5D73"/>
    <w:rsid w:val="007C5DA0"/>
    <w:rsid w:val="007C672A"/>
    <w:rsid w:val="007C7CC6"/>
    <w:rsid w:val="007C7FF4"/>
    <w:rsid w:val="007D0B15"/>
    <w:rsid w:val="007D0D5E"/>
    <w:rsid w:val="007D1757"/>
    <w:rsid w:val="007D1BDA"/>
    <w:rsid w:val="007D1F0C"/>
    <w:rsid w:val="007D265E"/>
    <w:rsid w:val="007D29B3"/>
    <w:rsid w:val="007D2B9F"/>
    <w:rsid w:val="007D300A"/>
    <w:rsid w:val="007D3473"/>
    <w:rsid w:val="007D379C"/>
    <w:rsid w:val="007D3EF8"/>
    <w:rsid w:val="007D3F1C"/>
    <w:rsid w:val="007D414E"/>
    <w:rsid w:val="007D4824"/>
    <w:rsid w:val="007D4BA0"/>
    <w:rsid w:val="007D4C38"/>
    <w:rsid w:val="007D4E2C"/>
    <w:rsid w:val="007D5052"/>
    <w:rsid w:val="007D5530"/>
    <w:rsid w:val="007D5D1A"/>
    <w:rsid w:val="007D6286"/>
    <w:rsid w:val="007D68D4"/>
    <w:rsid w:val="007D69DD"/>
    <w:rsid w:val="007D6C23"/>
    <w:rsid w:val="007D6E4F"/>
    <w:rsid w:val="007D72D1"/>
    <w:rsid w:val="007E081B"/>
    <w:rsid w:val="007E0C78"/>
    <w:rsid w:val="007E0CCB"/>
    <w:rsid w:val="007E0D51"/>
    <w:rsid w:val="007E10EF"/>
    <w:rsid w:val="007E1C3C"/>
    <w:rsid w:val="007E20C6"/>
    <w:rsid w:val="007E2484"/>
    <w:rsid w:val="007E2AE2"/>
    <w:rsid w:val="007E3A16"/>
    <w:rsid w:val="007E3A62"/>
    <w:rsid w:val="007E3DBD"/>
    <w:rsid w:val="007E462E"/>
    <w:rsid w:val="007E473C"/>
    <w:rsid w:val="007E48E4"/>
    <w:rsid w:val="007E4A77"/>
    <w:rsid w:val="007E4C19"/>
    <w:rsid w:val="007E4E44"/>
    <w:rsid w:val="007E5822"/>
    <w:rsid w:val="007E5E07"/>
    <w:rsid w:val="007E5EF8"/>
    <w:rsid w:val="007E5F52"/>
    <w:rsid w:val="007E6111"/>
    <w:rsid w:val="007E649D"/>
    <w:rsid w:val="007E68AE"/>
    <w:rsid w:val="007E6C5E"/>
    <w:rsid w:val="007E6D4C"/>
    <w:rsid w:val="007E6D7A"/>
    <w:rsid w:val="007E7438"/>
    <w:rsid w:val="007E77DA"/>
    <w:rsid w:val="007E79C8"/>
    <w:rsid w:val="007E7FCC"/>
    <w:rsid w:val="007F001A"/>
    <w:rsid w:val="007F03F8"/>
    <w:rsid w:val="007F045E"/>
    <w:rsid w:val="007F07DD"/>
    <w:rsid w:val="007F18CA"/>
    <w:rsid w:val="007F1DD5"/>
    <w:rsid w:val="007F2249"/>
    <w:rsid w:val="007F2427"/>
    <w:rsid w:val="007F2658"/>
    <w:rsid w:val="007F27CB"/>
    <w:rsid w:val="007F2C0D"/>
    <w:rsid w:val="007F301E"/>
    <w:rsid w:val="007F369C"/>
    <w:rsid w:val="007F3E43"/>
    <w:rsid w:val="007F408B"/>
    <w:rsid w:val="007F46EB"/>
    <w:rsid w:val="007F479E"/>
    <w:rsid w:val="007F519F"/>
    <w:rsid w:val="007F6AD9"/>
    <w:rsid w:val="007F6ECE"/>
    <w:rsid w:val="007F77A2"/>
    <w:rsid w:val="007F7887"/>
    <w:rsid w:val="007F7D9F"/>
    <w:rsid w:val="007F7F5A"/>
    <w:rsid w:val="008007C1"/>
    <w:rsid w:val="00800C6A"/>
    <w:rsid w:val="00800F93"/>
    <w:rsid w:val="00800FE2"/>
    <w:rsid w:val="00801373"/>
    <w:rsid w:val="008014C8"/>
    <w:rsid w:val="0080159D"/>
    <w:rsid w:val="00802593"/>
    <w:rsid w:val="0080269D"/>
    <w:rsid w:val="00803B69"/>
    <w:rsid w:val="00803BD9"/>
    <w:rsid w:val="008042F1"/>
    <w:rsid w:val="008042F2"/>
    <w:rsid w:val="00804666"/>
    <w:rsid w:val="00805489"/>
    <w:rsid w:val="008055E3"/>
    <w:rsid w:val="00805A58"/>
    <w:rsid w:val="00805BE1"/>
    <w:rsid w:val="008070E9"/>
    <w:rsid w:val="00807170"/>
    <w:rsid w:val="00807C85"/>
    <w:rsid w:val="00810940"/>
    <w:rsid w:val="008109CD"/>
    <w:rsid w:val="00810C68"/>
    <w:rsid w:val="00810F92"/>
    <w:rsid w:val="00811643"/>
    <w:rsid w:val="008119F4"/>
    <w:rsid w:val="00811E97"/>
    <w:rsid w:val="00812D95"/>
    <w:rsid w:val="00812F55"/>
    <w:rsid w:val="00813836"/>
    <w:rsid w:val="00813B15"/>
    <w:rsid w:val="008141CE"/>
    <w:rsid w:val="008145A8"/>
    <w:rsid w:val="008147FF"/>
    <w:rsid w:val="008149C0"/>
    <w:rsid w:val="0081533C"/>
    <w:rsid w:val="00815642"/>
    <w:rsid w:val="0081594D"/>
    <w:rsid w:val="00815AF6"/>
    <w:rsid w:val="00815E2D"/>
    <w:rsid w:val="008168DE"/>
    <w:rsid w:val="00816A6A"/>
    <w:rsid w:val="00816B58"/>
    <w:rsid w:val="00816D86"/>
    <w:rsid w:val="00817268"/>
    <w:rsid w:val="00817306"/>
    <w:rsid w:val="008175CE"/>
    <w:rsid w:val="0081764B"/>
    <w:rsid w:val="00817B3E"/>
    <w:rsid w:val="008209AB"/>
    <w:rsid w:val="00820A4F"/>
    <w:rsid w:val="00820A5B"/>
    <w:rsid w:val="00821480"/>
    <w:rsid w:val="00821951"/>
    <w:rsid w:val="008229D9"/>
    <w:rsid w:val="00822EBC"/>
    <w:rsid w:val="00823AED"/>
    <w:rsid w:val="0082491A"/>
    <w:rsid w:val="00824D82"/>
    <w:rsid w:val="008250D9"/>
    <w:rsid w:val="008255B0"/>
    <w:rsid w:val="00825976"/>
    <w:rsid w:val="00825BBA"/>
    <w:rsid w:val="00825C6D"/>
    <w:rsid w:val="00825E7D"/>
    <w:rsid w:val="008261F6"/>
    <w:rsid w:val="0082675D"/>
    <w:rsid w:val="0082681D"/>
    <w:rsid w:val="0082725E"/>
    <w:rsid w:val="00827714"/>
    <w:rsid w:val="00827CE4"/>
    <w:rsid w:val="00830779"/>
    <w:rsid w:val="00830C77"/>
    <w:rsid w:val="00830D90"/>
    <w:rsid w:val="00830F4C"/>
    <w:rsid w:val="00831164"/>
    <w:rsid w:val="0083161E"/>
    <w:rsid w:val="00831CFE"/>
    <w:rsid w:val="00832157"/>
    <w:rsid w:val="00832550"/>
    <w:rsid w:val="00832ADE"/>
    <w:rsid w:val="0083320B"/>
    <w:rsid w:val="00833531"/>
    <w:rsid w:val="0083370D"/>
    <w:rsid w:val="00833803"/>
    <w:rsid w:val="00833852"/>
    <w:rsid w:val="00833E3F"/>
    <w:rsid w:val="008344B4"/>
    <w:rsid w:val="008344E8"/>
    <w:rsid w:val="00834AD4"/>
    <w:rsid w:val="00835561"/>
    <w:rsid w:val="0083562A"/>
    <w:rsid w:val="00835730"/>
    <w:rsid w:val="00835C43"/>
    <w:rsid w:val="00836014"/>
    <w:rsid w:val="008362CF"/>
    <w:rsid w:val="00836B31"/>
    <w:rsid w:val="008378FB"/>
    <w:rsid w:val="00837A2B"/>
    <w:rsid w:val="00840A73"/>
    <w:rsid w:val="00840DC6"/>
    <w:rsid w:val="00840EAD"/>
    <w:rsid w:val="00840EF8"/>
    <w:rsid w:val="008413F3"/>
    <w:rsid w:val="00841DD3"/>
    <w:rsid w:val="008420C9"/>
    <w:rsid w:val="008424C4"/>
    <w:rsid w:val="008428B4"/>
    <w:rsid w:val="00842C34"/>
    <w:rsid w:val="00842D4B"/>
    <w:rsid w:val="00842FB6"/>
    <w:rsid w:val="0084310F"/>
    <w:rsid w:val="00843458"/>
    <w:rsid w:val="00843593"/>
    <w:rsid w:val="00843939"/>
    <w:rsid w:val="0084429C"/>
    <w:rsid w:val="008447CA"/>
    <w:rsid w:val="00844950"/>
    <w:rsid w:val="00844B9A"/>
    <w:rsid w:val="00845058"/>
    <w:rsid w:val="0084511D"/>
    <w:rsid w:val="0084523F"/>
    <w:rsid w:val="00845B3B"/>
    <w:rsid w:val="00846801"/>
    <w:rsid w:val="00847106"/>
    <w:rsid w:val="0084735D"/>
    <w:rsid w:val="00847CAF"/>
    <w:rsid w:val="00847EB9"/>
    <w:rsid w:val="00847F34"/>
    <w:rsid w:val="00850317"/>
    <w:rsid w:val="008507BC"/>
    <w:rsid w:val="00852044"/>
    <w:rsid w:val="00852217"/>
    <w:rsid w:val="00852258"/>
    <w:rsid w:val="008525F7"/>
    <w:rsid w:val="00852C32"/>
    <w:rsid w:val="00852E95"/>
    <w:rsid w:val="008532BA"/>
    <w:rsid w:val="00853A39"/>
    <w:rsid w:val="00853B71"/>
    <w:rsid w:val="00853BDF"/>
    <w:rsid w:val="00853BF7"/>
    <w:rsid w:val="00853DDF"/>
    <w:rsid w:val="00853E68"/>
    <w:rsid w:val="00854085"/>
    <w:rsid w:val="008543FD"/>
    <w:rsid w:val="00854BE8"/>
    <w:rsid w:val="0085527E"/>
    <w:rsid w:val="008555D7"/>
    <w:rsid w:val="008558C0"/>
    <w:rsid w:val="00855C09"/>
    <w:rsid w:val="00855F86"/>
    <w:rsid w:val="0085640B"/>
    <w:rsid w:val="00856881"/>
    <w:rsid w:val="00856D02"/>
    <w:rsid w:val="00857360"/>
    <w:rsid w:val="008574F2"/>
    <w:rsid w:val="008576CC"/>
    <w:rsid w:val="0085786D"/>
    <w:rsid w:val="00857C69"/>
    <w:rsid w:val="008604EF"/>
    <w:rsid w:val="00861113"/>
    <w:rsid w:val="00861819"/>
    <w:rsid w:val="00862112"/>
    <w:rsid w:val="0086263D"/>
    <w:rsid w:val="0086276C"/>
    <w:rsid w:val="00862954"/>
    <w:rsid w:val="00863217"/>
    <w:rsid w:val="008633AE"/>
    <w:rsid w:val="00863829"/>
    <w:rsid w:val="00863ACF"/>
    <w:rsid w:val="00863BB8"/>
    <w:rsid w:val="00863CF0"/>
    <w:rsid w:val="00863E40"/>
    <w:rsid w:val="00864360"/>
    <w:rsid w:val="00864A84"/>
    <w:rsid w:val="00864AF6"/>
    <w:rsid w:val="00865088"/>
    <w:rsid w:val="008650D1"/>
    <w:rsid w:val="00865C5A"/>
    <w:rsid w:val="00865D97"/>
    <w:rsid w:val="00865E22"/>
    <w:rsid w:val="00865FB6"/>
    <w:rsid w:val="0086615E"/>
    <w:rsid w:val="0086675C"/>
    <w:rsid w:val="008667FE"/>
    <w:rsid w:val="00866BB0"/>
    <w:rsid w:val="00866C84"/>
    <w:rsid w:val="00866CB5"/>
    <w:rsid w:val="00866EB3"/>
    <w:rsid w:val="00866EF5"/>
    <w:rsid w:val="00866F70"/>
    <w:rsid w:val="00867B27"/>
    <w:rsid w:val="00867D06"/>
    <w:rsid w:val="00867F99"/>
    <w:rsid w:val="00867FBD"/>
    <w:rsid w:val="00870025"/>
    <w:rsid w:val="0087064A"/>
    <w:rsid w:val="00870CA7"/>
    <w:rsid w:val="008713A3"/>
    <w:rsid w:val="00871823"/>
    <w:rsid w:val="008718D7"/>
    <w:rsid w:val="0087264F"/>
    <w:rsid w:val="00873347"/>
    <w:rsid w:val="00873489"/>
    <w:rsid w:val="0087442C"/>
    <w:rsid w:val="0087452A"/>
    <w:rsid w:val="0087490C"/>
    <w:rsid w:val="0087499A"/>
    <w:rsid w:val="008749F5"/>
    <w:rsid w:val="00874A2B"/>
    <w:rsid w:val="00874C91"/>
    <w:rsid w:val="00874F45"/>
    <w:rsid w:val="008757A7"/>
    <w:rsid w:val="008758D2"/>
    <w:rsid w:val="00875D02"/>
    <w:rsid w:val="0087608E"/>
    <w:rsid w:val="0087629A"/>
    <w:rsid w:val="00876785"/>
    <w:rsid w:val="0087694D"/>
    <w:rsid w:val="00876BFF"/>
    <w:rsid w:val="00876E00"/>
    <w:rsid w:val="0087773B"/>
    <w:rsid w:val="00877F10"/>
    <w:rsid w:val="008808E0"/>
    <w:rsid w:val="00880A6F"/>
    <w:rsid w:val="00881031"/>
    <w:rsid w:val="008812F3"/>
    <w:rsid w:val="00881557"/>
    <w:rsid w:val="008815AC"/>
    <w:rsid w:val="00881952"/>
    <w:rsid w:val="00881B4E"/>
    <w:rsid w:val="0088243E"/>
    <w:rsid w:val="00882706"/>
    <w:rsid w:val="008829DE"/>
    <w:rsid w:val="00882D64"/>
    <w:rsid w:val="00882DD7"/>
    <w:rsid w:val="00882F9D"/>
    <w:rsid w:val="008830AD"/>
    <w:rsid w:val="00883608"/>
    <w:rsid w:val="008836AD"/>
    <w:rsid w:val="008836C3"/>
    <w:rsid w:val="00883706"/>
    <w:rsid w:val="008838C9"/>
    <w:rsid w:val="008839FD"/>
    <w:rsid w:val="00883C24"/>
    <w:rsid w:val="00883FF7"/>
    <w:rsid w:val="0088407B"/>
    <w:rsid w:val="00884427"/>
    <w:rsid w:val="008845AD"/>
    <w:rsid w:val="00884F48"/>
    <w:rsid w:val="0088537D"/>
    <w:rsid w:val="00885655"/>
    <w:rsid w:val="008856AD"/>
    <w:rsid w:val="00885D1E"/>
    <w:rsid w:val="00885E78"/>
    <w:rsid w:val="00885F18"/>
    <w:rsid w:val="00886153"/>
    <w:rsid w:val="00886237"/>
    <w:rsid w:val="00886864"/>
    <w:rsid w:val="00886C57"/>
    <w:rsid w:val="00886D29"/>
    <w:rsid w:val="00886EDA"/>
    <w:rsid w:val="008873AA"/>
    <w:rsid w:val="008875C6"/>
    <w:rsid w:val="00887647"/>
    <w:rsid w:val="0088764D"/>
    <w:rsid w:val="00887D9B"/>
    <w:rsid w:val="00887F2E"/>
    <w:rsid w:val="00890827"/>
    <w:rsid w:val="008909FB"/>
    <w:rsid w:val="00890A36"/>
    <w:rsid w:val="00890ABA"/>
    <w:rsid w:val="00890ACF"/>
    <w:rsid w:val="00890F99"/>
    <w:rsid w:val="0089193D"/>
    <w:rsid w:val="00891D18"/>
    <w:rsid w:val="0089226C"/>
    <w:rsid w:val="0089260D"/>
    <w:rsid w:val="00892C5E"/>
    <w:rsid w:val="00893707"/>
    <w:rsid w:val="00893D93"/>
    <w:rsid w:val="0089434D"/>
    <w:rsid w:val="0089442C"/>
    <w:rsid w:val="00894620"/>
    <w:rsid w:val="008947D8"/>
    <w:rsid w:val="00894D9E"/>
    <w:rsid w:val="00894E6F"/>
    <w:rsid w:val="00895509"/>
    <w:rsid w:val="008956B3"/>
    <w:rsid w:val="0089594F"/>
    <w:rsid w:val="00895BD7"/>
    <w:rsid w:val="00895D03"/>
    <w:rsid w:val="008964B1"/>
    <w:rsid w:val="008965A3"/>
    <w:rsid w:val="008966F8"/>
    <w:rsid w:val="00896E89"/>
    <w:rsid w:val="00896F05"/>
    <w:rsid w:val="008972B6"/>
    <w:rsid w:val="00897716"/>
    <w:rsid w:val="00897913"/>
    <w:rsid w:val="00897F9E"/>
    <w:rsid w:val="008A07CC"/>
    <w:rsid w:val="008A090B"/>
    <w:rsid w:val="008A10F3"/>
    <w:rsid w:val="008A1146"/>
    <w:rsid w:val="008A11FD"/>
    <w:rsid w:val="008A1369"/>
    <w:rsid w:val="008A1473"/>
    <w:rsid w:val="008A1890"/>
    <w:rsid w:val="008A1B34"/>
    <w:rsid w:val="008A25EA"/>
    <w:rsid w:val="008A2833"/>
    <w:rsid w:val="008A28E4"/>
    <w:rsid w:val="008A2924"/>
    <w:rsid w:val="008A2A65"/>
    <w:rsid w:val="008A2EC2"/>
    <w:rsid w:val="008A32CC"/>
    <w:rsid w:val="008A3441"/>
    <w:rsid w:val="008A3C0D"/>
    <w:rsid w:val="008A414A"/>
    <w:rsid w:val="008A4BF5"/>
    <w:rsid w:val="008A4C39"/>
    <w:rsid w:val="008A4C94"/>
    <w:rsid w:val="008A5AB9"/>
    <w:rsid w:val="008A5D4D"/>
    <w:rsid w:val="008A5F56"/>
    <w:rsid w:val="008A6AD3"/>
    <w:rsid w:val="008A6B71"/>
    <w:rsid w:val="008A7808"/>
    <w:rsid w:val="008A7EBF"/>
    <w:rsid w:val="008B005E"/>
    <w:rsid w:val="008B058F"/>
    <w:rsid w:val="008B0688"/>
    <w:rsid w:val="008B0B9D"/>
    <w:rsid w:val="008B0C67"/>
    <w:rsid w:val="008B1AE6"/>
    <w:rsid w:val="008B1F05"/>
    <w:rsid w:val="008B2292"/>
    <w:rsid w:val="008B27B7"/>
    <w:rsid w:val="008B30F5"/>
    <w:rsid w:val="008B36F1"/>
    <w:rsid w:val="008B391F"/>
    <w:rsid w:val="008B3D0A"/>
    <w:rsid w:val="008B41E0"/>
    <w:rsid w:val="008B454C"/>
    <w:rsid w:val="008B4A5C"/>
    <w:rsid w:val="008B5067"/>
    <w:rsid w:val="008B5AE1"/>
    <w:rsid w:val="008B5B9B"/>
    <w:rsid w:val="008B5DFB"/>
    <w:rsid w:val="008B6F4C"/>
    <w:rsid w:val="008B6FA4"/>
    <w:rsid w:val="008B722A"/>
    <w:rsid w:val="008B790E"/>
    <w:rsid w:val="008C0520"/>
    <w:rsid w:val="008C0B6F"/>
    <w:rsid w:val="008C0BE6"/>
    <w:rsid w:val="008C0C44"/>
    <w:rsid w:val="008C106A"/>
    <w:rsid w:val="008C1154"/>
    <w:rsid w:val="008C14C7"/>
    <w:rsid w:val="008C219C"/>
    <w:rsid w:val="008C21EB"/>
    <w:rsid w:val="008C239B"/>
    <w:rsid w:val="008C2427"/>
    <w:rsid w:val="008C249C"/>
    <w:rsid w:val="008C2633"/>
    <w:rsid w:val="008C2A3F"/>
    <w:rsid w:val="008C2A6D"/>
    <w:rsid w:val="008C2D9D"/>
    <w:rsid w:val="008C3115"/>
    <w:rsid w:val="008C5311"/>
    <w:rsid w:val="008C5A11"/>
    <w:rsid w:val="008C5C2B"/>
    <w:rsid w:val="008C5CFB"/>
    <w:rsid w:val="008C6007"/>
    <w:rsid w:val="008C62C6"/>
    <w:rsid w:val="008C63DC"/>
    <w:rsid w:val="008C6611"/>
    <w:rsid w:val="008C67AF"/>
    <w:rsid w:val="008C6861"/>
    <w:rsid w:val="008C75EA"/>
    <w:rsid w:val="008C7B1B"/>
    <w:rsid w:val="008D015B"/>
    <w:rsid w:val="008D0BB5"/>
    <w:rsid w:val="008D1672"/>
    <w:rsid w:val="008D188D"/>
    <w:rsid w:val="008D1A50"/>
    <w:rsid w:val="008D1C79"/>
    <w:rsid w:val="008D2303"/>
    <w:rsid w:val="008D28CB"/>
    <w:rsid w:val="008D29BC"/>
    <w:rsid w:val="008D2E2C"/>
    <w:rsid w:val="008D2F33"/>
    <w:rsid w:val="008D30C2"/>
    <w:rsid w:val="008D3382"/>
    <w:rsid w:val="008D37CE"/>
    <w:rsid w:val="008D3F08"/>
    <w:rsid w:val="008D3FC9"/>
    <w:rsid w:val="008D426A"/>
    <w:rsid w:val="008D4B0F"/>
    <w:rsid w:val="008D4BC8"/>
    <w:rsid w:val="008D4D32"/>
    <w:rsid w:val="008D5239"/>
    <w:rsid w:val="008D5393"/>
    <w:rsid w:val="008D56FD"/>
    <w:rsid w:val="008D5ADF"/>
    <w:rsid w:val="008D5AFB"/>
    <w:rsid w:val="008D62A1"/>
    <w:rsid w:val="008D6683"/>
    <w:rsid w:val="008D6E9E"/>
    <w:rsid w:val="008D6F5E"/>
    <w:rsid w:val="008D70B1"/>
    <w:rsid w:val="008D72D5"/>
    <w:rsid w:val="008D76F4"/>
    <w:rsid w:val="008D7805"/>
    <w:rsid w:val="008D7850"/>
    <w:rsid w:val="008D7DCD"/>
    <w:rsid w:val="008E035C"/>
    <w:rsid w:val="008E03A1"/>
    <w:rsid w:val="008E0689"/>
    <w:rsid w:val="008E0F5A"/>
    <w:rsid w:val="008E120A"/>
    <w:rsid w:val="008E135D"/>
    <w:rsid w:val="008E1DE3"/>
    <w:rsid w:val="008E21E5"/>
    <w:rsid w:val="008E22E4"/>
    <w:rsid w:val="008E299F"/>
    <w:rsid w:val="008E29F8"/>
    <w:rsid w:val="008E3200"/>
    <w:rsid w:val="008E3A0E"/>
    <w:rsid w:val="008E3E39"/>
    <w:rsid w:val="008E4541"/>
    <w:rsid w:val="008E46CD"/>
    <w:rsid w:val="008E4A17"/>
    <w:rsid w:val="008E5591"/>
    <w:rsid w:val="008E56FD"/>
    <w:rsid w:val="008E5BA9"/>
    <w:rsid w:val="008E5C1E"/>
    <w:rsid w:val="008E6C7E"/>
    <w:rsid w:val="008E6C9E"/>
    <w:rsid w:val="008E755A"/>
    <w:rsid w:val="008E7A2A"/>
    <w:rsid w:val="008E7B53"/>
    <w:rsid w:val="008E7D54"/>
    <w:rsid w:val="008E7DBC"/>
    <w:rsid w:val="008F00F7"/>
    <w:rsid w:val="008F06F4"/>
    <w:rsid w:val="008F094D"/>
    <w:rsid w:val="008F10DA"/>
    <w:rsid w:val="008F1230"/>
    <w:rsid w:val="008F12B4"/>
    <w:rsid w:val="008F1B78"/>
    <w:rsid w:val="008F1D1E"/>
    <w:rsid w:val="008F21AE"/>
    <w:rsid w:val="008F22CF"/>
    <w:rsid w:val="008F2564"/>
    <w:rsid w:val="008F2B25"/>
    <w:rsid w:val="008F3023"/>
    <w:rsid w:val="008F30CA"/>
    <w:rsid w:val="008F3244"/>
    <w:rsid w:val="008F3731"/>
    <w:rsid w:val="008F38C9"/>
    <w:rsid w:val="008F393C"/>
    <w:rsid w:val="008F3EE7"/>
    <w:rsid w:val="008F4350"/>
    <w:rsid w:val="008F442F"/>
    <w:rsid w:val="008F51AD"/>
    <w:rsid w:val="008F5A5D"/>
    <w:rsid w:val="008F5D7F"/>
    <w:rsid w:val="008F5EEA"/>
    <w:rsid w:val="008F622B"/>
    <w:rsid w:val="008F634F"/>
    <w:rsid w:val="008F63CC"/>
    <w:rsid w:val="008F6BE9"/>
    <w:rsid w:val="008F6CBD"/>
    <w:rsid w:val="008F6E66"/>
    <w:rsid w:val="008F6ECE"/>
    <w:rsid w:val="008F7505"/>
    <w:rsid w:val="008F7775"/>
    <w:rsid w:val="008F7941"/>
    <w:rsid w:val="009007E3"/>
    <w:rsid w:val="00900FDC"/>
    <w:rsid w:val="0090188E"/>
    <w:rsid w:val="00901CED"/>
    <w:rsid w:val="00901E18"/>
    <w:rsid w:val="00901EFA"/>
    <w:rsid w:val="0090244E"/>
    <w:rsid w:val="009024C9"/>
    <w:rsid w:val="0090275F"/>
    <w:rsid w:val="00903757"/>
    <w:rsid w:val="009038B0"/>
    <w:rsid w:val="00903964"/>
    <w:rsid w:val="009039A0"/>
    <w:rsid w:val="00903CF0"/>
    <w:rsid w:val="00903E42"/>
    <w:rsid w:val="00904CC7"/>
    <w:rsid w:val="00905086"/>
    <w:rsid w:val="009055D1"/>
    <w:rsid w:val="00905A79"/>
    <w:rsid w:val="00905D34"/>
    <w:rsid w:val="00905E3D"/>
    <w:rsid w:val="00906143"/>
    <w:rsid w:val="00906506"/>
    <w:rsid w:val="00906677"/>
    <w:rsid w:val="0090670D"/>
    <w:rsid w:val="00906A7B"/>
    <w:rsid w:val="00907425"/>
    <w:rsid w:val="00907984"/>
    <w:rsid w:val="00907986"/>
    <w:rsid w:val="00910930"/>
    <w:rsid w:val="0091167E"/>
    <w:rsid w:val="00911745"/>
    <w:rsid w:val="00911F64"/>
    <w:rsid w:val="009120A3"/>
    <w:rsid w:val="00912B83"/>
    <w:rsid w:val="00912CCE"/>
    <w:rsid w:val="0091333A"/>
    <w:rsid w:val="0091333B"/>
    <w:rsid w:val="009135DF"/>
    <w:rsid w:val="00913654"/>
    <w:rsid w:val="0091386E"/>
    <w:rsid w:val="009139C8"/>
    <w:rsid w:val="00913FF5"/>
    <w:rsid w:val="0091444B"/>
    <w:rsid w:val="00914A21"/>
    <w:rsid w:val="00914C4A"/>
    <w:rsid w:val="00914C64"/>
    <w:rsid w:val="009152C7"/>
    <w:rsid w:val="00915741"/>
    <w:rsid w:val="0091584E"/>
    <w:rsid w:val="009160A3"/>
    <w:rsid w:val="00916E41"/>
    <w:rsid w:val="009171D9"/>
    <w:rsid w:val="00917DAD"/>
    <w:rsid w:val="00917FAF"/>
    <w:rsid w:val="00920097"/>
    <w:rsid w:val="0092097B"/>
    <w:rsid w:val="00920AC1"/>
    <w:rsid w:val="00920C89"/>
    <w:rsid w:val="00920CA7"/>
    <w:rsid w:val="009212CA"/>
    <w:rsid w:val="00921E48"/>
    <w:rsid w:val="00921E6B"/>
    <w:rsid w:val="00922555"/>
    <w:rsid w:val="00922CF5"/>
    <w:rsid w:val="00922EF7"/>
    <w:rsid w:val="009232A2"/>
    <w:rsid w:val="00923A71"/>
    <w:rsid w:val="00923E61"/>
    <w:rsid w:val="0092462C"/>
    <w:rsid w:val="0092486D"/>
    <w:rsid w:val="00924B95"/>
    <w:rsid w:val="00924DFC"/>
    <w:rsid w:val="009254B9"/>
    <w:rsid w:val="00925525"/>
    <w:rsid w:val="00925953"/>
    <w:rsid w:val="00925C6E"/>
    <w:rsid w:val="00925F1B"/>
    <w:rsid w:val="009265B2"/>
    <w:rsid w:val="00926941"/>
    <w:rsid w:val="00926AB2"/>
    <w:rsid w:val="00926B4A"/>
    <w:rsid w:val="00926DF3"/>
    <w:rsid w:val="009278FB"/>
    <w:rsid w:val="00927AB2"/>
    <w:rsid w:val="00927C84"/>
    <w:rsid w:val="00927DD2"/>
    <w:rsid w:val="0093005A"/>
    <w:rsid w:val="00930D64"/>
    <w:rsid w:val="00930EAF"/>
    <w:rsid w:val="00931025"/>
    <w:rsid w:val="009310FE"/>
    <w:rsid w:val="009311C9"/>
    <w:rsid w:val="009315B8"/>
    <w:rsid w:val="009316CD"/>
    <w:rsid w:val="00931961"/>
    <w:rsid w:val="009319F1"/>
    <w:rsid w:val="00931B26"/>
    <w:rsid w:val="00931C02"/>
    <w:rsid w:val="00931C3D"/>
    <w:rsid w:val="00931CC9"/>
    <w:rsid w:val="00931D99"/>
    <w:rsid w:val="00931DB0"/>
    <w:rsid w:val="00932280"/>
    <w:rsid w:val="009323B1"/>
    <w:rsid w:val="00932CEF"/>
    <w:rsid w:val="00932E37"/>
    <w:rsid w:val="00932F0A"/>
    <w:rsid w:val="00933129"/>
    <w:rsid w:val="00934684"/>
    <w:rsid w:val="00934B05"/>
    <w:rsid w:val="009366D3"/>
    <w:rsid w:val="0093695E"/>
    <w:rsid w:val="00936AD9"/>
    <w:rsid w:val="009373B7"/>
    <w:rsid w:val="0093751E"/>
    <w:rsid w:val="00937842"/>
    <w:rsid w:val="00940C23"/>
    <w:rsid w:val="00940ED7"/>
    <w:rsid w:val="0094148F"/>
    <w:rsid w:val="0094159B"/>
    <w:rsid w:val="009415DA"/>
    <w:rsid w:val="00941969"/>
    <w:rsid w:val="00941DCE"/>
    <w:rsid w:val="00941FF5"/>
    <w:rsid w:val="0094275E"/>
    <w:rsid w:val="00943244"/>
    <w:rsid w:val="0094346A"/>
    <w:rsid w:val="00943669"/>
    <w:rsid w:val="009439F6"/>
    <w:rsid w:val="009446E5"/>
    <w:rsid w:val="00944D51"/>
    <w:rsid w:val="00944E91"/>
    <w:rsid w:val="009456C6"/>
    <w:rsid w:val="009456ED"/>
    <w:rsid w:val="00945B2C"/>
    <w:rsid w:val="00946176"/>
    <w:rsid w:val="0094724E"/>
    <w:rsid w:val="009473E0"/>
    <w:rsid w:val="00947687"/>
    <w:rsid w:val="009476EF"/>
    <w:rsid w:val="00947AA8"/>
    <w:rsid w:val="00947AFC"/>
    <w:rsid w:val="00947B4F"/>
    <w:rsid w:val="00947C72"/>
    <w:rsid w:val="00947E2D"/>
    <w:rsid w:val="00947EDF"/>
    <w:rsid w:val="00950915"/>
    <w:rsid w:val="00950C53"/>
    <w:rsid w:val="009514EF"/>
    <w:rsid w:val="009515F4"/>
    <w:rsid w:val="00951887"/>
    <w:rsid w:val="0095224C"/>
    <w:rsid w:val="009522B7"/>
    <w:rsid w:val="009522C0"/>
    <w:rsid w:val="00952410"/>
    <w:rsid w:val="009526EA"/>
    <w:rsid w:val="009528CB"/>
    <w:rsid w:val="00952AE0"/>
    <w:rsid w:val="00952C05"/>
    <w:rsid w:val="00953816"/>
    <w:rsid w:val="009538E3"/>
    <w:rsid w:val="009546FC"/>
    <w:rsid w:val="00954A45"/>
    <w:rsid w:val="00954EE7"/>
    <w:rsid w:val="0095550D"/>
    <w:rsid w:val="0095555A"/>
    <w:rsid w:val="009555CE"/>
    <w:rsid w:val="0095616D"/>
    <w:rsid w:val="009563C1"/>
    <w:rsid w:val="00957177"/>
    <w:rsid w:val="009577EB"/>
    <w:rsid w:val="009578A0"/>
    <w:rsid w:val="009579C4"/>
    <w:rsid w:val="009579FD"/>
    <w:rsid w:val="00957B34"/>
    <w:rsid w:val="009605BA"/>
    <w:rsid w:val="0096064A"/>
    <w:rsid w:val="00960926"/>
    <w:rsid w:val="009609E9"/>
    <w:rsid w:val="00960EB3"/>
    <w:rsid w:val="0096138B"/>
    <w:rsid w:val="00961B97"/>
    <w:rsid w:val="00961C2C"/>
    <w:rsid w:val="00962735"/>
    <w:rsid w:val="0096278F"/>
    <w:rsid w:val="009628F6"/>
    <w:rsid w:val="00962C22"/>
    <w:rsid w:val="00962C64"/>
    <w:rsid w:val="00962EA5"/>
    <w:rsid w:val="00962FFC"/>
    <w:rsid w:val="009633B5"/>
    <w:rsid w:val="00963726"/>
    <w:rsid w:val="0096393B"/>
    <w:rsid w:val="00963BC0"/>
    <w:rsid w:val="009646D8"/>
    <w:rsid w:val="00964740"/>
    <w:rsid w:val="00964CA6"/>
    <w:rsid w:val="00965319"/>
    <w:rsid w:val="00965A7A"/>
    <w:rsid w:val="00965E73"/>
    <w:rsid w:val="00966062"/>
    <w:rsid w:val="0096618F"/>
    <w:rsid w:val="00966853"/>
    <w:rsid w:val="00967044"/>
    <w:rsid w:val="0096707E"/>
    <w:rsid w:val="00967632"/>
    <w:rsid w:val="00967941"/>
    <w:rsid w:val="00967EF0"/>
    <w:rsid w:val="009703CF"/>
    <w:rsid w:val="00970518"/>
    <w:rsid w:val="00970A33"/>
    <w:rsid w:val="00970ABE"/>
    <w:rsid w:val="00970D34"/>
    <w:rsid w:val="00971284"/>
    <w:rsid w:val="0097132C"/>
    <w:rsid w:val="00971BCD"/>
    <w:rsid w:val="00972110"/>
    <w:rsid w:val="00972CC0"/>
    <w:rsid w:val="009732CE"/>
    <w:rsid w:val="00973894"/>
    <w:rsid w:val="009738FF"/>
    <w:rsid w:val="009739B7"/>
    <w:rsid w:val="00973A46"/>
    <w:rsid w:val="00973D0E"/>
    <w:rsid w:val="009743B3"/>
    <w:rsid w:val="00974C8C"/>
    <w:rsid w:val="00974CD7"/>
    <w:rsid w:val="009759AD"/>
    <w:rsid w:val="00975B6B"/>
    <w:rsid w:val="00976053"/>
    <w:rsid w:val="00976449"/>
    <w:rsid w:val="009766A6"/>
    <w:rsid w:val="00976ED5"/>
    <w:rsid w:val="009772EE"/>
    <w:rsid w:val="0097746A"/>
    <w:rsid w:val="009775B9"/>
    <w:rsid w:val="0098017A"/>
    <w:rsid w:val="00980E9C"/>
    <w:rsid w:val="00981320"/>
    <w:rsid w:val="00981A20"/>
    <w:rsid w:val="00981BAF"/>
    <w:rsid w:val="00981FDE"/>
    <w:rsid w:val="009821C3"/>
    <w:rsid w:val="009821EC"/>
    <w:rsid w:val="0098248C"/>
    <w:rsid w:val="00982612"/>
    <w:rsid w:val="0098315A"/>
    <w:rsid w:val="0098360D"/>
    <w:rsid w:val="00983B95"/>
    <w:rsid w:val="009840B7"/>
    <w:rsid w:val="009840CA"/>
    <w:rsid w:val="00985324"/>
    <w:rsid w:val="00985482"/>
    <w:rsid w:val="00985627"/>
    <w:rsid w:val="0098625E"/>
    <w:rsid w:val="00986368"/>
    <w:rsid w:val="0098638E"/>
    <w:rsid w:val="009863A4"/>
    <w:rsid w:val="00986B7D"/>
    <w:rsid w:val="00986F3E"/>
    <w:rsid w:val="009876B1"/>
    <w:rsid w:val="00987B51"/>
    <w:rsid w:val="00990079"/>
    <w:rsid w:val="00990B7A"/>
    <w:rsid w:val="00990C59"/>
    <w:rsid w:val="00990CA8"/>
    <w:rsid w:val="00990E77"/>
    <w:rsid w:val="009912A6"/>
    <w:rsid w:val="00991698"/>
    <w:rsid w:val="009924B8"/>
    <w:rsid w:val="0099278F"/>
    <w:rsid w:val="009928B3"/>
    <w:rsid w:val="0099323B"/>
    <w:rsid w:val="0099352C"/>
    <w:rsid w:val="00993A0B"/>
    <w:rsid w:val="00993AA0"/>
    <w:rsid w:val="00993E2C"/>
    <w:rsid w:val="009949CD"/>
    <w:rsid w:val="00994A68"/>
    <w:rsid w:val="00994B77"/>
    <w:rsid w:val="00994E72"/>
    <w:rsid w:val="00995058"/>
    <w:rsid w:val="00995106"/>
    <w:rsid w:val="00996372"/>
    <w:rsid w:val="009964A2"/>
    <w:rsid w:val="0099661D"/>
    <w:rsid w:val="009967B8"/>
    <w:rsid w:val="009967E7"/>
    <w:rsid w:val="00996890"/>
    <w:rsid w:val="00996A11"/>
    <w:rsid w:val="009971AA"/>
    <w:rsid w:val="009972FB"/>
    <w:rsid w:val="0099753D"/>
    <w:rsid w:val="00997ABC"/>
    <w:rsid w:val="009A0674"/>
    <w:rsid w:val="009A06CD"/>
    <w:rsid w:val="009A1232"/>
    <w:rsid w:val="009A1333"/>
    <w:rsid w:val="009A18BD"/>
    <w:rsid w:val="009A18C7"/>
    <w:rsid w:val="009A2168"/>
    <w:rsid w:val="009A2416"/>
    <w:rsid w:val="009A25AE"/>
    <w:rsid w:val="009A29D1"/>
    <w:rsid w:val="009A2BED"/>
    <w:rsid w:val="009A2C46"/>
    <w:rsid w:val="009A2C8A"/>
    <w:rsid w:val="009A2DC1"/>
    <w:rsid w:val="009A2FDE"/>
    <w:rsid w:val="009A33F7"/>
    <w:rsid w:val="009A342C"/>
    <w:rsid w:val="009A3F7F"/>
    <w:rsid w:val="009A3F96"/>
    <w:rsid w:val="009A502F"/>
    <w:rsid w:val="009A5218"/>
    <w:rsid w:val="009A52B9"/>
    <w:rsid w:val="009A53CD"/>
    <w:rsid w:val="009A5872"/>
    <w:rsid w:val="009A5876"/>
    <w:rsid w:val="009A5F51"/>
    <w:rsid w:val="009A6515"/>
    <w:rsid w:val="009A6A8E"/>
    <w:rsid w:val="009A6B9A"/>
    <w:rsid w:val="009A7351"/>
    <w:rsid w:val="009A773E"/>
    <w:rsid w:val="009A791F"/>
    <w:rsid w:val="009A7B22"/>
    <w:rsid w:val="009A7FF9"/>
    <w:rsid w:val="009B071C"/>
    <w:rsid w:val="009B0954"/>
    <w:rsid w:val="009B0CB6"/>
    <w:rsid w:val="009B0E13"/>
    <w:rsid w:val="009B0F8E"/>
    <w:rsid w:val="009B12D9"/>
    <w:rsid w:val="009B1983"/>
    <w:rsid w:val="009B1A53"/>
    <w:rsid w:val="009B1DB2"/>
    <w:rsid w:val="009B208C"/>
    <w:rsid w:val="009B2765"/>
    <w:rsid w:val="009B276F"/>
    <w:rsid w:val="009B2A59"/>
    <w:rsid w:val="009B2BAA"/>
    <w:rsid w:val="009B2D8A"/>
    <w:rsid w:val="009B3775"/>
    <w:rsid w:val="009B3893"/>
    <w:rsid w:val="009B3E99"/>
    <w:rsid w:val="009B416E"/>
    <w:rsid w:val="009B4B85"/>
    <w:rsid w:val="009B5049"/>
    <w:rsid w:val="009B57A8"/>
    <w:rsid w:val="009B5AEF"/>
    <w:rsid w:val="009B606B"/>
    <w:rsid w:val="009B644B"/>
    <w:rsid w:val="009B6931"/>
    <w:rsid w:val="009B6CEA"/>
    <w:rsid w:val="009B709E"/>
    <w:rsid w:val="009B71C4"/>
    <w:rsid w:val="009B7260"/>
    <w:rsid w:val="009B76C4"/>
    <w:rsid w:val="009B7C1E"/>
    <w:rsid w:val="009B7EB5"/>
    <w:rsid w:val="009C010E"/>
    <w:rsid w:val="009C02EE"/>
    <w:rsid w:val="009C06B8"/>
    <w:rsid w:val="009C0AC7"/>
    <w:rsid w:val="009C0CAD"/>
    <w:rsid w:val="009C0D36"/>
    <w:rsid w:val="009C0D58"/>
    <w:rsid w:val="009C0FCD"/>
    <w:rsid w:val="009C1700"/>
    <w:rsid w:val="009C1A15"/>
    <w:rsid w:val="009C1A73"/>
    <w:rsid w:val="009C1DCD"/>
    <w:rsid w:val="009C1E61"/>
    <w:rsid w:val="009C20F7"/>
    <w:rsid w:val="009C224E"/>
    <w:rsid w:val="009C22E8"/>
    <w:rsid w:val="009C23F6"/>
    <w:rsid w:val="009C26E4"/>
    <w:rsid w:val="009C2892"/>
    <w:rsid w:val="009C2916"/>
    <w:rsid w:val="009C2AB7"/>
    <w:rsid w:val="009C352C"/>
    <w:rsid w:val="009C3B4E"/>
    <w:rsid w:val="009C3CC9"/>
    <w:rsid w:val="009C4159"/>
    <w:rsid w:val="009C4A08"/>
    <w:rsid w:val="009C4B11"/>
    <w:rsid w:val="009C4B6B"/>
    <w:rsid w:val="009C4E0D"/>
    <w:rsid w:val="009C56A7"/>
    <w:rsid w:val="009C56C5"/>
    <w:rsid w:val="009C5B12"/>
    <w:rsid w:val="009C5DB7"/>
    <w:rsid w:val="009C5F10"/>
    <w:rsid w:val="009C6DD6"/>
    <w:rsid w:val="009C6F7B"/>
    <w:rsid w:val="009C72B8"/>
    <w:rsid w:val="009C7361"/>
    <w:rsid w:val="009C76DB"/>
    <w:rsid w:val="009C7701"/>
    <w:rsid w:val="009C7CD1"/>
    <w:rsid w:val="009C7DBC"/>
    <w:rsid w:val="009D0597"/>
    <w:rsid w:val="009D0842"/>
    <w:rsid w:val="009D0BBB"/>
    <w:rsid w:val="009D1300"/>
    <w:rsid w:val="009D1F2C"/>
    <w:rsid w:val="009D2A91"/>
    <w:rsid w:val="009D2E7B"/>
    <w:rsid w:val="009D2F73"/>
    <w:rsid w:val="009D31F8"/>
    <w:rsid w:val="009D3258"/>
    <w:rsid w:val="009D3361"/>
    <w:rsid w:val="009D4188"/>
    <w:rsid w:val="009D511C"/>
    <w:rsid w:val="009D5BE9"/>
    <w:rsid w:val="009D5F5D"/>
    <w:rsid w:val="009D6911"/>
    <w:rsid w:val="009D6B16"/>
    <w:rsid w:val="009D6E51"/>
    <w:rsid w:val="009D7382"/>
    <w:rsid w:val="009D74C8"/>
    <w:rsid w:val="009D7AB2"/>
    <w:rsid w:val="009E02F2"/>
    <w:rsid w:val="009E0A73"/>
    <w:rsid w:val="009E0EC8"/>
    <w:rsid w:val="009E10B7"/>
    <w:rsid w:val="009E127E"/>
    <w:rsid w:val="009E1282"/>
    <w:rsid w:val="009E155E"/>
    <w:rsid w:val="009E19DC"/>
    <w:rsid w:val="009E1AF5"/>
    <w:rsid w:val="009E1F04"/>
    <w:rsid w:val="009E22B8"/>
    <w:rsid w:val="009E2619"/>
    <w:rsid w:val="009E2824"/>
    <w:rsid w:val="009E2BE3"/>
    <w:rsid w:val="009E2DED"/>
    <w:rsid w:val="009E3031"/>
    <w:rsid w:val="009E33CB"/>
    <w:rsid w:val="009E3523"/>
    <w:rsid w:val="009E3B4C"/>
    <w:rsid w:val="009E488C"/>
    <w:rsid w:val="009E534A"/>
    <w:rsid w:val="009E5543"/>
    <w:rsid w:val="009E5937"/>
    <w:rsid w:val="009E5B61"/>
    <w:rsid w:val="009E5D37"/>
    <w:rsid w:val="009E5EA1"/>
    <w:rsid w:val="009E612E"/>
    <w:rsid w:val="009E67A3"/>
    <w:rsid w:val="009E68AD"/>
    <w:rsid w:val="009E6F20"/>
    <w:rsid w:val="009E7901"/>
    <w:rsid w:val="009E7AFC"/>
    <w:rsid w:val="009E7BD6"/>
    <w:rsid w:val="009E7E1C"/>
    <w:rsid w:val="009F0067"/>
    <w:rsid w:val="009F01CB"/>
    <w:rsid w:val="009F0241"/>
    <w:rsid w:val="009F0AA6"/>
    <w:rsid w:val="009F0DC6"/>
    <w:rsid w:val="009F1275"/>
    <w:rsid w:val="009F1445"/>
    <w:rsid w:val="009F16DC"/>
    <w:rsid w:val="009F191A"/>
    <w:rsid w:val="009F1E17"/>
    <w:rsid w:val="009F1E24"/>
    <w:rsid w:val="009F1E72"/>
    <w:rsid w:val="009F23D0"/>
    <w:rsid w:val="009F35A6"/>
    <w:rsid w:val="009F3BE3"/>
    <w:rsid w:val="009F44BD"/>
    <w:rsid w:val="009F46AE"/>
    <w:rsid w:val="009F4ED7"/>
    <w:rsid w:val="009F5150"/>
    <w:rsid w:val="009F5726"/>
    <w:rsid w:val="009F5C93"/>
    <w:rsid w:val="009F5CD3"/>
    <w:rsid w:val="009F5E6B"/>
    <w:rsid w:val="009F65AA"/>
    <w:rsid w:val="009F667C"/>
    <w:rsid w:val="009F6F3B"/>
    <w:rsid w:val="009F70A8"/>
    <w:rsid w:val="009F7606"/>
    <w:rsid w:val="009F7824"/>
    <w:rsid w:val="009F7DA4"/>
    <w:rsid w:val="00A00295"/>
    <w:rsid w:val="00A00296"/>
    <w:rsid w:val="00A00A4B"/>
    <w:rsid w:val="00A00B6D"/>
    <w:rsid w:val="00A010E0"/>
    <w:rsid w:val="00A01447"/>
    <w:rsid w:val="00A0144A"/>
    <w:rsid w:val="00A016A9"/>
    <w:rsid w:val="00A01DAB"/>
    <w:rsid w:val="00A01EAF"/>
    <w:rsid w:val="00A02654"/>
    <w:rsid w:val="00A03343"/>
    <w:rsid w:val="00A03D31"/>
    <w:rsid w:val="00A03D51"/>
    <w:rsid w:val="00A041BC"/>
    <w:rsid w:val="00A04749"/>
    <w:rsid w:val="00A0483F"/>
    <w:rsid w:val="00A04C16"/>
    <w:rsid w:val="00A053AD"/>
    <w:rsid w:val="00A0581E"/>
    <w:rsid w:val="00A05A03"/>
    <w:rsid w:val="00A05F7C"/>
    <w:rsid w:val="00A061A1"/>
    <w:rsid w:val="00A063C0"/>
    <w:rsid w:val="00A0640A"/>
    <w:rsid w:val="00A06509"/>
    <w:rsid w:val="00A07405"/>
    <w:rsid w:val="00A07D95"/>
    <w:rsid w:val="00A102A5"/>
    <w:rsid w:val="00A102D9"/>
    <w:rsid w:val="00A106C4"/>
    <w:rsid w:val="00A108FE"/>
    <w:rsid w:val="00A10F22"/>
    <w:rsid w:val="00A1172C"/>
    <w:rsid w:val="00A11974"/>
    <w:rsid w:val="00A119E8"/>
    <w:rsid w:val="00A11ABC"/>
    <w:rsid w:val="00A11B30"/>
    <w:rsid w:val="00A12189"/>
    <w:rsid w:val="00A12207"/>
    <w:rsid w:val="00A122E3"/>
    <w:rsid w:val="00A1292F"/>
    <w:rsid w:val="00A133CC"/>
    <w:rsid w:val="00A134E7"/>
    <w:rsid w:val="00A13C31"/>
    <w:rsid w:val="00A1435C"/>
    <w:rsid w:val="00A14928"/>
    <w:rsid w:val="00A14E0C"/>
    <w:rsid w:val="00A14FF9"/>
    <w:rsid w:val="00A153A8"/>
    <w:rsid w:val="00A15560"/>
    <w:rsid w:val="00A156E2"/>
    <w:rsid w:val="00A159E4"/>
    <w:rsid w:val="00A15FE8"/>
    <w:rsid w:val="00A16353"/>
    <w:rsid w:val="00A1643F"/>
    <w:rsid w:val="00A16CBB"/>
    <w:rsid w:val="00A1745C"/>
    <w:rsid w:val="00A174A5"/>
    <w:rsid w:val="00A17611"/>
    <w:rsid w:val="00A17885"/>
    <w:rsid w:val="00A17955"/>
    <w:rsid w:val="00A17AC6"/>
    <w:rsid w:val="00A17C54"/>
    <w:rsid w:val="00A2049A"/>
    <w:rsid w:val="00A20564"/>
    <w:rsid w:val="00A208CB"/>
    <w:rsid w:val="00A2095F"/>
    <w:rsid w:val="00A209B4"/>
    <w:rsid w:val="00A20DC2"/>
    <w:rsid w:val="00A211B0"/>
    <w:rsid w:val="00A2147C"/>
    <w:rsid w:val="00A214E4"/>
    <w:rsid w:val="00A217B4"/>
    <w:rsid w:val="00A21A6D"/>
    <w:rsid w:val="00A21E61"/>
    <w:rsid w:val="00A21E9F"/>
    <w:rsid w:val="00A222B9"/>
    <w:rsid w:val="00A223DE"/>
    <w:rsid w:val="00A22F57"/>
    <w:rsid w:val="00A2332B"/>
    <w:rsid w:val="00A23D19"/>
    <w:rsid w:val="00A24473"/>
    <w:rsid w:val="00A24C38"/>
    <w:rsid w:val="00A2511B"/>
    <w:rsid w:val="00A2574C"/>
    <w:rsid w:val="00A25F36"/>
    <w:rsid w:val="00A2615D"/>
    <w:rsid w:val="00A26245"/>
    <w:rsid w:val="00A26374"/>
    <w:rsid w:val="00A26B8A"/>
    <w:rsid w:val="00A27641"/>
    <w:rsid w:val="00A27AEA"/>
    <w:rsid w:val="00A30092"/>
    <w:rsid w:val="00A301C2"/>
    <w:rsid w:val="00A30585"/>
    <w:rsid w:val="00A3060F"/>
    <w:rsid w:val="00A30859"/>
    <w:rsid w:val="00A30A70"/>
    <w:rsid w:val="00A313DC"/>
    <w:rsid w:val="00A3197E"/>
    <w:rsid w:val="00A32004"/>
    <w:rsid w:val="00A32074"/>
    <w:rsid w:val="00A341A4"/>
    <w:rsid w:val="00A342CB"/>
    <w:rsid w:val="00A343A2"/>
    <w:rsid w:val="00A344D4"/>
    <w:rsid w:val="00A34619"/>
    <w:rsid w:val="00A34CD0"/>
    <w:rsid w:val="00A34EF7"/>
    <w:rsid w:val="00A35024"/>
    <w:rsid w:val="00A35369"/>
    <w:rsid w:val="00A35644"/>
    <w:rsid w:val="00A35646"/>
    <w:rsid w:val="00A35A32"/>
    <w:rsid w:val="00A35AAE"/>
    <w:rsid w:val="00A35E53"/>
    <w:rsid w:val="00A365DD"/>
    <w:rsid w:val="00A368BD"/>
    <w:rsid w:val="00A36A1F"/>
    <w:rsid w:val="00A36B4D"/>
    <w:rsid w:val="00A36B66"/>
    <w:rsid w:val="00A36EA5"/>
    <w:rsid w:val="00A36F2D"/>
    <w:rsid w:val="00A37415"/>
    <w:rsid w:val="00A375EA"/>
    <w:rsid w:val="00A378F6"/>
    <w:rsid w:val="00A37CBB"/>
    <w:rsid w:val="00A37CE5"/>
    <w:rsid w:val="00A37E25"/>
    <w:rsid w:val="00A37E8A"/>
    <w:rsid w:val="00A37F50"/>
    <w:rsid w:val="00A37F8A"/>
    <w:rsid w:val="00A4011C"/>
    <w:rsid w:val="00A40D41"/>
    <w:rsid w:val="00A41402"/>
    <w:rsid w:val="00A416FB"/>
    <w:rsid w:val="00A416FF"/>
    <w:rsid w:val="00A4180D"/>
    <w:rsid w:val="00A42754"/>
    <w:rsid w:val="00A42F73"/>
    <w:rsid w:val="00A430DC"/>
    <w:rsid w:val="00A43955"/>
    <w:rsid w:val="00A43D54"/>
    <w:rsid w:val="00A4457C"/>
    <w:rsid w:val="00A446B0"/>
    <w:rsid w:val="00A454AA"/>
    <w:rsid w:val="00A45936"/>
    <w:rsid w:val="00A45D15"/>
    <w:rsid w:val="00A45FF8"/>
    <w:rsid w:val="00A4635B"/>
    <w:rsid w:val="00A46843"/>
    <w:rsid w:val="00A46901"/>
    <w:rsid w:val="00A46A42"/>
    <w:rsid w:val="00A46FBE"/>
    <w:rsid w:val="00A47A07"/>
    <w:rsid w:val="00A47B58"/>
    <w:rsid w:val="00A47C27"/>
    <w:rsid w:val="00A47C91"/>
    <w:rsid w:val="00A47DC7"/>
    <w:rsid w:val="00A50342"/>
    <w:rsid w:val="00A50551"/>
    <w:rsid w:val="00A508A6"/>
    <w:rsid w:val="00A50B3F"/>
    <w:rsid w:val="00A513FB"/>
    <w:rsid w:val="00A51510"/>
    <w:rsid w:val="00A51648"/>
    <w:rsid w:val="00A51F4E"/>
    <w:rsid w:val="00A52051"/>
    <w:rsid w:val="00A52C04"/>
    <w:rsid w:val="00A52C32"/>
    <w:rsid w:val="00A52D95"/>
    <w:rsid w:val="00A536F9"/>
    <w:rsid w:val="00A537F0"/>
    <w:rsid w:val="00A53828"/>
    <w:rsid w:val="00A538FC"/>
    <w:rsid w:val="00A53E1A"/>
    <w:rsid w:val="00A5441C"/>
    <w:rsid w:val="00A545ED"/>
    <w:rsid w:val="00A54DE2"/>
    <w:rsid w:val="00A54E2A"/>
    <w:rsid w:val="00A55051"/>
    <w:rsid w:val="00A55104"/>
    <w:rsid w:val="00A552DE"/>
    <w:rsid w:val="00A56306"/>
    <w:rsid w:val="00A574FF"/>
    <w:rsid w:val="00A575FF"/>
    <w:rsid w:val="00A5766E"/>
    <w:rsid w:val="00A576D6"/>
    <w:rsid w:val="00A57E9F"/>
    <w:rsid w:val="00A57F72"/>
    <w:rsid w:val="00A6043C"/>
    <w:rsid w:val="00A60586"/>
    <w:rsid w:val="00A607D0"/>
    <w:rsid w:val="00A60B07"/>
    <w:rsid w:val="00A6151B"/>
    <w:rsid w:val="00A61BF6"/>
    <w:rsid w:val="00A61F39"/>
    <w:rsid w:val="00A6202F"/>
    <w:rsid w:val="00A62D98"/>
    <w:rsid w:val="00A632AB"/>
    <w:rsid w:val="00A63BBD"/>
    <w:rsid w:val="00A63EBD"/>
    <w:rsid w:val="00A642DE"/>
    <w:rsid w:val="00A6454B"/>
    <w:rsid w:val="00A64966"/>
    <w:rsid w:val="00A65085"/>
    <w:rsid w:val="00A6543D"/>
    <w:rsid w:val="00A65C29"/>
    <w:rsid w:val="00A65D9D"/>
    <w:rsid w:val="00A65EFB"/>
    <w:rsid w:val="00A663F4"/>
    <w:rsid w:val="00A669AF"/>
    <w:rsid w:val="00A66B81"/>
    <w:rsid w:val="00A66BD2"/>
    <w:rsid w:val="00A66D47"/>
    <w:rsid w:val="00A67B56"/>
    <w:rsid w:val="00A700CD"/>
    <w:rsid w:val="00A70B20"/>
    <w:rsid w:val="00A70B63"/>
    <w:rsid w:val="00A70E9B"/>
    <w:rsid w:val="00A70F54"/>
    <w:rsid w:val="00A70F98"/>
    <w:rsid w:val="00A70FB2"/>
    <w:rsid w:val="00A714FA"/>
    <w:rsid w:val="00A7219D"/>
    <w:rsid w:val="00A723C2"/>
    <w:rsid w:val="00A72B15"/>
    <w:rsid w:val="00A72E2C"/>
    <w:rsid w:val="00A73D31"/>
    <w:rsid w:val="00A73FCD"/>
    <w:rsid w:val="00A7437C"/>
    <w:rsid w:val="00A74DE7"/>
    <w:rsid w:val="00A74F05"/>
    <w:rsid w:val="00A754EA"/>
    <w:rsid w:val="00A75A61"/>
    <w:rsid w:val="00A75CDA"/>
    <w:rsid w:val="00A75F53"/>
    <w:rsid w:val="00A76082"/>
    <w:rsid w:val="00A76208"/>
    <w:rsid w:val="00A76382"/>
    <w:rsid w:val="00A7650D"/>
    <w:rsid w:val="00A77166"/>
    <w:rsid w:val="00A77352"/>
    <w:rsid w:val="00A773E4"/>
    <w:rsid w:val="00A77550"/>
    <w:rsid w:val="00A77832"/>
    <w:rsid w:val="00A77C1D"/>
    <w:rsid w:val="00A803E0"/>
    <w:rsid w:val="00A80815"/>
    <w:rsid w:val="00A808D8"/>
    <w:rsid w:val="00A80C1D"/>
    <w:rsid w:val="00A80D4A"/>
    <w:rsid w:val="00A8140B"/>
    <w:rsid w:val="00A815EE"/>
    <w:rsid w:val="00A81990"/>
    <w:rsid w:val="00A819F4"/>
    <w:rsid w:val="00A81C2B"/>
    <w:rsid w:val="00A81DEC"/>
    <w:rsid w:val="00A81EBE"/>
    <w:rsid w:val="00A81FB0"/>
    <w:rsid w:val="00A820E4"/>
    <w:rsid w:val="00A82343"/>
    <w:rsid w:val="00A828A9"/>
    <w:rsid w:val="00A82CD6"/>
    <w:rsid w:val="00A82F7F"/>
    <w:rsid w:val="00A83187"/>
    <w:rsid w:val="00A835CE"/>
    <w:rsid w:val="00A83A17"/>
    <w:rsid w:val="00A83C41"/>
    <w:rsid w:val="00A83F30"/>
    <w:rsid w:val="00A846E4"/>
    <w:rsid w:val="00A846EC"/>
    <w:rsid w:val="00A8520E"/>
    <w:rsid w:val="00A8591E"/>
    <w:rsid w:val="00A86989"/>
    <w:rsid w:val="00A872C5"/>
    <w:rsid w:val="00A872D6"/>
    <w:rsid w:val="00A875CF"/>
    <w:rsid w:val="00A87AD1"/>
    <w:rsid w:val="00A87DEE"/>
    <w:rsid w:val="00A87EB2"/>
    <w:rsid w:val="00A87FED"/>
    <w:rsid w:val="00A90819"/>
    <w:rsid w:val="00A90F69"/>
    <w:rsid w:val="00A915AA"/>
    <w:rsid w:val="00A91624"/>
    <w:rsid w:val="00A91CE7"/>
    <w:rsid w:val="00A91F31"/>
    <w:rsid w:val="00A924D6"/>
    <w:rsid w:val="00A92B3E"/>
    <w:rsid w:val="00A93102"/>
    <w:rsid w:val="00A93423"/>
    <w:rsid w:val="00A93A1F"/>
    <w:rsid w:val="00A93EF1"/>
    <w:rsid w:val="00A94000"/>
    <w:rsid w:val="00A94AC9"/>
    <w:rsid w:val="00A950FA"/>
    <w:rsid w:val="00A95335"/>
    <w:rsid w:val="00A95984"/>
    <w:rsid w:val="00A963DF"/>
    <w:rsid w:val="00A9643F"/>
    <w:rsid w:val="00A96672"/>
    <w:rsid w:val="00A973CA"/>
    <w:rsid w:val="00A9757A"/>
    <w:rsid w:val="00A97671"/>
    <w:rsid w:val="00A9780E"/>
    <w:rsid w:val="00A97B7D"/>
    <w:rsid w:val="00A97B8B"/>
    <w:rsid w:val="00A97E4D"/>
    <w:rsid w:val="00A97F84"/>
    <w:rsid w:val="00AA0023"/>
    <w:rsid w:val="00AA0040"/>
    <w:rsid w:val="00AA0198"/>
    <w:rsid w:val="00AA0333"/>
    <w:rsid w:val="00AA0720"/>
    <w:rsid w:val="00AA0FD6"/>
    <w:rsid w:val="00AA0FDD"/>
    <w:rsid w:val="00AA109D"/>
    <w:rsid w:val="00AA1187"/>
    <w:rsid w:val="00AA12CB"/>
    <w:rsid w:val="00AA15ED"/>
    <w:rsid w:val="00AA1D51"/>
    <w:rsid w:val="00AA2084"/>
    <w:rsid w:val="00AA2531"/>
    <w:rsid w:val="00AA2A9B"/>
    <w:rsid w:val="00AA2D9B"/>
    <w:rsid w:val="00AA2EB6"/>
    <w:rsid w:val="00AA319D"/>
    <w:rsid w:val="00AA31A0"/>
    <w:rsid w:val="00AA3638"/>
    <w:rsid w:val="00AA37AC"/>
    <w:rsid w:val="00AA396E"/>
    <w:rsid w:val="00AA3D01"/>
    <w:rsid w:val="00AA4301"/>
    <w:rsid w:val="00AA45E5"/>
    <w:rsid w:val="00AA473D"/>
    <w:rsid w:val="00AA50CC"/>
    <w:rsid w:val="00AA53A5"/>
    <w:rsid w:val="00AA5E0A"/>
    <w:rsid w:val="00AA6741"/>
    <w:rsid w:val="00AA68C6"/>
    <w:rsid w:val="00AA6CC2"/>
    <w:rsid w:val="00AA74A3"/>
    <w:rsid w:val="00AB00A9"/>
    <w:rsid w:val="00AB074E"/>
    <w:rsid w:val="00AB0A9E"/>
    <w:rsid w:val="00AB0D16"/>
    <w:rsid w:val="00AB133C"/>
    <w:rsid w:val="00AB1CDB"/>
    <w:rsid w:val="00AB1F52"/>
    <w:rsid w:val="00AB2550"/>
    <w:rsid w:val="00AB26E4"/>
    <w:rsid w:val="00AB2C4C"/>
    <w:rsid w:val="00AB2F4C"/>
    <w:rsid w:val="00AB3270"/>
    <w:rsid w:val="00AB33C0"/>
    <w:rsid w:val="00AB344E"/>
    <w:rsid w:val="00AB3891"/>
    <w:rsid w:val="00AB3D66"/>
    <w:rsid w:val="00AB41D4"/>
    <w:rsid w:val="00AB430D"/>
    <w:rsid w:val="00AB437C"/>
    <w:rsid w:val="00AB45A4"/>
    <w:rsid w:val="00AB47BA"/>
    <w:rsid w:val="00AB4EDC"/>
    <w:rsid w:val="00AB54AB"/>
    <w:rsid w:val="00AB5C9F"/>
    <w:rsid w:val="00AB6106"/>
    <w:rsid w:val="00AB6A06"/>
    <w:rsid w:val="00AB6AE1"/>
    <w:rsid w:val="00AB6BA3"/>
    <w:rsid w:val="00AB6BB6"/>
    <w:rsid w:val="00AB6C80"/>
    <w:rsid w:val="00AB7482"/>
    <w:rsid w:val="00AB7704"/>
    <w:rsid w:val="00AB7A74"/>
    <w:rsid w:val="00AC125A"/>
    <w:rsid w:val="00AC2034"/>
    <w:rsid w:val="00AC2844"/>
    <w:rsid w:val="00AC2BE6"/>
    <w:rsid w:val="00AC310C"/>
    <w:rsid w:val="00AC3554"/>
    <w:rsid w:val="00AC376A"/>
    <w:rsid w:val="00AC3EC6"/>
    <w:rsid w:val="00AC4B82"/>
    <w:rsid w:val="00AC4D0F"/>
    <w:rsid w:val="00AC4DD5"/>
    <w:rsid w:val="00AC5067"/>
    <w:rsid w:val="00AC573D"/>
    <w:rsid w:val="00AC57C1"/>
    <w:rsid w:val="00AC5A17"/>
    <w:rsid w:val="00AC61D2"/>
    <w:rsid w:val="00AC663F"/>
    <w:rsid w:val="00AC69D1"/>
    <w:rsid w:val="00AC6BC6"/>
    <w:rsid w:val="00AC6D6C"/>
    <w:rsid w:val="00AC7041"/>
    <w:rsid w:val="00AC7145"/>
    <w:rsid w:val="00AC7290"/>
    <w:rsid w:val="00AC7408"/>
    <w:rsid w:val="00AC7553"/>
    <w:rsid w:val="00AC7FAA"/>
    <w:rsid w:val="00AD0306"/>
    <w:rsid w:val="00AD0957"/>
    <w:rsid w:val="00AD0BA6"/>
    <w:rsid w:val="00AD0C6D"/>
    <w:rsid w:val="00AD11A9"/>
    <w:rsid w:val="00AD1255"/>
    <w:rsid w:val="00AD129B"/>
    <w:rsid w:val="00AD14FD"/>
    <w:rsid w:val="00AD165F"/>
    <w:rsid w:val="00AD1940"/>
    <w:rsid w:val="00AD1C29"/>
    <w:rsid w:val="00AD1EF2"/>
    <w:rsid w:val="00AD2721"/>
    <w:rsid w:val="00AD2BF6"/>
    <w:rsid w:val="00AD2E06"/>
    <w:rsid w:val="00AD2EF7"/>
    <w:rsid w:val="00AD31F3"/>
    <w:rsid w:val="00AD3446"/>
    <w:rsid w:val="00AD3628"/>
    <w:rsid w:val="00AD386A"/>
    <w:rsid w:val="00AD39A9"/>
    <w:rsid w:val="00AD3A50"/>
    <w:rsid w:val="00AD3A66"/>
    <w:rsid w:val="00AD3BFD"/>
    <w:rsid w:val="00AD3DF5"/>
    <w:rsid w:val="00AD44DA"/>
    <w:rsid w:val="00AD4E6C"/>
    <w:rsid w:val="00AD5075"/>
    <w:rsid w:val="00AD54F7"/>
    <w:rsid w:val="00AD5581"/>
    <w:rsid w:val="00AD5C3D"/>
    <w:rsid w:val="00AD5D0B"/>
    <w:rsid w:val="00AD5F01"/>
    <w:rsid w:val="00AD5FFD"/>
    <w:rsid w:val="00AD6837"/>
    <w:rsid w:val="00AD69E9"/>
    <w:rsid w:val="00AD73BD"/>
    <w:rsid w:val="00AD7872"/>
    <w:rsid w:val="00AD79B2"/>
    <w:rsid w:val="00AD7C1C"/>
    <w:rsid w:val="00AD7DDC"/>
    <w:rsid w:val="00AD7EEA"/>
    <w:rsid w:val="00AE0DBD"/>
    <w:rsid w:val="00AE1CE2"/>
    <w:rsid w:val="00AE1FE2"/>
    <w:rsid w:val="00AE3229"/>
    <w:rsid w:val="00AE3434"/>
    <w:rsid w:val="00AE3699"/>
    <w:rsid w:val="00AE3745"/>
    <w:rsid w:val="00AE37F9"/>
    <w:rsid w:val="00AE3DB0"/>
    <w:rsid w:val="00AE4022"/>
    <w:rsid w:val="00AE41AE"/>
    <w:rsid w:val="00AE474E"/>
    <w:rsid w:val="00AE4837"/>
    <w:rsid w:val="00AE4B0A"/>
    <w:rsid w:val="00AE52AB"/>
    <w:rsid w:val="00AE52F3"/>
    <w:rsid w:val="00AE5330"/>
    <w:rsid w:val="00AE5953"/>
    <w:rsid w:val="00AE5A03"/>
    <w:rsid w:val="00AE5D3F"/>
    <w:rsid w:val="00AE6054"/>
    <w:rsid w:val="00AE6BEB"/>
    <w:rsid w:val="00AE7160"/>
    <w:rsid w:val="00AE71D5"/>
    <w:rsid w:val="00AE7544"/>
    <w:rsid w:val="00AE7AEF"/>
    <w:rsid w:val="00AF0398"/>
    <w:rsid w:val="00AF04AB"/>
    <w:rsid w:val="00AF0798"/>
    <w:rsid w:val="00AF0898"/>
    <w:rsid w:val="00AF0FE0"/>
    <w:rsid w:val="00AF1526"/>
    <w:rsid w:val="00AF1536"/>
    <w:rsid w:val="00AF173C"/>
    <w:rsid w:val="00AF1853"/>
    <w:rsid w:val="00AF2165"/>
    <w:rsid w:val="00AF222F"/>
    <w:rsid w:val="00AF26EF"/>
    <w:rsid w:val="00AF2757"/>
    <w:rsid w:val="00AF3B10"/>
    <w:rsid w:val="00AF3FA5"/>
    <w:rsid w:val="00AF4FD3"/>
    <w:rsid w:val="00AF51B4"/>
    <w:rsid w:val="00AF530E"/>
    <w:rsid w:val="00AF57CA"/>
    <w:rsid w:val="00AF5837"/>
    <w:rsid w:val="00AF5AC8"/>
    <w:rsid w:val="00AF5B93"/>
    <w:rsid w:val="00AF5BA3"/>
    <w:rsid w:val="00AF5DE4"/>
    <w:rsid w:val="00AF61A7"/>
    <w:rsid w:val="00AF63F2"/>
    <w:rsid w:val="00AF642B"/>
    <w:rsid w:val="00AF6A99"/>
    <w:rsid w:val="00AF6C2E"/>
    <w:rsid w:val="00AF732E"/>
    <w:rsid w:val="00AF7616"/>
    <w:rsid w:val="00AF78D6"/>
    <w:rsid w:val="00B00310"/>
    <w:rsid w:val="00B003C3"/>
    <w:rsid w:val="00B00C84"/>
    <w:rsid w:val="00B00D6B"/>
    <w:rsid w:val="00B010F5"/>
    <w:rsid w:val="00B016A8"/>
    <w:rsid w:val="00B019E3"/>
    <w:rsid w:val="00B0290C"/>
    <w:rsid w:val="00B029DC"/>
    <w:rsid w:val="00B02B6F"/>
    <w:rsid w:val="00B02E84"/>
    <w:rsid w:val="00B02F8B"/>
    <w:rsid w:val="00B03140"/>
    <w:rsid w:val="00B03524"/>
    <w:rsid w:val="00B037F7"/>
    <w:rsid w:val="00B03EF1"/>
    <w:rsid w:val="00B04371"/>
    <w:rsid w:val="00B05107"/>
    <w:rsid w:val="00B05121"/>
    <w:rsid w:val="00B05655"/>
    <w:rsid w:val="00B05BF5"/>
    <w:rsid w:val="00B06012"/>
    <w:rsid w:val="00B065DD"/>
    <w:rsid w:val="00B06938"/>
    <w:rsid w:val="00B06952"/>
    <w:rsid w:val="00B06A69"/>
    <w:rsid w:val="00B079F5"/>
    <w:rsid w:val="00B07BCA"/>
    <w:rsid w:val="00B07F18"/>
    <w:rsid w:val="00B1069D"/>
    <w:rsid w:val="00B10D88"/>
    <w:rsid w:val="00B11137"/>
    <w:rsid w:val="00B11173"/>
    <w:rsid w:val="00B11594"/>
    <w:rsid w:val="00B115A2"/>
    <w:rsid w:val="00B118D8"/>
    <w:rsid w:val="00B11940"/>
    <w:rsid w:val="00B11D9F"/>
    <w:rsid w:val="00B1273C"/>
    <w:rsid w:val="00B1287B"/>
    <w:rsid w:val="00B12B1C"/>
    <w:rsid w:val="00B12C8E"/>
    <w:rsid w:val="00B12D49"/>
    <w:rsid w:val="00B13119"/>
    <w:rsid w:val="00B13344"/>
    <w:rsid w:val="00B137B8"/>
    <w:rsid w:val="00B13F6E"/>
    <w:rsid w:val="00B14170"/>
    <w:rsid w:val="00B14B75"/>
    <w:rsid w:val="00B14E3D"/>
    <w:rsid w:val="00B15146"/>
    <w:rsid w:val="00B156DD"/>
    <w:rsid w:val="00B15B54"/>
    <w:rsid w:val="00B1606E"/>
    <w:rsid w:val="00B161B1"/>
    <w:rsid w:val="00B161DC"/>
    <w:rsid w:val="00B16441"/>
    <w:rsid w:val="00B16591"/>
    <w:rsid w:val="00B16762"/>
    <w:rsid w:val="00B173AD"/>
    <w:rsid w:val="00B1759D"/>
    <w:rsid w:val="00B17E4B"/>
    <w:rsid w:val="00B208E4"/>
    <w:rsid w:val="00B2130B"/>
    <w:rsid w:val="00B2146D"/>
    <w:rsid w:val="00B21B85"/>
    <w:rsid w:val="00B21ED7"/>
    <w:rsid w:val="00B22838"/>
    <w:rsid w:val="00B22CF3"/>
    <w:rsid w:val="00B22D5A"/>
    <w:rsid w:val="00B230EA"/>
    <w:rsid w:val="00B231F9"/>
    <w:rsid w:val="00B233E9"/>
    <w:rsid w:val="00B23B83"/>
    <w:rsid w:val="00B245AB"/>
    <w:rsid w:val="00B24635"/>
    <w:rsid w:val="00B24674"/>
    <w:rsid w:val="00B249E5"/>
    <w:rsid w:val="00B24B8A"/>
    <w:rsid w:val="00B24EF4"/>
    <w:rsid w:val="00B251BD"/>
    <w:rsid w:val="00B253FC"/>
    <w:rsid w:val="00B25496"/>
    <w:rsid w:val="00B25665"/>
    <w:rsid w:val="00B25976"/>
    <w:rsid w:val="00B25AC0"/>
    <w:rsid w:val="00B25F39"/>
    <w:rsid w:val="00B260C0"/>
    <w:rsid w:val="00B26598"/>
    <w:rsid w:val="00B26A06"/>
    <w:rsid w:val="00B27613"/>
    <w:rsid w:val="00B27B89"/>
    <w:rsid w:val="00B27FCD"/>
    <w:rsid w:val="00B3033C"/>
    <w:rsid w:val="00B305D9"/>
    <w:rsid w:val="00B30878"/>
    <w:rsid w:val="00B30974"/>
    <w:rsid w:val="00B30D72"/>
    <w:rsid w:val="00B318D9"/>
    <w:rsid w:val="00B31926"/>
    <w:rsid w:val="00B31942"/>
    <w:rsid w:val="00B31F28"/>
    <w:rsid w:val="00B32B08"/>
    <w:rsid w:val="00B32BF0"/>
    <w:rsid w:val="00B3317A"/>
    <w:rsid w:val="00B337D9"/>
    <w:rsid w:val="00B33D95"/>
    <w:rsid w:val="00B33F51"/>
    <w:rsid w:val="00B34B8D"/>
    <w:rsid w:val="00B3594B"/>
    <w:rsid w:val="00B35EDE"/>
    <w:rsid w:val="00B36070"/>
    <w:rsid w:val="00B363D5"/>
    <w:rsid w:val="00B37533"/>
    <w:rsid w:val="00B37799"/>
    <w:rsid w:val="00B377A9"/>
    <w:rsid w:val="00B37B5A"/>
    <w:rsid w:val="00B37C94"/>
    <w:rsid w:val="00B37CBC"/>
    <w:rsid w:val="00B37EFF"/>
    <w:rsid w:val="00B37FB7"/>
    <w:rsid w:val="00B4036D"/>
    <w:rsid w:val="00B40C11"/>
    <w:rsid w:val="00B40F1A"/>
    <w:rsid w:val="00B41177"/>
    <w:rsid w:val="00B41226"/>
    <w:rsid w:val="00B41504"/>
    <w:rsid w:val="00B4156A"/>
    <w:rsid w:val="00B41CEA"/>
    <w:rsid w:val="00B41F92"/>
    <w:rsid w:val="00B41FA7"/>
    <w:rsid w:val="00B42284"/>
    <w:rsid w:val="00B42303"/>
    <w:rsid w:val="00B42516"/>
    <w:rsid w:val="00B429CF"/>
    <w:rsid w:val="00B42C45"/>
    <w:rsid w:val="00B42D35"/>
    <w:rsid w:val="00B4300E"/>
    <w:rsid w:val="00B43144"/>
    <w:rsid w:val="00B4336D"/>
    <w:rsid w:val="00B434A5"/>
    <w:rsid w:val="00B434BE"/>
    <w:rsid w:val="00B4358E"/>
    <w:rsid w:val="00B4361D"/>
    <w:rsid w:val="00B437B8"/>
    <w:rsid w:val="00B43BC2"/>
    <w:rsid w:val="00B43D85"/>
    <w:rsid w:val="00B445A4"/>
    <w:rsid w:val="00B44AC3"/>
    <w:rsid w:val="00B4546B"/>
    <w:rsid w:val="00B45F90"/>
    <w:rsid w:val="00B460EB"/>
    <w:rsid w:val="00B464A2"/>
    <w:rsid w:val="00B464B6"/>
    <w:rsid w:val="00B46580"/>
    <w:rsid w:val="00B4663B"/>
    <w:rsid w:val="00B46797"/>
    <w:rsid w:val="00B468AF"/>
    <w:rsid w:val="00B46A4A"/>
    <w:rsid w:val="00B472C4"/>
    <w:rsid w:val="00B47888"/>
    <w:rsid w:val="00B50447"/>
    <w:rsid w:val="00B50A99"/>
    <w:rsid w:val="00B5117A"/>
    <w:rsid w:val="00B512DA"/>
    <w:rsid w:val="00B513D7"/>
    <w:rsid w:val="00B51641"/>
    <w:rsid w:val="00B516B6"/>
    <w:rsid w:val="00B518E6"/>
    <w:rsid w:val="00B5197C"/>
    <w:rsid w:val="00B520DE"/>
    <w:rsid w:val="00B5218E"/>
    <w:rsid w:val="00B526BF"/>
    <w:rsid w:val="00B5272A"/>
    <w:rsid w:val="00B532A7"/>
    <w:rsid w:val="00B533A0"/>
    <w:rsid w:val="00B53FE2"/>
    <w:rsid w:val="00B54143"/>
    <w:rsid w:val="00B543FC"/>
    <w:rsid w:val="00B5450D"/>
    <w:rsid w:val="00B5487A"/>
    <w:rsid w:val="00B54AD9"/>
    <w:rsid w:val="00B552AF"/>
    <w:rsid w:val="00B5579F"/>
    <w:rsid w:val="00B55892"/>
    <w:rsid w:val="00B55906"/>
    <w:rsid w:val="00B562B1"/>
    <w:rsid w:val="00B567B7"/>
    <w:rsid w:val="00B56BC7"/>
    <w:rsid w:val="00B56C15"/>
    <w:rsid w:val="00B56FC2"/>
    <w:rsid w:val="00B5735F"/>
    <w:rsid w:val="00B57790"/>
    <w:rsid w:val="00B57909"/>
    <w:rsid w:val="00B57C73"/>
    <w:rsid w:val="00B60601"/>
    <w:rsid w:val="00B6079E"/>
    <w:rsid w:val="00B60B67"/>
    <w:rsid w:val="00B60C1B"/>
    <w:rsid w:val="00B610CB"/>
    <w:rsid w:val="00B61473"/>
    <w:rsid w:val="00B61A60"/>
    <w:rsid w:val="00B61A9C"/>
    <w:rsid w:val="00B61B40"/>
    <w:rsid w:val="00B61F48"/>
    <w:rsid w:val="00B61FBC"/>
    <w:rsid w:val="00B623C6"/>
    <w:rsid w:val="00B62BF4"/>
    <w:rsid w:val="00B62F0C"/>
    <w:rsid w:val="00B6326B"/>
    <w:rsid w:val="00B6352E"/>
    <w:rsid w:val="00B63975"/>
    <w:rsid w:val="00B63CC4"/>
    <w:rsid w:val="00B63EB4"/>
    <w:rsid w:val="00B64291"/>
    <w:rsid w:val="00B642B6"/>
    <w:rsid w:val="00B6560A"/>
    <w:rsid w:val="00B656A4"/>
    <w:rsid w:val="00B65B8D"/>
    <w:rsid w:val="00B65DD5"/>
    <w:rsid w:val="00B65FFF"/>
    <w:rsid w:val="00B660E7"/>
    <w:rsid w:val="00B66544"/>
    <w:rsid w:val="00B66980"/>
    <w:rsid w:val="00B66A54"/>
    <w:rsid w:val="00B66EBC"/>
    <w:rsid w:val="00B66EDF"/>
    <w:rsid w:val="00B670B6"/>
    <w:rsid w:val="00B67106"/>
    <w:rsid w:val="00B6739D"/>
    <w:rsid w:val="00B6750F"/>
    <w:rsid w:val="00B679EB"/>
    <w:rsid w:val="00B67E9D"/>
    <w:rsid w:val="00B70220"/>
    <w:rsid w:val="00B70372"/>
    <w:rsid w:val="00B70529"/>
    <w:rsid w:val="00B708B0"/>
    <w:rsid w:val="00B709A5"/>
    <w:rsid w:val="00B7121E"/>
    <w:rsid w:val="00B71283"/>
    <w:rsid w:val="00B71A84"/>
    <w:rsid w:val="00B71ACA"/>
    <w:rsid w:val="00B71CB8"/>
    <w:rsid w:val="00B71DA2"/>
    <w:rsid w:val="00B71FD1"/>
    <w:rsid w:val="00B7207C"/>
    <w:rsid w:val="00B723DC"/>
    <w:rsid w:val="00B72597"/>
    <w:rsid w:val="00B728BC"/>
    <w:rsid w:val="00B72CA4"/>
    <w:rsid w:val="00B72D44"/>
    <w:rsid w:val="00B731E2"/>
    <w:rsid w:val="00B7367B"/>
    <w:rsid w:val="00B74423"/>
    <w:rsid w:val="00B74C1C"/>
    <w:rsid w:val="00B7510C"/>
    <w:rsid w:val="00B755FF"/>
    <w:rsid w:val="00B75FBF"/>
    <w:rsid w:val="00B762C8"/>
    <w:rsid w:val="00B766EA"/>
    <w:rsid w:val="00B76D11"/>
    <w:rsid w:val="00B8039E"/>
    <w:rsid w:val="00B80923"/>
    <w:rsid w:val="00B81038"/>
    <w:rsid w:val="00B810AE"/>
    <w:rsid w:val="00B81936"/>
    <w:rsid w:val="00B81F53"/>
    <w:rsid w:val="00B82013"/>
    <w:rsid w:val="00B8251A"/>
    <w:rsid w:val="00B82CC7"/>
    <w:rsid w:val="00B83C31"/>
    <w:rsid w:val="00B84263"/>
    <w:rsid w:val="00B843A1"/>
    <w:rsid w:val="00B84CB5"/>
    <w:rsid w:val="00B854D2"/>
    <w:rsid w:val="00B85C6A"/>
    <w:rsid w:val="00B85D02"/>
    <w:rsid w:val="00B86109"/>
    <w:rsid w:val="00B86B0A"/>
    <w:rsid w:val="00B86D43"/>
    <w:rsid w:val="00B86EB1"/>
    <w:rsid w:val="00B87582"/>
    <w:rsid w:val="00B87813"/>
    <w:rsid w:val="00B87B32"/>
    <w:rsid w:val="00B900CB"/>
    <w:rsid w:val="00B903EE"/>
    <w:rsid w:val="00B90528"/>
    <w:rsid w:val="00B908E9"/>
    <w:rsid w:val="00B90942"/>
    <w:rsid w:val="00B90CA0"/>
    <w:rsid w:val="00B91268"/>
    <w:rsid w:val="00B91C16"/>
    <w:rsid w:val="00B91FD3"/>
    <w:rsid w:val="00B92490"/>
    <w:rsid w:val="00B927EB"/>
    <w:rsid w:val="00B9299C"/>
    <w:rsid w:val="00B934AF"/>
    <w:rsid w:val="00B9397D"/>
    <w:rsid w:val="00B93BC0"/>
    <w:rsid w:val="00B947EA"/>
    <w:rsid w:val="00B94D99"/>
    <w:rsid w:val="00B950BA"/>
    <w:rsid w:val="00B951A4"/>
    <w:rsid w:val="00B95E36"/>
    <w:rsid w:val="00B9612C"/>
    <w:rsid w:val="00B96480"/>
    <w:rsid w:val="00B96947"/>
    <w:rsid w:val="00B96952"/>
    <w:rsid w:val="00B96D0A"/>
    <w:rsid w:val="00B96DC1"/>
    <w:rsid w:val="00B9742D"/>
    <w:rsid w:val="00B97891"/>
    <w:rsid w:val="00B978E9"/>
    <w:rsid w:val="00B97B52"/>
    <w:rsid w:val="00BA0768"/>
    <w:rsid w:val="00BA098D"/>
    <w:rsid w:val="00BA0992"/>
    <w:rsid w:val="00BA0F30"/>
    <w:rsid w:val="00BA0FCD"/>
    <w:rsid w:val="00BA189B"/>
    <w:rsid w:val="00BA1BB4"/>
    <w:rsid w:val="00BA1D9B"/>
    <w:rsid w:val="00BA1E15"/>
    <w:rsid w:val="00BA2931"/>
    <w:rsid w:val="00BA2CB2"/>
    <w:rsid w:val="00BA2E9C"/>
    <w:rsid w:val="00BA2EA5"/>
    <w:rsid w:val="00BA2FD4"/>
    <w:rsid w:val="00BA3FB0"/>
    <w:rsid w:val="00BA41AB"/>
    <w:rsid w:val="00BA4365"/>
    <w:rsid w:val="00BA4794"/>
    <w:rsid w:val="00BA49FA"/>
    <w:rsid w:val="00BA4EA7"/>
    <w:rsid w:val="00BA4EAF"/>
    <w:rsid w:val="00BA516D"/>
    <w:rsid w:val="00BA5366"/>
    <w:rsid w:val="00BA5D31"/>
    <w:rsid w:val="00BA7176"/>
    <w:rsid w:val="00BA7916"/>
    <w:rsid w:val="00BA791A"/>
    <w:rsid w:val="00BA7ACC"/>
    <w:rsid w:val="00BA7BAE"/>
    <w:rsid w:val="00BB05C0"/>
    <w:rsid w:val="00BB09DD"/>
    <w:rsid w:val="00BB0B36"/>
    <w:rsid w:val="00BB117B"/>
    <w:rsid w:val="00BB1B1A"/>
    <w:rsid w:val="00BB29C3"/>
    <w:rsid w:val="00BB29CB"/>
    <w:rsid w:val="00BB2BFC"/>
    <w:rsid w:val="00BB2DCF"/>
    <w:rsid w:val="00BB34E5"/>
    <w:rsid w:val="00BB3989"/>
    <w:rsid w:val="00BB46A9"/>
    <w:rsid w:val="00BB46BE"/>
    <w:rsid w:val="00BB4843"/>
    <w:rsid w:val="00BB50BD"/>
    <w:rsid w:val="00BB54D7"/>
    <w:rsid w:val="00BB5A8C"/>
    <w:rsid w:val="00BB5B91"/>
    <w:rsid w:val="00BB5C55"/>
    <w:rsid w:val="00BB5FFB"/>
    <w:rsid w:val="00BB6075"/>
    <w:rsid w:val="00BB653D"/>
    <w:rsid w:val="00BB6990"/>
    <w:rsid w:val="00BB710E"/>
    <w:rsid w:val="00BB79D9"/>
    <w:rsid w:val="00BB7C13"/>
    <w:rsid w:val="00BC0916"/>
    <w:rsid w:val="00BC0A4F"/>
    <w:rsid w:val="00BC0EB2"/>
    <w:rsid w:val="00BC1476"/>
    <w:rsid w:val="00BC160B"/>
    <w:rsid w:val="00BC160D"/>
    <w:rsid w:val="00BC1992"/>
    <w:rsid w:val="00BC2356"/>
    <w:rsid w:val="00BC23B2"/>
    <w:rsid w:val="00BC2408"/>
    <w:rsid w:val="00BC25AC"/>
    <w:rsid w:val="00BC28AE"/>
    <w:rsid w:val="00BC28DE"/>
    <w:rsid w:val="00BC2910"/>
    <w:rsid w:val="00BC2E0B"/>
    <w:rsid w:val="00BC3149"/>
    <w:rsid w:val="00BC3CE9"/>
    <w:rsid w:val="00BC3D7B"/>
    <w:rsid w:val="00BC4341"/>
    <w:rsid w:val="00BC4CF6"/>
    <w:rsid w:val="00BC4DE3"/>
    <w:rsid w:val="00BC4E53"/>
    <w:rsid w:val="00BC5390"/>
    <w:rsid w:val="00BC5974"/>
    <w:rsid w:val="00BC5B5C"/>
    <w:rsid w:val="00BC5BAB"/>
    <w:rsid w:val="00BC602C"/>
    <w:rsid w:val="00BC6418"/>
    <w:rsid w:val="00BC6C7E"/>
    <w:rsid w:val="00BC6F10"/>
    <w:rsid w:val="00BD03A6"/>
    <w:rsid w:val="00BD0589"/>
    <w:rsid w:val="00BD0B16"/>
    <w:rsid w:val="00BD0D28"/>
    <w:rsid w:val="00BD0E46"/>
    <w:rsid w:val="00BD107D"/>
    <w:rsid w:val="00BD1A6F"/>
    <w:rsid w:val="00BD1B36"/>
    <w:rsid w:val="00BD1B6D"/>
    <w:rsid w:val="00BD24BC"/>
    <w:rsid w:val="00BD2A3E"/>
    <w:rsid w:val="00BD2E1A"/>
    <w:rsid w:val="00BD3133"/>
    <w:rsid w:val="00BD3B52"/>
    <w:rsid w:val="00BD4146"/>
    <w:rsid w:val="00BD4A5F"/>
    <w:rsid w:val="00BD4C7B"/>
    <w:rsid w:val="00BD4D26"/>
    <w:rsid w:val="00BD4DA5"/>
    <w:rsid w:val="00BD5486"/>
    <w:rsid w:val="00BD54F4"/>
    <w:rsid w:val="00BD668B"/>
    <w:rsid w:val="00BD692A"/>
    <w:rsid w:val="00BD6B44"/>
    <w:rsid w:val="00BD6B6B"/>
    <w:rsid w:val="00BD6B95"/>
    <w:rsid w:val="00BD6C00"/>
    <w:rsid w:val="00BD6D66"/>
    <w:rsid w:val="00BD7626"/>
    <w:rsid w:val="00BD775A"/>
    <w:rsid w:val="00BD799F"/>
    <w:rsid w:val="00BD7A1D"/>
    <w:rsid w:val="00BE0184"/>
    <w:rsid w:val="00BE0584"/>
    <w:rsid w:val="00BE0B40"/>
    <w:rsid w:val="00BE0CA9"/>
    <w:rsid w:val="00BE127B"/>
    <w:rsid w:val="00BE1AA6"/>
    <w:rsid w:val="00BE1C21"/>
    <w:rsid w:val="00BE1CA5"/>
    <w:rsid w:val="00BE226D"/>
    <w:rsid w:val="00BE235B"/>
    <w:rsid w:val="00BE24A0"/>
    <w:rsid w:val="00BE2689"/>
    <w:rsid w:val="00BE2AF5"/>
    <w:rsid w:val="00BE2D41"/>
    <w:rsid w:val="00BE32CE"/>
    <w:rsid w:val="00BE34BF"/>
    <w:rsid w:val="00BE3DAE"/>
    <w:rsid w:val="00BE4B00"/>
    <w:rsid w:val="00BE537F"/>
    <w:rsid w:val="00BE549E"/>
    <w:rsid w:val="00BE54FE"/>
    <w:rsid w:val="00BE5F4C"/>
    <w:rsid w:val="00BE60D3"/>
    <w:rsid w:val="00BE6366"/>
    <w:rsid w:val="00BE65EC"/>
    <w:rsid w:val="00BE68F9"/>
    <w:rsid w:val="00BE6DEF"/>
    <w:rsid w:val="00BE7031"/>
    <w:rsid w:val="00BE71D3"/>
    <w:rsid w:val="00BE74B3"/>
    <w:rsid w:val="00BE7E6C"/>
    <w:rsid w:val="00BF0651"/>
    <w:rsid w:val="00BF1008"/>
    <w:rsid w:val="00BF12D9"/>
    <w:rsid w:val="00BF2500"/>
    <w:rsid w:val="00BF2516"/>
    <w:rsid w:val="00BF26CF"/>
    <w:rsid w:val="00BF26F7"/>
    <w:rsid w:val="00BF2F41"/>
    <w:rsid w:val="00BF3394"/>
    <w:rsid w:val="00BF36F4"/>
    <w:rsid w:val="00BF3878"/>
    <w:rsid w:val="00BF3C3F"/>
    <w:rsid w:val="00BF3C76"/>
    <w:rsid w:val="00BF48AE"/>
    <w:rsid w:val="00BF49F1"/>
    <w:rsid w:val="00BF4BBB"/>
    <w:rsid w:val="00BF56CF"/>
    <w:rsid w:val="00BF5786"/>
    <w:rsid w:val="00BF58E5"/>
    <w:rsid w:val="00BF5961"/>
    <w:rsid w:val="00BF5E69"/>
    <w:rsid w:val="00BF60FF"/>
    <w:rsid w:val="00BF6223"/>
    <w:rsid w:val="00BF622F"/>
    <w:rsid w:val="00BF62BA"/>
    <w:rsid w:val="00BF63B5"/>
    <w:rsid w:val="00BF6803"/>
    <w:rsid w:val="00BF6A71"/>
    <w:rsid w:val="00BF7463"/>
    <w:rsid w:val="00BF78F8"/>
    <w:rsid w:val="00BF7CBF"/>
    <w:rsid w:val="00C00013"/>
    <w:rsid w:val="00C00099"/>
    <w:rsid w:val="00C000C3"/>
    <w:rsid w:val="00C001A2"/>
    <w:rsid w:val="00C0068F"/>
    <w:rsid w:val="00C010E6"/>
    <w:rsid w:val="00C01683"/>
    <w:rsid w:val="00C0184F"/>
    <w:rsid w:val="00C01F9B"/>
    <w:rsid w:val="00C01FD8"/>
    <w:rsid w:val="00C026C3"/>
    <w:rsid w:val="00C028E3"/>
    <w:rsid w:val="00C02A5E"/>
    <w:rsid w:val="00C031B0"/>
    <w:rsid w:val="00C0320F"/>
    <w:rsid w:val="00C032EB"/>
    <w:rsid w:val="00C0365B"/>
    <w:rsid w:val="00C03798"/>
    <w:rsid w:val="00C03CBA"/>
    <w:rsid w:val="00C0477D"/>
    <w:rsid w:val="00C047A1"/>
    <w:rsid w:val="00C04914"/>
    <w:rsid w:val="00C04ABE"/>
    <w:rsid w:val="00C0504A"/>
    <w:rsid w:val="00C052BA"/>
    <w:rsid w:val="00C0547F"/>
    <w:rsid w:val="00C05A83"/>
    <w:rsid w:val="00C05F09"/>
    <w:rsid w:val="00C0606A"/>
    <w:rsid w:val="00C06296"/>
    <w:rsid w:val="00C0632B"/>
    <w:rsid w:val="00C064A5"/>
    <w:rsid w:val="00C06B15"/>
    <w:rsid w:val="00C076F8"/>
    <w:rsid w:val="00C07902"/>
    <w:rsid w:val="00C07C3C"/>
    <w:rsid w:val="00C07EC4"/>
    <w:rsid w:val="00C107E6"/>
    <w:rsid w:val="00C10E99"/>
    <w:rsid w:val="00C1103E"/>
    <w:rsid w:val="00C110C7"/>
    <w:rsid w:val="00C1127E"/>
    <w:rsid w:val="00C11522"/>
    <w:rsid w:val="00C11BAD"/>
    <w:rsid w:val="00C12052"/>
    <w:rsid w:val="00C124F7"/>
    <w:rsid w:val="00C12822"/>
    <w:rsid w:val="00C13565"/>
    <w:rsid w:val="00C1381F"/>
    <w:rsid w:val="00C1391A"/>
    <w:rsid w:val="00C13CD6"/>
    <w:rsid w:val="00C14146"/>
    <w:rsid w:val="00C14EF3"/>
    <w:rsid w:val="00C14F89"/>
    <w:rsid w:val="00C15830"/>
    <w:rsid w:val="00C159AE"/>
    <w:rsid w:val="00C15E96"/>
    <w:rsid w:val="00C161F3"/>
    <w:rsid w:val="00C169B1"/>
    <w:rsid w:val="00C16D0D"/>
    <w:rsid w:val="00C1777E"/>
    <w:rsid w:val="00C1787E"/>
    <w:rsid w:val="00C17AFA"/>
    <w:rsid w:val="00C17BE9"/>
    <w:rsid w:val="00C200F2"/>
    <w:rsid w:val="00C204E7"/>
    <w:rsid w:val="00C2057C"/>
    <w:rsid w:val="00C20806"/>
    <w:rsid w:val="00C217CE"/>
    <w:rsid w:val="00C21E25"/>
    <w:rsid w:val="00C21F7B"/>
    <w:rsid w:val="00C21FB2"/>
    <w:rsid w:val="00C223BF"/>
    <w:rsid w:val="00C23297"/>
    <w:rsid w:val="00C2341C"/>
    <w:rsid w:val="00C23C74"/>
    <w:rsid w:val="00C23C7A"/>
    <w:rsid w:val="00C23D78"/>
    <w:rsid w:val="00C23E8D"/>
    <w:rsid w:val="00C23F65"/>
    <w:rsid w:val="00C24209"/>
    <w:rsid w:val="00C24529"/>
    <w:rsid w:val="00C245A9"/>
    <w:rsid w:val="00C245D3"/>
    <w:rsid w:val="00C2462D"/>
    <w:rsid w:val="00C24677"/>
    <w:rsid w:val="00C2469B"/>
    <w:rsid w:val="00C246A0"/>
    <w:rsid w:val="00C24AD0"/>
    <w:rsid w:val="00C24F68"/>
    <w:rsid w:val="00C2541E"/>
    <w:rsid w:val="00C26221"/>
    <w:rsid w:val="00C2642E"/>
    <w:rsid w:val="00C267EA"/>
    <w:rsid w:val="00C26894"/>
    <w:rsid w:val="00C268DA"/>
    <w:rsid w:val="00C26998"/>
    <w:rsid w:val="00C26C53"/>
    <w:rsid w:val="00C26C92"/>
    <w:rsid w:val="00C26DC2"/>
    <w:rsid w:val="00C26E62"/>
    <w:rsid w:val="00C273C8"/>
    <w:rsid w:val="00C27515"/>
    <w:rsid w:val="00C30004"/>
    <w:rsid w:val="00C310B4"/>
    <w:rsid w:val="00C31369"/>
    <w:rsid w:val="00C315E2"/>
    <w:rsid w:val="00C31B8F"/>
    <w:rsid w:val="00C32A1E"/>
    <w:rsid w:val="00C32A3D"/>
    <w:rsid w:val="00C32FE9"/>
    <w:rsid w:val="00C334CD"/>
    <w:rsid w:val="00C34241"/>
    <w:rsid w:val="00C344ED"/>
    <w:rsid w:val="00C3472F"/>
    <w:rsid w:val="00C34A36"/>
    <w:rsid w:val="00C353C7"/>
    <w:rsid w:val="00C353F7"/>
    <w:rsid w:val="00C35A08"/>
    <w:rsid w:val="00C35BF3"/>
    <w:rsid w:val="00C35C91"/>
    <w:rsid w:val="00C35D0A"/>
    <w:rsid w:val="00C35DEE"/>
    <w:rsid w:val="00C35F74"/>
    <w:rsid w:val="00C3606A"/>
    <w:rsid w:val="00C3657B"/>
    <w:rsid w:val="00C36689"/>
    <w:rsid w:val="00C3681B"/>
    <w:rsid w:val="00C3690E"/>
    <w:rsid w:val="00C36A14"/>
    <w:rsid w:val="00C36A74"/>
    <w:rsid w:val="00C3727D"/>
    <w:rsid w:val="00C37565"/>
    <w:rsid w:val="00C402D3"/>
    <w:rsid w:val="00C40407"/>
    <w:rsid w:val="00C41127"/>
    <w:rsid w:val="00C416EB"/>
    <w:rsid w:val="00C41799"/>
    <w:rsid w:val="00C419EA"/>
    <w:rsid w:val="00C41B3A"/>
    <w:rsid w:val="00C41B99"/>
    <w:rsid w:val="00C41F42"/>
    <w:rsid w:val="00C42253"/>
    <w:rsid w:val="00C4258E"/>
    <w:rsid w:val="00C42F3C"/>
    <w:rsid w:val="00C434A0"/>
    <w:rsid w:val="00C4392E"/>
    <w:rsid w:val="00C43954"/>
    <w:rsid w:val="00C43DFE"/>
    <w:rsid w:val="00C43FDD"/>
    <w:rsid w:val="00C44281"/>
    <w:rsid w:val="00C4450C"/>
    <w:rsid w:val="00C4454A"/>
    <w:rsid w:val="00C44C07"/>
    <w:rsid w:val="00C44F9F"/>
    <w:rsid w:val="00C451D0"/>
    <w:rsid w:val="00C4544F"/>
    <w:rsid w:val="00C4604F"/>
    <w:rsid w:val="00C461EB"/>
    <w:rsid w:val="00C46C2B"/>
    <w:rsid w:val="00C47881"/>
    <w:rsid w:val="00C47931"/>
    <w:rsid w:val="00C4799E"/>
    <w:rsid w:val="00C479C1"/>
    <w:rsid w:val="00C50169"/>
    <w:rsid w:val="00C506C0"/>
    <w:rsid w:val="00C507CD"/>
    <w:rsid w:val="00C518C9"/>
    <w:rsid w:val="00C5227E"/>
    <w:rsid w:val="00C52388"/>
    <w:rsid w:val="00C5274D"/>
    <w:rsid w:val="00C52A5F"/>
    <w:rsid w:val="00C531EE"/>
    <w:rsid w:val="00C531F4"/>
    <w:rsid w:val="00C53C18"/>
    <w:rsid w:val="00C53F4A"/>
    <w:rsid w:val="00C547B8"/>
    <w:rsid w:val="00C549A3"/>
    <w:rsid w:val="00C54E42"/>
    <w:rsid w:val="00C5544D"/>
    <w:rsid w:val="00C5567A"/>
    <w:rsid w:val="00C55A1F"/>
    <w:rsid w:val="00C55A2C"/>
    <w:rsid w:val="00C55CC9"/>
    <w:rsid w:val="00C55D00"/>
    <w:rsid w:val="00C55D55"/>
    <w:rsid w:val="00C55E7F"/>
    <w:rsid w:val="00C560AA"/>
    <w:rsid w:val="00C562E0"/>
    <w:rsid w:val="00C57594"/>
    <w:rsid w:val="00C57A68"/>
    <w:rsid w:val="00C57A9D"/>
    <w:rsid w:val="00C60095"/>
    <w:rsid w:val="00C600BA"/>
    <w:rsid w:val="00C601D3"/>
    <w:rsid w:val="00C60313"/>
    <w:rsid w:val="00C60676"/>
    <w:rsid w:val="00C60B1C"/>
    <w:rsid w:val="00C60BBD"/>
    <w:rsid w:val="00C61057"/>
    <w:rsid w:val="00C61203"/>
    <w:rsid w:val="00C61571"/>
    <w:rsid w:val="00C61863"/>
    <w:rsid w:val="00C61EEC"/>
    <w:rsid w:val="00C61F69"/>
    <w:rsid w:val="00C6252D"/>
    <w:rsid w:val="00C62B4A"/>
    <w:rsid w:val="00C632DE"/>
    <w:rsid w:val="00C63CC4"/>
    <w:rsid w:val="00C65F2B"/>
    <w:rsid w:val="00C66092"/>
    <w:rsid w:val="00C66DC8"/>
    <w:rsid w:val="00C6749F"/>
    <w:rsid w:val="00C67D69"/>
    <w:rsid w:val="00C703F4"/>
    <w:rsid w:val="00C7093C"/>
    <w:rsid w:val="00C70AF1"/>
    <w:rsid w:val="00C70EAC"/>
    <w:rsid w:val="00C70FF1"/>
    <w:rsid w:val="00C71091"/>
    <w:rsid w:val="00C71203"/>
    <w:rsid w:val="00C71403"/>
    <w:rsid w:val="00C71796"/>
    <w:rsid w:val="00C71D0D"/>
    <w:rsid w:val="00C71D6A"/>
    <w:rsid w:val="00C722FC"/>
    <w:rsid w:val="00C72558"/>
    <w:rsid w:val="00C726D5"/>
    <w:rsid w:val="00C72B52"/>
    <w:rsid w:val="00C72C0F"/>
    <w:rsid w:val="00C72D5B"/>
    <w:rsid w:val="00C73147"/>
    <w:rsid w:val="00C73197"/>
    <w:rsid w:val="00C740BA"/>
    <w:rsid w:val="00C742C9"/>
    <w:rsid w:val="00C74680"/>
    <w:rsid w:val="00C74880"/>
    <w:rsid w:val="00C751B0"/>
    <w:rsid w:val="00C751C2"/>
    <w:rsid w:val="00C758EE"/>
    <w:rsid w:val="00C75A0C"/>
    <w:rsid w:val="00C75C32"/>
    <w:rsid w:val="00C7659B"/>
    <w:rsid w:val="00C77030"/>
    <w:rsid w:val="00C772BC"/>
    <w:rsid w:val="00C772FD"/>
    <w:rsid w:val="00C77A1D"/>
    <w:rsid w:val="00C77D26"/>
    <w:rsid w:val="00C77FA2"/>
    <w:rsid w:val="00C803BF"/>
    <w:rsid w:val="00C805F4"/>
    <w:rsid w:val="00C81007"/>
    <w:rsid w:val="00C81107"/>
    <w:rsid w:val="00C8128B"/>
    <w:rsid w:val="00C816D9"/>
    <w:rsid w:val="00C81806"/>
    <w:rsid w:val="00C8183E"/>
    <w:rsid w:val="00C820CA"/>
    <w:rsid w:val="00C82144"/>
    <w:rsid w:val="00C8231E"/>
    <w:rsid w:val="00C825ED"/>
    <w:rsid w:val="00C82BDD"/>
    <w:rsid w:val="00C82CEB"/>
    <w:rsid w:val="00C8347C"/>
    <w:rsid w:val="00C8385D"/>
    <w:rsid w:val="00C838DE"/>
    <w:rsid w:val="00C83E45"/>
    <w:rsid w:val="00C83E8E"/>
    <w:rsid w:val="00C843EB"/>
    <w:rsid w:val="00C84545"/>
    <w:rsid w:val="00C849ED"/>
    <w:rsid w:val="00C84A87"/>
    <w:rsid w:val="00C84DAE"/>
    <w:rsid w:val="00C84FAD"/>
    <w:rsid w:val="00C85110"/>
    <w:rsid w:val="00C85710"/>
    <w:rsid w:val="00C8588E"/>
    <w:rsid w:val="00C859F9"/>
    <w:rsid w:val="00C85B3E"/>
    <w:rsid w:val="00C86AE5"/>
    <w:rsid w:val="00C874C6"/>
    <w:rsid w:val="00C8787E"/>
    <w:rsid w:val="00C87918"/>
    <w:rsid w:val="00C87A15"/>
    <w:rsid w:val="00C90061"/>
    <w:rsid w:val="00C9039D"/>
    <w:rsid w:val="00C9040A"/>
    <w:rsid w:val="00C90545"/>
    <w:rsid w:val="00C90995"/>
    <w:rsid w:val="00C90A9D"/>
    <w:rsid w:val="00C90C2B"/>
    <w:rsid w:val="00C90EA0"/>
    <w:rsid w:val="00C90EA8"/>
    <w:rsid w:val="00C90F90"/>
    <w:rsid w:val="00C914E6"/>
    <w:rsid w:val="00C9153A"/>
    <w:rsid w:val="00C918FD"/>
    <w:rsid w:val="00C91C72"/>
    <w:rsid w:val="00C91E6B"/>
    <w:rsid w:val="00C91F9A"/>
    <w:rsid w:val="00C92345"/>
    <w:rsid w:val="00C9321D"/>
    <w:rsid w:val="00C93335"/>
    <w:rsid w:val="00C93B2D"/>
    <w:rsid w:val="00C93BBA"/>
    <w:rsid w:val="00C93E37"/>
    <w:rsid w:val="00C94187"/>
    <w:rsid w:val="00C9449E"/>
    <w:rsid w:val="00C944CB"/>
    <w:rsid w:val="00C947F2"/>
    <w:rsid w:val="00C95043"/>
    <w:rsid w:val="00C9580F"/>
    <w:rsid w:val="00C95ADC"/>
    <w:rsid w:val="00C97A0B"/>
    <w:rsid w:val="00C97EBD"/>
    <w:rsid w:val="00CA0771"/>
    <w:rsid w:val="00CA077F"/>
    <w:rsid w:val="00CA0811"/>
    <w:rsid w:val="00CA08BE"/>
    <w:rsid w:val="00CA0F22"/>
    <w:rsid w:val="00CA16FA"/>
    <w:rsid w:val="00CA1D0D"/>
    <w:rsid w:val="00CA1E84"/>
    <w:rsid w:val="00CA2022"/>
    <w:rsid w:val="00CA2141"/>
    <w:rsid w:val="00CA2540"/>
    <w:rsid w:val="00CA25A8"/>
    <w:rsid w:val="00CA2957"/>
    <w:rsid w:val="00CA2B64"/>
    <w:rsid w:val="00CA3076"/>
    <w:rsid w:val="00CA3416"/>
    <w:rsid w:val="00CA34B7"/>
    <w:rsid w:val="00CA359A"/>
    <w:rsid w:val="00CA3648"/>
    <w:rsid w:val="00CA3C2D"/>
    <w:rsid w:val="00CA3C83"/>
    <w:rsid w:val="00CA3F7F"/>
    <w:rsid w:val="00CA4185"/>
    <w:rsid w:val="00CA4857"/>
    <w:rsid w:val="00CA485B"/>
    <w:rsid w:val="00CA4925"/>
    <w:rsid w:val="00CA4F1D"/>
    <w:rsid w:val="00CA51D9"/>
    <w:rsid w:val="00CA52FF"/>
    <w:rsid w:val="00CA59A8"/>
    <w:rsid w:val="00CA60F3"/>
    <w:rsid w:val="00CA6C38"/>
    <w:rsid w:val="00CA6E3C"/>
    <w:rsid w:val="00CA70C8"/>
    <w:rsid w:val="00CA70E8"/>
    <w:rsid w:val="00CA71F0"/>
    <w:rsid w:val="00CA7325"/>
    <w:rsid w:val="00CA7456"/>
    <w:rsid w:val="00CB02C0"/>
    <w:rsid w:val="00CB0376"/>
    <w:rsid w:val="00CB0861"/>
    <w:rsid w:val="00CB0A9F"/>
    <w:rsid w:val="00CB0B66"/>
    <w:rsid w:val="00CB0EE4"/>
    <w:rsid w:val="00CB13EC"/>
    <w:rsid w:val="00CB15B2"/>
    <w:rsid w:val="00CB169B"/>
    <w:rsid w:val="00CB1AD7"/>
    <w:rsid w:val="00CB2133"/>
    <w:rsid w:val="00CB2352"/>
    <w:rsid w:val="00CB2368"/>
    <w:rsid w:val="00CB27AA"/>
    <w:rsid w:val="00CB289F"/>
    <w:rsid w:val="00CB3147"/>
    <w:rsid w:val="00CB3765"/>
    <w:rsid w:val="00CB3F7F"/>
    <w:rsid w:val="00CB403A"/>
    <w:rsid w:val="00CB4431"/>
    <w:rsid w:val="00CB4599"/>
    <w:rsid w:val="00CB4906"/>
    <w:rsid w:val="00CB5102"/>
    <w:rsid w:val="00CB5265"/>
    <w:rsid w:val="00CB59BB"/>
    <w:rsid w:val="00CB5C6D"/>
    <w:rsid w:val="00CB6040"/>
    <w:rsid w:val="00CB6539"/>
    <w:rsid w:val="00CB66F6"/>
    <w:rsid w:val="00CB6C4F"/>
    <w:rsid w:val="00CB6D85"/>
    <w:rsid w:val="00CB7721"/>
    <w:rsid w:val="00CB7CE0"/>
    <w:rsid w:val="00CC02EF"/>
    <w:rsid w:val="00CC0504"/>
    <w:rsid w:val="00CC0E1E"/>
    <w:rsid w:val="00CC1BCE"/>
    <w:rsid w:val="00CC1D6D"/>
    <w:rsid w:val="00CC1DAA"/>
    <w:rsid w:val="00CC1E7A"/>
    <w:rsid w:val="00CC24E7"/>
    <w:rsid w:val="00CC25F2"/>
    <w:rsid w:val="00CC362C"/>
    <w:rsid w:val="00CC37E6"/>
    <w:rsid w:val="00CC3B71"/>
    <w:rsid w:val="00CC409D"/>
    <w:rsid w:val="00CC4737"/>
    <w:rsid w:val="00CC4871"/>
    <w:rsid w:val="00CC4FEF"/>
    <w:rsid w:val="00CC5101"/>
    <w:rsid w:val="00CC5304"/>
    <w:rsid w:val="00CC55BB"/>
    <w:rsid w:val="00CC5980"/>
    <w:rsid w:val="00CC59C0"/>
    <w:rsid w:val="00CC5DE8"/>
    <w:rsid w:val="00CC69ED"/>
    <w:rsid w:val="00CC69EF"/>
    <w:rsid w:val="00CC6C1B"/>
    <w:rsid w:val="00CC72F8"/>
    <w:rsid w:val="00CC7955"/>
    <w:rsid w:val="00CD04AD"/>
    <w:rsid w:val="00CD06F6"/>
    <w:rsid w:val="00CD0769"/>
    <w:rsid w:val="00CD0C33"/>
    <w:rsid w:val="00CD0E3F"/>
    <w:rsid w:val="00CD0F1E"/>
    <w:rsid w:val="00CD1602"/>
    <w:rsid w:val="00CD1771"/>
    <w:rsid w:val="00CD1EF2"/>
    <w:rsid w:val="00CD204A"/>
    <w:rsid w:val="00CD25F0"/>
    <w:rsid w:val="00CD29EE"/>
    <w:rsid w:val="00CD2A9A"/>
    <w:rsid w:val="00CD2B11"/>
    <w:rsid w:val="00CD2F1C"/>
    <w:rsid w:val="00CD3151"/>
    <w:rsid w:val="00CD3278"/>
    <w:rsid w:val="00CD3330"/>
    <w:rsid w:val="00CD33CE"/>
    <w:rsid w:val="00CD3AF3"/>
    <w:rsid w:val="00CD3BB8"/>
    <w:rsid w:val="00CD42D7"/>
    <w:rsid w:val="00CD4521"/>
    <w:rsid w:val="00CD48F3"/>
    <w:rsid w:val="00CD4C2E"/>
    <w:rsid w:val="00CD4C4C"/>
    <w:rsid w:val="00CD4E4E"/>
    <w:rsid w:val="00CD5107"/>
    <w:rsid w:val="00CD593B"/>
    <w:rsid w:val="00CD595A"/>
    <w:rsid w:val="00CD5993"/>
    <w:rsid w:val="00CD5A07"/>
    <w:rsid w:val="00CD5CD3"/>
    <w:rsid w:val="00CD6328"/>
    <w:rsid w:val="00CD6526"/>
    <w:rsid w:val="00CD66BC"/>
    <w:rsid w:val="00CD738C"/>
    <w:rsid w:val="00CD7789"/>
    <w:rsid w:val="00CD7D5C"/>
    <w:rsid w:val="00CD7D69"/>
    <w:rsid w:val="00CE02E3"/>
    <w:rsid w:val="00CE03B2"/>
    <w:rsid w:val="00CE0761"/>
    <w:rsid w:val="00CE1163"/>
    <w:rsid w:val="00CE129F"/>
    <w:rsid w:val="00CE136B"/>
    <w:rsid w:val="00CE1671"/>
    <w:rsid w:val="00CE16B6"/>
    <w:rsid w:val="00CE17E3"/>
    <w:rsid w:val="00CE1B99"/>
    <w:rsid w:val="00CE2293"/>
    <w:rsid w:val="00CE266B"/>
    <w:rsid w:val="00CE2877"/>
    <w:rsid w:val="00CE2ACD"/>
    <w:rsid w:val="00CE3538"/>
    <w:rsid w:val="00CE35EE"/>
    <w:rsid w:val="00CE3B6B"/>
    <w:rsid w:val="00CE3B84"/>
    <w:rsid w:val="00CE3F5A"/>
    <w:rsid w:val="00CE442B"/>
    <w:rsid w:val="00CE46E4"/>
    <w:rsid w:val="00CE4CD7"/>
    <w:rsid w:val="00CE5028"/>
    <w:rsid w:val="00CE5CDB"/>
    <w:rsid w:val="00CE5E57"/>
    <w:rsid w:val="00CE64FC"/>
    <w:rsid w:val="00CE6692"/>
    <w:rsid w:val="00CE67C8"/>
    <w:rsid w:val="00CE7251"/>
    <w:rsid w:val="00CE78E6"/>
    <w:rsid w:val="00CE7B14"/>
    <w:rsid w:val="00CF0294"/>
    <w:rsid w:val="00CF04E1"/>
    <w:rsid w:val="00CF065E"/>
    <w:rsid w:val="00CF0BD7"/>
    <w:rsid w:val="00CF0DF4"/>
    <w:rsid w:val="00CF138F"/>
    <w:rsid w:val="00CF1AA6"/>
    <w:rsid w:val="00CF1C0F"/>
    <w:rsid w:val="00CF1DDD"/>
    <w:rsid w:val="00CF20A7"/>
    <w:rsid w:val="00CF228C"/>
    <w:rsid w:val="00CF22F6"/>
    <w:rsid w:val="00CF2973"/>
    <w:rsid w:val="00CF2B16"/>
    <w:rsid w:val="00CF319D"/>
    <w:rsid w:val="00CF3941"/>
    <w:rsid w:val="00CF39C1"/>
    <w:rsid w:val="00CF593C"/>
    <w:rsid w:val="00CF5BD9"/>
    <w:rsid w:val="00CF5E9B"/>
    <w:rsid w:val="00CF635B"/>
    <w:rsid w:val="00CF67E3"/>
    <w:rsid w:val="00CF6F4F"/>
    <w:rsid w:val="00CF7427"/>
    <w:rsid w:val="00CF74D7"/>
    <w:rsid w:val="00CF7831"/>
    <w:rsid w:val="00CF7C08"/>
    <w:rsid w:val="00CF7C41"/>
    <w:rsid w:val="00D0038B"/>
    <w:rsid w:val="00D0049C"/>
    <w:rsid w:val="00D00A5A"/>
    <w:rsid w:val="00D01363"/>
    <w:rsid w:val="00D016FB"/>
    <w:rsid w:val="00D019AD"/>
    <w:rsid w:val="00D026E9"/>
    <w:rsid w:val="00D02E37"/>
    <w:rsid w:val="00D02E54"/>
    <w:rsid w:val="00D02FF8"/>
    <w:rsid w:val="00D03229"/>
    <w:rsid w:val="00D03CE8"/>
    <w:rsid w:val="00D03F9C"/>
    <w:rsid w:val="00D0427E"/>
    <w:rsid w:val="00D0457A"/>
    <w:rsid w:val="00D046D2"/>
    <w:rsid w:val="00D0486F"/>
    <w:rsid w:val="00D04BA8"/>
    <w:rsid w:val="00D05036"/>
    <w:rsid w:val="00D055BC"/>
    <w:rsid w:val="00D0561C"/>
    <w:rsid w:val="00D059D2"/>
    <w:rsid w:val="00D05E89"/>
    <w:rsid w:val="00D061B2"/>
    <w:rsid w:val="00D06298"/>
    <w:rsid w:val="00D06E08"/>
    <w:rsid w:val="00D07294"/>
    <w:rsid w:val="00D07A73"/>
    <w:rsid w:val="00D1015F"/>
    <w:rsid w:val="00D10356"/>
    <w:rsid w:val="00D104C0"/>
    <w:rsid w:val="00D10D92"/>
    <w:rsid w:val="00D10E18"/>
    <w:rsid w:val="00D11617"/>
    <w:rsid w:val="00D116B0"/>
    <w:rsid w:val="00D11E5E"/>
    <w:rsid w:val="00D11E7F"/>
    <w:rsid w:val="00D12C66"/>
    <w:rsid w:val="00D12DB2"/>
    <w:rsid w:val="00D13048"/>
    <w:rsid w:val="00D13227"/>
    <w:rsid w:val="00D1337D"/>
    <w:rsid w:val="00D13A09"/>
    <w:rsid w:val="00D13A5B"/>
    <w:rsid w:val="00D13D47"/>
    <w:rsid w:val="00D14160"/>
    <w:rsid w:val="00D14915"/>
    <w:rsid w:val="00D149DD"/>
    <w:rsid w:val="00D14A4B"/>
    <w:rsid w:val="00D14B51"/>
    <w:rsid w:val="00D14F92"/>
    <w:rsid w:val="00D152FE"/>
    <w:rsid w:val="00D15747"/>
    <w:rsid w:val="00D15C0D"/>
    <w:rsid w:val="00D164B0"/>
    <w:rsid w:val="00D1658D"/>
    <w:rsid w:val="00D16A40"/>
    <w:rsid w:val="00D179A9"/>
    <w:rsid w:val="00D17B46"/>
    <w:rsid w:val="00D20371"/>
    <w:rsid w:val="00D205A3"/>
    <w:rsid w:val="00D2083E"/>
    <w:rsid w:val="00D2095C"/>
    <w:rsid w:val="00D20AD1"/>
    <w:rsid w:val="00D21849"/>
    <w:rsid w:val="00D21997"/>
    <w:rsid w:val="00D22060"/>
    <w:rsid w:val="00D2217D"/>
    <w:rsid w:val="00D22563"/>
    <w:rsid w:val="00D22834"/>
    <w:rsid w:val="00D22A81"/>
    <w:rsid w:val="00D22E3F"/>
    <w:rsid w:val="00D2307F"/>
    <w:rsid w:val="00D233D8"/>
    <w:rsid w:val="00D237E3"/>
    <w:rsid w:val="00D23A25"/>
    <w:rsid w:val="00D23CC8"/>
    <w:rsid w:val="00D2413B"/>
    <w:rsid w:val="00D24817"/>
    <w:rsid w:val="00D24B12"/>
    <w:rsid w:val="00D24BAD"/>
    <w:rsid w:val="00D24C56"/>
    <w:rsid w:val="00D24FBE"/>
    <w:rsid w:val="00D25A6C"/>
    <w:rsid w:val="00D25B46"/>
    <w:rsid w:val="00D26278"/>
    <w:rsid w:val="00D263AF"/>
    <w:rsid w:val="00D265D2"/>
    <w:rsid w:val="00D26769"/>
    <w:rsid w:val="00D26A21"/>
    <w:rsid w:val="00D272CD"/>
    <w:rsid w:val="00D272D5"/>
    <w:rsid w:val="00D27371"/>
    <w:rsid w:val="00D277C8"/>
    <w:rsid w:val="00D27986"/>
    <w:rsid w:val="00D27E6C"/>
    <w:rsid w:val="00D27FF3"/>
    <w:rsid w:val="00D30994"/>
    <w:rsid w:val="00D30DB6"/>
    <w:rsid w:val="00D31078"/>
    <w:rsid w:val="00D313DF"/>
    <w:rsid w:val="00D3141E"/>
    <w:rsid w:val="00D319D0"/>
    <w:rsid w:val="00D31B9B"/>
    <w:rsid w:val="00D31DAD"/>
    <w:rsid w:val="00D32B56"/>
    <w:rsid w:val="00D32CDF"/>
    <w:rsid w:val="00D332EE"/>
    <w:rsid w:val="00D33A33"/>
    <w:rsid w:val="00D33BB0"/>
    <w:rsid w:val="00D33CA6"/>
    <w:rsid w:val="00D3441C"/>
    <w:rsid w:val="00D3454E"/>
    <w:rsid w:val="00D3459D"/>
    <w:rsid w:val="00D345DD"/>
    <w:rsid w:val="00D348E3"/>
    <w:rsid w:val="00D351DC"/>
    <w:rsid w:val="00D35706"/>
    <w:rsid w:val="00D35B10"/>
    <w:rsid w:val="00D35B2E"/>
    <w:rsid w:val="00D35C29"/>
    <w:rsid w:val="00D35CB0"/>
    <w:rsid w:val="00D35F06"/>
    <w:rsid w:val="00D3643A"/>
    <w:rsid w:val="00D36A9A"/>
    <w:rsid w:val="00D36CA5"/>
    <w:rsid w:val="00D37074"/>
    <w:rsid w:val="00D370B6"/>
    <w:rsid w:val="00D371B3"/>
    <w:rsid w:val="00D378C3"/>
    <w:rsid w:val="00D37AAF"/>
    <w:rsid w:val="00D37B95"/>
    <w:rsid w:val="00D37D57"/>
    <w:rsid w:val="00D37E7F"/>
    <w:rsid w:val="00D40A83"/>
    <w:rsid w:val="00D40CB9"/>
    <w:rsid w:val="00D40DD6"/>
    <w:rsid w:val="00D41395"/>
    <w:rsid w:val="00D41D54"/>
    <w:rsid w:val="00D42680"/>
    <w:rsid w:val="00D432EF"/>
    <w:rsid w:val="00D43C7D"/>
    <w:rsid w:val="00D43C89"/>
    <w:rsid w:val="00D43F13"/>
    <w:rsid w:val="00D43F2D"/>
    <w:rsid w:val="00D44180"/>
    <w:rsid w:val="00D4454B"/>
    <w:rsid w:val="00D448AC"/>
    <w:rsid w:val="00D448AD"/>
    <w:rsid w:val="00D449A6"/>
    <w:rsid w:val="00D44A1C"/>
    <w:rsid w:val="00D44B6A"/>
    <w:rsid w:val="00D45425"/>
    <w:rsid w:val="00D455C1"/>
    <w:rsid w:val="00D45C53"/>
    <w:rsid w:val="00D45D45"/>
    <w:rsid w:val="00D45E46"/>
    <w:rsid w:val="00D461C1"/>
    <w:rsid w:val="00D464CA"/>
    <w:rsid w:val="00D4684A"/>
    <w:rsid w:val="00D468C9"/>
    <w:rsid w:val="00D4699C"/>
    <w:rsid w:val="00D46C13"/>
    <w:rsid w:val="00D4738F"/>
    <w:rsid w:val="00D477E8"/>
    <w:rsid w:val="00D4794B"/>
    <w:rsid w:val="00D47B41"/>
    <w:rsid w:val="00D47BDB"/>
    <w:rsid w:val="00D47C43"/>
    <w:rsid w:val="00D50576"/>
    <w:rsid w:val="00D505C4"/>
    <w:rsid w:val="00D506BC"/>
    <w:rsid w:val="00D507FB"/>
    <w:rsid w:val="00D5131B"/>
    <w:rsid w:val="00D513CD"/>
    <w:rsid w:val="00D519DD"/>
    <w:rsid w:val="00D51D8B"/>
    <w:rsid w:val="00D51E53"/>
    <w:rsid w:val="00D51F88"/>
    <w:rsid w:val="00D5250E"/>
    <w:rsid w:val="00D52543"/>
    <w:rsid w:val="00D5257F"/>
    <w:rsid w:val="00D525FF"/>
    <w:rsid w:val="00D52818"/>
    <w:rsid w:val="00D52968"/>
    <w:rsid w:val="00D52AAC"/>
    <w:rsid w:val="00D52C13"/>
    <w:rsid w:val="00D53797"/>
    <w:rsid w:val="00D53A2C"/>
    <w:rsid w:val="00D53E5C"/>
    <w:rsid w:val="00D541FF"/>
    <w:rsid w:val="00D5443A"/>
    <w:rsid w:val="00D54EC4"/>
    <w:rsid w:val="00D55320"/>
    <w:rsid w:val="00D55708"/>
    <w:rsid w:val="00D559AB"/>
    <w:rsid w:val="00D55D45"/>
    <w:rsid w:val="00D55E07"/>
    <w:rsid w:val="00D55E72"/>
    <w:rsid w:val="00D56736"/>
    <w:rsid w:val="00D56C0E"/>
    <w:rsid w:val="00D56ED5"/>
    <w:rsid w:val="00D571B0"/>
    <w:rsid w:val="00D571F1"/>
    <w:rsid w:val="00D57E45"/>
    <w:rsid w:val="00D601CF"/>
    <w:rsid w:val="00D605C5"/>
    <w:rsid w:val="00D60718"/>
    <w:rsid w:val="00D60736"/>
    <w:rsid w:val="00D607ED"/>
    <w:rsid w:val="00D60D3E"/>
    <w:rsid w:val="00D60D9A"/>
    <w:rsid w:val="00D60E9F"/>
    <w:rsid w:val="00D626EA"/>
    <w:rsid w:val="00D629C8"/>
    <w:rsid w:val="00D62EDE"/>
    <w:rsid w:val="00D639E7"/>
    <w:rsid w:val="00D63BE6"/>
    <w:rsid w:val="00D6412F"/>
    <w:rsid w:val="00D64799"/>
    <w:rsid w:val="00D64A84"/>
    <w:rsid w:val="00D64AA1"/>
    <w:rsid w:val="00D64D79"/>
    <w:rsid w:val="00D64EBE"/>
    <w:rsid w:val="00D65221"/>
    <w:rsid w:val="00D65266"/>
    <w:rsid w:val="00D65359"/>
    <w:rsid w:val="00D65742"/>
    <w:rsid w:val="00D65751"/>
    <w:rsid w:val="00D658AA"/>
    <w:rsid w:val="00D65A88"/>
    <w:rsid w:val="00D65B34"/>
    <w:rsid w:val="00D661F3"/>
    <w:rsid w:val="00D66588"/>
    <w:rsid w:val="00D667C4"/>
    <w:rsid w:val="00D66B6A"/>
    <w:rsid w:val="00D66DA2"/>
    <w:rsid w:val="00D66F7C"/>
    <w:rsid w:val="00D67187"/>
    <w:rsid w:val="00D671F7"/>
    <w:rsid w:val="00D7017D"/>
    <w:rsid w:val="00D70A80"/>
    <w:rsid w:val="00D70C5D"/>
    <w:rsid w:val="00D70DD0"/>
    <w:rsid w:val="00D70FAB"/>
    <w:rsid w:val="00D7107D"/>
    <w:rsid w:val="00D71477"/>
    <w:rsid w:val="00D7181C"/>
    <w:rsid w:val="00D72776"/>
    <w:rsid w:val="00D72BFA"/>
    <w:rsid w:val="00D72DB7"/>
    <w:rsid w:val="00D732CB"/>
    <w:rsid w:val="00D7332C"/>
    <w:rsid w:val="00D7362F"/>
    <w:rsid w:val="00D73674"/>
    <w:rsid w:val="00D73682"/>
    <w:rsid w:val="00D73F46"/>
    <w:rsid w:val="00D73F71"/>
    <w:rsid w:val="00D74137"/>
    <w:rsid w:val="00D742FB"/>
    <w:rsid w:val="00D7441F"/>
    <w:rsid w:val="00D7457E"/>
    <w:rsid w:val="00D74744"/>
    <w:rsid w:val="00D74777"/>
    <w:rsid w:val="00D74945"/>
    <w:rsid w:val="00D750A0"/>
    <w:rsid w:val="00D7511E"/>
    <w:rsid w:val="00D758C5"/>
    <w:rsid w:val="00D76128"/>
    <w:rsid w:val="00D762B4"/>
    <w:rsid w:val="00D7681C"/>
    <w:rsid w:val="00D769E5"/>
    <w:rsid w:val="00D76FDD"/>
    <w:rsid w:val="00D772B9"/>
    <w:rsid w:val="00D77D29"/>
    <w:rsid w:val="00D77D61"/>
    <w:rsid w:val="00D77EA9"/>
    <w:rsid w:val="00D77ED7"/>
    <w:rsid w:val="00D80431"/>
    <w:rsid w:val="00D804DD"/>
    <w:rsid w:val="00D80597"/>
    <w:rsid w:val="00D80687"/>
    <w:rsid w:val="00D8087A"/>
    <w:rsid w:val="00D809A6"/>
    <w:rsid w:val="00D80A05"/>
    <w:rsid w:val="00D81327"/>
    <w:rsid w:val="00D81384"/>
    <w:rsid w:val="00D81966"/>
    <w:rsid w:val="00D81B9C"/>
    <w:rsid w:val="00D823C3"/>
    <w:rsid w:val="00D83230"/>
    <w:rsid w:val="00D83511"/>
    <w:rsid w:val="00D8389B"/>
    <w:rsid w:val="00D83F9A"/>
    <w:rsid w:val="00D842D1"/>
    <w:rsid w:val="00D84661"/>
    <w:rsid w:val="00D84E8A"/>
    <w:rsid w:val="00D84F00"/>
    <w:rsid w:val="00D84F95"/>
    <w:rsid w:val="00D852CB"/>
    <w:rsid w:val="00D85403"/>
    <w:rsid w:val="00D85B3B"/>
    <w:rsid w:val="00D86AB7"/>
    <w:rsid w:val="00D86B43"/>
    <w:rsid w:val="00D86CAD"/>
    <w:rsid w:val="00D870ED"/>
    <w:rsid w:val="00D87D82"/>
    <w:rsid w:val="00D87DCE"/>
    <w:rsid w:val="00D90FA2"/>
    <w:rsid w:val="00D9100D"/>
    <w:rsid w:val="00D919C0"/>
    <w:rsid w:val="00D921B2"/>
    <w:rsid w:val="00D9288B"/>
    <w:rsid w:val="00D93524"/>
    <w:rsid w:val="00D93799"/>
    <w:rsid w:val="00D93B14"/>
    <w:rsid w:val="00D941DA"/>
    <w:rsid w:val="00D94223"/>
    <w:rsid w:val="00D94C8B"/>
    <w:rsid w:val="00D9545D"/>
    <w:rsid w:val="00D95DE1"/>
    <w:rsid w:val="00D95F41"/>
    <w:rsid w:val="00D9658F"/>
    <w:rsid w:val="00D969D7"/>
    <w:rsid w:val="00D97C7B"/>
    <w:rsid w:val="00D97FDB"/>
    <w:rsid w:val="00DA083E"/>
    <w:rsid w:val="00DA08DC"/>
    <w:rsid w:val="00DA0932"/>
    <w:rsid w:val="00DA0D27"/>
    <w:rsid w:val="00DA0EC1"/>
    <w:rsid w:val="00DA1564"/>
    <w:rsid w:val="00DA1676"/>
    <w:rsid w:val="00DA256B"/>
    <w:rsid w:val="00DA28C3"/>
    <w:rsid w:val="00DA2F1E"/>
    <w:rsid w:val="00DA320C"/>
    <w:rsid w:val="00DA3AC0"/>
    <w:rsid w:val="00DA4DC0"/>
    <w:rsid w:val="00DA4DF4"/>
    <w:rsid w:val="00DA4E8F"/>
    <w:rsid w:val="00DA4F20"/>
    <w:rsid w:val="00DA5083"/>
    <w:rsid w:val="00DA5524"/>
    <w:rsid w:val="00DA5654"/>
    <w:rsid w:val="00DA565A"/>
    <w:rsid w:val="00DA5F4B"/>
    <w:rsid w:val="00DA6A4B"/>
    <w:rsid w:val="00DA6F9E"/>
    <w:rsid w:val="00DA6FCA"/>
    <w:rsid w:val="00DA7083"/>
    <w:rsid w:val="00DA7C31"/>
    <w:rsid w:val="00DB02AC"/>
    <w:rsid w:val="00DB0386"/>
    <w:rsid w:val="00DB058F"/>
    <w:rsid w:val="00DB0D8D"/>
    <w:rsid w:val="00DB11BA"/>
    <w:rsid w:val="00DB1675"/>
    <w:rsid w:val="00DB185D"/>
    <w:rsid w:val="00DB1BCA"/>
    <w:rsid w:val="00DB2237"/>
    <w:rsid w:val="00DB22A8"/>
    <w:rsid w:val="00DB2E16"/>
    <w:rsid w:val="00DB3752"/>
    <w:rsid w:val="00DB3873"/>
    <w:rsid w:val="00DB4071"/>
    <w:rsid w:val="00DB40BE"/>
    <w:rsid w:val="00DB411D"/>
    <w:rsid w:val="00DB415A"/>
    <w:rsid w:val="00DB448C"/>
    <w:rsid w:val="00DB44FB"/>
    <w:rsid w:val="00DB46E1"/>
    <w:rsid w:val="00DB477C"/>
    <w:rsid w:val="00DB4814"/>
    <w:rsid w:val="00DB4B37"/>
    <w:rsid w:val="00DB4C9B"/>
    <w:rsid w:val="00DB53CA"/>
    <w:rsid w:val="00DB56BC"/>
    <w:rsid w:val="00DB5C11"/>
    <w:rsid w:val="00DB61FA"/>
    <w:rsid w:val="00DB6B54"/>
    <w:rsid w:val="00DB722F"/>
    <w:rsid w:val="00DB7429"/>
    <w:rsid w:val="00DB7772"/>
    <w:rsid w:val="00DB7A57"/>
    <w:rsid w:val="00DB7C10"/>
    <w:rsid w:val="00DC0033"/>
    <w:rsid w:val="00DC029C"/>
    <w:rsid w:val="00DC0362"/>
    <w:rsid w:val="00DC093E"/>
    <w:rsid w:val="00DC0D3E"/>
    <w:rsid w:val="00DC1DA1"/>
    <w:rsid w:val="00DC1F9B"/>
    <w:rsid w:val="00DC229A"/>
    <w:rsid w:val="00DC230F"/>
    <w:rsid w:val="00DC2389"/>
    <w:rsid w:val="00DC26D9"/>
    <w:rsid w:val="00DC2A5A"/>
    <w:rsid w:val="00DC2E0E"/>
    <w:rsid w:val="00DC302C"/>
    <w:rsid w:val="00DC30E3"/>
    <w:rsid w:val="00DC32BD"/>
    <w:rsid w:val="00DC3758"/>
    <w:rsid w:val="00DC37CF"/>
    <w:rsid w:val="00DC425F"/>
    <w:rsid w:val="00DC4476"/>
    <w:rsid w:val="00DC4597"/>
    <w:rsid w:val="00DC48CE"/>
    <w:rsid w:val="00DC4B41"/>
    <w:rsid w:val="00DC4D68"/>
    <w:rsid w:val="00DC4E6C"/>
    <w:rsid w:val="00DC52FD"/>
    <w:rsid w:val="00DC55C2"/>
    <w:rsid w:val="00DC5BE5"/>
    <w:rsid w:val="00DC5D7B"/>
    <w:rsid w:val="00DC685E"/>
    <w:rsid w:val="00DC7528"/>
    <w:rsid w:val="00DC7AEC"/>
    <w:rsid w:val="00DC7EB8"/>
    <w:rsid w:val="00DD003E"/>
    <w:rsid w:val="00DD0351"/>
    <w:rsid w:val="00DD0695"/>
    <w:rsid w:val="00DD07EE"/>
    <w:rsid w:val="00DD0A6B"/>
    <w:rsid w:val="00DD181E"/>
    <w:rsid w:val="00DD1824"/>
    <w:rsid w:val="00DD1D29"/>
    <w:rsid w:val="00DD201A"/>
    <w:rsid w:val="00DD2185"/>
    <w:rsid w:val="00DD2794"/>
    <w:rsid w:val="00DD2AD5"/>
    <w:rsid w:val="00DD2B0D"/>
    <w:rsid w:val="00DD2E4C"/>
    <w:rsid w:val="00DD2EF4"/>
    <w:rsid w:val="00DD331A"/>
    <w:rsid w:val="00DD3CFC"/>
    <w:rsid w:val="00DD3D0B"/>
    <w:rsid w:val="00DD3D22"/>
    <w:rsid w:val="00DD3D8A"/>
    <w:rsid w:val="00DD4569"/>
    <w:rsid w:val="00DD46BB"/>
    <w:rsid w:val="00DD4835"/>
    <w:rsid w:val="00DD4ED0"/>
    <w:rsid w:val="00DD4F16"/>
    <w:rsid w:val="00DD523B"/>
    <w:rsid w:val="00DD5291"/>
    <w:rsid w:val="00DD585A"/>
    <w:rsid w:val="00DD5C59"/>
    <w:rsid w:val="00DD5D71"/>
    <w:rsid w:val="00DD5FA2"/>
    <w:rsid w:val="00DD60D0"/>
    <w:rsid w:val="00DD60EB"/>
    <w:rsid w:val="00DD671D"/>
    <w:rsid w:val="00DD6D14"/>
    <w:rsid w:val="00DD703F"/>
    <w:rsid w:val="00DD783A"/>
    <w:rsid w:val="00DD7917"/>
    <w:rsid w:val="00DD7923"/>
    <w:rsid w:val="00DD7977"/>
    <w:rsid w:val="00DD7B9A"/>
    <w:rsid w:val="00DD7EC7"/>
    <w:rsid w:val="00DE0658"/>
    <w:rsid w:val="00DE0E64"/>
    <w:rsid w:val="00DE115E"/>
    <w:rsid w:val="00DE17EE"/>
    <w:rsid w:val="00DE19FE"/>
    <w:rsid w:val="00DE1CD9"/>
    <w:rsid w:val="00DE226F"/>
    <w:rsid w:val="00DE2801"/>
    <w:rsid w:val="00DE2994"/>
    <w:rsid w:val="00DE2B6F"/>
    <w:rsid w:val="00DE2DA4"/>
    <w:rsid w:val="00DE346E"/>
    <w:rsid w:val="00DE391D"/>
    <w:rsid w:val="00DE3A9D"/>
    <w:rsid w:val="00DE3CD3"/>
    <w:rsid w:val="00DE3D36"/>
    <w:rsid w:val="00DE4045"/>
    <w:rsid w:val="00DE4577"/>
    <w:rsid w:val="00DE5069"/>
    <w:rsid w:val="00DE5AA9"/>
    <w:rsid w:val="00DE5F64"/>
    <w:rsid w:val="00DE6066"/>
    <w:rsid w:val="00DE616F"/>
    <w:rsid w:val="00DE63FE"/>
    <w:rsid w:val="00DE6A3B"/>
    <w:rsid w:val="00DE6CC8"/>
    <w:rsid w:val="00DE6FD6"/>
    <w:rsid w:val="00DE70EA"/>
    <w:rsid w:val="00DE7197"/>
    <w:rsid w:val="00DE71D4"/>
    <w:rsid w:val="00DE7452"/>
    <w:rsid w:val="00DE780F"/>
    <w:rsid w:val="00DF003D"/>
    <w:rsid w:val="00DF0932"/>
    <w:rsid w:val="00DF0B12"/>
    <w:rsid w:val="00DF0D30"/>
    <w:rsid w:val="00DF106F"/>
    <w:rsid w:val="00DF1AD7"/>
    <w:rsid w:val="00DF1B42"/>
    <w:rsid w:val="00DF1BB1"/>
    <w:rsid w:val="00DF1FD9"/>
    <w:rsid w:val="00DF26D5"/>
    <w:rsid w:val="00DF29FA"/>
    <w:rsid w:val="00DF29FE"/>
    <w:rsid w:val="00DF2FAD"/>
    <w:rsid w:val="00DF309E"/>
    <w:rsid w:val="00DF3712"/>
    <w:rsid w:val="00DF388E"/>
    <w:rsid w:val="00DF389D"/>
    <w:rsid w:val="00DF3F57"/>
    <w:rsid w:val="00DF408C"/>
    <w:rsid w:val="00DF4178"/>
    <w:rsid w:val="00DF475C"/>
    <w:rsid w:val="00DF49A1"/>
    <w:rsid w:val="00DF4D9D"/>
    <w:rsid w:val="00DF4FBA"/>
    <w:rsid w:val="00DF517A"/>
    <w:rsid w:val="00DF588D"/>
    <w:rsid w:val="00DF5CD2"/>
    <w:rsid w:val="00DF5D0F"/>
    <w:rsid w:val="00DF61E7"/>
    <w:rsid w:val="00DF634E"/>
    <w:rsid w:val="00DF64B2"/>
    <w:rsid w:val="00DF6797"/>
    <w:rsid w:val="00DF68E0"/>
    <w:rsid w:val="00DF697B"/>
    <w:rsid w:val="00DF6C93"/>
    <w:rsid w:val="00DF6E74"/>
    <w:rsid w:val="00DF70F7"/>
    <w:rsid w:val="00DF710E"/>
    <w:rsid w:val="00DF7185"/>
    <w:rsid w:val="00DF73C8"/>
    <w:rsid w:val="00DF7700"/>
    <w:rsid w:val="00E00652"/>
    <w:rsid w:val="00E010E0"/>
    <w:rsid w:val="00E012C3"/>
    <w:rsid w:val="00E02350"/>
    <w:rsid w:val="00E02F34"/>
    <w:rsid w:val="00E03203"/>
    <w:rsid w:val="00E035B4"/>
    <w:rsid w:val="00E03A75"/>
    <w:rsid w:val="00E03B59"/>
    <w:rsid w:val="00E03D29"/>
    <w:rsid w:val="00E03FBA"/>
    <w:rsid w:val="00E04293"/>
    <w:rsid w:val="00E04313"/>
    <w:rsid w:val="00E043CE"/>
    <w:rsid w:val="00E048FA"/>
    <w:rsid w:val="00E04985"/>
    <w:rsid w:val="00E04CA6"/>
    <w:rsid w:val="00E04CAB"/>
    <w:rsid w:val="00E055F4"/>
    <w:rsid w:val="00E05685"/>
    <w:rsid w:val="00E0574F"/>
    <w:rsid w:val="00E063F3"/>
    <w:rsid w:val="00E0658E"/>
    <w:rsid w:val="00E0697E"/>
    <w:rsid w:val="00E06A72"/>
    <w:rsid w:val="00E06D58"/>
    <w:rsid w:val="00E07706"/>
    <w:rsid w:val="00E07B48"/>
    <w:rsid w:val="00E07EC3"/>
    <w:rsid w:val="00E10708"/>
    <w:rsid w:val="00E10E95"/>
    <w:rsid w:val="00E1125C"/>
    <w:rsid w:val="00E115F2"/>
    <w:rsid w:val="00E11B51"/>
    <w:rsid w:val="00E11EF2"/>
    <w:rsid w:val="00E12121"/>
    <w:rsid w:val="00E12132"/>
    <w:rsid w:val="00E123C7"/>
    <w:rsid w:val="00E12853"/>
    <w:rsid w:val="00E12A65"/>
    <w:rsid w:val="00E12B90"/>
    <w:rsid w:val="00E12FD6"/>
    <w:rsid w:val="00E1302A"/>
    <w:rsid w:val="00E13607"/>
    <w:rsid w:val="00E13837"/>
    <w:rsid w:val="00E13910"/>
    <w:rsid w:val="00E13AA6"/>
    <w:rsid w:val="00E13D9E"/>
    <w:rsid w:val="00E144D7"/>
    <w:rsid w:val="00E144F9"/>
    <w:rsid w:val="00E14F5C"/>
    <w:rsid w:val="00E1521B"/>
    <w:rsid w:val="00E1560C"/>
    <w:rsid w:val="00E156E6"/>
    <w:rsid w:val="00E157D5"/>
    <w:rsid w:val="00E15A53"/>
    <w:rsid w:val="00E15D1C"/>
    <w:rsid w:val="00E16079"/>
    <w:rsid w:val="00E16247"/>
    <w:rsid w:val="00E16339"/>
    <w:rsid w:val="00E1661B"/>
    <w:rsid w:val="00E1692D"/>
    <w:rsid w:val="00E16B40"/>
    <w:rsid w:val="00E16B46"/>
    <w:rsid w:val="00E16B74"/>
    <w:rsid w:val="00E16C45"/>
    <w:rsid w:val="00E17949"/>
    <w:rsid w:val="00E17FF7"/>
    <w:rsid w:val="00E20021"/>
    <w:rsid w:val="00E20924"/>
    <w:rsid w:val="00E20F02"/>
    <w:rsid w:val="00E20F29"/>
    <w:rsid w:val="00E21C19"/>
    <w:rsid w:val="00E22019"/>
    <w:rsid w:val="00E22685"/>
    <w:rsid w:val="00E229EC"/>
    <w:rsid w:val="00E22A93"/>
    <w:rsid w:val="00E22DB6"/>
    <w:rsid w:val="00E22E6C"/>
    <w:rsid w:val="00E23041"/>
    <w:rsid w:val="00E23AFF"/>
    <w:rsid w:val="00E23F6C"/>
    <w:rsid w:val="00E242D3"/>
    <w:rsid w:val="00E24373"/>
    <w:rsid w:val="00E24680"/>
    <w:rsid w:val="00E24725"/>
    <w:rsid w:val="00E2497A"/>
    <w:rsid w:val="00E24A65"/>
    <w:rsid w:val="00E2515B"/>
    <w:rsid w:val="00E253D7"/>
    <w:rsid w:val="00E259B9"/>
    <w:rsid w:val="00E25E76"/>
    <w:rsid w:val="00E25F17"/>
    <w:rsid w:val="00E2673A"/>
    <w:rsid w:val="00E26A24"/>
    <w:rsid w:val="00E27210"/>
    <w:rsid w:val="00E27520"/>
    <w:rsid w:val="00E2769F"/>
    <w:rsid w:val="00E27AE4"/>
    <w:rsid w:val="00E27C2F"/>
    <w:rsid w:val="00E3005E"/>
    <w:rsid w:val="00E3047F"/>
    <w:rsid w:val="00E30520"/>
    <w:rsid w:val="00E3107E"/>
    <w:rsid w:val="00E3114A"/>
    <w:rsid w:val="00E315A7"/>
    <w:rsid w:val="00E31796"/>
    <w:rsid w:val="00E3181F"/>
    <w:rsid w:val="00E31E46"/>
    <w:rsid w:val="00E31EAF"/>
    <w:rsid w:val="00E31F3C"/>
    <w:rsid w:val="00E3200C"/>
    <w:rsid w:val="00E32188"/>
    <w:rsid w:val="00E323B8"/>
    <w:rsid w:val="00E329FB"/>
    <w:rsid w:val="00E32A2C"/>
    <w:rsid w:val="00E32AD0"/>
    <w:rsid w:val="00E32B09"/>
    <w:rsid w:val="00E33896"/>
    <w:rsid w:val="00E33A9A"/>
    <w:rsid w:val="00E34933"/>
    <w:rsid w:val="00E3496E"/>
    <w:rsid w:val="00E34CE4"/>
    <w:rsid w:val="00E34DE6"/>
    <w:rsid w:val="00E355E9"/>
    <w:rsid w:val="00E3580E"/>
    <w:rsid w:val="00E3583A"/>
    <w:rsid w:val="00E35BBA"/>
    <w:rsid w:val="00E360C7"/>
    <w:rsid w:val="00E365D7"/>
    <w:rsid w:val="00E36914"/>
    <w:rsid w:val="00E372E3"/>
    <w:rsid w:val="00E3734C"/>
    <w:rsid w:val="00E373DC"/>
    <w:rsid w:val="00E3740B"/>
    <w:rsid w:val="00E37C56"/>
    <w:rsid w:val="00E37F0F"/>
    <w:rsid w:val="00E40990"/>
    <w:rsid w:val="00E40F5A"/>
    <w:rsid w:val="00E414C2"/>
    <w:rsid w:val="00E41D87"/>
    <w:rsid w:val="00E42072"/>
    <w:rsid w:val="00E43019"/>
    <w:rsid w:val="00E43198"/>
    <w:rsid w:val="00E43241"/>
    <w:rsid w:val="00E43319"/>
    <w:rsid w:val="00E433DE"/>
    <w:rsid w:val="00E4368F"/>
    <w:rsid w:val="00E4373C"/>
    <w:rsid w:val="00E43788"/>
    <w:rsid w:val="00E43809"/>
    <w:rsid w:val="00E43B0B"/>
    <w:rsid w:val="00E44837"/>
    <w:rsid w:val="00E45059"/>
    <w:rsid w:val="00E451B2"/>
    <w:rsid w:val="00E456A5"/>
    <w:rsid w:val="00E45BAE"/>
    <w:rsid w:val="00E45D7B"/>
    <w:rsid w:val="00E4640C"/>
    <w:rsid w:val="00E46F6A"/>
    <w:rsid w:val="00E4706F"/>
    <w:rsid w:val="00E475D3"/>
    <w:rsid w:val="00E47698"/>
    <w:rsid w:val="00E47ADD"/>
    <w:rsid w:val="00E50348"/>
    <w:rsid w:val="00E50536"/>
    <w:rsid w:val="00E50A09"/>
    <w:rsid w:val="00E50B2E"/>
    <w:rsid w:val="00E512A7"/>
    <w:rsid w:val="00E51597"/>
    <w:rsid w:val="00E5192F"/>
    <w:rsid w:val="00E52050"/>
    <w:rsid w:val="00E52887"/>
    <w:rsid w:val="00E52A7E"/>
    <w:rsid w:val="00E52EFB"/>
    <w:rsid w:val="00E537EC"/>
    <w:rsid w:val="00E53A48"/>
    <w:rsid w:val="00E5405A"/>
    <w:rsid w:val="00E54676"/>
    <w:rsid w:val="00E548D6"/>
    <w:rsid w:val="00E54A8C"/>
    <w:rsid w:val="00E54B10"/>
    <w:rsid w:val="00E54F92"/>
    <w:rsid w:val="00E55383"/>
    <w:rsid w:val="00E55510"/>
    <w:rsid w:val="00E55A60"/>
    <w:rsid w:val="00E55D02"/>
    <w:rsid w:val="00E55D4F"/>
    <w:rsid w:val="00E568F2"/>
    <w:rsid w:val="00E56BB8"/>
    <w:rsid w:val="00E57194"/>
    <w:rsid w:val="00E572C7"/>
    <w:rsid w:val="00E60498"/>
    <w:rsid w:val="00E6101E"/>
    <w:rsid w:val="00E61401"/>
    <w:rsid w:val="00E6181A"/>
    <w:rsid w:val="00E61973"/>
    <w:rsid w:val="00E6232E"/>
    <w:rsid w:val="00E62D93"/>
    <w:rsid w:val="00E63135"/>
    <w:rsid w:val="00E6435D"/>
    <w:rsid w:val="00E644DE"/>
    <w:rsid w:val="00E6454E"/>
    <w:rsid w:val="00E64A47"/>
    <w:rsid w:val="00E6558E"/>
    <w:rsid w:val="00E65829"/>
    <w:rsid w:val="00E6599A"/>
    <w:rsid w:val="00E65CF9"/>
    <w:rsid w:val="00E662AF"/>
    <w:rsid w:val="00E6658C"/>
    <w:rsid w:val="00E66C69"/>
    <w:rsid w:val="00E67720"/>
    <w:rsid w:val="00E679DF"/>
    <w:rsid w:val="00E67A82"/>
    <w:rsid w:val="00E67D41"/>
    <w:rsid w:val="00E701DE"/>
    <w:rsid w:val="00E7027F"/>
    <w:rsid w:val="00E7040A"/>
    <w:rsid w:val="00E70646"/>
    <w:rsid w:val="00E70724"/>
    <w:rsid w:val="00E70CBB"/>
    <w:rsid w:val="00E70DD2"/>
    <w:rsid w:val="00E716FD"/>
    <w:rsid w:val="00E718E6"/>
    <w:rsid w:val="00E72378"/>
    <w:rsid w:val="00E72A31"/>
    <w:rsid w:val="00E73099"/>
    <w:rsid w:val="00E737C1"/>
    <w:rsid w:val="00E737F1"/>
    <w:rsid w:val="00E73C08"/>
    <w:rsid w:val="00E73C2B"/>
    <w:rsid w:val="00E74516"/>
    <w:rsid w:val="00E74AF9"/>
    <w:rsid w:val="00E75098"/>
    <w:rsid w:val="00E752E2"/>
    <w:rsid w:val="00E7538F"/>
    <w:rsid w:val="00E7569A"/>
    <w:rsid w:val="00E75746"/>
    <w:rsid w:val="00E75777"/>
    <w:rsid w:val="00E7596E"/>
    <w:rsid w:val="00E75D86"/>
    <w:rsid w:val="00E75F37"/>
    <w:rsid w:val="00E76320"/>
    <w:rsid w:val="00E76657"/>
    <w:rsid w:val="00E7670C"/>
    <w:rsid w:val="00E76961"/>
    <w:rsid w:val="00E769AB"/>
    <w:rsid w:val="00E76C9F"/>
    <w:rsid w:val="00E7724C"/>
    <w:rsid w:val="00E801F5"/>
    <w:rsid w:val="00E81085"/>
    <w:rsid w:val="00E811CB"/>
    <w:rsid w:val="00E81390"/>
    <w:rsid w:val="00E81F1E"/>
    <w:rsid w:val="00E81FE4"/>
    <w:rsid w:val="00E829B8"/>
    <w:rsid w:val="00E82B23"/>
    <w:rsid w:val="00E8307F"/>
    <w:rsid w:val="00E83BEE"/>
    <w:rsid w:val="00E84489"/>
    <w:rsid w:val="00E847AF"/>
    <w:rsid w:val="00E849AB"/>
    <w:rsid w:val="00E85C1D"/>
    <w:rsid w:val="00E85CBB"/>
    <w:rsid w:val="00E85DC2"/>
    <w:rsid w:val="00E85DE2"/>
    <w:rsid w:val="00E86274"/>
    <w:rsid w:val="00E863B6"/>
    <w:rsid w:val="00E86634"/>
    <w:rsid w:val="00E868AD"/>
    <w:rsid w:val="00E86C00"/>
    <w:rsid w:val="00E86EBB"/>
    <w:rsid w:val="00E86EC5"/>
    <w:rsid w:val="00E87437"/>
    <w:rsid w:val="00E87A39"/>
    <w:rsid w:val="00E87EB2"/>
    <w:rsid w:val="00E87F0F"/>
    <w:rsid w:val="00E90115"/>
    <w:rsid w:val="00E90439"/>
    <w:rsid w:val="00E908DE"/>
    <w:rsid w:val="00E90BB9"/>
    <w:rsid w:val="00E9162E"/>
    <w:rsid w:val="00E91C91"/>
    <w:rsid w:val="00E91E58"/>
    <w:rsid w:val="00E92199"/>
    <w:rsid w:val="00E9243F"/>
    <w:rsid w:val="00E92629"/>
    <w:rsid w:val="00E929C5"/>
    <w:rsid w:val="00E92C9F"/>
    <w:rsid w:val="00E92DCB"/>
    <w:rsid w:val="00E937B5"/>
    <w:rsid w:val="00E93E20"/>
    <w:rsid w:val="00E94C99"/>
    <w:rsid w:val="00E95680"/>
    <w:rsid w:val="00E95A2C"/>
    <w:rsid w:val="00E95DF0"/>
    <w:rsid w:val="00E9611E"/>
    <w:rsid w:val="00E96190"/>
    <w:rsid w:val="00E96551"/>
    <w:rsid w:val="00E965EC"/>
    <w:rsid w:val="00E968C9"/>
    <w:rsid w:val="00E969C8"/>
    <w:rsid w:val="00E96AA7"/>
    <w:rsid w:val="00E97446"/>
    <w:rsid w:val="00E9748D"/>
    <w:rsid w:val="00E97530"/>
    <w:rsid w:val="00E977C4"/>
    <w:rsid w:val="00EA0080"/>
    <w:rsid w:val="00EA02B1"/>
    <w:rsid w:val="00EA089E"/>
    <w:rsid w:val="00EA0BE1"/>
    <w:rsid w:val="00EA1605"/>
    <w:rsid w:val="00EA1719"/>
    <w:rsid w:val="00EA1753"/>
    <w:rsid w:val="00EA1759"/>
    <w:rsid w:val="00EA18F7"/>
    <w:rsid w:val="00EA1B5C"/>
    <w:rsid w:val="00EA1C5B"/>
    <w:rsid w:val="00EA2130"/>
    <w:rsid w:val="00EA215E"/>
    <w:rsid w:val="00EA21C6"/>
    <w:rsid w:val="00EA2767"/>
    <w:rsid w:val="00EA2EE4"/>
    <w:rsid w:val="00EA31D1"/>
    <w:rsid w:val="00EA3917"/>
    <w:rsid w:val="00EA3BE4"/>
    <w:rsid w:val="00EA4312"/>
    <w:rsid w:val="00EA4368"/>
    <w:rsid w:val="00EA44BA"/>
    <w:rsid w:val="00EA467A"/>
    <w:rsid w:val="00EA4CFD"/>
    <w:rsid w:val="00EA528E"/>
    <w:rsid w:val="00EA55EA"/>
    <w:rsid w:val="00EA5C66"/>
    <w:rsid w:val="00EA5ED5"/>
    <w:rsid w:val="00EA61E4"/>
    <w:rsid w:val="00EA621C"/>
    <w:rsid w:val="00EA64EA"/>
    <w:rsid w:val="00EA65C6"/>
    <w:rsid w:val="00EA7338"/>
    <w:rsid w:val="00EA75AD"/>
    <w:rsid w:val="00EA79AE"/>
    <w:rsid w:val="00EB0413"/>
    <w:rsid w:val="00EB0801"/>
    <w:rsid w:val="00EB1540"/>
    <w:rsid w:val="00EB169B"/>
    <w:rsid w:val="00EB203E"/>
    <w:rsid w:val="00EB260A"/>
    <w:rsid w:val="00EB2685"/>
    <w:rsid w:val="00EB2763"/>
    <w:rsid w:val="00EB2AF9"/>
    <w:rsid w:val="00EB32FF"/>
    <w:rsid w:val="00EB3C27"/>
    <w:rsid w:val="00EB4E57"/>
    <w:rsid w:val="00EB5210"/>
    <w:rsid w:val="00EB5A81"/>
    <w:rsid w:val="00EB6259"/>
    <w:rsid w:val="00EB713B"/>
    <w:rsid w:val="00EB7222"/>
    <w:rsid w:val="00EB72EB"/>
    <w:rsid w:val="00EB7370"/>
    <w:rsid w:val="00EB7494"/>
    <w:rsid w:val="00EC0748"/>
    <w:rsid w:val="00EC089D"/>
    <w:rsid w:val="00EC0E58"/>
    <w:rsid w:val="00EC0E9F"/>
    <w:rsid w:val="00EC0EE9"/>
    <w:rsid w:val="00EC128F"/>
    <w:rsid w:val="00EC12B8"/>
    <w:rsid w:val="00EC1685"/>
    <w:rsid w:val="00EC1D2B"/>
    <w:rsid w:val="00EC2695"/>
    <w:rsid w:val="00EC2AF1"/>
    <w:rsid w:val="00EC372A"/>
    <w:rsid w:val="00EC388A"/>
    <w:rsid w:val="00EC3BF7"/>
    <w:rsid w:val="00EC3DD6"/>
    <w:rsid w:val="00EC418B"/>
    <w:rsid w:val="00EC42DB"/>
    <w:rsid w:val="00EC4942"/>
    <w:rsid w:val="00EC49A8"/>
    <w:rsid w:val="00EC4BB2"/>
    <w:rsid w:val="00EC4ECD"/>
    <w:rsid w:val="00EC5BF6"/>
    <w:rsid w:val="00EC5C87"/>
    <w:rsid w:val="00EC5DFE"/>
    <w:rsid w:val="00EC5F05"/>
    <w:rsid w:val="00EC60F4"/>
    <w:rsid w:val="00EC61CB"/>
    <w:rsid w:val="00EC623F"/>
    <w:rsid w:val="00EC6282"/>
    <w:rsid w:val="00EC637D"/>
    <w:rsid w:val="00EC63A7"/>
    <w:rsid w:val="00EC7139"/>
    <w:rsid w:val="00EC7583"/>
    <w:rsid w:val="00EC7ADB"/>
    <w:rsid w:val="00EC7AF3"/>
    <w:rsid w:val="00EC7D14"/>
    <w:rsid w:val="00ED0424"/>
    <w:rsid w:val="00ED054A"/>
    <w:rsid w:val="00ED0838"/>
    <w:rsid w:val="00ED0A29"/>
    <w:rsid w:val="00ED0B72"/>
    <w:rsid w:val="00ED1489"/>
    <w:rsid w:val="00ED1744"/>
    <w:rsid w:val="00ED19B0"/>
    <w:rsid w:val="00ED1A4B"/>
    <w:rsid w:val="00ED1B14"/>
    <w:rsid w:val="00ED1BC2"/>
    <w:rsid w:val="00ED213B"/>
    <w:rsid w:val="00ED221A"/>
    <w:rsid w:val="00ED222B"/>
    <w:rsid w:val="00ED2603"/>
    <w:rsid w:val="00ED2A95"/>
    <w:rsid w:val="00ED2BF3"/>
    <w:rsid w:val="00ED2F27"/>
    <w:rsid w:val="00ED3A7A"/>
    <w:rsid w:val="00ED3D24"/>
    <w:rsid w:val="00ED3D41"/>
    <w:rsid w:val="00ED3F23"/>
    <w:rsid w:val="00ED3FDD"/>
    <w:rsid w:val="00ED412A"/>
    <w:rsid w:val="00ED481B"/>
    <w:rsid w:val="00ED562D"/>
    <w:rsid w:val="00ED64B0"/>
    <w:rsid w:val="00ED6766"/>
    <w:rsid w:val="00ED6B58"/>
    <w:rsid w:val="00ED6C90"/>
    <w:rsid w:val="00ED6CC3"/>
    <w:rsid w:val="00ED6CF2"/>
    <w:rsid w:val="00ED77AB"/>
    <w:rsid w:val="00ED7DFB"/>
    <w:rsid w:val="00ED7E49"/>
    <w:rsid w:val="00EE0237"/>
    <w:rsid w:val="00EE0632"/>
    <w:rsid w:val="00EE0A2B"/>
    <w:rsid w:val="00EE0E8C"/>
    <w:rsid w:val="00EE0EE5"/>
    <w:rsid w:val="00EE0F69"/>
    <w:rsid w:val="00EE13F8"/>
    <w:rsid w:val="00EE158B"/>
    <w:rsid w:val="00EE15DA"/>
    <w:rsid w:val="00EE177E"/>
    <w:rsid w:val="00EE1A3B"/>
    <w:rsid w:val="00EE1A7A"/>
    <w:rsid w:val="00EE1B02"/>
    <w:rsid w:val="00EE214A"/>
    <w:rsid w:val="00EE2B28"/>
    <w:rsid w:val="00EE2BC6"/>
    <w:rsid w:val="00EE2FC8"/>
    <w:rsid w:val="00EE36E8"/>
    <w:rsid w:val="00EE3785"/>
    <w:rsid w:val="00EE4656"/>
    <w:rsid w:val="00EE4BDF"/>
    <w:rsid w:val="00EE5690"/>
    <w:rsid w:val="00EE588E"/>
    <w:rsid w:val="00EE593D"/>
    <w:rsid w:val="00EE62D0"/>
    <w:rsid w:val="00EE63FC"/>
    <w:rsid w:val="00EE6859"/>
    <w:rsid w:val="00EE68DB"/>
    <w:rsid w:val="00EE6A13"/>
    <w:rsid w:val="00EE6ECD"/>
    <w:rsid w:val="00EE6F7D"/>
    <w:rsid w:val="00EE7A53"/>
    <w:rsid w:val="00EE7B5B"/>
    <w:rsid w:val="00EE7D6B"/>
    <w:rsid w:val="00EF0066"/>
    <w:rsid w:val="00EF0190"/>
    <w:rsid w:val="00EF01EB"/>
    <w:rsid w:val="00EF04A2"/>
    <w:rsid w:val="00EF088A"/>
    <w:rsid w:val="00EF08B7"/>
    <w:rsid w:val="00EF09A8"/>
    <w:rsid w:val="00EF1973"/>
    <w:rsid w:val="00EF1B41"/>
    <w:rsid w:val="00EF1B52"/>
    <w:rsid w:val="00EF20E2"/>
    <w:rsid w:val="00EF2217"/>
    <w:rsid w:val="00EF27B1"/>
    <w:rsid w:val="00EF2AF8"/>
    <w:rsid w:val="00EF2D2B"/>
    <w:rsid w:val="00EF34EA"/>
    <w:rsid w:val="00EF3E7C"/>
    <w:rsid w:val="00EF4276"/>
    <w:rsid w:val="00EF4537"/>
    <w:rsid w:val="00EF4580"/>
    <w:rsid w:val="00EF4734"/>
    <w:rsid w:val="00EF4757"/>
    <w:rsid w:val="00EF5318"/>
    <w:rsid w:val="00EF5536"/>
    <w:rsid w:val="00EF5770"/>
    <w:rsid w:val="00EF6093"/>
    <w:rsid w:val="00EF657E"/>
    <w:rsid w:val="00EF6606"/>
    <w:rsid w:val="00EF6909"/>
    <w:rsid w:val="00EF6D53"/>
    <w:rsid w:val="00EF6FFF"/>
    <w:rsid w:val="00EF73D9"/>
    <w:rsid w:val="00EF75C7"/>
    <w:rsid w:val="00EF77C8"/>
    <w:rsid w:val="00EF77EA"/>
    <w:rsid w:val="00EF7A6B"/>
    <w:rsid w:val="00F000A2"/>
    <w:rsid w:val="00F00B2D"/>
    <w:rsid w:val="00F010CB"/>
    <w:rsid w:val="00F01806"/>
    <w:rsid w:val="00F01E9B"/>
    <w:rsid w:val="00F02471"/>
    <w:rsid w:val="00F02AE9"/>
    <w:rsid w:val="00F02E14"/>
    <w:rsid w:val="00F02E3C"/>
    <w:rsid w:val="00F032D9"/>
    <w:rsid w:val="00F0394E"/>
    <w:rsid w:val="00F04262"/>
    <w:rsid w:val="00F04E8E"/>
    <w:rsid w:val="00F05703"/>
    <w:rsid w:val="00F05BB6"/>
    <w:rsid w:val="00F05C88"/>
    <w:rsid w:val="00F06374"/>
    <w:rsid w:val="00F079B6"/>
    <w:rsid w:val="00F07CE8"/>
    <w:rsid w:val="00F07F20"/>
    <w:rsid w:val="00F1004B"/>
    <w:rsid w:val="00F1058D"/>
    <w:rsid w:val="00F117C0"/>
    <w:rsid w:val="00F119A2"/>
    <w:rsid w:val="00F11DA5"/>
    <w:rsid w:val="00F126CC"/>
    <w:rsid w:val="00F127D1"/>
    <w:rsid w:val="00F12B19"/>
    <w:rsid w:val="00F12BCE"/>
    <w:rsid w:val="00F12D3C"/>
    <w:rsid w:val="00F13770"/>
    <w:rsid w:val="00F137D3"/>
    <w:rsid w:val="00F13DFA"/>
    <w:rsid w:val="00F14011"/>
    <w:rsid w:val="00F14235"/>
    <w:rsid w:val="00F14650"/>
    <w:rsid w:val="00F148BC"/>
    <w:rsid w:val="00F14B13"/>
    <w:rsid w:val="00F15241"/>
    <w:rsid w:val="00F152C3"/>
    <w:rsid w:val="00F15C50"/>
    <w:rsid w:val="00F15EA4"/>
    <w:rsid w:val="00F16741"/>
    <w:rsid w:val="00F16834"/>
    <w:rsid w:val="00F173C0"/>
    <w:rsid w:val="00F17716"/>
    <w:rsid w:val="00F17CB1"/>
    <w:rsid w:val="00F2021D"/>
    <w:rsid w:val="00F2057B"/>
    <w:rsid w:val="00F20820"/>
    <w:rsid w:val="00F20BC1"/>
    <w:rsid w:val="00F21002"/>
    <w:rsid w:val="00F211FD"/>
    <w:rsid w:val="00F22508"/>
    <w:rsid w:val="00F227F7"/>
    <w:rsid w:val="00F22F20"/>
    <w:rsid w:val="00F2322B"/>
    <w:rsid w:val="00F2355A"/>
    <w:rsid w:val="00F23595"/>
    <w:rsid w:val="00F23B7A"/>
    <w:rsid w:val="00F2400B"/>
    <w:rsid w:val="00F241E0"/>
    <w:rsid w:val="00F2422A"/>
    <w:rsid w:val="00F24244"/>
    <w:rsid w:val="00F2461E"/>
    <w:rsid w:val="00F24FE7"/>
    <w:rsid w:val="00F251EB"/>
    <w:rsid w:val="00F2549D"/>
    <w:rsid w:val="00F25CBB"/>
    <w:rsid w:val="00F25F9A"/>
    <w:rsid w:val="00F261EA"/>
    <w:rsid w:val="00F26371"/>
    <w:rsid w:val="00F26504"/>
    <w:rsid w:val="00F26993"/>
    <w:rsid w:val="00F26C28"/>
    <w:rsid w:val="00F26CA2"/>
    <w:rsid w:val="00F270E5"/>
    <w:rsid w:val="00F27269"/>
    <w:rsid w:val="00F27349"/>
    <w:rsid w:val="00F274B4"/>
    <w:rsid w:val="00F275AC"/>
    <w:rsid w:val="00F27A6B"/>
    <w:rsid w:val="00F27E16"/>
    <w:rsid w:val="00F30689"/>
    <w:rsid w:val="00F30AD5"/>
    <w:rsid w:val="00F30C01"/>
    <w:rsid w:val="00F30F44"/>
    <w:rsid w:val="00F311B4"/>
    <w:rsid w:val="00F322A6"/>
    <w:rsid w:val="00F33318"/>
    <w:rsid w:val="00F333AC"/>
    <w:rsid w:val="00F33400"/>
    <w:rsid w:val="00F33C61"/>
    <w:rsid w:val="00F33F3F"/>
    <w:rsid w:val="00F3427A"/>
    <w:rsid w:val="00F34472"/>
    <w:rsid w:val="00F344BE"/>
    <w:rsid w:val="00F34E20"/>
    <w:rsid w:val="00F35646"/>
    <w:rsid w:val="00F35D4C"/>
    <w:rsid w:val="00F35F86"/>
    <w:rsid w:val="00F3615B"/>
    <w:rsid w:val="00F366D9"/>
    <w:rsid w:val="00F36AC0"/>
    <w:rsid w:val="00F36B72"/>
    <w:rsid w:val="00F36DD6"/>
    <w:rsid w:val="00F36EA0"/>
    <w:rsid w:val="00F37077"/>
    <w:rsid w:val="00F37114"/>
    <w:rsid w:val="00F373A7"/>
    <w:rsid w:val="00F377C3"/>
    <w:rsid w:val="00F37C50"/>
    <w:rsid w:val="00F37E48"/>
    <w:rsid w:val="00F40289"/>
    <w:rsid w:val="00F41097"/>
    <w:rsid w:val="00F410B5"/>
    <w:rsid w:val="00F41256"/>
    <w:rsid w:val="00F413E2"/>
    <w:rsid w:val="00F41534"/>
    <w:rsid w:val="00F4218E"/>
    <w:rsid w:val="00F42393"/>
    <w:rsid w:val="00F42404"/>
    <w:rsid w:val="00F42604"/>
    <w:rsid w:val="00F42BED"/>
    <w:rsid w:val="00F42C50"/>
    <w:rsid w:val="00F42D21"/>
    <w:rsid w:val="00F431EE"/>
    <w:rsid w:val="00F4323E"/>
    <w:rsid w:val="00F43A55"/>
    <w:rsid w:val="00F43E31"/>
    <w:rsid w:val="00F45425"/>
    <w:rsid w:val="00F4557B"/>
    <w:rsid w:val="00F459BD"/>
    <w:rsid w:val="00F45A25"/>
    <w:rsid w:val="00F4618D"/>
    <w:rsid w:val="00F462B2"/>
    <w:rsid w:val="00F463DA"/>
    <w:rsid w:val="00F464AC"/>
    <w:rsid w:val="00F468DA"/>
    <w:rsid w:val="00F46E6B"/>
    <w:rsid w:val="00F476C3"/>
    <w:rsid w:val="00F47752"/>
    <w:rsid w:val="00F5056D"/>
    <w:rsid w:val="00F505D3"/>
    <w:rsid w:val="00F50684"/>
    <w:rsid w:val="00F506B7"/>
    <w:rsid w:val="00F51360"/>
    <w:rsid w:val="00F51383"/>
    <w:rsid w:val="00F515DB"/>
    <w:rsid w:val="00F51D85"/>
    <w:rsid w:val="00F5233A"/>
    <w:rsid w:val="00F524C0"/>
    <w:rsid w:val="00F52D58"/>
    <w:rsid w:val="00F52F7A"/>
    <w:rsid w:val="00F5394B"/>
    <w:rsid w:val="00F53D87"/>
    <w:rsid w:val="00F54290"/>
    <w:rsid w:val="00F543B1"/>
    <w:rsid w:val="00F54694"/>
    <w:rsid w:val="00F5502A"/>
    <w:rsid w:val="00F555C4"/>
    <w:rsid w:val="00F55E9E"/>
    <w:rsid w:val="00F5626C"/>
    <w:rsid w:val="00F56347"/>
    <w:rsid w:val="00F56462"/>
    <w:rsid w:val="00F568F4"/>
    <w:rsid w:val="00F56974"/>
    <w:rsid w:val="00F56DA8"/>
    <w:rsid w:val="00F56E59"/>
    <w:rsid w:val="00F57362"/>
    <w:rsid w:val="00F5746F"/>
    <w:rsid w:val="00F57B77"/>
    <w:rsid w:val="00F57DD0"/>
    <w:rsid w:val="00F601AB"/>
    <w:rsid w:val="00F60213"/>
    <w:rsid w:val="00F6062A"/>
    <w:rsid w:val="00F60807"/>
    <w:rsid w:val="00F60958"/>
    <w:rsid w:val="00F60B3A"/>
    <w:rsid w:val="00F60BCB"/>
    <w:rsid w:val="00F60F5A"/>
    <w:rsid w:val="00F614D8"/>
    <w:rsid w:val="00F61EC4"/>
    <w:rsid w:val="00F6265A"/>
    <w:rsid w:val="00F63B4B"/>
    <w:rsid w:val="00F63E9A"/>
    <w:rsid w:val="00F640C1"/>
    <w:rsid w:val="00F64294"/>
    <w:rsid w:val="00F6463A"/>
    <w:rsid w:val="00F6491E"/>
    <w:rsid w:val="00F64B64"/>
    <w:rsid w:val="00F64BA0"/>
    <w:rsid w:val="00F65735"/>
    <w:rsid w:val="00F65C9C"/>
    <w:rsid w:val="00F65E6E"/>
    <w:rsid w:val="00F66086"/>
    <w:rsid w:val="00F66272"/>
    <w:rsid w:val="00F66338"/>
    <w:rsid w:val="00F667E6"/>
    <w:rsid w:val="00F66DDC"/>
    <w:rsid w:val="00F66FC9"/>
    <w:rsid w:val="00F67008"/>
    <w:rsid w:val="00F67451"/>
    <w:rsid w:val="00F67913"/>
    <w:rsid w:val="00F67AA7"/>
    <w:rsid w:val="00F67C18"/>
    <w:rsid w:val="00F67FD5"/>
    <w:rsid w:val="00F701C7"/>
    <w:rsid w:val="00F707DC"/>
    <w:rsid w:val="00F70A02"/>
    <w:rsid w:val="00F71281"/>
    <w:rsid w:val="00F71325"/>
    <w:rsid w:val="00F7173D"/>
    <w:rsid w:val="00F71E52"/>
    <w:rsid w:val="00F71EBA"/>
    <w:rsid w:val="00F728FE"/>
    <w:rsid w:val="00F72C43"/>
    <w:rsid w:val="00F73056"/>
    <w:rsid w:val="00F73449"/>
    <w:rsid w:val="00F73A37"/>
    <w:rsid w:val="00F73D3E"/>
    <w:rsid w:val="00F73E4B"/>
    <w:rsid w:val="00F747C2"/>
    <w:rsid w:val="00F74930"/>
    <w:rsid w:val="00F74F69"/>
    <w:rsid w:val="00F75063"/>
    <w:rsid w:val="00F756D9"/>
    <w:rsid w:val="00F75880"/>
    <w:rsid w:val="00F760A3"/>
    <w:rsid w:val="00F76ED7"/>
    <w:rsid w:val="00F76FD3"/>
    <w:rsid w:val="00F7719F"/>
    <w:rsid w:val="00F7722F"/>
    <w:rsid w:val="00F772BB"/>
    <w:rsid w:val="00F77A38"/>
    <w:rsid w:val="00F77BB6"/>
    <w:rsid w:val="00F8005D"/>
    <w:rsid w:val="00F808B9"/>
    <w:rsid w:val="00F808E1"/>
    <w:rsid w:val="00F80D01"/>
    <w:rsid w:val="00F80D88"/>
    <w:rsid w:val="00F81BCE"/>
    <w:rsid w:val="00F8208A"/>
    <w:rsid w:val="00F820AF"/>
    <w:rsid w:val="00F82269"/>
    <w:rsid w:val="00F828ED"/>
    <w:rsid w:val="00F82AF2"/>
    <w:rsid w:val="00F83D3C"/>
    <w:rsid w:val="00F83DE3"/>
    <w:rsid w:val="00F843B8"/>
    <w:rsid w:val="00F84B38"/>
    <w:rsid w:val="00F84C81"/>
    <w:rsid w:val="00F8533F"/>
    <w:rsid w:val="00F853E7"/>
    <w:rsid w:val="00F856A0"/>
    <w:rsid w:val="00F85C78"/>
    <w:rsid w:val="00F85E30"/>
    <w:rsid w:val="00F86669"/>
    <w:rsid w:val="00F866F0"/>
    <w:rsid w:val="00F86A37"/>
    <w:rsid w:val="00F86FA2"/>
    <w:rsid w:val="00F875A8"/>
    <w:rsid w:val="00F87DE2"/>
    <w:rsid w:val="00F87E2D"/>
    <w:rsid w:val="00F90106"/>
    <w:rsid w:val="00F90370"/>
    <w:rsid w:val="00F90A95"/>
    <w:rsid w:val="00F91DCA"/>
    <w:rsid w:val="00F91F43"/>
    <w:rsid w:val="00F923A3"/>
    <w:rsid w:val="00F926E6"/>
    <w:rsid w:val="00F92CEF"/>
    <w:rsid w:val="00F93707"/>
    <w:rsid w:val="00F938B4"/>
    <w:rsid w:val="00F939F3"/>
    <w:rsid w:val="00F93BED"/>
    <w:rsid w:val="00F946D0"/>
    <w:rsid w:val="00F9499F"/>
    <w:rsid w:val="00F94A1A"/>
    <w:rsid w:val="00F94A85"/>
    <w:rsid w:val="00F94F15"/>
    <w:rsid w:val="00F95031"/>
    <w:rsid w:val="00F958ED"/>
    <w:rsid w:val="00F9597A"/>
    <w:rsid w:val="00F95A29"/>
    <w:rsid w:val="00F95B4B"/>
    <w:rsid w:val="00F963C5"/>
    <w:rsid w:val="00F966B0"/>
    <w:rsid w:val="00F96CBA"/>
    <w:rsid w:val="00F96FCF"/>
    <w:rsid w:val="00F970A8"/>
    <w:rsid w:val="00F972C0"/>
    <w:rsid w:val="00F97307"/>
    <w:rsid w:val="00F973B1"/>
    <w:rsid w:val="00F97661"/>
    <w:rsid w:val="00F97C54"/>
    <w:rsid w:val="00F97D03"/>
    <w:rsid w:val="00FA02F4"/>
    <w:rsid w:val="00FA0759"/>
    <w:rsid w:val="00FA0AD1"/>
    <w:rsid w:val="00FA0C68"/>
    <w:rsid w:val="00FA1126"/>
    <w:rsid w:val="00FA14B6"/>
    <w:rsid w:val="00FA14E0"/>
    <w:rsid w:val="00FA172F"/>
    <w:rsid w:val="00FA27E0"/>
    <w:rsid w:val="00FA316B"/>
    <w:rsid w:val="00FA346E"/>
    <w:rsid w:val="00FA3F1D"/>
    <w:rsid w:val="00FA4191"/>
    <w:rsid w:val="00FA43A6"/>
    <w:rsid w:val="00FA4CB7"/>
    <w:rsid w:val="00FA4F9B"/>
    <w:rsid w:val="00FA5394"/>
    <w:rsid w:val="00FA593B"/>
    <w:rsid w:val="00FA5B8A"/>
    <w:rsid w:val="00FA5C1C"/>
    <w:rsid w:val="00FA60F5"/>
    <w:rsid w:val="00FA65D2"/>
    <w:rsid w:val="00FA7114"/>
    <w:rsid w:val="00FA7169"/>
    <w:rsid w:val="00FA744E"/>
    <w:rsid w:val="00FA7E16"/>
    <w:rsid w:val="00FB03D7"/>
    <w:rsid w:val="00FB0CAF"/>
    <w:rsid w:val="00FB1823"/>
    <w:rsid w:val="00FB1CC8"/>
    <w:rsid w:val="00FB1F7E"/>
    <w:rsid w:val="00FB20D6"/>
    <w:rsid w:val="00FB252A"/>
    <w:rsid w:val="00FB26C2"/>
    <w:rsid w:val="00FB3120"/>
    <w:rsid w:val="00FB3AD4"/>
    <w:rsid w:val="00FB3AD8"/>
    <w:rsid w:val="00FB448E"/>
    <w:rsid w:val="00FB46A0"/>
    <w:rsid w:val="00FB4EFB"/>
    <w:rsid w:val="00FB52E6"/>
    <w:rsid w:val="00FB5A03"/>
    <w:rsid w:val="00FB5AF3"/>
    <w:rsid w:val="00FB60E7"/>
    <w:rsid w:val="00FB61FA"/>
    <w:rsid w:val="00FB632B"/>
    <w:rsid w:val="00FB6920"/>
    <w:rsid w:val="00FB74B5"/>
    <w:rsid w:val="00FB754F"/>
    <w:rsid w:val="00FB7877"/>
    <w:rsid w:val="00FB7966"/>
    <w:rsid w:val="00FC03CE"/>
    <w:rsid w:val="00FC047B"/>
    <w:rsid w:val="00FC0595"/>
    <w:rsid w:val="00FC07FC"/>
    <w:rsid w:val="00FC0F00"/>
    <w:rsid w:val="00FC1078"/>
    <w:rsid w:val="00FC1653"/>
    <w:rsid w:val="00FC1B26"/>
    <w:rsid w:val="00FC1D86"/>
    <w:rsid w:val="00FC2255"/>
    <w:rsid w:val="00FC2EC6"/>
    <w:rsid w:val="00FC2FD2"/>
    <w:rsid w:val="00FC3575"/>
    <w:rsid w:val="00FC3D6D"/>
    <w:rsid w:val="00FC4099"/>
    <w:rsid w:val="00FC45AF"/>
    <w:rsid w:val="00FC47A9"/>
    <w:rsid w:val="00FC50A9"/>
    <w:rsid w:val="00FC52FD"/>
    <w:rsid w:val="00FC5304"/>
    <w:rsid w:val="00FC61EB"/>
    <w:rsid w:val="00FC6C1C"/>
    <w:rsid w:val="00FC7598"/>
    <w:rsid w:val="00FC782D"/>
    <w:rsid w:val="00FD008A"/>
    <w:rsid w:val="00FD0318"/>
    <w:rsid w:val="00FD0402"/>
    <w:rsid w:val="00FD0650"/>
    <w:rsid w:val="00FD0683"/>
    <w:rsid w:val="00FD0E34"/>
    <w:rsid w:val="00FD1105"/>
    <w:rsid w:val="00FD136E"/>
    <w:rsid w:val="00FD1715"/>
    <w:rsid w:val="00FD1844"/>
    <w:rsid w:val="00FD1875"/>
    <w:rsid w:val="00FD18CA"/>
    <w:rsid w:val="00FD1B00"/>
    <w:rsid w:val="00FD1B76"/>
    <w:rsid w:val="00FD1BED"/>
    <w:rsid w:val="00FD1C39"/>
    <w:rsid w:val="00FD1D1E"/>
    <w:rsid w:val="00FD2075"/>
    <w:rsid w:val="00FD2604"/>
    <w:rsid w:val="00FD3321"/>
    <w:rsid w:val="00FD3335"/>
    <w:rsid w:val="00FD33F0"/>
    <w:rsid w:val="00FD3626"/>
    <w:rsid w:val="00FD3E49"/>
    <w:rsid w:val="00FD3EAC"/>
    <w:rsid w:val="00FD3F2E"/>
    <w:rsid w:val="00FD452D"/>
    <w:rsid w:val="00FD4C97"/>
    <w:rsid w:val="00FD52E5"/>
    <w:rsid w:val="00FD54CE"/>
    <w:rsid w:val="00FD5B05"/>
    <w:rsid w:val="00FD5D51"/>
    <w:rsid w:val="00FD61FF"/>
    <w:rsid w:val="00FD67D2"/>
    <w:rsid w:val="00FD6BAF"/>
    <w:rsid w:val="00FD753E"/>
    <w:rsid w:val="00FD7D4E"/>
    <w:rsid w:val="00FE02BB"/>
    <w:rsid w:val="00FE0EFC"/>
    <w:rsid w:val="00FE0F98"/>
    <w:rsid w:val="00FE10BB"/>
    <w:rsid w:val="00FE10FE"/>
    <w:rsid w:val="00FE130D"/>
    <w:rsid w:val="00FE1407"/>
    <w:rsid w:val="00FE17D7"/>
    <w:rsid w:val="00FE1983"/>
    <w:rsid w:val="00FE1A28"/>
    <w:rsid w:val="00FE1A8C"/>
    <w:rsid w:val="00FE1C5B"/>
    <w:rsid w:val="00FE1C63"/>
    <w:rsid w:val="00FE262E"/>
    <w:rsid w:val="00FE274E"/>
    <w:rsid w:val="00FE27FC"/>
    <w:rsid w:val="00FE2CE6"/>
    <w:rsid w:val="00FE315E"/>
    <w:rsid w:val="00FE31C9"/>
    <w:rsid w:val="00FE33A2"/>
    <w:rsid w:val="00FE3499"/>
    <w:rsid w:val="00FE355E"/>
    <w:rsid w:val="00FE35ED"/>
    <w:rsid w:val="00FE3696"/>
    <w:rsid w:val="00FE38AB"/>
    <w:rsid w:val="00FE3BDA"/>
    <w:rsid w:val="00FE4270"/>
    <w:rsid w:val="00FE5353"/>
    <w:rsid w:val="00FE5640"/>
    <w:rsid w:val="00FE5791"/>
    <w:rsid w:val="00FE6024"/>
    <w:rsid w:val="00FE651F"/>
    <w:rsid w:val="00FE6DF9"/>
    <w:rsid w:val="00FE6E46"/>
    <w:rsid w:val="00FE7727"/>
    <w:rsid w:val="00FE78F4"/>
    <w:rsid w:val="00FE7976"/>
    <w:rsid w:val="00FE7D47"/>
    <w:rsid w:val="00FE7FFB"/>
    <w:rsid w:val="00FF08E0"/>
    <w:rsid w:val="00FF0A16"/>
    <w:rsid w:val="00FF0D03"/>
    <w:rsid w:val="00FF0D1A"/>
    <w:rsid w:val="00FF12EF"/>
    <w:rsid w:val="00FF152E"/>
    <w:rsid w:val="00FF17A2"/>
    <w:rsid w:val="00FF19E1"/>
    <w:rsid w:val="00FF1D18"/>
    <w:rsid w:val="00FF1EBE"/>
    <w:rsid w:val="00FF2328"/>
    <w:rsid w:val="00FF287D"/>
    <w:rsid w:val="00FF29F4"/>
    <w:rsid w:val="00FF3215"/>
    <w:rsid w:val="00FF332E"/>
    <w:rsid w:val="00FF394D"/>
    <w:rsid w:val="00FF3CD7"/>
    <w:rsid w:val="00FF3DFB"/>
    <w:rsid w:val="00FF41BA"/>
    <w:rsid w:val="00FF449B"/>
    <w:rsid w:val="00FF45CD"/>
    <w:rsid w:val="00FF4A1D"/>
    <w:rsid w:val="00FF4FEA"/>
    <w:rsid w:val="00FF53E7"/>
    <w:rsid w:val="00FF55E2"/>
    <w:rsid w:val="00FF5734"/>
    <w:rsid w:val="00FF5E21"/>
    <w:rsid w:val="00FF5F08"/>
    <w:rsid w:val="00FF6001"/>
    <w:rsid w:val="00FF60FD"/>
    <w:rsid w:val="00FF6229"/>
    <w:rsid w:val="00FF6389"/>
    <w:rsid w:val="00FF6460"/>
    <w:rsid w:val="00FF6757"/>
    <w:rsid w:val="00FF6AE2"/>
    <w:rsid w:val="00FF72C7"/>
    <w:rsid w:val="00FF7682"/>
    <w:rsid w:val="00FF7E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96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F152E"/>
    <w:rPr>
      <w:sz w:val="26"/>
      <w:szCs w:val="24"/>
    </w:rPr>
  </w:style>
  <w:style w:type="paragraph" w:styleId="Heading1">
    <w:name w:val="heading 1"/>
    <w:basedOn w:val="BodyText"/>
    <w:next w:val="BodyText"/>
    <w:rsid w:val="00FF152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F152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F152E"/>
    <w:pPr>
      <w:spacing w:before="560" w:line="320" w:lineRule="exact"/>
      <w:ind w:left="0" w:firstLine="0"/>
      <w:outlineLvl w:val="2"/>
    </w:pPr>
    <w:rPr>
      <w:sz w:val="26"/>
    </w:rPr>
  </w:style>
  <w:style w:type="paragraph" w:styleId="Heading4">
    <w:name w:val="heading 4"/>
    <w:basedOn w:val="Heading3"/>
    <w:next w:val="BodyText"/>
    <w:qFormat/>
    <w:rsid w:val="00FF152E"/>
    <w:pPr>
      <w:spacing w:before="480"/>
      <w:outlineLvl w:val="3"/>
    </w:pPr>
    <w:rPr>
      <w:b w:val="0"/>
      <w:i/>
      <w:sz w:val="24"/>
    </w:rPr>
  </w:style>
  <w:style w:type="paragraph" w:styleId="Heading5">
    <w:name w:val="heading 5"/>
    <w:basedOn w:val="Heading4"/>
    <w:next w:val="BodyText"/>
    <w:link w:val="Heading5Char"/>
    <w:qFormat/>
    <w:rsid w:val="00FF152E"/>
    <w:pPr>
      <w:outlineLvl w:val="4"/>
    </w:pPr>
    <w:rPr>
      <w:rFonts w:ascii="Times New Roman" w:hAnsi="Times New Roman"/>
      <w:sz w:val="26"/>
    </w:rPr>
  </w:style>
  <w:style w:type="paragraph" w:styleId="Heading6">
    <w:name w:val="heading 6"/>
    <w:basedOn w:val="BodyText"/>
    <w:next w:val="BodyText"/>
    <w:rsid w:val="00FF152E"/>
    <w:pPr>
      <w:spacing w:after="60"/>
      <w:jc w:val="left"/>
      <w:outlineLvl w:val="5"/>
    </w:pPr>
    <w:rPr>
      <w:i/>
      <w:sz w:val="22"/>
    </w:rPr>
  </w:style>
  <w:style w:type="paragraph" w:styleId="Heading7">
    <w:name w:val="heading 7"/>
    <w:basedOn w:val="BodyText"/>
    <w:next w:val="BodyText"/>
    <w:rsid w:val="00FF152E"/>
    <w:pPr>
      <w:spacing w:after="60" w:line="240" w:lineRule="auto"/>
      <w:jc w:val="left"/>
      <w:outlineLvl w:val="6"/>
    </w:pPr>
    <w:rPr>
      <w:rFonts w:ascii="Arial" w:hAnsi="Arial"/>
      <w:sz w:val="20"/>
    </w:rPr>
  </w:style>
  <w:style w:type="paragraph" w:styleId="Heading8">
    <w:name w:val="heading 8"/>
    <w:basedOn w:val="BodyText"/>
    <w:next w:val="BodyText"/>
    <w:rsid w:val="00FF152E"/>
    <w:pPr>
      <w:spacing w:after="60" w:line="240" w:lineRule="auto"/>
      <w:jc w:val="left"/>
      <w:outlineLvl w:val="7"/>
    </w:pPr>
    <w:rPr>
      <w:rFonts w:ascii="Arial" w:hAnsi="Arial"/>
      <w:i/>
      <w:sz w:val="20"/>
    </w:rPr>
  </w:style>
  <w:style w:type="paragraph" w:styleId="Heading9">
    <w:name w:val="heading 9"/>
    <w:basedOn w:val="BodyText"/>
    <w:next w:val="BodyText"/>
    <w:rsid w:val="00FF152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F1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52E"/>
  </w:style>
  <w:style w:type="paragraph" w:styleId="BodyText">
    <w:name w:val="Body Text"/>
    <w:link w:val="BodyTextChar"/>
    <w:qFormat/>
    <w:rsid w:val="00FF152E"/>
    <w:pPr>
      <w:spacing w:before="240" w:line="320" w:lineRule="atLeast"/>
      <w:jc w:val="both"/>
    </w:pPr>
    <w:rPr>
      <w:sz w:val="26"/>
    </w:rPr>
  </w:style>
  <w:style w:type="paragraph" w:customStyle="1" w:styleId="Chapter">
    <w:name w:val="Chapter"/>
    <w:basedOn w:val="Heading1"/>
    <w:next w:val="BodyText"/>
    <w:semiHidden/>
    <w:rsid w:val="00FF152E"/>
    <w:pPr>
      <w:ind w:left="0" w:firstLine="0"/>
      <w:outlineLvl w:val="9"/>
    </w:pPr>
  </w:style>
  <w:style w:type="paragraph" w:customStyle="1" w:styleId="SequenceInfo">
    <w:name w:val="Sequence Info"/>
    <w:basedOn w:val="BodyText"/>
    <w:semiHidden/>
    <w:rsid w:val="00FF152E"/>
    <w:rPr>
      <w:vanish/>
      <w:sz w:val="16"/>
    </w:rPr>
  </w:style>
  <w:style w:type="character" w:styleId="CommentReference">
    <w:name w:val="annotation reference"/>
    <w:basedOn w:val="DefaultParagraphFont"/>
    <w:semiHidden/>
    <w:rsid w:val="00FF152E"/>
    <w:rPr>
      <w:b/>
      <w:vanish/>
      <w:color w:val="FF00FF"/>
      <w:sz w:val="20"/>
    </w:rPr>
  </w:style>
  <w:style w:type="paragraph" w:styleId="CommentText">
    <w:name w:val="annotation text"/>
    <w:basedOn w:val="Normal"/>
    <w:semiHidden/>
    <w:rsid w:val="00FF152E"/>
    <w:pPr>
      <w:spacing w:before="120" w:line="240" w:lineRule="atLeast"/>
      <w:ind w:left="567" w:hanging="567"/>
    </w:pPr>
    <w:rPr>
      <w:sz w:val="20"/>
    </w:rPr>
  </w:style>
  <w:style w:type="paragraph" w:customStyle="1" w:styleId="Abbreviation">
    <w:name w:val="Abbreviation"/>
    <w:basedOn w:val="BodyText"/>
    <w:rsid w:val="00FF152E"/>
    <w:pPr>
      <w:spacing w:before="120"/>
      <w:ind w:left="2381" w:hanging="2381"/>
      <w:jc w:val="left"/>
    </w:pPr>
  </w:style>
  <w:style w:type="paragraph" w:customStyle="1" w:styleId="Box">
    <w:name w:val="Box"/>
    <w:basedOn w:val="BodyText"/>
    <w:qFormat/>
    <w:rsid w:val="00FF152E"/>
    <w:pPr>
      <w:keepNext/>
      <w:spacing w:before="120" w:line="280" w:lineRule="atLeast"/>
    </w:pPr>
    <w:rPr>
      <w:rFonts w:ascii="Arial" w:hAnsi="Arial"/>
      <w:sz w:val="22"/>
    </w:rPr>
  </w:style>
  <w:style w:type="paragraph" w:customStyle="1" w:styleId="QuoteBullet">
    <w:name w:val="Quote Bullet"/>
    <w:basedOn w:val="Quote"/>
    <w:rsid w:val="00FF152E"/>
    <w:pPr>
      <w:numPr>
        <w:numId w:val="11"/>
      </w:numPr>
    </w:pPr>
  </w:style>
  <w:style w:type="paragraph" w:styleId="Quote">
    <w:name w:val="Quote"/>
    <w:basedOn w:val="BodyText"/>
    <w:next w:val="BodyText"/>
    <w:qFormat/>
    <w:rsid w:val="00FF152E"/>
    <w:pPr>
      <w:spacing w:before="120" w:line="280" w:lineRule="exact"/>
      <w:ind w:left="340"/>
    </w:pPr>
    <w:rPr>
      <w:sz w:val="24"/>
    </w:rPr>
  </w:style>
  <w:style w:type="paragraph" w:customStyle="1" w:styleId="BoxListBullet">
    <w:name w:val="Box List Bullet"/>
    <w:basedOn w:val="BodyText"/>
    <w:rsid w:val="00FF152E"/>
    <w:pPr>
      <w:keepNext/>
      <w:numPr>
        <w:numId w:val="6"/>
      </w:numPr>
      <w:spacing w:before="60" w:line="280" w:lineRule="atLeast"/>
    </w:pPr>
    <w:rPr>
      <w:rFonts w:ascii="Arial" w:hAnsi="Arial"/>
      <w:sz w:val="22"/>
    </w:rPr>
  </w:style>
  <w:style w:type="paragraph" w:customStyle="1" w:styleId="BoxListBullet2">
    <w:name w:val="Box List Bullet 2"/>
    <w:basedOn w:val="BodyText"/>
    <w:rsid w:val="00FF152E"/>
    <w:pPr>
      <w:keepNext/>
      <w:numPr>
        <w:numId w:val="3"/>
      </w:numPr>
      <w:spacing w:before="60" w:line="280" w:lineRule="atLeast"/>
    </w:pPr>
    <w:rPr>
      <w:rFonts w:ascii="Arial" w:hAnsi="Arial"/>
      <w:sz w:val="22"/>
    </w:rPr>
  </w:style>
  <w:style w:type="paragraph" w:customStyle="1" w:styleId="BoxListNumber">
    <w:name w:val="Box List Number"/>
    <w:basedOn w:val="BodyText"/>
    <w:rsid w:val="00FF152E"/>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F152E"/>
    <w:pPr>
      <w:numPr>
        <w:ilvl w:val="1"/>
      </w:numPr>
    </w:pPr>
  </w:style>
  <w:style w:type="paragraph" w:customStyle="1" w:styleId="BoxQuote">
    <w:name w:val="Box Quote"/>
    <w:basedOn w:val="BodyText"/>
    <w:next w:val="Box"/>
    <w:rsid w:val="00FF152E"/>
    <w:pPr>
      <w:keepNext/>
      <w:spacing w:before="60" w:line="260" w:lineRule="exact"/>
      <w:ind w:left="284"/>
    </w:pPr>
    <w:rPr>
      <w:rFonts w:ascii="Arial" w:hAnsi="Arial"/>
      <w:sz w:val="20"/>
    </w:rPr>
  </w:style>
  <w:style w:type="paragraph" w:customStyle="1" w:styleId="BoxSource">
    <w:name w:val="Box Source"/>
    <w:basedOn w:val="Source"/>
    <w:next w:val="BodyText"/>
    <w:rsid w:val="00FF152E"/>
    <w:pPr>
      <w:spacing w:before="180" w:after="0"/>
    </w:pPr>
  </w:style>
  <w:style w:type="paragraph" w:customStyle="1" w:styleId="Source">
    <w:name w:val="Source"/>
    <w:basedOn w:val="Note"/>
    <w:next w:val="BodyText"/>
    <w:rsid w:val="00FF152E"/>
    <w:pPr>
      <w:spacing w:after="120"/>
    </w:pPr>
  </w:style>
  <w:style w:type="paragraph" w:customStyle="1" w:styleId="Note">
    <w:name w:val="Note"/>
    <w:basedOn w:val="BodyText"/>
    <w:next w:val="BodyText"/>
    <w:link w:val="NoteChar"/>
    <w:rsid w:val="00FF152E"/>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FF152E"/>
    <w:pPr>
      <w:spacing w:after="80" w:line="200" w:lineRule="exact"/>
      <w:ind w:firstLine="0"/>
    </w:pPr>
    <w:rPr>
      <w:b w:val="0"/>
      <w:sz w:val="20"/>
    </w:rPr>
  </w:style>
  <w:style w:type="paragraph" w:customStyle="1" w:styleId="BoxTitle">
    <w:name w:val="Box Title"/>
    <w:basedOn w:val="Caption"/>
    <w:next w:val="BoxSubtitle"/>
    <w:rsid w:val="00FF152E"/>
    <w:pPr>
      <w:spacing w:before="120" w:after="0"/>
      <w:ind w:left="1304" w:hanging="1304"/>
    </w:pPr>
    <w:rPr>
      <w:sz w:val="24"/>
    </w:rPr>
  </w:style>
  <w:style w:type="paragraph" w:styleId="Caption">
    <w:name w:val="caption"/>
    <w:basedOn w:val="Normal"/>
    <w:next w:val="BodyText"/>
    <w:rsid w:val="00FF152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F152E"/>
    <w:pPr>
      <w:ind w:left="907"/>
    </w:pPr>
    <w:rPr>
      <w:rFonts w:ascii="Arial" w:hAnsi="Arial"/>
      <w:b/>
      <w:sz w:val="22"/>
    </w:rPr>
  </w:style>
  <w:style w:type="character" w:customStyle="1" w:styleId="DocumentInfo">
    <w:name w:val="Document Info"/>
    <w:basedOn w:val="DefaultParagraphFont"/>
    <w:semiHidden/>
    <w:rsid w:val="00FF152E"/>
    <w:rPr>
      <w:rFonts w:ascii="Arial" w:hAnsi="Arial"/>
      <w:sz w:val="14"/>
    </w:rPr>
  </w:style>
  <w:style w:type="paragraph" w:styleId="Footer">
    <w:name w:val="footer"/>
    <w:basedOn w:val="BodyText"/>
    <w:semiHidden/>
    <w:rsid w:val="00FF152E"/>
    <w:pPr>
      <w:spacing w:before="80" w:line="200" w:lineRule="exact"/>
      <w:ind w:right="6"/>
      <w:jc w:val="left"/>
    </w:pPr>
    <w:rPr>
      <w:caps/>
      <w:spacing w:val="-4"/>
      <w:sz w:val="16"/>
    </w:rPr>
  </w:style>
  <w:style w:type="character" w:customStyle="1" w:styleId="DraftingNote">
    <w:name w:val="Drafting Note"/>
    <w:basedOn w:val="DefaultParagraphFont"/>
    <w:rsid w:val="00FF152E"/>
    <w:rPr>
      <w:b/>
      <w:color w:val="FF0000"/>
      <w:sz w:val="24"/>
      <w:u w:val="dotted"/>
    </w:rPr>
  </w:style>
  <w:style w:type="table" w:styleId="TableGrid">
    <w:name w:val="Table Grid"/>
    <w:basedOn w:val="TableNormal"/>
    <w:rsid w:val="007C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rsid w:val="00FF152E"/>
    <w:pPr>
      <w:keepNext/>
      <w:spacing w:before="120" w:after="120" w:line="240" w:lineRule="atLeast"/>
      <w:jc w:val="center"/>
    </w:pPr>
  </w:style>
  <w:style w:type="paragraph" w:customStyle="1" w:styleId="FigureTitle">
    <w:name w:val="Figure Title"/>
    <w:basedOn w:val="Caption"/>
    <w:next w:val="Subtitle"/>
    <w:rsid w:val="00FF152E"/>
    <w:rPr>
      <w:sz w:val="24"/>
    </w:rPr>
  </w:style>
  <w:style w:type="paragraph" w:styleId="Subtitle">
    <w:name w:val="Subtitle"/>
    <w:basedOn w:val="Caption"/>
    <w:link w:val="SubtitleChar"/>
    <w:rsid w:val="00FF152E"/>
    <w:pPr>
      <w:spacing w:before="0" w:line="200" w:lineRule="exact"/>
      <w:ind w:firstLine="0"/>
    </w:pPr>
    <w:rPr>
      <w:b w:val="0"/>
      <w:sz w:val="20"/>
    </w:rPr>
  </w:style>
  <w:style w:type="paragraph" w:customStyle="1" w:styleId="Finding">
    <w:name w:val="Finding"/>
    <w:basedOn w:val="BodyText"/>
    <w:rsid w:val="00FF152E"/>
    <w:pPr>
      <w:keepLines/>
      <w:spacing w:before="180"/>
    </w:pPr>
    <w:rPr>
      <w:i/>
    </w:rPr>
  </w:style>
  <w:style w:type="paragraph" w:customStyle="1" w:styleId="FindingBullet">
    <w:name w:val="Finding Bullet"/>
    <w:basedOn w:val="Finding"/>
    <w:rsid w:val="00FF152E"/>
    <w:pPr>
      <w:numPr>
        <w:numId w:val="7"/>
      </w:numPr>
      <w:spacing w:before="80"/>
    </w:pPr>
  </w:style>
  <w:style w:type="paragraph" w:customStyle="1" w:styleId="FindingNoTitle">
    <w:name w:val="Finding NoTitle"/>
    <w:basedOn w:val="Finding"/>
    <w:rsid w:val="00FF152E"/>
    <w:pPr>
      <w:spacing w:before="240"/>
    </w:pPr>
  </w:style>
  <w:style w:type="paragraph" w:customStyle="1" w:styleId="FindingTitle">
    <w:name w:val="Finding Title"/>
    <w:basedOn w:val="RecTitle"/>
    <w:next w:val="Finding"/>
    <w:rsid w:val="00FF152E"/>
    <w:pPr>
      <w:framePr w:wrap="notBeside" w:hAnchor="text"/>
    </w:pPr>
  </w:style>
  <w:style w:type="paragraph" w:customStyle="1" w:styleId="RecTitle">
    <w:name w:val="Rec Title"/>
    <w:basedOn w:val="BodyText"/>
    <w:next w:val="Normal"/>
    <w:rsid w:val="00FF152E"/>
    <w:pPr>
      <w:keepNext/>
      <w:keepLines/>
    </w:pPr>
    <w:rPr>
      <w:caps/>
      <w:sz w:val="20"/>
    </w:rPr>
  </w:style>
  <w:style w:type="paragraph" w:customStyle="1" w:styleId="FooterEnd">
    <w:name w:val="Footer End"/>
    <w:basedOn w:val="Footer"/>
    <w:rsid w:val="00FF152E"/>
    <w:pPr>
      <w:spacing w:before="0" w:line="20" w:lineRule="exact"/>
    </w:pPr>
  </w:style>
  <w:style w:type="character" w:styleId="FootnoteReference">
    <w:name w:val="footnote reference"/>
    <w:basedOn w:val="DefaultParagraphFont"/>
    <w:semiHidden/>
    <w:rsid w:val="00FF152E"/>
    <w:rPr>
      <w:rFonts w:ascii="Times New Roman" w:hAnsi="Times New Roman"/>
      <w:position w:val="6"/>
      <w:sz w:val="22"/>
      <w:vertAlign w:val="baseline"/>
    </w:rPr>
  </w:style>
  <w:style w:type="paragraph" w:styleId="FootnoteText">
    <w:name w:val="footnote text"/>
    <w:basedOn w:val="BodyText"/>
    <w:rsid w:val="00FF152E"/>
    <w:pPr>
      <w:tabs>
        <w:tab w:val="left" w:pos="284"/>
      </w:tabs>
      <w:spacing w:before="80" w:line="260" w:lineRule="exact"/>
      <w:ind w:left="284" w:hanging="284"/>
    </w:pPr>
    <w:rPr>
      <w:sz w:val="22"/>
    </w:rPr>
  </w:style>
  <w:style w:type="paragraph" w:styleId="Header">
    <w:name w:val="header"/>
    <w:basedOn w:val="BodyText"/>
    <w:rsid w:val="00FF152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F152E"/>
    <w:pPr>
      <w:spacing w:line="20" w:lineRule="exact"/>
    </w:pPr>
    <w:rPr>
      <w:sz w:val="16"/>
    </w:rPr>
  </w:style>
  <w:style w:type="paragraph" w:customStyle="1" w:styleId="HeaderEven">
    <w:name w:val="Header Even"/>
    <w:basedOn w:val="Header"/>
    <w:semiHidden/>
    <w:rsid w:val="00FF152E"/>
  </w:style>
  <w:style w:type="paragraph" w:customStyle="1" w:styleId="HeaderOdd">
    <w:name w:val="Header Odd"/>
    <w:basedOn w:val="Header"/>
    <w:semiHidden/>
    <w:rsid w:val="00FF152E"/>
  </w:style>
  <w:style w:type="paragraph" w:customStyle="1" w:styleId="InformationRequest">
    <w:name w:val="Information Request"/>
    <w:basedOn w:val="Finding"/>
    <w:next w:val="BodyText"/>
    <w:rsid w:val="00FF152E"/>
    <w:pPr>
      <w:spacing w:before="360" w:after="120"/>
    </w:pPr>
    <w:rPr>
      <w:rFonts w:ascii="Arial" w:hAnsi="Arial"/>
      <w:sz w:val="24"/>
    </w:rPr>
  </w:style>
  <w:style w:type="paragraph" w:styleId="ListBullet">
    <w:name w:val="List Bullet"/>
    <w:basedOn w:val="BodyText"/>
    <w:rsid w:val="00FF152E"/>
    <w:pPr>
      <w:numPr>
        <w:numId w:val="5"/>
      </w:numPr>
      <w:spacing w:before="120"/>
    </w:pPr>
  </w:style>
  <w:style w:type="paragraph" w:styleId="ListBullet2">
    <w:name w:val="List Bullet 2"/>
    <w:basedOn w:val="BodyText"/>
    <w:rsid w:val="00FF152E"/>
    <w:pPr>
      <w:numPr>
        <w:numId w:val="2"/>
      </w:numPr>
      <w:spacing w:before="120"/>
    </w:pPr>
  </w:style>
  <w:style w:type="paragraph" w:styleId="ListBullet3">
    <w:name w:val="List Bullet 3"/>
    <w:basedOn w:val="BodyText"/>
    <w:rsid w:val="00FF152E"/>
    <w:pPr>
      <w:numPr>
        <w:numId w:val="1"/>
      </w:numPr>
      <w:spacing w:before="120"/>
    </w:pPr>
  </w:style>
  <w:style w:type="paragraph" w:styleId="ListNumber">
    <w:name w:val="List Number"/>
    <w:basedOn w:val="BodyText"/>
    <w:rsid w:val="00FF152E"/>
    <w:pPr>
      <w:numPr>
        <w:numId w:val="13"/>
      </w:numPr>
      <w:spacing w:before="120"/>
    </w:pPr>
  </w:style>
  <w:style w:type="paragraph" w:styleId="ListNumber2">
    <w:name w:val="List Number 2"/>
    <w:basedOn w:val="ListNumber"/>
    <w:rsid w:val="00FF152E"/>
    <w:pPr>
      <w:numPr>
        <w:ilvl w:val="1"/>
      </w:numPr>
    </w:pPr>
  </w:style>
  <w:style w:type="paragraph" w:styleId="ListNumber3">
    <w:name w:val="List Number 3"/>
    <w:basedOn w:val="ListNumber2"/>
    <w:rsid w:val="00FF152E"/>
    <w:pPr>
      <w:numPr>
        <w:ilvl w:val="2"/>
      </w:numPr>
    </w:pPr>
  </w:style>
  <w:style w:type="character" w:customStyle="1" w:styleId="NoteLabel">
    <w:name w:val="Note Label"/>
    <w:basedOn w:val="DefaultParagraphFont"/>
    <w:rsid w:val="00FF152E"/>
    <w:rPr>
      <w:rFonts w:ascii="Arial" w:hAnsi="Arial"/>
      <w:b/>
      <w:position w:val="6"/>
      <w:sz w:val="18"/>
    </w:rPr>
  </w:style>
  <w:style w:type="character" w:styleId="PageNumber">
    <w:name w:val="page number"/>
    <w:basedOn w:val="DefaultParagraphFont"/>
    <w:rsid w:val="00FF152E"/>
    <w:rPr>
      <w:rFonts w:ascii="Arial" w:hAnsi="Arial"/>
      <w:b/>
      <w:sz w:val="16"/>
    </w:rPr>
  </w:style>
  <w:style w:type="paragraph" w:customStyle="1" w:styleId="PartDivider">
    <w:name w:val="Part Divider"/>
    <w:basedOn w:val="BodyText"/>
    <w:next w:val="BodyText"/>
    <w:semiHidden/>
    <w:rsid w:val="00FF152E"/>
    <w:pPr>
      <w:spacing w:before="0" w:line="40" w:lineRule="exact"/>
      <w:jc w:val="right"/>
    </w:pPr>
    <w:rPr>
      <w:smallCaps/>
      <w:sz w:val="16"/>
    </w:rPr>
  </w:style>
  <w:style w:type="paragraph" w:customStyle="1" w:styleId="PartNumber">
    <w:name w:val="Part Number"/>
    <w:basedOn w:val="BodyText"/>
    <w:next w:val="BodyText"/>
    <w:semiHidden/>
    <w:rsid w:val="00FF152E"/>
    <w:pPr>
      <w:spacing w:before="4000" w:line="320" w:lineRule="exact"/>
      <w:ind w:left="6634"/>
      <w:jc w:val="right"/>
    </w:pPr>
    <w:rPr>
      <w:smallCaps/>
      <w:spacing w:val="60"/>
      <w:sz w:val="32"/>
    </w:rPr>
  </w:style>
  <w:style w:type="paragraph" w:customStyle="1" w:styleId="PartTitle">
    <w:name w:val="Part Title"/>
    <w:basedOn w:val="BodyText"/>
    <w:semiHidden/>
    <w:rsid w:val="00FF152E"/>
    <w:pPr>
      <w:spacing w:before="160" w:after="1360" w:line="520" w:lineRule="exact"/>
      <w:ind w:right="2381"/>
      <w:jc w:val="right"/>
    </w:pPr>
    <w:rPr>
      <w:smallCaps/>
      <w:sz w:val="52"/>
    </w:rPr>
  </w:style>
  <w:style w:type="paragraph" w:customStyle="1" w:styleId="Rec">
    <w:name w:val="Rec"/>
    <w:basedOn w:val="BodyText"/>
    <w:rsid w:val="00FF152E"/>
    <w:pPr>
      <w:keepLines/>
      <w:spacing w:before="180"/>
    </w:pPr>
    <w:rPr>
      <w:b/>
      <w:i/>
    </w:rPr>
  </w:style>
  <w:style w:type="paragraph" w:customStyle="1" w:styleId="RecBullet">
    <w:name w:val="Rec Bullet"/>
    <w:basedOn w:val="Rec"/>
    <w:rsid w:val="00FF152E"/>
    <w:pPr>
      <w:numPr>
        <w:numId w:val="8"/>
      </w:numPr>
      <w:spacing w:before="80"/>
    </w:pPr>
  </w:style>
  <w:style w:type="paragraph" w:customStyle="1" w:styleId="RecB">
    <w:name w:val="RecB"/>
    <w:basedOn w:val="Normal"/>
    <w:rsid w:val="00FF152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F152E"/>
    <w:pPr>
      <w:numPr>
        <w:numId w:val="9"/>
      </w:numPr>
      <w:spacing w:before="80"/>
    </w:pPr>
  </w:style>
  <w:style w:type="paragraph" w:customStyle="1" w:styleId="RecBNoTitle">
    <w:name w:val="RecB NoTitle"/>
    <w:basedOn w:val="RecB"/>
    <w:rsid w:val="00FF152E"/>
    <w:pPr>
      <w:spacing w:before="240"/>
    </w:pPr>
  </w:style>
  <w:style w:type="paragraph" w:customStyle="1" w:styleId="Reference">
    <w:name w:val="Reference"/>
    <w:basedOn w:val="BodyText"/>
    <w:rsid w:val="00FF152E"/>
    <w:pPr>
      <w:spacing w:before="120"/>
      <w:ind w:left="340" w:hanging="340"/>
    </w:pPr>
  </w:style>
  <w:style w:type="paragraph" w:customStyle="1" w:styleId="SideNote">
    <w:name w:val="Side Note"/>
    <w:basedOn w:val="BodyText"/>
    <w:next w:val="BodyText"/>
    <w:semiHidden/>
    <w:rsid w:val="00FF152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F152E"/>
    <w:pPr>
      <w:framePr w:wrap="around"/>
      <w:numPr>
        <w:numId w:val="4"/>
      </w:numPr>
      <w:tabs>
        <w:tab w:val="left" w:pos="227"/>
      </w:tabs>
    </w:pPr>
  </w:style>
  <w:style w:type="paragraph" w:customStyle="1" w:styleId="SideNoteGraphic">
    <w:name w:val="Side Note Graphic"/>
    <w:basedOn w:val="SideNote"/>
    <w:next w:val="BodyText"/>
    <w:semiHidden/>
    <w:rsid w:val="00FF152E"/>
    <w:pPr>
      <w:framePr w:wrap="around"/>
    </w:pPr>
  </w:style>
  <w:style w:type="paragraph" w:customStyle="1" w:styleId="TableBodyText">
    <w:name w:val="Table Body Text"/>
    <w:basedOn w:val="BodyText"/>
    <w:rsid w:val="00FF152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F152E"/>
    <w:pPr>
      <w:numPr>
        <w:numId w:val="10"/>
      </w:numPr>
      <w:jc w:val="left"/>
    </w:pPr>
  </w:style>
  <w:style w:type="paragraph" w:customStyle="1" w:styleId="TableColumnHeading">
    <w:name w:val="Table Column Heading"/>
    <w:basedOn w:val="TableBodyText"/>
    <w:rsid w:val="00FF152E"/>
    <w:pPr>
      <w:spacing w:before="80" w:after="80"/>
    </w:pPr>
    <w:rPr>
      <w:i/>
    </w:rPr>
  </w:style>
  <w:style w:type="paragraph" w:styleId="TableofFigures">
    <w:name w:val="table of figures"/>
    <w:basedOn w:val="TOC3"/>
    <w:next w:val="BodyText"/>
    <w:semiHidden/>
    <w:rsid w:val="00FF152E"/>
    <w:pPr>
      <w:ind w:left="737" w:hanging="737"/>
    </w:pPr>
  </w:style>
  <w:style w:type="paragraph" w:styleId="TOC3">
    <w:name w:val="toc 3"/>
    <w:basedOn w:val="TOC2"/>
    <w:semiHidden/>
    <w:rsid w:val="00FF152E"/>
    <w:pPr>
      <w:spacing w:before="60"/>
      <w:ind w:left="1190" w:hanging="680"/>
    </w:pPr>
    <w:rPr>
      <w:b w:val="0"/>
    </w:rPr>
  </w:style>
  <w:style w:type="paragraph" w:styleId="TOC2">
    <w:name w:val="toc 2"/>
    <w:basedOn w:val="BodyText"/>
    <w:semiHidden/>
    <w:rsid w:val="00FF152E"/>
    <w:pPr>
      <w:tabs>
        <w:tab w:val="right" w:pos="8789"/>
      </w:tabs>
      <w:ind w:left="510" w:right="851" w:hanging="510"/>
      <w:jc w:val="left"/>
    </w:pPr>
    <w:rPr>
      <w:b/>
    </w:rPr>
  </w:style>
  <w:style w:type="paragraph" w:customStyle="1" w:styleId="TableTitle">
    <w:name w:val="Table Title"/>
    <w:basedOn w:val="Caption"/>
    <w:next w:val="Subtitle"/>
    <w:rsid w:val="00FF152E"/>
    <w:rPr>
      <w:sz w:val="24"/>
    </w:rPr>
  </w:style>
  <w:style w:type="paragraph" w:customStyle="1" w:styleId="TableUnitsRow">
    <w:name w:val="Table Units Row"/>
    <w:basedOn w:val="TableBodyText"/>
    <w:rsid w:val="00FF152E"/>
    <w:pPr>
      <w:spacing w:before="80" w:after="80"/>
    </w:pPr>
  </w:style>
  <w:style w:type="paragraph" w:styleId="TOC1">
    <w:name w:val="toc 1"/>
    <w:basedOn w:val="Normal"/>
    <w:next w:val="TOC2"/>
    <w:semiHidden/>
    <w:rsid w:val="00FF152E"/>
    <w:pPr>
      <w:tabs>
        <w:tab w:val="right" w:pos="8789"/>
      </w:tabs>
      <w:spacing w:before="480" w:after="60" w:line="320" w:lineRule="exact"/>
      <w:ind w:left="1191" w:right="851" w:hanging="1191"/>
    </w:pPr>
    <w:rPr>
      <w:b/>
      <w:caps/>
    </w:rPr>
  </w:style>
  <w:style w:type="paragraph" w:styleId="TOC4">
    <w:name w:val="toc 4"/>
    <w:basedOn w:val="TOC3"/>
    <w:semiHidden/>
    <w:rsid w:val="00FF152E"/>
    <w:pPr>
      <w:ind w:left="1191" w:firstLine="0"/>
    </w:pPr>
  </w:style>
  <w:style w:type="paragraph" w:customStyle="1" w:styleId="BoxContinued">
    <w:name w:val="Box Continued"/>
    <w:basedOn w:val="BodyText"/>
    <w:next w:val="BodyText"/>
    <w:semiHidden/>
    <w:rsid w:val="00FF152E"/>
    <w:pPr>
      <w:spacing w:before="180" w:line="220" w:lineRule="exact"/>
      <w:jc w:val="right"/>
    </w:pPr>
    <w:rPr>
      <w:rFonts w:ascii="Arial" w:hAnsi="Arial"/>
      <w:sz w:val="18"/>
    </w:rPr>
  </w:style>
  <w:style w:type="paragraph" w:customStyle="1" w:styleId="Continued">
    <w:name w:val="Continued"/>
    <w:basedOn w:val="BoxContinued"/>
    <w:next w:val="BodyText"/>
    <w:rsid w:val="00FF152E"/>
  </w:style>
  <w:style w:type="paragraph" w:customStyle="1" w:styleId="BoxHeading1">
    <w:name w:val="Box Heading 1"/>
    <w:basedOn w:val="BodyText"/>
    <w:next w:val="Box"/>
    <w:rsid w:val="00FF152E"/>
    <w:pPr>
      <w:keepNext/>
      <w:spacing w:before="200" w:line="280" w:lineRule="atLeast"/>
    </w:pPr>
    <w:rPr>
      <w:rFonts w:ascii="Arial" w:hAnsi="Arial"/>
      <w:b/>
      <w:sz w:val="22"/>
    </w:rPr>
  </w:style>
  <w:style w:type="paragraph" w:customStyle="1" w:styleId="BoxHeading2">
    <w:name w:val="Box Heading 2"/>
    <w:basedOn w:val="BoxHeading1"/>
    <w:next w:val="Normal"/>
    <w:rsid w:val="00FF152E"/>
    <w:rPr>
      <w:b w:val="0"/>
      <w:i/>
    </w:rPr>
  </w:style>
  <w:style w:type="paragraph" w:customStyle="1" w:styleId="Jurisdictioncommentsbodytext">
    <w:name w:val="Jurisdiction comments body text"/>
    <w:rsid w:val="00FF152E"/>
    <w:pPr>
      <w:spacing w:after="140"/>
      <w:jc w:val="both"/>
    </w:pPr>
    <w:rPr>
      <w:rFonts w:ascii="Arial" w:hAnsi="Arial"/>
      <w:sz w:val="24"/>
      <w:lang w:eastAsia="en-US"/>
    </w:rPr>
  </w:style>
  <w:style w:type="paragraph" w:customStyle="1" w:styleId="Jurisdictioncommentsheading">
    <w:name w:val="Jurisdiction comments heading"/>
    <w:rsid w:val="00FF152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F152E"/>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FF152E"/>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sz w:val="24"/>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paragraph" w:customStyle="1" w:styleId="Ft">
    <w:name w:val="Ft"/>
    <w:basedOn w:val="BodyText"/>
    <w:rsid w:val="00931C3D"/>
  </w:style>
  <w:style w:type="character" w:customStyle="1" w:styleId="BodyTextChar">
    <w:name w:val="Body Text Char"/>
    <w:link w:val="BodyText"/>
    <w:rsid w:val="004B0818"/>
    <w:rPr>
      <w:sz w:val="26"/>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FF152E"/>
    <w:pPr>
      <w:pBdr>
        <w:left w:val="single" w:sz="24" w:space="29" w:color="C0C0C0"/>
      </w:pBdr>
    </w:pPr>
    <w:rPr>
      <w:b/>
      <w:i/>
    </w:rPr>
  </w:style>
  <w:style w:type="character" w:customStyle="1" w:styleId="BalloonTextChar">
    <w:name w:val="Balloon Text Char"/>
    <w:basedOn w:val="DefaultParagraphFont"/>
    <w:link w:val="BalloonText"/>
    <w:rsid w:val="00FF152E"/>
    <w:rPr>
      <w:rFonts w:ascii="Tahoma" w:hAnsi="Tahoma" w:cs="Tahoma"/>
      <w:sz w:val="16"/>
      <w:szCs w:val="16"/>
    </w:rPr>
  </w:style>
  <w:style w:type="character" w:customStyle="1" w:styleId="SubtitleChar">
    <w:name w:val="Subtitle Char"/>
    <w:basedOn w:val="DefaultParagraphFont"/>
    <w:link w:val="Subtitle"/>
    <w:rsid w:val="00FF152E"/>
    <w:rPr>
      <w:rFonts w:ascii="Arial" w:hAnsi="Arial"/>
      <w:szCs w:val="24"/>
    </w:rPr>
  </w:style>
  <w:style w:type="paragraph" w:customStyle="1" w:styleId="BoxListBullet3">
    <w:name w:val="Box List Bullet 3"/>
    <w:basedOn w:val="ListBullet3"/>
    <w:rsid w:val="00FF152E"/>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F152E"/>
    <w:rPr>
      <w:i/>
      <w:iCs/>
    </w:rPr>
  </w:style>
  <w:style w:type="paragraph" w:customStyle="1" w:styleId="BoxQuoteBullet">
    <w:name w:val="Box Quote Bullet"/>
    <w:basedOn w:val="BoxQuote"/>
    <w:next w:val="Box"/>
    <w:rsid w:val="00FF152E"/>
    <w:pPr>
      <w:numPr>
        <w:numId w:val="15"/>
      </w:numPr>
      <w:ind w:left="568" w:hanging="284"/>
    </w:pPr>
  </w:style>
  <w:style w:type="paragraph" w:customStyle="1" w:styleId="InformationRequestBullet">
    <w:name w:val="Information Request Bullet"/>
    <w:basedOn w:val="ListBullet"/>
    <w:next w:val="BodyText"/>
    <w:rsid w:val="00FF152E"/>
    <w:pPr>
      <w:numPr>
        <w:numId w:val="16"/>
      </w:numPr>
      <w:ind w:left="340" w:hanging="340"/>
    </w:pPr>
    <w:rPr>
      <w:rFonts w:ascii="Arial" w:hAnsi="Arial"/>
      <w:i/>
      <w:sz w:val="24"/>
    </w:rPr>
  </w:style>
  <w:style w:type="character" w:customStyle="1" w:styleId="Heading5Char">
    <w:name w:val="Heading 5 Char"/>
    <w:basedOn w:val="DefaultParagraphFont"/>
    <w:link w:val="Heading5"/>
    <w:rsid w:val="00FF1D18"/>
    <w:rPr>
      <w:i/>
      <w:sz w:val="26"/>
    </w:rPr>
  </w:style>
  <w:style w:type="paragraph" w:customStyle="1" w:styleId="BoxSpaceAbove">
    <w:name w:val="Box Space Above"/>
    <w:basedOn w:val="BodyText"/>
    <w:rsid w:val="00FF152E"/>
    <w:pPr>
      <w:keepNext/>
      <w:spacing w:before="360" w:line="80" w:lineRule="exact"/>
      <w:jc w:val="left"/>
    </w:pPr>
  </w:style>
  <w:style w:type="paragraph" w:customStyle="1" w:styleId="BoxSpaceBelow">
    <w:name w:val="Box Space Below"/>
    <w:basedOn w:val="Box"/>
    <w:rsid w:val="00FF152E"/>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F152E"/>
    <w:rPr>
      <w:sz w:val="26"/>
      <w:szCs w:val="24"/>
    </w:rPr>
  </w:style>
  <w:style w:type="paragraph" w:styleId="Heading1">
    <w:name w:val="heading 1"/>
    <w:basedOn w:val="BodyText"/>
    <w:next w:val="BodyText"/>
    <w:rsid w:val="00FF152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F152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F152E"/>
    <w:pPr>
      <w:spacing w:before="560" w:line="320" w:lineRule="exact"/>
      <w:ind w:left="0" w:firstLine="0"/>
      <w:outlineLvl w:val="2"/>
    </w:pPr>
    <w:rPr>
      <w:sz w:val="26"/>
    </w:rPr>
  </w:style>
  <w:style w:type="paragraph" w:styleId="Heading4">
    <w:name w:val="heading 4"/>
    <w:basedOn w:val="Heading3"/>
    <w:next w:val="BodyText"/>
    <w:qFormat/>
    <w:rsid w:val="00FF152E"/>
    <w:pPr>
      <w:spacing w:before="480"/>
      <w:outlineLvl w:val="3"/>
    </w:pPr>
    <w:rPr>
      <w:b w:val="0"/>
      <w:i/>
      <w:sz w:val="24"/>
    </w:rPr>
  </w:style>
  <w:style w:type="paragraph" w:styleId="Heading5">
    <w:name w:val="heading 5"/>
    <w:basedOn w:val="Heading4"/>
    <w:next w:val="BodyText"/>
    <w:link w:val="Heading5Char"/>
    <w:qFormat/>
    <w:rsid w:val="00FF152E"/>
    <w:pPr>
      <w:outlineLvl w:val="4"/>
    </w:pPr>
    <w:rPr>
      <w:rFonts w:ascii="Times New Roman" w:hAnsi="Times New Roman"/>
      <w:sz w:val="26"/>
    </w:rPr>
  </w:style>
  <w:style w:type="paragraph" w:styleId="Heading6">
    <w:name w:val="heading 6"/>
    <w:basedOn w:val="BodyText"/>
    <w:next w:val="BodyText"/>
    <w:rsid w:val="00FF152E"/>
    <w:pPr>
      <w:spacing w:after="60"/>
      <w:jc w:val="left"/>
      <w:outlineLvl w:val="5"/>
    </w:pPr>
    <w:rPr>
      <w:i/>
      <w:sz w:val="22"/>
    </w:rPr>
  </w:style>
  <w:style w:type="paragraph" w:styleId="Heading7">
    <w:name w:val="heading 7"/>
    <w:basedOn w:val="BodyText"/>
    <w:next w:val="BodyText"/>
    <w:rsid w:val="00FF152E"/>
    <w:pPr>
      <w:spacing w:after="60" w:line="240" w:lineRule="auto"/>
      <w:jc w:val="left"/>
      <w:outlineLvl w:val="6"/>
    </w:pPr>
    <w:rPr>
      <w:rFonts w:ascii="Arial" w:hAnsi="Arial"/>
      <w:sz w:val="20"/>
    </w:rPr>
  </w:style>
  <w:style w:type="paragraph" w:styleId="Heading8">
    <w:name w:val="heading 8"/>
    <w:basedOn w:val="BodyText"/>
    <w:next w:val="BodyText"/>
    <w:rsid w:val="00FF152E"/>
    <w:pPr>
      <w:spacing w:after="60" w:line="240" w:lineRule="auto"/>
      <w:jc w:val="left"/>
      <w:outlineLvl w:val="7"/>
    </w:pPr>
    <w:rPr>
      <w:rFonts w:ascii="Arial" w:hAnsi="Arial"/>
      <w:i/>
      <w:sz w:val="20"/>
    </w:rPr>
  </w:style>
  <w:style w:type="paragraph" w:styleId="Heading9">
    <w:name w:val="heading 9"/>
    <w:basedOn w:val="BodyText"/>
    <w:next w:val="BodyText"/>
    <w:rsid w:val="00FF152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F1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52E"/>
  </w:style>
  <w:style w:type="paragraph" w:styleId="BodyText">
    <w:name w:val="Body Text"/>
    <w:link w:val="BodyTextChar"/>
    <w:qFormat/>
    <w:rsid w:val="00FF152E"/>
    <w:pPr>
      <w:spacing w:before="240" w:line="320" w:lineRule="atLeast"/>
      <w:jc w:val="both"/>
    </w:pPr>
    <w:rPr>
      <w:sz w:val="26"/>
    </w:rPr>
  </w:style>
  <w:style w:type="paragraph" w:customStyle="1" w:styleId="Chapter">
    <w:name w:val="Chapter"/>
    <w:basedOn w:val="Heading1"/>
    <w:next w:val="BodyText"/>
    <w:semiHidden/>
    <w:rsid w:val="00FF152E"/>
    <w:pPr>
      <w:ind w:left="0" w:firstLine="0"/>
      <w:outlineLvl w:val="9"/>
    </w:pPr>
  </w:style>
  <w:style w:type="paragraph" w:customStyle="1" w:styleId="SequenceInfo">
    <w:name w:val="Sequence Info"/>
    <w:basedOn w:val="BodyText"/>
    <w:semiHidden/>
    <w:rsid w:val="00FF152E"/>
    <w:rPr>
      <w:vanish/>
      <w:sz w:val="16"/>
    </w:rPr>
  </w:style>
  <w:style w:type="character" w:styleId="CommentReference">
    <w:name w:val="annotation reference"/>
    <w:basedOn w:val="DefaultParagraphFont"/>
    <w:semiHidden/>
    <w:rsid w:val="00FF152E"/>
    <w:rPr>
      <w:b/>
      <w:vanish/>
      <w:color w:val="FF00FF"/>
      <w:sz w:val="20"/>
    </w:rPr>
  </w:style>
  <w:style w:type="paragraph" w:styleId="CommentText">
    <w:name w:val="annotation text"/>
    <w:basedOn w:val="Normal"/>
    <w:semiHidden/>
    <w:rsid w:val="00FF152E"/>
    <w:pPr>
      <w:spacing w:before="120" w:line="240" w:lineRule="atLeast"/>
      <w:ind w:left="567" w:hanging="567"/>
    </w:pPr>
    <w:rPr>
      <w:sz w:val="20"/>
    </w:rPr>
  </w:style>
  <w:style w:type="paragraph" w:customStyle="1" w:styleId="Abbreviation">
    <w:name w:val="Abbreviation"/>
    <w:basedOn w:val="BodyText"/>
    <w:rsid w:val="00FF152E"/>
    <w:pPr>
      <w:spacing w:before="120"/>
      <w:ind w:left="2381" w:hanging="2381"/>
      <w:jc w:val="left"/>
    </w:pPr>
  </w:style>
  <w:style w:type="paragraph" w:customStyle="1" w:styleId="Box">
    <w:name w:val="Box"/>
    <w:basedOn w:val="BodyText"/>
    <w:qFormat/>
    <w:rsid w:val="00FF152E"/>
    <w:pPr>
      <w:keepNext/>
      <w:spacing w:before="120" w:line="280" w:lineRule="atLeast"/>
    </w:pPr>
    <w:rPr>
      <w:rFonts w:ascii="Arial" w:hAnsi="Arial"/>
      <w:sz w:val="22"/>
    </w:rPr>
  </w:style>
  <w:style w:type="paragraph" w:customStyle="1" w:styleId="QuoteBullet">
    <w:name w:val="Quote Bullet"/>
    <w:basedOn w:val="Quote"/>
    <w:rsid w:val="00FF152E"/>
    <w:pPr>
      <w:numPr>
        <w:numId w:val="11"/>
      </w:numPr>
    </w:pPr>
  </w:style>
  <w:style w:type="paragraph" w:styleId="Quote">
    <w:name w:val="Quote"/>
    <w:basedOn w:val="BodyText"/>
    <w:next w:val="BodyText"/>
    <w:qFormat/>
    <w:rsid w:val="00FF152E"/>
    <w:pPr>
      <w:spacing w:before="120" w:line="280" w:lineRule="exact"/>
      <w:ind w:left="340"/>
    </w:pPr>
    <w:rPr>
      <w:sz w:val="24"/>
    </w:rPr>
  </w:style>
  <w:style w:type="paragraph" w:customStyle="1" w:styleId="BoxListBullet">
    <w:name w:val="Box List Bullet"/>
    <w:basedOn w:val="BodyText"/>
    <w:rsid w:val="00FF152E"/>
    <w:pPr>
      <w:keepNext/>
      <w:numPr>
        <w:numId w:val="6"/>
      </w:numPr>
      <w:spacing w:before="60" w:line="280" w:lineRule="atLeast"/>
    </w:pPr>
    <w:rPr>
      <w:rFonts w:ascii="Arial" w:hAnsi="Arial"/>
      <w:sz w:val="22"/>
    </w:rPr>
  </w:style>
  <w:style w:type="paragraph" w:customStyle="1" w:styleId="BoxListBullet2">
    <w:name w:val="Box List Bullet 2"/>
    <w:basedOn w:val="BodyText"/>
    <w:rsid w:val="00FF152E"/>
    <w:pPr>
      <w:keepNext/>
      <w:numPr>
        <w:numId w:val="3"/>
      </w:numPr>
      <w:spacing w:before="60" w:line="280" w:lineRule="atLeast"/>
    </w:pPr>
    <w:rPr>
      <w:rFonts w:ascii="Arial" w:hAnsi="Arial"/>
      <w:sz w:val="22"/>
    </w:rPr>
  </w:style>
  <w:style w:type="paragraph" w:customStyle="1" w:styleId="BoxListNumber">
    <w:name w:val="Box List Number"/>
    <w:basedOn w:val="BodyText"/>
    <w:rsid w:val="00FF152E"/>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F152E"/>
    <w:pPr>
      <w:numPr>
        <w:ilvl w:val="1"/>
      </w:numPr>
    </w:pPr>
  </w:style>
  <w:style w:type="paragraph" w:customStyle="1" w:styleId="BoxQuote">
    <w:name w:val="Box Quote"/>
    <w:basedOn w:val="BodyText"/>
    <w:next w:val="Box"/>
    <w:rsid w:val="00FF152E"/>
    <w:pPr>
      <w:keepNext/>
      <w:spacing w:before="60" w:line="260" w:lineRule="exact"/>
      <w:ind w:left="284"/>
    </w:pPr>
    <w:rPr>
      <w:rFonts w:ascii="Arial" w:hAnsi="Arial"/>
      <w:sz w:val="20"/>
    </w:rPr>
  </w:style>
  <w:style w:type="paragraph" w:customStyle="1" w:styleId="BoxSource">
    <w:name w:val="Box Source"/>
    <w:basedOn w:val="Source"/>
    <w:next w:val="BodyText"/>
    <w:rsid w:val="00FF152E"/>
    <w:pPr>
      <w:spacing w:before="180" w:after="0"/>
    </w:pPr>
  </w:style>
  <w:style w:type="paragraph" w:customStyle="1" w:styleId="Source">
    <w:name w:val="Source"/>
    <w:basedOn w:val="Note"/>
    <w:next w:val="BodyText"/>
    <w:rsid w:val="00FF152E"/>
    <w:pPr>
      <w:spacing w:after="120"/>
    </w:pPr>
  </w:style>
  <w:style w:type="paragraph" w:customStyle="1" w:styleId="Note">
    <w:name w:val="Note"/>
    <w:basedOn w:val="BodyText"/>
    <w:next w:val="BodyText"/>
    <w:link w:val="NoteChar"/>
    <w:rsid w:val="00FF152E"/>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FF152E"/>
    <w:pPr>
      <w:spacing w:after="80" w:line="200" w:lineRule="exact"/>
      <w:ind w:firstLine="0"/>
    </w:pPr>
    <w:rPr>
      <w:b w:val="0"/>
      <w:sz w:val="20"/>
    </w:rPr>
  </w:style>
  <w:style w:type="paragraph" w:customStyle="1" w:styleId="BoxTitle">
    <w:name w:val="Box Title"/>
    <w:basedOn w:val="Caption"/>
    <w:next w:val="BoxSubtitle"/>
    <w:rsid w:val="00FF152E"/>
    <w:pPr>
      <w:spacing w:before="120" w:after="0"/>
      <w:ind w:left="1304" w:hanging="1304"/>
    </w:pPr>
    <w:rPr>
      <w:sz w:val="24"/>
    </w:rPr>
  </w:style>
  <w:style w:type="paragraph" w:styleId="Caption">
    <w:name w:val="caption"/>
    <w:basedOn w:val="Normal"/>
    <w:next w:val="BodyText"/>
    <w:rsid w:val="00FF152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F152E"/>
    <w:pPr>
      <w:ind w:left="907"/>
    </w:pPr>
    <w:rPr>
      <w:rFonts w:ascii="Arial" w:hAnsi="Arial"/>
      <w:b/>
      <w:sz w:val="22"/>
    </w:rPr>
  </w:style>
  <w:style w:type="character" w:customStyle="1" w:styleId="DocumentInfo">
    <w:name w:val="Document Info"/>
    <w:basedOn w:val="DefaultParagraphFont"/>
    <w:semiHidden/>
    <w:rsid w:val="00FF152E"/>
    <w:rPr>
      <w:rFonts w:ascii="Arial" w:hAnsi="Arial"/>
      <w:sz w:val="14"/>
    </w:rPr>
  </w:style>
  <w:style w:type="paragraph" w:styleId="Footer">
    <w:name w:val="footer"/>
    <w:basedOn w:val="BodyText"/>
    <w:semiHidden/>
    <w:rsid w:val="00FF152E"/>
    <w:pPr>
      <w:spacing w:before="80" w:line="200" w:lineRule="exact"/>
      <w:ind w:right="6"/>
      <w:jc w:val="left"/>
    </w:pPr>
    <w:rPr>
      <w:caps/>
      <w:spacing w:val="-4"/>
      <w:sz w:val="16"/>
    </w:rPr>
  </w:style>
  <w:style w:type="character" w:customStyle="1" w:styleId="DraftingNote">
    <w:name w:val="Drafting Note"/>
    <w:basedOn w:val="DefaultParagraphFont"/>
    <w:rsid w:val="00FF152E"/>
    <w:rPr>
      <w:b/>
      <w:color w:val="FF0000"/>
      <w:sz w:val="24"/>
      <w:u w:val="dotted"/>
    </w:rPr>
  </w:style>
  <w:style w:type="table" w:styleId="TableGrid">
    <w:name w:val="Table Grid"/>
    <w:basedOn w:val="TableNormal"/>
    <w:rsid w:val="007C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rsid w:val="00FF152E"/>
    <w:pPr>
      <w:keepNext/>
      <w:spacing w:before="120" w:after="120" w:line="240" w:lineRule="atLeast"/>
      <w:jc w:val="center"/>
    </w:pPr>
  </w:style>
  <w:style w:type="paragraph" w:customStyle="1" w:styleId="FigureTitle">
    <w:name w:val="Figure Title"/>
    <w:basedOn w:val="Caption"/>
    <w:next w:val="Subtitle"/>
    <w:rsid w:val="00FF152E"/>
    <w:rPr>
      <w:sz w:val="24"/>
    </w:rPr>
  </w:style>
  <w:style w:type="paragraph" w:styleId="Subtitle">
    <w:name w:val="Subtitle"/>
    <w:basedOn w:val="Caption"/>
    <w:link w:val="SubtitleChar"/>
    <w:rsid w:val="00FF152E"/>
    <w:pPr>
      <w:spacing w:before="0" w:line="200" w:lineRule="exact"/>
      <w:ind w:firstLine="0"/>
    </w:pPr>
    <w:rPr>
      <w:b w:val="0"/>
      <w:sz w:val="20"/>
    </w:rPr>
  </w:style>
  <w:style w:type="paragraph" w:customStyle="1" w:styleId="Finding">
    <w:name w:val="Finding"/>
    <w:basedOn w:val="BodyText"/>
    <w:rsid w:val="00FF152E"/>
    <w:pPr>
      <w:keepLines/>
      <w:spacing w:before="180"/>
    </w:pPr>
    <w:rPr>
      <w:i/>
    </w:rPr>
  </w:style>
  <w:style w:type="paragraph" w:customStyle="1" w:styleId="FindingBullet">
    <w:name w:val="Finding Bullet"/>
    <w:basedOn w:val="Finding"/>
    <w:rsid w:val="00FF152E"/>
    <w:pPr>
      <w:numPr>
        <w:numId w:val="7"/>
      </w:numPr>
      <w:spacing w:before="80"/>
    </w:pPr>
  </w:style>
  <w:style w:type="paragraph" w:customStyle="1" w:styleId="FindingNoTitle">
    <w:name w:val="Finding NoTitle"/>
    <w:basedOn w:val="Finding"/>
    <w:rsid w:val="00FF152E"/>
    <w:pPr>
      <w:spacing w:before="240"/>
    </w:pPr>
  </w:style>
  <w:style w:type="paragraph" w:customStyle="1" w:styleId="FindingTitle">
    <w:name w:val="Finding Title"/>
    <w:basedOn w:val="RecTitle"/>
    <w:next w:val="Finding"/>
    <w:rsid w:val="00FF152E"/>
    <w:pPr>
      <w:framePr w:wrap="notBeside" w:hAnchor="text"/>
    </w:pPr>
  </w:style>
  <w:style w:type="paragraph" w:customStyle="1" w:styleId="RecTitle">
    <w:name w:val="Rec Title"/>
    <w:basedOn w:val="BodyText"/>
    <w:next w:val="Normal"/>
    <w:rsid w:val="00FF152E"/>
    <w:pPr>
      <w:keepNext/>
      <w:keepLines/>
    </w:pPr>
    <w:rPr>
      <w:caps/>
      <w:sz w:val="20"/>
    </w:rPr>
  </w:style>
  <w:style w:type="paragraph" w:customStyle="1" w:styleId="FooterEnd">
    <w:name w:val="Footer End"/>
    <w:basedOn w:val="Footer"/>
    <w:rsid w:val="00FF152E"/>
    <w:pPr>
      <w:spacing w:before="0" w:line="20" w:lineRule="exact"/>
    </w:pPr>
  </w:style>
  <w:style w:type="character" w:styleId="FootnoteReference">
    <w:name w:val="footnote reference"/>
    <w:basedOn w:val="DefaultParagraphFont"/>
    <w:semiHidden/>
    <w:rsid w:val="00FF152E"/>
    <w:rPr>
      <w:rFonts w:ascii="Times New Roman" w:hAnsi="Times New Roman"/>
      <w:position w:val="6"/>
      <w:sz w:val="22"/>
      <w:vertAlign w:val="baseline"/>
    </w:rPr>
  </w:style>
  <w:style w:type="paragraph" w:styleId="FootnoteText">
    <w:name w:val="footnote text"/>
    <w:basedOn w:val="BodyText"/>
    <w:rsid w:val="00FF152E"/>
    <w:pPr>
      <w:tabs>
        <w:tab w:val="left" w:pos="284"/>
      </w:tabs>
      <w:spacing w:before="80" w:line="260" w:lineRule="exact"/>
      <w:ind w:left="284" w:hanging="284"/>
    </w:pPr>
    <w:rPr>
      <w:sz w:val="22"/>
    </w:rPr>
  </w:style>
  <w:style w:type="paragraph" w:styleId="Header">
    <w:name w:val="header"/>
    <w:basedOn w:val="BodyText"/>
    <w:rsid w:val="00FF152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F152E"/>
    <w:pPr>
      <w:spacing w:line="20" w:lineRule="exact"/>
    </w:pPr>
    <w:rPr>
      <w:sz w:val="16"/>
    </w:rPr>
  </w:style>
  <w:style w:type="paragraph" w:customStyle="1" w:styleId="HeaderEven">
    <w:name w:val="Header Even"/>
    <w:basedOn w:val="Header"/>
    <w:semiHidden/>
    <w:rsid w:val="00FF152E"/>
  </w:style>
  <w:style w:type="paragraph" w:customStyle="1" w:styleId="HeaderOdd">
    <w:name w:val="Header Odd"/>
    <w:basedOn w:val="Header"/>
    <w:semiHidden/>
    <w:rsid w:val="00FF152E"/>
  </w:style>
  <w:style w:type="paragraph" w:customStyle="1" w:styleId="InformationRequest">
    <w:name w:val="Information Request"/>
    <w:basedOn w:val="Finding"/>
    <w:next w:val="BodyText"/>
    <w:rsid w:val="00FF152E"/>
    <w:pPr>
      <w:spacing w:before="360" w:after="120"/>
    </w:pPr>
    <w:rPr>
      <w:rFonts w:ascii="Arial" w:hAnsi="Arial"/>
      <w:sz w:val="24"/>
    </w:rPr>
  </w:style>
  <w:style w:type="paragraph" w:styleId="ListBullet">
    <w:name w:val="List Bullet"/>
    <w:basedOn w:val="BodyText"/>
    <w:rsid w:val="00FF152E"/>
    <w:pPr>
      <w:numPr>
        <w:numId w:val="5"/>
      </w:numPr>
      <w:spacing w:before="120"/>
    </w:pPr>
  </w:style>
  <w:style w:type="paragraph" w:styleId="ListBullet2">
    <w:name w:val="List Bullet 2"/>
    <w:basedOn w:val="BodyText"/>
    <w:rsid w:val="00FF152E"/>
    <w:pPr>
      <w:numPr>
        <w:numId w:val="2"/>
      </w:numPr>
      <w:spacing w:before="120"/>
    </w:pPr>
  </w:style>
  <w:style w:type="paragraph" w:styleId="ListBullet3">
    <w:name w:val="List Bullet 3"/>
    <w:basedOn w:val="BodyText"/>
    <w:rsid w:val="00FF152E"/>
    <w:pPr>
      <w:numPr>
        <w:numId w:val="1"/>
      </w:numPr>
      <w:spacing w:before="120"/>
    </w:pPr>
  </w:style>
  <w:style w:type="paragraph" w:styleId="ListNumber">
    <w:name w:val="List Number"/>
    <w:basedOn w:val="BodyText"/>
    <w:rsid w:val="00FF152E"/>
    <w:pPr>
      <w:numPr>
        <w:numId w:val="13"/>
      </w:numPr>
      <w:spacing w:before="120"/>
    </w:pPr>
  </w:style>
  <w:style w:type="paragraph" w:styleId="ListNumber2">
    <w:name w:val="List Number 2"/>
    <w:basedOn w:val="ListNumber"/>
    <w:rsid w:val="00FF152E"/>
    <w:pPr>
      <w:numPr>
        <w:ilvl w:val="1"/>
      </w:numPr>
    </w:pPr>
  </w:style>
  <w:style w:type="paragraph" w:styleId="ListNumber3">
    <w:name w:val="List Number 3"/>
    <w:basedOn w:val="ListNumber2"/>
    <w:rsid w:val="00FF152E"/>
    <w:pPr>
      <w:numPr>
        <w:ilvl w:val="2"/>
      </w:numPr>
    </w:pPr>
  </w:style>
  <w:style w:type="character" w:customStyle="1" w:styleId="NoteLabel">
    <w:name w:val="Note Label"/>
    <w:basedOn w:val="DefaultParagraphFont"/>
    <w:rsid w:val="00FF152E"/>
    <w:rPr>
      <w:rFonts w:ascii="Arial" w:hAnsi="Arial"/>
      <w:b/>
      <w:position w:val="6"/>
      <w:sz w:val="18"/>
    </w:rPr>
  </w:style>
  <w:style w:type="character" w:styleId="PageNumber">
    <w:name w:val="page number"/>
    <w:basedOn w:val="DefaultParagraphFont"/>
    <w:rsid w:val="00FF152E"/>
    <w:rPr>
      <w:rFonts w:ascii="Arial" w:hAnsi="Arial"/>
      <w:b/>
      <w:sz w:val="16"/>
    </w:rPr>
  </w:style>
  <w:style w:type="paragraph" w:customStyle="1" w:styleId="PartDivider">
    <w:name w:val="Part Divider"/>
    <w:basedOn w:val="BodyText"/>
    <w:next w:val="BodyText"/>
    <w:semiHidden/>
    <w:rsid w:val="00FF152E"/>
    <w:pPr>
      <w:spacing w:before="0" w:line="40" w:lineRule="exact"/>
      <w:jc w:val="right"/>
    </w:pPr>
    <w:rPr>
      <w:smallCaps/>
      <w:sz w:val="16"/>
    </w:rPr>
  </w:style>
  <w:style w:type="paragraph" w:customStyle="1" w:styleId="PartNumber">
    <w:name w:val="Part Number"/>
    <w:basedOn w:val="BodyText"/>
    <w:next w:val="BodyText"/>
    <w:semiHidden/>
    <w:rsid w:val="00FF152E"/>
    <w:pPr>
      <w:spacing w:before="4000" w:line="320" w:lineRule="exact"/>
      <w:ind w:left="6634"/>
      <w:jc w:val="right"/>
    </w:pPr>
    <w:rPr>
      <w:smallCaps/>
      <w:spacing w:val="60"/>
      <w:sz w:val="32"/>
    </w:rPr>
  </w:style>
  <w:style w:type="paragraph" w:customStyle="1" w:styleId="PartTitle">
    <w:name w:val="Part Title"/>
    <w:basedOn w:val="BodyText"/>
    <w:semiHidden/>
    <w:rsid w:val="00FF152E"/>
    <w:pPr>
      <w:spacing w:before="160" w:after="1360" w:line="520" w:lineRule="exact"/>
      <w:ind w:right="2381"/>
      <w:jc w:val="right"/>
    </w:pPr>
    <w:rPr>
      <w:smallCaps/>
      <w:sz w:val="52"/>
    </w:rPr>
  </w:style>
  <w:style w:type="paragraph" w:customStyle="1" w:styleId="Rec">
    <w:name w:val="Rec"/>
    <w:basedOn w:val="BodyText"/>
    <w:rsid w:val="00FF152E"/>
    <w:pPr>
      <w:keepLines/>
      <w:spacing w:before="180"/>
    </w:pPr>
    <w:rPr>
      <w:b/>
      <w:i/>
    </w:rPr>
  </w:style>
  <w:style w:type="paragraph" w:customStyle="1" w:styleId="RecBullet">
    <w:name w:val="Rec Bullet"/>
    <w:basedOn w:val="Rec"/>
    <w:rsid w:val="00FF152E"/>
    <w:pPr>
      <w:numPr>
        <w:numId w:val="8"/>
      </w:numPr>
      <w:spacing w:before="80"/>
    </w:pPr>
  </w:style>
  <w:style w:type="paragraph" w:customStyle="1" w:styleId="RecB">
    <w:name w:val="RecB"/>
    <w:basedOn w:val="Normal"/>
    <w:rsid w:val="00FF152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F152E"/>
    <w:pPr>
      <w:numPr>
        <w:numId w:val="9"/>
      </w:numPr>
      <w:spacing w:before="80"/>
    </w:pPr>
  </w:style>
  <w:style w:type="paragraph" w:customStyle="1" w:styleId="RecBNoTitle">
    <w:name w:val="RecB NoTitle"/>
    <w:basedOn w:val="RecB"/>
    <w:rsid w:val="00FF152E"/>
    <w:pPr>
      <w:spacing w:before="240"/>
    </w:pPr>
  </w:style>
  <w:style w:type="paragraph" w:customStyle="1" w:styleId="Reference">
    <w:name w:val="Reference"/>
    <w:basedOn w:val="BodyText"/>
    <w:rsid w:val="00FF152E"/>
    <w:pPr>
      <w:spacing w:before="120"/>
      <w:ind w:left="340" w:hanging="340"/>
    </w:pPr>
  </w:style>
  <w:style w:type="paragraph" w:customStyle="1" w:styleId="SideNote">
    <w:name w:val="Side Note"/>
    <w:basedOn w:val="BodyText"/>
    <w:next w:val="BodyText"/>
    <w:semiHidden/>
    <w:rsid w:val="00FF152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F152E"/>
    <w:pPr>
      <w:framePr w:wrap="around"/>
      <w:numPr>
        <w:numId w:val="4"/>
      </w:numPr>
      <w:tabs>
        <w:tab w:val="left" w:pos="227"/>
      </w:tabs>
    </w:pPr>
  </w:style>
  <w:style w:type="paragraph" w:customStyle="1" w:styleId="SideNoteGraphic">
    <w:name w:val="Side Note Graphic"/>
    <w:basedOn w:val="SideNote"/>
    <w:next w:val="BodyText"/>
    <w:semiHidden/>
    <w:rsid w:val="00FF152E"/>
    <w:pPr>
      <w:framePr w:wrap="around"/>
    </w:pPr>
  </w:style>
  <w:style w:type="paragraph" w:customStyle="1" w:styleId="TableBodyText">
    <w:name w:val="Table Body Text"/>
    <w:basedOn w:val="BodyText"/>
    <w:rsid w:val="00FF152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F152E"/>
    <w:pPr>
      <w:numPr>
        <w:numId w:val="10"/>
      </w:numPr>
      <w:jc w:val="left"/>
    </w:pPr>
  </w:style>
  <w:style w:type="paragraph" w:customStyle="1" w:styleId="TableColumnHeading">
    <w:name w:val="Table Column Heading"/>
    <w:basedOn w:val="TableBodyText"/>
    <w:rsid w:val="00FF152E"/>
    <w:pPr>
      <w:spacing w:before="80" w:after="80"/>
    </w:pPr>
    <w:rPr>
      <w:i/>
    </w:rPr>
  </w:style>
  <w:style w:type="paragraph" w:styleId="TableofFigures">
    <w:name w:val="table of figures"/>
    <w:basedOn w:val="TOC3"/>
    <w:next w:val="BodyText"/>
    <w:semiHidden/>
    <w:rsid w:val="00FF152E"/>
    <w:pPr>
      <w:ind w:left="737" w:hanging="737"/>
    </w:pPr>
  </w:style>
  <w:style w:type="paragraph" w:styleId="TOC3">
    <w:name w:val="toc 3"/>
    <w:basedOn w:val="TOC2"/>
    <w:semiHidden/>
    <w:rsid w:val="00FF152E"/>
    <w:pPr>
      <w:spacing w:before="60"/>
      <w:ind w:left="1190" w:hanging="680"/>
    </w:pPr>
    <w:rPr>
      <w:b w:val="0"/>
    </w:rPr>
  </w:style>
  <w:style w:type="paragraph" w:styleId="TOC2">
    <w:name w:val="toc 2"/>
    <w:basedOn w:val="BodyText"/>
    <w:semiHidden/>
    <w:rsid w:val="00FF152E"/>
    <w:pPr>
      <w:tabs>
        <w:tab w:val="right" w:pos="8789"/>
      </w:tabs>
      <w:ind w:left="510" w:right="851" w:hanging="510"/>
      <w:jc w:val="left"/>
    </w:pPr>
    <w:rPr>
      <w:b/>
    </w:rPr>
  </w:style>
  <w:style w:type="paragraph" w:customStyle="1" w:styleId="TableTitle">
    <w:name w:val="Table Title"/>
    <w:basedOn w:val="Caption"/>
    <w:next w:val="Subtitle"/>
    <w:rsid w:val="00FF152E"/>
    <w:rPr>
      <w:sz w:val="24"/>
    </w:rPr>
  </w:style>
  <w:style w:type="paragraph" w:customStyle="1" w:styleId="TableUnitsRow">
    <w:name w:val="Table Units Row"/>
    <w:basedOn w:val="TableBodyText"/>
    <w:rsid w:val="00FF152E"/>
    <w:pPr>
      <w:spacing w:before="80" w:after="80"/>
    </w:pPr>
  </w:style>
  <w:style w:type="paragraph" w:styleId="TOC1">
    <w:name w:val="toc 1"/>
    <w:basedOn w:val="Normal"/>
    <w:next w:val="TOC2"/>
    <w:semiHidden/>
    <w:rsid w:val="00FF152E"/>
    <w:pPr>
      <w:tabs>
        <w:tab w:val="right" w:pos="8789"/>
      </w:tabs>
      <w:spacing w:before="480" w:after="60" w:line="320" w:lineRule="exact"/>
      <w:ind w:left="1191" w:right="851" w:hanging="1191"/>
    </w:pPr>
    <w:rPr>
      <w:b/>
      <w:caps/>
    </w:rPr>
  </w:style>
  <w:style w:type="paragraph" w:styleId="TOC4">
    <w:name w:val="toc 4"/>
    <w:basedOn w:val="TOC3"/>
    <w:semiHidden/>
    <w:rsid w:val="00FF152E"/>
    <w:pPr>
      <w:ind w:left="1191" w:firstLine="0"/>
    </w:pPr>
  </w:style>
  <w:style w:type="paragraph" w:customStyle="1" w:styleId="BoxContinued">
    <w:name w:val="Box Continued"/>
    <w:basedOn w:val="BodyText"/>
    <w:next w:val="BodyText"/>
    <w:semiHidden/>
    <w:rsid w:val="00FF152E"/>
    <w:pPr>
      <w:spacing w:before="180" w:line="220" w:lineRule="exact"/>
      <w:jc w:val="right"/>
    </w:pPr>
    <w:rPr>
      <w:rFonts w:ascii="Arial" w:hAnsi="Arial"/>
      <w:sz w:val="18"/>
    </w:rPr>
  </w:style>
  <w:style w:type="paragraph" w:customStyle="1" w:styleId="Continued">
    <w:name w:val="Continued"/>
    <w:basedOn w:val="BoxContinued"/>
    <w:next w:val="BodyText"/>
    <w:rsid w:val="00FF152E"/>
  </w:style>
  <w:style w:type="paragraph" w:customStyle="1" w:styleId="BoxHeading1">
    <w:name w:val="Box Heading 1"/>
    <w:basedOn w:val="BodyText"/>
    <w:next w:val="Box"/>
    <w:rsid w:val="00FF152E"/>
    <w:pPr>
      <w:keepNext/>
      <w:spacing w:before="200" w:line="280" w:lineRule="atLeast"/>
    </w:pPr>
    <w:rPr>
      <w:rFonts w:ascii="Arial" w:hAnsi="Arial"/>
      <w:b/>
      <w:sz w:val="22"/>
    </w:rPr>
  </w:style>
  <w:style w:type="paragraph" w:customStyle="1" w:styleId="BoxHeading2">
    <w:name w:val="Box Heading 2"/>
    <w:basedOn w:val="BoxHeading1"/>
    <w:next w:val="Normal"/>
    <w:rsid w:val="00FF152E"/>
    <w:rPr>
      <w:b w:val="0"/>
      <w:i/>
    </w:rPr>
  </w:style>
  <w:style w:type="paragraph" w:customStyle="1" w:styleId="Jurisdictioncommentsbodytext">
    <w:name w:val="Jurisdiction comments body text"/>
    <w:rsid w:val="00FF152E"/>
    <w:pPr>
      <w:spacing w:after="140"/>
      <w:jc w:val="both"/>
    </w:pPr>
    <w:rPr>
      <w:rFonts w:ascii="Arial" w:hAnsi="Arial"/>
      <w:sz w:val="24"/>
      <w:lang w:eastAsia="en-US"/>
    </w:rPr>
  </w:style>
  <w:style w:type="paragraph" w:customStyle="1" w:styleId="Jurisdictioncommentsheading">
    <w:name w:val="Jurisdiction comments heading"/>
    <w:rsid w:val="00FF152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F152E"/>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FF152E"/>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sz w:val="24"/>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paragraph" w:customStyle="1" w:styleId="Ft">
    <w:name w:val="Ft"/>
    <w:basedOn w:val="BodyText"/>
    <w:rsid w:val="00931C3D"/>
  </w:style>
  <w:style w:type="character" w:customStyle="1" w:styleId="BodyTextChar">
    <w:name w:val="Body Text Char"/>
    <w:link w:val="BodyText"/>
    <w:rsid w:val="004B0818"/>
    <w:rPr>
      <w:sz w:val="26"/>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FF152E"/>
    <w:pPr>
      <w:pBdr>
        <w:left w:val="single" w:sz="24" w:space="29" w:color="C0C0C0"/>
      </w:pBdr>
    </w:pPr>
    <w:rPr>
      <w:b/>
      <w:i/>
    </w:rPr>
  </w:style>
  <w:style w:type="character" w:customStyle="1" w:styleId="BalloonTextChar">
    <w:name w:val="Balloon Text Char"/>
    <w:basedOn w:val="DefaultParagraphFont"/>
    <w:link w:val="BalloonText"/>
    <w:rsid w:val="00FF152E"/>
    <w:rPr>
      <w:rFonts w:ascii="Tahoma" w:hAnsi="Tahoma" w:cs="Tahoma"/>
      <w:sz w:val="16"/>
      <w:szCs w:val="16"/>
    </w:rPr>
  </w:style>
  <w:style w:type="character" w:customStyle="1" w:styleId="SubtitleChar">
    <w:name w:val="Subtitle Char"/>
    <w:basedOn w:val="DefaultParagraphFont"/>
    <w:link w:val="Subtitle"/>
    <w:rsid w:val="00FF152E"/>
    <w:rPr>
      <w:rFonts w:ascii="Arial" w:hAnsi="Arial"/>
      <w:szCs w:val="24"/>
    </w:rPr>
  </w:style>
  <w:style w:type="paragraph" w:customStyle="1" w:styleId="BoxListBullet3">
    <w:name w:val="Box List Bullet 3"/>
    <w:basedOn w:val="ListBullet3"/>
    <w:rsid w:val="00FF152E"/>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F152E"/>
    <w:rPr>
      <w:i/>
      <w:iCs/>
    </w:rPr>
  </w:style>
  <w:style w:type="paragraph" w:customStyle="1" w:styleId="BoxQuoteBullet">
    <w:name w:val="Box Quote Bullet"/>
    <w:basedOn w:val="BoxQuote"/>
    <w:next w:val="Box"/>
    <w:rsid w:val="00FF152E"/>
    <w:pPr>
      <w:numPr>
        <w:numId w:val="15"/>
      </w:numPr>
      <w:ind w:left="568" w:hanging="284"/>
    </w:pPr>
  </w:style>
  <w:style w:type="paragraph" w:customStyle="1" w:styleId="InformationRequestBullet">
    <w:name w:val="Information Request Bullet"/>
    <w:basedOn w:val="ListBullet"/>
    <w:next w:val="BodyText"/>
    <w:rsid w:val="00FF152E"/>
    <w:pPr>
      <w:numPr>
        <w:numId w:val="16"/>
      </w:numPr>
      <w:ind w:left="340" w:hanging="340"/>
    </w:pPr>
    <w:rPr>
      <w:rFonts w:ascii="Arial" w:hAnsi="Arial"/>
      <w:i/>
      <w:sz w:val="24"/>
    </w:rPr>
  </w:style>
  <w:style w:type="character" w:customStyle="1" w:styleId="Heading5Char">
    <w:name w:val="Heading 5 Char"/>
    <w:basedOn w:val="DefaultParagraphFont"/>
    <w:link w:val="Heading5"/>
    <w:rsid w:val="00FF1D18"/>
    <w:rPr>
      <w:i/>
      <w:sz w:val="26"/>
    </w:rPr>
  </w:style>
  <w:style w:type="paragraph" w:customStyle="1" w:styleId="BoxSpaceAbove">
    <w:name w:val="Box Space Above"/>
    <w:basedOn w:val="BodyText"/>
    <w:rsid w:val="00FF152E"/>
    <w:pPr>
      <w:keepNext/>
      <w:spacing w:before="360" w:line="80" w:lineRule="exact"/>
      <w:jc w:val="left"/>
    </w:pPr>
  </w:style>
  <w:style w:type="paragraph" w:customStyle="1" w:styleId="BoxSpaceBelow">
    <w:name w:val="Box Space Below"/>
    <w:basedOn w:val="Box"/>
    <w:rsid w:val="00FF152E"/>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8071">
      <w:bodyDiv w:val="1"/>
      <w:marLeft w:val="0"/>
      <w:marRight w:val="0"/>
      <w:marTop w:val="0"/>
      <w:marBottom w:val="0"/>
      <w:divBdr>
        <w:top w:val="none" w:sz="0" w:space="0" w:color="auto"/>
        <w:left w:val="none" w:sz="0" w:space="0" w:color="auto"/>
        <w:bottom w:val="none" w:sz="0" w:space="0" w:color="auto"/>
        <w:right w:val="none" w:sz="0" w:space="0" w:color="auto"/>
      </w:divBdr>
    </w:div>
    <w:div w:id="165093169">
      <w:bodyDiv w:val="1"/>
      <w:marLeft w:val="0"/>
      <w:marRight w:val="0"/>
      <w:marTop w:val="0"/>
      <w:marBottom w:val="0"/>
      <w:divBdr>
        <w:top w:val="none" w:sz="0" w:space="0" w:color="auto"/>
        <w:left w:val="none" w:sz="0" w:space="0" w:color="auto"/>
        <w:bottom w:val="none" w:sz="0" w:space="0" w:color="auto"/>
        <w:right w:val="none" w:sz="0" w:space="0" w:color="auto"/>
      </w:divBdr>
    </w:div>
    <w:div w:id="239872076">
      <w:bodyDiv w:val="1"/>
      <w:marLeft w:val="0"/>
      <w:marRight w:val="0"/>
      <w:marTop w:val="0"/>
      <w:marBottom w:val="0"/>
      <w:divBdr>
        <w:top w:val="none" w:sz="0" w:space="0" w:color="auto"/>
        <w:left w:val="none" w:sz="0" w:space="0" w:color="auto"/>
        <w:bottom w:val="none" w:sz="0" w:space="0" w:color="auto"/>
        <w:right w:val="none" w:sz="0" w:space="0" w:color="auto"/>
      </w:divBdr>
    </w:div>
    <w:div w:id="241447438">
      <w:bodyDiv w:val="1"/>
      <w:marLeft w:val="0"/>
      <w:marRight w:val="0"/>
      <w:marTop w:val="0"/>
      <w:marBottom w:val="0"/>
      <w:divBdr>
        <w:top w:val="none" w:sz="0" w:space="0" w:color="auto"/>
        <w:left w:val="none" w:sz="0" w:space="0" w:color="auto"/>
        <w:bottom w:val="none" w:sz="0" w:space="0" w:color="auto"/>
        <w:right w:val="none" w:sz="0" w:space="0" w:color="auto"/>
      </w:divBdr>
    </w:div>
    <w:div w:id="290793280">
      <w:bodyDiv w:val="1"/>
      <w:marLeft w:val="0"/>
      <w:marRight w:val="0"/>
      <w:marTop w:val="0"/>
      <w:marBottom w:val="0"/>
      <w:divBdr>
        <w:top w:val="none" w:sz="0" w:space="0" w:color="auto"/>
        <w:left w:val="none" w:sz="0" w:space="0" w:color="auto"/>
        <w:bottom w:val="none" w:sz="0" w:space="0" w:color="auto"/>
        <w:right w:val="none" w:sz="0" w:space="0" w:color="auto"/>
      </w:divBdr>
    </w:div>
    <w:div w:id="295765027">
      <w:bodyDiv w:val="1"/>
      <w:marLeft w:val="0"/>
      <w:marRight w:val="0"/>
      <w:marTop w:val="0"/>
      <w:marBottom w:val="0"/>
      <w:divBdr>
        <w:top w:val="none" w:sz="0" w:space="0" w:color="auto"/>
        <w:left w:val="none" w:sz="0" w:space="0" w:color="auto"/>
        <w:bottom w:val="none" w:sz="0" w:space="0" w:color="auto"/>
        <w:right w:val="none" w:sz="0" w:space="0" w:color="auto"/>
      </w:divBdr>
    </w:div>
    <w:div w:id="392047322">
      <w:bodyDiv w:val="1"/>
      <w:marLeft w:val="0"/>
      <w:marRight w:val="0"/>
      <w:marTop w:val="0"/>
      <w:marBottom w:val="0"/>
      <w:divBdr>
        <w:top w:val="none" w:sz="0" w:space="0" w:color="auto"/>
        <w:left w:val="none" w:sz="0" w:space="0" w:color="auto"/>
        <w:bottom w:val="none" w:sz="0" w:space="0" w:color="auto"/>
        <w:right w:val="none" w:sz="0" w:space="0" w:color="auto"/>
      </w:divBdr>
    </w:div>
    <w:div w:id="398748020">
      <w:bodyDiv w:val="1"/>
      <w:marLeft w:val="0"/>
      <w:marRight w:val="0"/>
      <w:marTop w:val="0"/>
      <w:marBottom w:val="0"/>
      <w:divBdr>
        <w:top w:val="none" w:sz="0" w:space="0" w:color="auto"/>
        <w:left w:val="none" w:sz="0" w:space="0" w:color="auto"/>
        <w:bottom w:val="none" w:sz="0" w:space="0" w:color="auto"/>
        <w:right w:val="none" w:sz="0" w:space="0" w:color="auto"/>
      </w:divBdr>
    </w:div>
    <w:div w:id="427508859">
      <w:bodyDiv w:val="1"/>
      <w:marLeft w:val="0"/>
      <w:marRight w:val="0"/>
      <w:marTop w:val="0"/>
      <w:marBottom w:val="0"/>
      <w:divBdr>
        <w:top w:val="none" w:sz="0" w:space="0" w:color="auto"/>
        <w:left w:val="none" w:sz="0" w:space="0" w:color="auto"/>
        <w:bottom w:val="none" w:sz="0" w:space="0" w:color="auto"/>
        <w:right w:val="none" w:sz="0" w:space="0" w:color="auto"/>
      </w:divBdr>
    </w:div>
    <w:div w:id="429276351">
      <w:bodyDiv w:val="1"/>
      <w:marLeft w:val="0"/>
      <w:marRight w:val="0"/>
      <w:marTop w:val="0"/>
      <w:marBottom w:val="0"/>
      <w:divBdr>
        <w:top w:val="none" w:sz="0" w:space="0" w:color="auto"/>
        <w:left w:val="none" w:sz="0" w:space="0" w:color="auto"/>
        <w:bottom w:val="none" w:sz="0" w:space="0" w:color="auto"/>
        <w:right w:val="none" w:sz="0" w:space="0" w:color="auto"/>
      </w:divBdr>
    </w:div>
    <w:div w:id="466701016">
      <w:bodyDiv w:val="1"/>
      <w:marLeft w:val="0"/>
      <w:marRight w:val="0"/>
      <w:marTop w:val="0"/>
      <w:marBottom w:val="0"/>
      <w:divBdr>
        <w:top w:val="none" w:sz="0" w:space="0" w:color="auto"/>
        <w:left w:val="none" w:sz="0" w:space="0" w:color="auto"/>
        <w:bottom w:val="none" w:sz="0" w:space="0" w:color="auto"/>
        <w:right w:val="none" w:sz="0" w:space="0" w:color="auto"/>
      </w:divBdr>
    </w:div>
    <w:div w:id="486551691">
      <w:bodyDiv w:val="1"/>
      <w:marLeft w:val="0"/>
      <w:marRight w:val="0"/>
      <w:marTop w:val="0"/>
      <w:marBottom w:val="0"/>
      <w:divBdr>
        <w:top w:val="none" w:sz="0" w:space="0" w:color="auto"/>
        <w:left w:val="none" w:sz="0" w:space="0" w:color="auto"/>
        <w:bottom w:val="none" w:sz="0" w:space="0" w:color="auto"/>
        <w:right w:val="none" w:sz="0" w:space="0" w:color="auto"/>
      </w:divBdr>
    </w:div>
    <w:div w:id="529537766">
      <w:bodyDiv w:val="1"/>
      <w:marLeft w:val="0"/>
      <w:marRight w:val="0"/>
      <w:marTop w:val="0"/>
      <w:marBottom w:val="0"/>
      <w:divBdr>
        <w:top w:val="none" w:sz="0" w:space="0" w:color="auto"/>
        <w:left w:val="none" w:sz="0" w:space="0" w:color="auto"/>
        <w:bottom w:val="none" w:sz="0" w:space="0" w:color="auto"/>
        <w:right w:val="none" w:sz="0" w:space="0" w:color="auto"/>
      </w:divBdr>
    </w:div>
    <w:div w:id="543253623">
      <w:bodyDiv w:val="1"/>
      <w:marLeft w:val="0"/>
      <w:marRight w:val="0"/>
      <w:marTop w:val="0"/>
      <w:marBottom w:val="0"/>
      <w:divBdr>
        <w:top w:val="none" w:sz="0" w:space="0" w:color="auto"/>
        <w:left w:val="none" w:sz="0" w:space="0" w:color="auto"/>
        <w:bottom w:val="none" w:sz="0" w:space="0" w:color="auto"/>
        <w:right w:val="none" w:sz="0" w:space="0" w:color="auto"/>
      </w:divBdr>
    </w:div>
    <w:div w:id="557983941">
      <w:bodyDiv w:val="1"/>
      <w:marLeft w:val="0"/>
      <w:marRight w:val="0"/>
      <w:marTop w:val="0"/>
      <w:marBottom w:val="0"/>
      <w:divBdr>
        <w:top w:val="none" w:sz="0" w:space="0" w:color="auto"/>
        <w:left w:val="none" w:sz="0" w:space="0" w:color="auto"/>
        <w:bottom w:val="none" w:sz="0" w:space="0" w:color="auto"/>
        <w:right w:val="none" w:sz="0" w:space="0" w:color="auto"/>
      </w:divBdr>
    </w:div>
    <w:div w:id="559366380">
      <w:bodyDiv w:val="1"/>
      <w:marLeft w:val="0"/>
      <w:marRight w:val="0"/>
      <w:marTop w:val="0"/>
      <w:marBottom w:val="0"/>
      <w:divBdr>
        <w:top w:val="none" w:sz="0" w:space="0" w:color="auto"/>
        <w:left w:val="none" w:sz="0" w:space="0" w:color="auto"/>
        <w:bottom w:val="none" w:sz="0" w:space="0" w:color="auto"/>
        <w:right w:val="none" w:sz="0" w:space="0" w:color="auto"/>
      </w:divBdr>
    </w:div>
    <w:div w:id="586158431">
      <w:bodyDiv w:val="1"/>
      <w:marLeft w:val="0"/>
      <w:marRight w:val="0"/>
      <w:marTop w:val="0"/>
      <w:marBottom w:val="0"/>
      <w:divBdr>
        <w:top w:val="none" w:sz="0" w:space="0" w:color="auto"/>
        <w:left w:val="none" w:sz="0" w:space="0" w:color="auto"/>
        <w:bottom w:val="none" w:sz="0" w:space="0" w:color="auto"/>
        <w:right w:val="none" w:sz="0" w:space="0" w:color="auto"/>
      </w:divBdr>
    </w:div>
    <w:div w:id="614216356">
      <w:bodyDiv w:val="1"/>
      <w:marLeft w:val="0"/>
      <w:marRight w:val="0"/>
      <w:marTop w:val="0"/>
      <w:marBottom w:val="0"/>
      <w:divBdr>
        <w:top w:val="none" w:sz="0" w:space="0" w:color="auto"/>
        <w:left w:val="none" w:sz="0" w:space="0" w:color="auto"/>
        <w:bottom w:val="none" w:sz="0" w:space="0" w:color="auto"/>
        <w:right w:val="none" w:sz="0" w:space="0" w:color="auto"/>
      </w:divBdr>
    </w:div>
    <w:div w:id="786852446">
      <w:bodyDiv w:val="1"/>
      <w:marLeft w:val="0"/>
      <w:marRight w:val="0"/>
      <w:marTop w:val="0"/>
      <w:marBottom w:val="0"/>
      <w:divBdr>
        <w:top w:val="none" w:sz="0" w:space="0" w:color="auto"/>
        <w:left w:val="none" w:sz="0" w:space="0" w:color="auto"/>
        <w:bottom w:val="none" w:sz="0" w:space="0" w:color="auto"/>
        <w:right w:val="none" w:sz="0" w:space="0" w:color="auto"/>
      </w:divBdr>
    </w:div>
    <w:div w:id="850530859">
      <w:bodyDiv w:val="1"/>
      <w:marLeft w:val="0"/>
      <w:marRight w:val="0"/>
      <w:marTop w:val="0"/>
      <w:marBottom w:val="0"/>
      <w:divBdr>
        <w:top w:val="none" w:sz="0" w:space="0" w:color="auto"/>
        <w:left w:val="none" w:sz="0" w:space="0" w:color="auto"/>
        <w:bottom w:val="none" w:sz="0" w:space="0" w:color="auto"/>
        <w:right w:val="none" w:sz="0" w:space="0" w:color="auto"/>
      </w:divBdr>
    </w:div>
    <w:div w:id="855194779">
      <w:bodyDiv w:val="1"/>
      <w:marLeft w:val="0"/>
      <w:marRight w:val="0"/>
      <w:marTop w:val="0"/>
      <w:marBottom w:val="0"/>
      <w:divBdr>
        <w:top w:val="none" w:sz="0" w:space="0" w:color="auto"/>
        <w:left w:val="none" w:sz="0" w:space="0" w:color="auto"/>
        <w:bottom w:val="none" w:sz="0" w:space="0" w:color="auto"/>
        <w:right w:val="none" w:sz="0" w:space="0" w:color="auto"/>
      </w:divBdr>
    </w:div>
    <w:div w:id="909537480">
      <w:bodyDiv w:val="1"/>
      <w:marLeft w:val="0"/>
      <w:marRight w:val="0"/>
      <w:marTop w:val="0"/>
      <w:marBottom w:val="0"/>
      <w:divBdr>
        <w:top w:val="none" w:sz="0" w:space="0" w:color="auto"/>
        <w:left w:val="none" w:sz="0" w:space="0" w:color="auto"/>
        <w:bottom w:val="none" w:sz="0" w:space="0" w:color="auto"/>
        <w:right w:val="none" w:sz="0" w:space="0" w:color="auto"/>
      </w:divBdr>
    </w:div>
    <w:div w:id="951933448">
      <w:bodyDiv w:val="1"/>
      <w:marLeft w:val="0"/>
      <w:marRight w:val="0"/>
      <w:marTop w:val="0"/>
      <w:marBottom w:val="0"/>
      <w:divBdr>
        <w:top w:val="none" w:sz="0" w:space="0" w:color="auto"/>
        <w:left w:val="none" w:sz="0" w:space="0" w:color="auto"/>
        <w:bottom w:val="none" w:sz="0" w:space="0" w:color="auto"/>
        <w:right w:val="none" w:sz="0" w:space="0" w:color="auto"/>
      </w:divBdr>
    </w:div>
    <w:div w:id="1023290464">
      <w:bodyDiv w:val="1"/>
      <w:marLeft w:val="0"/>
      <w:marRight w:val="0"/>
      <w:marTop w:val="0"/>
      <w:marBottom w:val="0"/>
      <w:divBdr>
        <w:top w:val="none" w:sz="0" w:space="0" w:color="auto"/>
        <w:left w:val="none" w:sz="0" w:space="0" w:color="auto"/>
        <w:bottom w:val="none" w:sz="0" w:space="0" w:color="auto"/>
        <w:right w:val="none" w:sz="0" w:space="0" w:color="auto"/>
      </w:divBdr>
    </w:div>
    <w:div w:id="1067148152">
      <w:bodyDiv w:val="1"/>
      <w:marLeft w:val="0"/>
      <w:marRight w:val="0"/>
      <w:marTop w:val="0"/>
      <w:marBottom w:val="0"/>
      <w:divBdr>
        <w:top w:val="none" w:sz="0" w:space="0" w:color="auto"/>
        <w:left w:val="none" w:sz="0" w:space="0" w:color="auto"/>
        <w:bottom w:val="none" w:sz="0" w:space="0" w:color="auto"/>
        <w:right w:val="none" w:sz="0" w:space="0" w:color="auto"/>
      </w:divBdr>
    </w:div>
    <w:div w:id="1067411239">
      <w:bodyDiv w:val="1"/>
      <w:marLeft w:val="0"/>
      <w:marRight w:val="0"/>
      <w:marTop w:val="0"/>
      <w:marBottom w:val="0"/>
      <w:divBdr>
        <w:top w:val="none" w:sz="0" w:space="0" w:color="auto"/>
        <w:left w:val="none" w:sz="0" w:space="0" w:color="auto"/>
        <w:bottom w:val="none" w:sz="0" w:space="0" w:color="auto"/>
        <w:right w:val="none" w:sz="0" w:space="0" w:color="auto"/>
      </w:divBdr>
    </w:div>
    <w:div w:id="1080520158">
      <w:bodyDiv w:val="1"/>
      <w:marLeft w:val="0"/>
      <w:marRight w:val="0"/>
      <w:marTop w:val="0"/>
      <w:marBottom w:val="0"/>
      <w:divBdr>
        <w:top w:val="none" w:sz="0" w:space="0" w:color="auto"/>
        <w:left w:val="none" w:sz="0" w:space="0" w:color="auto"/>
        <w:bottom w:val="none" w:sz="0" w:space="0" w:color="auto"/>
        <w:right w:val="none" w:sz="0" w:space="0" w:color="auto"/>
      </w:divBdr>
    </w:div>
    <w:div w:id="1177233814">
      <w:bodyDiv w:val="1"/>
      <w:marLeft w:val="0"/>
      <w:marRight w:val="0"/>
      <w:marTop w:val="0"/>
      <w:marBottom w:val="0"/>
      <w:divBdr>
        <w:top w:val="none" w:sz="0" w:space="0" w:color="auto"/>
        <w:left w:val="none" w:sz="0" w:space="0" w:color="auto"/>
        <w:bottom w:val="none" w:sz="0" w:space="0" w:color="auto"/>
        <w:right w:val="none" w:sz="0" w:space="0" w:color="auto"/>
      </w:divBdr>
    </w:div>
    <w:div w:id="1249119292">
      <w:bodyDiv w:val="1"/>
      <w:marLeft w:val="0"/>
      <w:marRight w:val="0"/>
      <w:marTop w:val="0"/>
      <w:marBottom w:val="0"/>
      <w:divBdr>
        <w:top w:val="none" w:sz="0" w:space="0" w:color="auto"/>
        <w:left w:val="none" w:sz="0" w:space="0" w:color="auto"/>
        <w:bottom w:val="none" w:sz="0" w:space="0" w:color="auto"/>
        <w:right w:val="none" w:sz="0" w:space="0" w:color="auto"/>
      </w:divBdr>
    </w:div>
    <w:div w:id="1249925671">
      <w:bodyDiv w:val="1"/>
      <w:marLeft w:val="0"/>
      <w:marRight w:val="0"/>
      <w:marTop w:val="0"/>
      <w:marBottom w:val="0"/>
      <w:divBdr>
        <w:top w:val="none" w:sz="0" w:space="0" w:color="auto"/>
        <w:left w:val="none" w:sz="0" w:space="0" w:color="auto"/>
        <w:bottom w:val="none" w:sz="0" w:space="0" w:color="auto"/>
        <w:right w:val="none" w:sz="0" w:space="0" w:color="auto"/>
      </w:divBdr>
    </w:div>
    <w:div w:id="1266033589">
      <w:bodyDiv w:val="1"/>
      <w:marLeft w:val="0"/>
      <w:marRight w:val="0"/>
      <w:marTop w:val="0"/>
      <w:marBottom w:val="0"/>
      <w:divBdr>
        <w:top w:val="none" w:sz="0" w:space="0" w:color="auto"/>
        <w:left w:val="none" w:sz="0" w:space="0" w:color="auto"/>
        <w:bottom w:val="none" w:sz="0" w:space="0" w:color="auto"/>
        <w:right w:val="none" w:sz="0" w:space="0" w:color="auto"/>
      </w:divBdr>
    </w:div>
    <w:div w:id="1277835848">
      <w:bodyDiv w:val="1"/>
      <w:marLeft w:val="0"/>
      <w:marRight w:val="0"/>
      <w:marTop w:val="0"/>
      <w:marBottom w:val="0"/>
      <w:divBdr>
        <w:top w:val="none" w:sz="0" w:space="0" w:color="auto"/>
        <w:left w:val="none" w:sz="0" w:space="0" w:color="auto"/>
        <w:bottom w:val="none" w:sz="0" w:space="0" w:color="auto"/>
        <w:right w:val="none" w:sz="0" w:space="0" w:color="auto"/>
      </w:divBdr>
    </w:div>
    <w:div w:id="1291669905">
      <w:bodyDiv w:val="1"/>
      <w:marLeft w:val="0"/>
      <w:marRight w:val="0"/>
      <w:marTop w:val="0"/>
      <w:marBottom w:val="0"/>
      <w:divBdr>
        <w:top w:val="none" w:sz="0" w:space="0" w:color="auto"/>
        <w:left w:val="none" w:sz="0" w:space="0" w:color="auto"/>
        <w:bottom w:val="none" w:sz="0" w:space="0" w:color="auto"/>
        <w:right w:val="none" w:sz="0" w:space="0" w:color="auto"/>
      </w:divBdr>
    </w:div>
    <w:div w:id="1318000821">
      <w:bodyDiv w:val="1"/>
      <w:marLeft w:val="0"/>
      <w:marRight w:val="0"/>
      <w:marTop w:val="0"/>
      <w:marBottom w:val="0"/>
      <w:divBdr>
        <w:top w:val="none" w:sz="0" w:space="0" w:color="auto"/>
        <w:left w:val="none" w:sz="0" w:space="0" w:color="auto"/>
        <w:bottom w:val="none" w:sz="0" w:space="0" w:color="auto"/>
        <w:right w:val="none" w:sz="0" w:space="0" w:color="auto"/>
      </w:divBdr>
    </w:div>
    <w:div w:id="1413119129">
      <w:bodyDiv w:val="1"/>
      <w:marLeft w:val="0"/>
      <w:marRight w:val="0"/>
      <w:marTop w:val="0"/>
      <w:marBottom w:val="0"/>
      <w:divBdr>
        <w:top w:val="none" w:sz="0" w:space="0" w:color="auto"/>
        <w:left w:val="none" w:sz="0" w:space="0" w:color="auto"/>
        <w:bottom w:val="none" w:sz="0" w:space="0" w:color="auto"/>
        <w:right w:val="none" w:sz="0" w:space="0" w:color="auto"/>
      </w:divBdr>
    </w:div>
    <w:div w:id="1451823304">
      <w:bodyDiv w:val="1"/>
      <w:marLeft w:val="0"/>
      <w:marRight w:val="0"/>
      <w:marTop w:val="0"/>
      <w:marBottom w:val="0"/>
      <w:divBdr>
        <w:top w:val="none" w:sz="0" w:space="0" w:color="auto"/>
        <w:left w:val="none" w:sz="0" w:space="0" w:color="auto"/>
        <w:bottom w:val="none" w:sz="0" w:space="0" w:color="auto"/>
        <w:right w:val="none" w:sz="0" w:space="0" w:color="auto"/>
      </w:divBdr>
    </w:div>
    <w:div w:id="1478259344">
      <w:bodyDiv w:val="1"/>
      <w:marLeft w:val="0"/>
      <w:marRight w:val="0"/>
      <w:marTop w:val="0"/>
      <w:marBottom w:val="0"/>
      <w:divBdr>
        <w:top w:val="none" w:sz="0" w:space="0" w:color="auto"/>
        <w:left w:val="none" w:sz="0" w:space="0" w:color="auto"/>
        <w:bottom w:val="none" w:sz="0" w:space="0" w:color="auto"/>
        <w:right w:val="none" w:sz="0" w:space="0" w:color="auto"/>
      </w:divBdr>
    </w:div>
    <w:div w:id="1496722420">
      <w:bodyDiv w:val="1"/>
      <w:marLeft w:val="0"/>
      <w:marRight w:val="0"/>
      <w:marTop w:val="0"/>
      <w:marBottom w:val="0"/>
      <w:divBdr>
        <w:top w:val="none" w:sz="0" w:space="0" w:color="auto"/>
        <w:left w:val="none" w:sz="0" w:space="0" w:color="auto"/>
        <w:bottom w:val="none" w:sz="0" w:space="0" w:color="auto"/>
        <w:right w:val="none" w:sz="0" w:space="0" w:color="auto"/>
      </w:divBdr>
    </w:div>
    <w:div w:id="1515343682">
      <w:bodyDiv w:val="1"/>
      <w:marLeft w:val="0"/>
      <w:marRight w:val="0"/>
      <w:marTop w:val="0"/>
      <w:marBottom w:val="0"/>
      <w:divBdr>
        <w:top w:val="none" w:sz="0" w:space="0" w:color="auto"/>
        <w:left w:val="none" w:sz="0" w:space="0" w:color="auto"/>
        <w:bottom w:val="none" w:sz="0" w:space="0" w:color="auto"/>
        <w:right w:val="none" w:sz="0" w:space="0" w:color="auto"/>
      </w:divBdr>
    </w:div>
    <w:div w:id="1524512023">
      <w:bodyDiv w:val="1"/>
      <w:marLeft w:val="0"/>
      <w:marRight w:val="0"/>
      <w:marTop w:val="0"/>
      <w:marBottom w:val="0"/>
      <w:divBdr>
        <w:top w:val="none" w:sz="0" w:space="0" w:color="auto"/>
        <w:left w:val="none" w:sz="0" w:space="0" w:color="auto"/>
        <w:bottom w:val="none" w:sz="0" w:space="0" w:color="auto"/>
        <w:right w:val="none" w:sz="0" w:space="0" w:color="auto"/>
      </w:divBdr>
    </w:div>
    <w:div w:id="1547982644">
      <w:bodyDiv w:val="1"/>
      <w:marLeft w:val="0"/>
      <w:marRight w:val="0"/>
      <w:marTop w:val="0"/>
      <w:marBottom w:val="0"/>
      <w:divBdr>
        <w:top w:val="none" w:sz="0" w:space="0" w:color="auto"/>
        <w:left w:val="none" w:sz="0" w:space="0" w:color="auto"/>
        <w:bottom w:val="none" w:sz="0" w:space="0" w:color="auto"/>
        <w:right w:val="none" w:sz="0" w:space="0" w:color="auto"/>
      </w:divBdr>
    </w:div>
    <w:div w:id="1553736557">
      <w:bodyDiv w:val="1"/>
      <w:marLeft w:val="0"/>
      <w:marRight w:val="0"/>
      <w:marTop w:val="0"/>
      <w:marBottom w:val="0"/>
      <w:divBdr>
        <w:top w:val="none" w:sz="0" w:space="0" w:color="auto"/>
        <w:left w:val="none" w:sz="0" w:space="0" w:color="auto"/>
        <w:bottom w:val="none" w:sz="0" w:space="0" w:color="auto"/>
        <w:right w:val="none" w:sz="0" w:space="0" w:color="auto"/>
      </w:divBdr>
    </w:div>
    <w:div w:id="1707294471">
      <w:bodyDiv w:val="1"/>
      <w:marLeft w:val="0"/>
      <w:marRight w:val="0"/>
      <w:marTop w:val="0"/>
      <w:marBottom w:val="0"/>
      <w:divBdr>
        <w:top w:val="none" w:sz="0" w:space="0" w:color="auto"/>
        <w:left w:val="none" w:sz="0" w:space="0" w:color="auto"/>
        <w:bottom w:val="none" w:sz="0" w:space="0" w:color="auto"/>
        <w:right w:val="none" w:sz="0" w:space="0" w:color="auto"/>
      </w:divBdr>
    </w:div>
    <w:div w:id="1711102117">
      <w:bodyDiv w:val="1"/>
      <w:marLeft w:val="0"/>
      <w:marRight w:val="0"/>
      <w:marTop w:val="0"/>
      <w:marBottom w:val="0"/>
      <w:divBdr>
        <w:top w:val="none" w:sz="0" w:space="0" w:color="auto"/>
        <w:left w:val="none" w:sz="0" w:space="0" w:color="auto"/>
        <w:bottom w:val="none" w:sz="0" w:space="0" w:color="auto"/>
        <w:right w:val="none" w:sz="0" w:space="0" w:color="auto"/>
      </w:divBdr>
    </w:div>
    <w:div w:id="1732118212">
      <w:bodyDiv w:val="1"/>
      <w:marLeft w:val="0"/>
      <w:marRight w:val="0"/>
      <w:marTop w:val="0"/>
      <w:marBottom w:val="0"/>
      <w:divBdr>
        <w:top w:val="none" w:sz="0" w:space="0" w:color="auto"/>
        <w:left w:val="none" w:sz="0" w:space="0" w:color="auto"/>
        <w:bottom w:val="none" w:sz="0" w:space="0" w:color="auto"/>
        <w:right w:val="none" w:sz="0" w:space="0" w:color="auto"/>
      </w:divBdr>
    </w:div>
    <w:div w:id="1892031988">
      <w:bodyDiv w:val="1"/>
      <w:marLeft w:val="0"/>
      <w:marRight w:val="0"/>
      <w:marTop w:val="0"/>
      <w:marBottom w:val="0"/>
      <w:divBdr>
        <w:top w:val="none" w:sz="0" w:space="0" w:color="auto"/>
        <w:left w:val="none" w:sz="0" w:space="0" w:color="auto"/>
        <w:bottom w:val="none" w:sz="0" w:space="0" w:color="auto"/>
        <w:right w:val="none" w:sz="0" w:space="0" w:color="auto"/>
      </w:divBdr>
    </w:div>
    <w:div w:id="1893538710">
      <w:bodyDiv w:val="1"/>
      <w:marLeft w:val="0"/>
      <w:marRight w:val="0"/>
      <w:marTop w:val="0"/>
      <w:marBottom w:val="0"/>
      <w:divBdr>
        <w:top w:val="none" w:sz="0" w:space="0" w:color="auto"/>
        <w:left w:val="none" w:sz="0" w:space="0" w:color="auto"/>
        <w:bottom w:val="none" w:sz="0" w:space="0" w:color="auto"/>
        <w:right w:val="none" w:sz="0" w:space="0" w:color="auto"/>
      </w:divBdr>
    </w:div>
    <w:div w:id="1947738292">
      <w:bodyDiv w:val="1"/>
      <w:marLeft w:val="0"/>
      <w:marRight w:val="0"/>
      <w:marTop w:val="0"/>
      <w:marBottom w:val="0"/>
      <w:divBdr>
        <w:top w:val="none" w:sz="0" w:space="0" w:color="auto"/>
        <w:left w:val="none" w:sz="0" w:space="0" w:color="auto"/>
        <w:bottom w:val="none" w:sz="0" w:space="0" w:color="auto"/>
        <w:right w:val="none" w:sz="0" w:space="0" w:color="auto"/>
      </w:divBdr>
    </w:div>
    <w:div w:id="1957518325">
      <w:bodyDiv w:val="1"/>
      <w:marLeft w:val="0"/>
      <w:marRight w:val="0"/>
      <w:marTop w:val="0"/>
      <w:marBottom w:val="0"/>
      <w:divBdr>
        <w:top w:val="none" w:sz="0" w:space="0" w:color="auto"/>
        <w:left w:val="none" w:sz="0" w:space="0" w:color="auto"/>
        <w:bottom w:val="none" w:sz="0" w:space="0" w:color="auto"/>
        <w:right w:val="none" w:sz="0" w:space="0" w:color="auto"/>
      </w:divBdr>
    </w:div>
    <w:div w:id="2029989608">
      <w:bodyDiv w:val="1"/>
      <w:marLeft w:val="0"/>
      <w:marRight w:val="0"/>
      <w:marTop w:val="0"/>
      <w:marBottom w:val="0"/>
      <w:divBdr>
        <w:top w:val="none" w:sz="0" w:space="0" w:color="auto"/>
        <w:left w:val="none" w:sz="0" w:space="0" w:color="auto"/>
        <w:bottom w:val="none" w:sz="0" w:space="0" w:color="auto"/>
        <w:right w:val="none" w:sz="0" w:space="0" w:color="auto"/>
      </w:divBdr>
    </w:div>
    <w:div w:id="2142964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image" Target="media/image41.emf"/><Relationship Id="rId55" Type="http://schemas.openxmlformats.org/officeDocument/2006/relationships/image" Target="media/image46.emf"/><Relationship Id="rId63" Type="http://schemas.openxmlformats.org/officeDocument/2006/relationships/image" Target="media/image54.emf"/><Relationship Id="rId68"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image" Target="media/image20.emf"/><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3" Type="http://schemas.openxmlformats.org/officeDocument/2006/relationships/image" Target="media/image44.emf"/><Relationship Id="rId58" Type="http://schemas.openxmlformats.org/officeDocument/2006/relationships/image" Target="media/image49.png"/><Relationship Id="rId66" Type="http://schemas.openxmlformats.org/officeDocument/2006/relationships/image" Target="media/image57.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image" Target="media/image40.emf"/><Relationship Id="rId57" Type="http://schemas.openxmlformats.org/officeDocument/2006/relationships/image" Target="media/image48.emf"/><Relationship Id="rId61" Type="http://schemas.openxmlformats.org/officeDocument/2006/relationships/image" Target="media/image52.emf"/><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image" Target="media/image43.emf"/><Relationship Id="rId60" Type="http://schemas.openxmlformats.org/officeDocument/2006/relationships/image" Target="media/image51.png"/><Relationship Id="rId65" Type="http://schemas.openxmlformats.org/officeDocument/2006/relationships/image" Target="media/image56.emf"/><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1.xml"/><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image" Target="media/image39.emf"/><Relationship Id="rId56" Type="http://schemas.openxmlformats.org/officeDocument/2006/relationships/image" Target="media/image47.emf"/><Relationship Id="rId64" Type="http://schemas.openxmlformats.org/officeDocument/2006/relationships/image" Target="media/image55.emf"/><Relationship Id="rId69"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image" Target="media/image42.emf"/><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59" Type="http://schemas.openxmlformats.org/officeDocument/2006/relationships/image" Target="media/image50.emf"/><Relationship Id="rId67" Type="http://schemas.openxmlformats.org/officeDocument/2006/relationships/image" Target="media/image58.emf"/><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image" Target="media/image45.emf"/><Relationship Id="rId62" Type="http://schemas.openxmlformats.org/officeDocument/2006/relationships/image" Target="media/image53.png"/><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aseline="0"/>
            </a:pPr>
            <a:r>
              <a:rPr lang="en-US" sz="1000" baseline="0"/>
              <a:t>Rural areas</a:t>
            </a:r>
          </a:p>
        </c:rich>
      </c:tx>
      <c:layout>
        <c:manualLayout>
          <c:xMode val="edge"/>
          <c:yMode val="edge"/>
          <c:x val="0.42889166666666667"/>
          <c:y val="5.3158295281582953E-2"/>
        </c:manualLayout>
      </c:layout>
      <c:overlay val="0"/>
    </c:title>
    <c:autoTitleDeleted val="0"/>
    <c:plotArea>
      <c:layout/>
      <c:barChart>
        <c:barDir val="col"/>
        <c:grouping val="clustered"/>
        <c:varyColors val="0"/>
        <c:ser>
          <c:idx val="0"/>
          <c:order val="0"/>
          <c:tx>
            <c:strRef>
              <c:f>'F11.4'!$B$54</c:f>
              <c:strCache>
                <c:ptCount val="1"/>
                <c:pt idx="0">
                  <c:v>2008-09</c:v>
                </c:pt>
              </c:strCache>
            </c:strRef>
          </c:tx>
          <c:spPr>
            <a:solidFill>
              <a:sysClr val="window" lastClr="FFFFFF">
                <a:lumMod val="75000"/>
              </a:sysClr>
            </a:solidFill>
            <a:ln>
              <a:solidFill>
                <a:srgbClr val="000000"/>
              </a:solidFill>
            </a:ln>
          </c:spPr>
          <c:invertIfNegative val="0"/>
          <c:cat>
            <c:strRef>
              <c:f>'F11.4'!$C$53:$K$53</c:f>
              <c:strCache>
                <c:ptCount val="9"/>
                <c:pt idx="0">
                  <c:v>NSW</c:v>
                </c:pt>
                <c:pt idx="1">
                  <c:v>Vic</c:v>
                </c:pt>
                <c:pt idx="2">
                  <c:v>Qld</c:v>
                </c:pt>
                <c:pt idx="3">
                  <c:v>WA</c:v>
                </c:pt>
                <c:pt idx="4">
                  <c:v>SA</c:v>
                </c:pt>
                <c:pt idx="5">
                  <c:v>Tas</c:v>
                </c:pt>
                <c:pt idx="6">
                  <c:v>ACT</c:v>
                </c:pt>
                <c:pt idx="7">
                  <c:v>NT</c:v>
                </c:pt>
                <c:pt idx="8">
                  <c:v>Aust</c:v>
                </c:pt>
              </c:strCache>
            </c:strRef>
          </c:cat>
          <c:val>
            <c:numRef>
              <c:f>'F11.4'!$C$54:$K$54</c:f>
              <c:numCache>
                <c:formatCode>General</c:formatCode>
                <c:ptCount val="9"/>
                <c:pt idx="0">
                  <c:v>4.2315399999999999</c:v>
                </c:pt>
                <c:pt idx="1">
                  <c:v>4.8027600000000001</c:v>
                </c:pt>
                <c:pt idx="2">
                  <c:v>4.4587899999999996</c:v>
                </c:pt>
                <c:pt idx="3">
                  <c:v>4.2551999999999994</c:v>
                </c:pt>
                <c:pt idx="4">
                  <c:v>3.6320300000000003</c:v>
                </c:pt>
                <c:pt idx="5">
                  <c:v>3.9107600000000002</c:v>
                </c:pt>
                <c:pt idx="6">
                  <c:v>0</c:v>
                </c:pt>
                <c:pt idx="7">
                  <c:v>9.2721800000000005</c:v>
                </c:pt>
                <c:pt idx="8">
                  <c:v>4.3670499999999999</c:v>
                </c:pt>
              </c:numCache>
            </c:numRef>
          </c:val>
        </c:ser>
        <c:ser>
          <c:idx val="1"/>
          <c:order val="1"/>
          <c:tx>
            <c:strRef>
              <c:f>'F11.4'!$B$55</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'F11.4'!$C$53:$K$53</c:f>
              <c:strCache>
                <c:ptCount val="9"/>
                <c:pt idx="0">
                  <c:v>NSW</c:v>
                </c:pt>
                <c:pt idx="1">
                  <c:v>Vic</c:v>
                </c:pt>
                <c:pt idx="2">
                  <c:v>Qld</c:v>
                </c:pt>
                <c:pt idx="3">
                  <c:v>WA</c:v>
                </c:pt>
                <c:pt idx="4">
                  <c:v>SA</c:v>
                </c:pt>
                <c:pt idx="5">
                  <c:v>Tas</c:v>
                </c:pt>
                <c:pt idx="6">
                  <c:v>ACT</c:v>
                </c:pt>
                <c:pt idx="7">
                  <c:v>NT</c:v>
                </c:pt>
                <c:pt idx="8">
                  <c:v>Aust</c:v>
                </c:pt>
              </c:strCache>
            </c:strRef>
          </c:cat>
          <c:val>
            <c:numRef>
              <c:f>'F11.4'!$C$55:$K$55</c:f>
              <c:numCache>
                <c:formatCode>General</c:formatCode>
                <c:ptCount val="9"/>
                <c:pt idx="0">
                  <c:v>4.1719999999999997</c:v>
                </c:pt>
                <c:pt idx="1">
                  <c:v>4.6550000000000002</c:v>
                </c:pt>
                <c:pt idx="2">
                  <c:v>4.3860000000000001</c:v>
                </c:pt>
                <c:pt idx="3">
                  <c:v>4.3049999999999997</c:v>
                </c:pt>
                <c:pt idx="4">
                  <c:v>3.4049999999999998</c:v>
                </c:pt>
                <c:pt idx="5">
                  <c:v>3.8359999999999999</c:v>
                </c:pt>
                <c:pt idx="6">
                  <c:v>0</c:v>
                </c:pt>
                <c:pt idx="7">
                  <c:v>9.2720000000000002</c:v>
                </c:pt>
                <c:pt idx="8">
                  <c:v>4.2770000000000001</c:v>
                </c:pt>
              </c:numCache>
            </c:numRef>
          </c:val>
        </c:ser>
        <c:ser>
          <c:idx val="2"/>
          <c:order val="2"/>
          <c:tx>
            <c:strRef>
              <c:f>'F11.4'!$B$56</c:f>
              <c:strCache>
                <c:ptCount val="1"/>
                <c:pt idx="0">
                  <c:v>2010-11</c:v>
                </c:pt>
              </c:strCache>
            </c:strRef>
          </c:tx>
          <c:spPr>
            <a:solidFill>
              <a:schemeClr val="bg1">
                <a:lumMod val="50000"/>
              </a:schemeClr>
            </a:solidFill>
            <a:ln>
              <a:solidFill>
                <a:sysClr val="windowText" lastClr="000000"/>
              </a:solidFill>
            </a:ln>
          </c:spPr>
          <c:invertIfNegative val="0"/>
          <c:cat>
            <c:strRef>
              <c:f>'F11.4'!$C$53:$K$53</c:f>
              <c:strCache>
                <c:ptCount val="9"/>
                <c:pt idx="0">
                  <c:v>NSW</c:v>
                </c:pt>
                <c:pt idx="1">
                  <c:v>Vic</c:v>
                </c:pt>
                <c:pt idx="2">
                  <c:v>Qld</c:v>
                </c:pt>
                <c:pt idx="3">
                  <c:v>WA</c:v>
                </c:pt>
                <c:pt idx="4">
                  <c:v>SA</c:v>
                </c:pt>
                <c:pt idx="5">
                  <c:v>Tas</c:v>
                </c:pt>
                <c:pt idx="6">
                  <c:v>ACT</c:v>
                </c:pt>
                <c:pt idx="7">
                  <c:v>NT</c:v>
                </c:pt>
                <c:pt idx="8">
                  <c:v>Aust</c:v>
                </c:pt>
              </c:strCache>
            </c:strRef>
          </c:cat>
          <c:val>
            <c:numRef>
              <c:f>'F11.4'!$C$56:$K$56</c:f>
              <c:numCache>
                <c:formatCode>General</c:formatCode>
                <c:ptCount val="9"/>
                <c:pt idx="0">
                  <c:v>4.2315399999999999</c:v>
                </c:pt>
                <c:pt idx="1">
                  <c:v>4.4617399999999998</c:v>
                </c:pt>
                <c:pt idx="2">
                  <c:v>4.0373099999999997</c:v>
                </c:pt>
                <c:pt idx="3">
                  <c:v>4.0213999999999999</c:v>
                </c:pt>
                <c:pt idx="4">
                  <c:v>3.2688299999999999</c:v>
                </c:pt>
                <c:pt idx="5">
                  <c:v>3.6934999999999998</c:v>
                </c:pt>
                <c:pt idx="6">
                  <c:v>0</c:v>
                </c:pt>
                <c:pt idx="7">
                  <c:v>8.4994999999999994</c:v>
                </c:pt>
                <c:pt idx="8">
                  <c:v>4.1084799999999992</c:v>
                </c:pt>
              </c:numCache>
            </c:numRef>
          </c:val>
        </c:ser>
        <c:ser>
          <c:idx val="3"/>
          <c:order val="3"/>
          <c:tx>
            <c:strRef>
              <c:f>'F11.4'!$B$57</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'F11.4'!$C$53:$K$53</c:f>
              <c:strCache>
                <c:ptCount val="9"/>
                <c:pt idx="0">
                  <c:v>NSW</c:v>
                </c:pt>
                <c:pt idx="1">
                  <c:v>Vic</c:v>
                </c:pt>
                <c:pt idx="2">
                  <c:v>Qld</c:v>
                </c:pt>
                <c:pt idx="3">
                  <c:v>WA</c:v>
                </c:pt>
                <c:pt idx="4">
                  <c:v>SA</c:v>
                </c:pt>
                <c:pt idx="5">
                  <c:v>Tas</c:v>
                </c:pt>
                <c:pt idx="6">
                  <c:v>ACT</c:v>
                </c:pt>
                <c:pt idx="7">
                  <c:v>NT</c:v>
                </c:pt>
                <c:pt idx="8">
                  <c:v>Aust</c:v>
                </c:pt>
              </c:strCache>
            </c:strRef>
          </c:cat>
          <c:val>
            <c:numRef>
              <c:f>'F11.4'!$C$57:$K$57</c:f>
              <c:numCache>
                <c:formatCode>General</c:formatCode>
                <c:ptCount val="9"/>
                <c:pt idx="0">
                  <c:v>4.0510000000000002</c:v>
                </c:pt>
                <c:pt idx="1">
                  <c:v>4.3440000000000003</c:v>
                </c:pt>
                <c:pt idx="2">
                  <c:v>4.3810000000000002</c:v>
                </c:pt>
                <c:pt idx="3">
                  <c:v>4.202</c:v>
                </c:pt>
                <c:pt idx="4">
                  <c:v>3.2869999999999999</c:v>
                </c:pt>
                <c:pt idx="5">
                  <c:v>3.593</c:v>
                </c:pt>
                <c:pt idx="6">
                  <c:v>0</c:v>
                </c:pt>
                <c:pt idx="7">
                  <c:v>9.3740000000000006</c:v>
                </c:pt>
                <c:pt idx="8">
                  <c:v>4.1479999999999997</c:v>
                </c:pt>
              </c:numCache>
            </c:numRef>
          </c:val>
        </c:ser>
        <c:ser>
          <c:idx val="4"/>
          <c:order val="4"/>
          <c:tx>
            <c:strRef>
              <c:f>'F11.4'!$B$58</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'F11.4'!$C$53:$K$53</c:f>
              <c:strCache>
                <c:ptCount val="9"/>
                <c:pt idx="0">
                  <c:v>NSW</c:v>
                </c:pt>
                <c:pt idx="1">
                  <c:v>Vic</c:v>
                </c:pt>
                <c:pt idx="2">
                  <c:v>Qld</c:v>
                </c:pt>
                <c:pt idx="3">
                  <c:v>WA</c:v>
                </c:pt>
                <c:pt idx="4">
                  <c:v>SA</c:v>
                </c:pt>
                <c:pt idx="5">
                  <c:v>Tas</c:v>
                </c:pt>
                <c:pt idx="6">
                  <c:v>ACT</c:v>
                </c:pt>
                <c:pt idx="7">
                  <c:v>NT</c:v>
                </c:pt>
                <c:pt idx="8">
                  <c:v>Aust</c:v>
                </c:pt>
              </c:strCache>
            </c:strRef>
          </c:cat>
          <c:val>
            <c:numRef>
              <c:f>'F11.4'!$C$58:$K$58</c:f>
              <c:numCache>
                <c:formatCode>General</c:formatCode>
                <c:ptCount val="9"/>
                <c:pt idx="0">
                  <c:v>3.8109999999999999</c:v>
                </c:pt>
                <c:pt idx="1">
                  <c:v>4.077</c:v>
                </c:pt>
                <c:pt idx="2">
                  <c:v>3.9039999999999999</c:v>
                </c:pt>
                <c:pt idx="3">
                  <c:v>3.7759999999999998</c:v>
                </c:pt>
                <c:pt idx="4">
                  <c:v>3.3319999999999999</c:v>
                </c:pt>
                <c:pt idx="5">
                  <c:v>3.2879999999999998</c:v>
                </c:pt>
                <c:pt idx="6">
                  <c:v>0</c:v>
                </c:pt>
                <c:pt idx="7">
                  <c:v>8.8979999999999997</c:v>
                </c:pt>
                <c:pt idx="8">
                  <c:v>3.887</c:v>
                </c:pt>
              </c:numCache>
            </c:numRef>
          </c:val>
        </c:ser>
        <c:dLbls>
          <c:showLegendKey val="0"/>
          <c:showVal val="0"/>
          <c:showCatName val="0"/>
          <c:showSerName val="0"/>
          <c:showPercent val="0"/>
          <c:showBubbleSize val="0"/>
        </c:dLbls>
        <c:gapWidth val="150"/>
        <c:axId val="85337984"/>
        <c:axId val="85339520"/>
      </c:barChart>
      <c:catAx>
        <c:axId val="85337984"/>
        <c:scaling>
          <c:orientation val="minMax"/>
        </c:scaling>
        <c:delete val="0"/>
        <c:axPos val="b"/>
        <c:majorTickMark val="out"/>
        <c:minorTickMark val="none"/>
        <c:tickLblPos val="nextTo"/>
        <c:crossAx val="85339520"/>
        <c:crosses val="autoZero"/>
        <c:auto val="1"/>
        <c:lblAlgn val="ctr"/>
        <c:lblOffset val="100"/>
        <c:noMultiLvlLbl val="0"/>
      </c:catAx>
      <c:valAx>
        <c:axId val="85339520"/>
        <c:scaling>
          <c:orientation val="minMax"/>
          <c:max val="12"/>
        </c:scaling>
        <c:delete val="0"/>
        <c:axPos val="l"/>
        <c:majorGridlines/>
        <c:title>
          <c:tx>
            <c:rich>
              <a:bodyPr rot="-5400000" vert="horz"/>
              <a:lstStyle/>
              <a:p>
                <a:pPr>
                  <a:defRPr/>
                </a:pPr>
                <a:r>
                  <a:rPr lang="en-AU"/>
                  <a:t>'000 people/pharmacy</a:t>
                </a:r>
              </a:p>
            </c:rich>
          </c:tx>
          <c:overlay val="0"/>
        </c:title>
        <c:numFmt formatCode="General" sourceLinked="1"/>
        <c:majorTickMark val="out"/>
        <c:minorTickMark val="none"/>
        <c:tickLblPos val="nextTo"/>
        <c:spPr>
          <a:ln>
            <a:solidFill>
              <a:schemeClr val="tx1"/>
            </a:solidFill>
          </a:ln>
        </c:spPr>
        <c:crossAx val="85337984"/>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4B915-B48E-439E-8277-014F0743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96</TotalTime>
  <Pages>112</Pages>
  <Words>27771</Words>
  <Characters>161016</Characters>
  <Application>Microsoft Office Word</Application>
  <DocSecurity>0</DocSecurity>
  <Lines>1341</Lines>
  <Paragraphs>376</Paragraphs>
  <ScaleCrop>false</ScaleCrop>
  <HeadingPairs>
    <vt:vector size="2" baseType="variant">
      <vt:variant>
        <vt:lpstr>Title</vt:lpstr>
      </vt:variant>
      <vt:variant>
        <vt:i4>1</vt:i4>
      </vt:variant>
    </vt:vector>
  </HeadingPairs>
  <TitlesOfParts>
    <vt:vector size="1" baseType="lpstr">
      <vt:lpstr>Primary and community health</vt:lpstr>
    </vt:vector>
  </TitlesOfParts>
  <Company>GB</Company>
  <LinksUpToDate>false</LinksUpToDate>
  <CharactersWithSpaces>188411</CharactersWithSpaces>
  <SharedDoc>false</SharedDoc>
  <HLinks>
    <vt:vector size="42" baseType="variant">
      <vt:variant>
        <vt:i4>1572915</vt:i4>
      </vt:variant>
      <vt:variant>
        <vt:i4>38</vt:i4>
      </vt:variant>
      <vt:variant>
        <vt:i4>0</vt:i4>
      </vt:variant>
      <vt:variant>
        <vt:i4>5</vt:i4>
      </vt:variant>
      <vt:variant>
        <vt:lpwstr/>
      </vt:variant>
      <vt:variant>
        <vt:lpwstr>_Toc274941105</vt:lpwstr>
      </vt:variant>
      <vt:variant>
        <vt:i4>1572915</vt:i4>
      </vt:variant>
      <vt:variant>
        <vt:i4>32</vt:i4>
      </vt:variant>
      <vt:variant>
        <vt:i4>0</vt:i4>
      </vt:variant>
      <vt:variant>
        <vt:i4>5</vt:i4>
      </vt:variant>
      <vt:variant>
        <vt:lpwstr/>
      </vt:variant>
      <vt:variant>
        <vt:lpwstr>_Toc274941104</vt:lpwstr>
      </vt:variant>
      <vt:variant>
        <vt:i4>1572915</vt:i4>
      </vt:variant>
      <vt:variant>
        <vt:i4>26</vt:i4>
      </vt:variant>
      <vt:variant>
        <vt:i4>0</vt:i4>
      </vt:variant>
      <vt:variant>
        <vt:i4>5</vt:i4>
      </vt:variant>
      <vt:variant>
        <vt:lpwstr/>
      </vt:variant>
      <vt:variant>
        <vt:lpwstr>_Toc274941103</vt:lpwstr>
      </vt:variant>
      <vt:variant>
        <vt:i4>1572915</vt:i4>
      </vt:variant>
      <vt:variant>
        <vt:i4>20</vt:i4>
      </vt:variant>
      <vt:variant>
        <vt:i4>0</vt:i4>
      </vt:variant>
      <vt:variant>
        <vt:i4>5</vt:i4>
      </vt:variant>
      <vt:variant>
        <vt:lpwstr/>
      </vt:variant>
      <vt:variant>
        <vt:lpwstr>_Toc274941102</vt:lpwstr>
      </vt:variant>
      <vt:variant>
        <vt:i4>1572915</vt:i4>
      </vt:variant>
      <vt:variant>
        <vt:i4>14</vt:i4>
      </vt:variant>
      <vt:variant>
        <vt:i4>0</vt:i4>
      </vt:variant>
      <vt:variant>
        <vt:i4>5</vt:i4>
      </vt:variant>
      <vt:variant>
        <vt:lpwstr/>
      </vt:variant>
      <vt:variant>
        <vt:lpwstr>_Toc274941101</vt:lpwstr>
      </vt:variant>
      <vt:variant>
        <vt:i4>1572915</vt:i4>
      </vt:variant>
      <vt:variant>
        <vt:i4>8</vt:i4>
      </vt:variant>
      <vt:variant>
        <vt:i4>0</vt:i4>
      </vt:variant>
      <vt:variant>
        <vt:i4>5</vt:i4>
      </vt:variant>
      <vt:variant>
        <vt:lpwstr/>
      </vt:variant>
      <vt:variant>
        <vt:lpwstr>_Toc274941100</vt:lpwstr>
      </vt:variant>
      <vt:variant>
        <vt:i4>1114162</vt:i4>
      </vt:variant>
      <vt:variant>
        <vt:i4>2</vt:i4>
      </vt:variant>
      <vt:variant>
        <vt:i4>0</vt:i4>
      </vt:variant>
      <vt:variant>
        <vt:i4>5</vt:i4>
      </vt:variant>
      <vt:variant>
        <vt:lpwstr/>
      </vt:variant>
      <vt:variant>
        <vt:lpwstr>_Toc274941099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Primary and community health</dc:title>
  <dc:subject>Report on Government Services 2014</dc:subject>
  <dc:creator>Steering Committee for the Review of Government Service Provision</dc:creator>
  <dc:description>11.</dc:description>
  <cp:lastModifiedBy>Frech, Tanya</cp:lastModifiedBy>
  <cp:revision>18</cp:revision>
  <cp:lastPrinted>2014-01-14T00:38:00Z</cp:lastPrinted>
  <dcterms:created xsi:type="dcterms:W3CDTF">2014-01-14T03:23:00Z</dcterms:created>
  <dcterms:modified xsi:type="dcterms:W3CDTF">2014-01-21T01:49:00Z</dcterms:modified>
</cp:coreProperties>
</file>